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874" w:rsidRDefault="00B22874" w:rsidP="001E1D64">
      <w:pPr>
        <w:pStyle w:val="BodyText2"/>
        <w:jc w:val="center"/>
        <w:rPr>
          <w:b/>
          <w:lang w:val="it-IT"/>
        </w:rPr>
      </w:pPr>
    </w:p>
    <w:p w:rsidR="00B22874" w:rsidRPr="00583077" w:rsidRDefault="00512804" w:rsidP="00883AD1">
      <w:pPr>
        <w:jc w:val="center"/>
        <w:rPr>
          <w:b/>
          <w:bCs/>
          <w:color w:val="333333"/>
        </w:rPr>
      </w:pPr>
      <w:r>
        <w:rPr>
          <w:noProof/>
          <w:lang w:val="en-GB" w:eastAsia="en-GB"/>
        </w:rPr>
        <w:drawing>
          <wp:inline distT="0" distB="0" distL="0" distR="0">
            <wp:extent cx="3067050" cy="1400175"/>
            <wp:effectExtent l="19050" t="0" r="0" b="0"/>
            <wp:docPr id="1" name="Picture 1" descr="cid:image002.jpg@01CED978.5CA9FC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CED978.5CA9FC30"/>
                    <pic:cNvPicPr>
                      <a:picLocks noChangeAspect="1" noChangeArrowheads="1"/>
                    </pic:cNvPicPr>
                  </pic:nvPicPr>
                  <pic:blipFill>
                    <a:blip r:embed="rId7"/>
                    <a:srcRect/>
                    <a:stretch>
                      <a:fillRect/>
                    </a:stretch>
                  </pic:blipFill>
                  <pic:spPr bwMode="auto">
                    <a:xfrm>
                      <a:off x="0" y="0"/>
                      <a:ext cx="3067050" cy="1400175"/>
                    </a:xfrm>
                    <a:prstGeom prst="rect">
                      <a:avLst/>
                    </a:prstGeom>
                    <a:noFill/>
                    <a:ln w="9525">
                      <a:noFill/>
                      <a:miter lim="800000"/>
                      <a:headEnd/>
                      <a:tailEnd/>
                    </a:ln>
                  </pic:spPr>
                </pic:pic>
              </a:graphicData>
            </a:graphic>
          </wp:inline>
        </w:drawing>
      </w:r>
    </w:p>
    <w:p w:rsidR="00B22874" w:rsidRPr="00583077" w:rsidRDefault="00B22874" w:rsidP="00883AD1">
      <w:pPr>
        <w:jc w:val="center"/>
        <w:rPr>
          <w:b/>
          <w:bCs/>
          <w:color w:val="333333"/>
          <w:sz w:val="28"/>
          <w:szCs w:val="28"/>
          <w:lang w:val="it-IT"/>
        </w:rPr>
      </w:pPr>
      <w:r w:rsidRPr="00583077">
        <w:rPr>
          <w:b/>
          <w:bCs/>
          <w:color w:val="333333"/>
          <w:sz w:val="28"/>
          <w:szCs w:val="28"/>
          <w:lang w:val="it-IT"/>
        </w:rPr>
        <w:t>DREJTORIA E DREJTIMIT TË BORXHIT PUBLIK</w:t>
      </w:r>
    </w:p>
    <w:p w:rsidR="00B22874" w:rsidRPr="00583077" w:rsidRDefault="00B22874" w:rsidP="00883AD1">
      <w:pPr>
        <w:jc w:val="center"/>
        <w:rPr>
          <w:b/>
          <w:bCs/>
          <w:color w:val="333333"/>
          <w:sz w:val="28"/>
          <w:szCs w:val="28"/>
          <w:lang w:val="it-IT"/>
        </w:rPr>
      </w:pPr>
      <w:r w:rsidRPr="00583077">
        <w:rPr>
          <w:b/>
          <w:bCs/>
          <w:color w:val="333333"/>
          <w:sz w:val="28"/>
          <w:szCs w:val="28"/>
          <w:lang w:val="it-IT"/>
        </w:rPr>
        <w:t>Sektori i Statistikave Financiare dhe Analizave</w:t>
      </w:r>
    </w:p>
    <w:p w:rsidR="00B22874" w:rsidRPr="00583077" w:rsidRDefault="00B22874" w:rsidP="00883AD1">
      <w:pPr>
        <w:pStyle w:val="Default"/>
        <w:rPr>
          <w:lang w:val="it-IT"/>
        </w:rPr>
      </w:pPr>
    </w:p>
    <w:p w:rsidR="00B22874" w:rsidRPr="00583077" w:rsidRDefault="00B22874" w:rsidP="00883AD1">
      <w:pPr>
        <w:pStyle w:val="Default"/>
        <w:rPr>
          <w:color w:val="auto"/>
          <w:lang w:val="it-IT"/>
        </w:rPr>
      </w:pPr>
    </w:p>
    <w:p w:rsidR="00B22874" w:rsidRPr="00583077" w:rsidRDefault="00B22874" w:rsidP="00883AD1">
      <w:pPr>
        <w:pStyle w:val="Default"/>
        <w:rPr>
          <w:color w:val="auto"/>
          <w:lang w:val="it-IT"/>
        </w:rPr>
      </w:pPr>
    </w:p>
    <w:p w:rsidR="00B22874" w:rsidRPr="00583077" w:rsidRDefault="00B22874" w:rsidP="00883AD1">
      <w:pPr>
        <w:pStyle w:val="Default"/>
        <w:rPr>
          <w:color w:val="auto"/>
          <w:lang w:val="it-IT"/>
        </w:rPr>
      </w:pPr>
    </w:p>
    <w:p w:rsidR="00B22874" w:rsidRPr="00583077" w:rsidRDefault="00B22874" w:rsidP="00883AD1">
      <w:pPr>
        <w:pStyle w:val="Default"/>
        <w:rPr>
          <w:color w:val="auto"/>
          <w:lang w:val="it-IT"/>
        </w:rPr>
      </w:pPr>
    </w:p>
    <w:p w:rsidR="00B22874" w:rsidRPr="00583077" w:rsidRDefault="00B22874" w:rsidP="00883AD1">
      <w:pPr>
        <w:pStyle w:val="Default"/>
        <w:rPr>
          <w:color w:val="auto"/>
          <w:lang w:val="it-IT"/>
        </w:rPr>
      </w:pPr>
    </w:p>
    <w:p w:rsidR="00B22874" w:rsidRPr="00583077" w:rsidRDefault="00B22874" w:rsidP="00883AD1">
      <w:pPr>
        <w:pStyle w:val="Default"/>
        <w:rPr>
          <w:color w:val="auto"/>
          <w:sz w:val="60"/>
          <w:szCs w:val="60"/>
          <w:lang w:val="it-IT"/>
        </w:rPr>
      </w:pPr>
    </w:p>
    <w:p w:rsidR="00B22874" w:rsidRPr="00583077" w:rsidRDefault="00B22874" w:rsidP="00883AD1">
      <w:pPr>
        <w:pStyle w:val="Default"/>
        <w:spacing w:line="360" w:lineRule="auto"/>
        <w:jc w:val="center"/>
        <w:rPr>
          <w:color w:val="auto"/>
          <w:sz w:val="48"/>
          <w:szCs w:val="48"/>
          <w:lang w:val="fr-FR"/>
        </w:rPr>
      </w:pPr>
      <w:r w:rsidRPr="00583077">
        <w:rPr>
          <w:color w:val="auto"/>
          <w:sz w:val="48"/>
          <w:szCs w:val="48"/>
          <w:lang w:val="fr-FR"/>
        </w:rPr>
        <w:t>RAPORT VJETOR</w:t>
      </w:r>
    </w:p>
    <w:p w:rsidR="00B22874" w:rsidRPr="00583077" w:rsidRDefault="00B22874" w:rsidP="00883AD1">
      <w:pPr>
        <w:pStyle w:val="Default"/>
        <w:spacing w:line="360" w:lineRule="auto"/>
        <w:jc w:val="center"/>
        <w:rPr>
          <w:color w:val="auto"/>
          <w:sz w:val="60"/>
          <w:szCs w:val="60"/>
          <w:lang w:val="fr-FR"/>
        </w:rPr>
      </w:pPr>
      <w:r w:rsidRPr="00583077">
        <w:rPr>
          <w:color w:val="auto"/>
          <w:sz w:val="48"/>
          <w:szCs w:val="48"/>
          <w:lang w:val="fr-FR"/>
        </w:rPr>
        <w:t>VITI 2013</w:t>
      </w:r>
    </w:p>
    <w:p w:rsidR="00B22874" w:rsidRPr="00583077" w:rsidRDefault="00B22874" w:rsidP="00883AD1">
      <w:pPr>
        <w:pStyle w:val="Default"/>
        <w:rPr>
          <w:color w:val="auto"/>
          <w:sz w:val="72"/>
          <w:szCs w:val="72"/>
          <w:lang w:val="fr-FR"/>
        </w:rPr>
      </w:pPr>
    </w:p>
    <w:p w:rsidR="00B22874" w:rsidRPr="00583077" w:rsidRDefault="00B22874" w:rsidP="00883AD1">
      <w:pPr>
        <w:pStyle w:val="Default"/>
        <w:rPr>
          <w:color w:val="auto"/>
          <w:sz w:val="72"/>
          <w:szCs w:val="72"/>
          <w:lang w:val="fr-FR"/>
        </w:rPr>
      </w:pPr>
    </w:p>
    <w:p w:rsidR="00B22874" w:rsidRPr="00583077" w:rsidRDefault="00B22874" w:rsidP="00883AD1">
      <w:pPr>
        <w:pStyle w:val="BodyText2"/>
        <w:rPr>
          <w:rFonts w:eastAsia="Batang"/>
          <w:sz w:val="72"/>
          <w:szCs w:val="72"/>
          <w:lang w:val="fr-FR" w:eastAsia="ko-KR"/>
        </w:rPr>
      </w:pPr>
    </w:p>
    <w:p w:rsidR="00B22874" w:rsidRPr="00583077" w:rsidRDefault="00B22874" w:rsidP="00883AD1">
      <w:pPr>
        <w:pStyle w:val="BodyText2"/>
        <w:rPr>
          <w:b/>
          <w:lang w:val="fr-FR"/>
        </w:rPr>
      </w:pPr>
    </w:p>
    <w:p w:rsidR="00B22874" w:rsidRPr="00583077" w:rsidRDefault="00B22874" w:rsidP="00883AD1">
      <w:pPr>
        <w:pStyle w:val="BodyText2"/>
        <w:rPr>
          <w:b/>
          <w:lang w:val="fr-FR"/>
        </w:rPr>
      </w:pPr>
    </w:p>
    <w:p w:rsidR="00B22874" w:rsidRDefault="00B22874" w:rsidP="003C5FBD">
      <w:pPr>
        <w:jc w:val="both"/>
        <w:rPr>
          <w:b/>
          <w:lang w:val="fr-FR"/>
        </w:rPr>
      </w:pPr>
    </w:p>
    <w:p w:rsidR="00B22874" w:rsidRDefault="00B22874" w:rsidP="003C5FBD">
      <w:pPr>
        <w:jc w:val="both"/>
        <w:rPr>
          <w:b/>
          <w:lang w:val="sq-AL"/>
        </w:rPr>
      </w:pPr>
    </w:p>
    <w:p w:rsidR="00B22874" w:rsidRPr="00583077" w:rsidRDefault="00B22874" w:rsidP="003C5FBD">
      <w:pPr>
        <w:jc w:val="both"/>
        <w:rPr>
          <w:b/>
          <w:lang w:val="sq-AL"/>
        </w:rPr>
      </w:pPr>
      <w:r>
        <w:rPr>
          <w:b/>
          <w:lang w:val="sq-AL"/>
        </w:rPr>
        <w:lastRenderedPageBreak/>
        <w:t>I</w:t>
      </w:r>
      <w:r w:rsidRPr="00583077">
        <w:rPr>
          <w:lang w:val="sq-AL"/>
        </w:rPr>
        <w:t xml:space="preserve">.  </w:t>
      </w:r>
      <w:r w:rsidRPr="00583077">
        <w:rPr>
          <w:b/>
          <w:lang w:val="sq-AL"/>
        </w:rPr>
        <w:t>Historiku dhe zhvillimi i borxhit të Qeverisjes Qendrore  gjatë vitit 2013</w:t>
      </w:r>
    </w:p>
    <w:p w:rsidR="00B22874" w:rsidRPr="00583077" w:rsidRDefault="00B22874" w:rsidP="00E77E3C">
      <w:pPr>
        <w:jc w:val="both"/>
        <w:rPr>
          <w:b/>
          <w:lang w:val="sq-AL"/>
        </w:rPr>
      </w:pPr>
    </w:p>
    <w:p w:rsidR="00B22874" w:rsidRDefault="00B22874" w:rsidP="00E77E3C">
      <w:pPr>
        <w:jc w:val="both"/>
        <w:rPr>
          <w:lang w:val="it-IT"/>
        </w:rPr>
      </w:pPr>
      <w:r>
        <w:rPr>
          <w:lang w:val="it-IT"/>
        </w:rPr>
        <w:t>Në fund të dh</w:t>
      </w:r>
      <w:r w:rsidRPr="00583077">
        <w:rPr>
          <w:lang w:val="it-IT"/>
        </w:rPr>
        <w:t>j</w:t>
      </w:r>
      <w:r>
        <w:rPr>
          <w:lang w:val="it-IT"/>
        </w:rPr>
        <w:t>e</w:t>
      </w:r>
      <w:r w:rsidRPr="00583077">
        <w:rPr>
          <w:lang w:val="it-IT"/>
        </w:rPr>
        <w:t xml:space="preserve">torit të vitit 2013, borxhi publik i Qeverisë Qëndrore vlerësohet të jetë 884,692 milion lekë ose 65.15% i PBB. Ky borxh përbëhet nga borxhi i brendshëm dhe i jashtëm që janë vlerësuar përkatësisht 38.35% dhe 26.80% i PBB. </w:t>
      </w:r>
    </w:p>
    <w:p w:rsidR="00B22874" w:rsidRDefault="00B22874" w:rsidP="00E77E3C">
      <w:pPr>
        <w:jc w:val="both"/>
        <w:rPr>
          <w:lang w:val="it-IT"/>
        </w:rPr>
      </w:pPr>
      <w:r>
        <w:rPr>
          <w:lang w:val="it-IT"/>
        </w:rPr>
        <w:t xml:space="preserve">Theksojmë se në këtë vlerësim nuk përfshihet stoku i detyrimeve të prapambetura,(72,6 miliard lekë në përputhje me Kuadrin makro fiskal 2015-2017) të cilat çojnë stokun e borxhit publik në 70.49%. </w:t>
      </w:r>
    </w:p>
    <w:p w:rsidR="00B22874" w:rsidRPr="00583077" w:rsidRDefault="00B22874" w:rsidP="00E77E3C">
      <w:pPr>
        <w:jc w:val="both"/>
        <w:rPr>
          <w:lang w:val="it-IT"/>
        </w:rPr>
      </w:pPr>
      <w:r>
        <w:rPr>
          <w:lang w:val="it-IT"/>
        </w:rPr>
        <w:t>Borxhi i pushtetit lokal vlerësohet në 391 milion lekë ose 0.03% e PBB.</w:t>
      </w:r>
    </w:p>
    <w:p w:rsidR="00B22874" w:rsidRPr="00583077" w:rsidRDefault="00B22874" w:rsidP="00E77E3C">
      <w:pPr>
        <w:jc w:val="both"/>
        <w:rPr>
          <w:lang w:val="sq-AL"/>
        </w:rPr>
      </w:pPr>
      <w:r w:rsidRPr="00583077">
        <w:rPr>
          <w:lang w:val="sq-AL"/>
        </w:rPr>
        <w:t>Borxhi i brendshëm në raport me PBB është rritur me 288 pikë bazë krahasuar me fundin e vitit 2012, ndërkohë borxhi i jashtëm rezulton të ketë një rrënie prej 17 pikë bazë. Në total stoku i borxhit është rritur me 270 pikë bazë krahasuar me fundin e vitit 2012, nga 62.44% në 65.15% të PBB.</w:t>
      </w:r>
    </w:p>
    <w:p w:rsidR="00B22874" w:rsidRPr="00583077" w:rsidRDefault="00B22874" w:rsidP="00E77E3C">
      <w:pPr>
        <w:jc w:val="both"/>
        <w:rPr>
          <w:lang w:val="it-IT"/>
        </w:rPr>
      </w:pPr>
      <w:r w:rsidRPr="00583077">
        <w:rPr>
          <w:lang w:val="it-IT"/>
        </w:rPr>
        <w:t>Në tabelën e mëposhtme paraqitet ecuria e përbërjes së borxhit publik të Qeverisë Qëndrore nga viti 2009 deri në fundin e vitit 2013.</w:t>
      </w:r>
    </w:p>
    <w:p w:rsidR="00B22874" w:rsidRPr="00583077" w:rsidRDefault="00B22874" w:rsidP="007444D0">
      <w:pPr>
        <w:rPr>
          <w:lang w:val="it-IT"/>
        </w:rPr>
      </w:pPr>
    </w:p>
    <w:p w:rsidR="00B22874" w:rsidRPr="00583077" w:rsidRDefault="00B22874" w:rsidP="003C5FBD">
      <w:pPr>
        <w:jc w:val="both"/>
        <w:rPr>
          <w:b/>
          <w:bCs/>
          <w:sz w:val="20"/>
          <w:szCs w:val="20"/>
          <w:lang w:val="it-IT"/>
        </w:rPr>
      </w:pPr>
      <w:r w:rsidRPr="00583077">
        <w:rPr>
          <w:b/>
          <w:bCs/>
          <w:sz w:val="20"/>
          <w:szCs w:val="20"/>
          <w:lang w:val="it-IT"/>
        </w:rPr>
        <w:t>Tabela 1.</w:t>
      </w:r>
    </w:p>
    <w:p w:rsidR="00B22874" w:rsidRPr="00583077" w:rsidRDefault="00B22874" w:rsidP="003C5FBD">
      <w:pPr>
        <w:autoSpaceDE w:val="0"/>
        <w:autoSpaceDN w:val="0"/>
        <w:adjustRightInd w:val="0"/>
        <w:spacing w:line="300" w:lineRule="exact"/>
        <w:jc w:val="both"/>
        <w:rPr>
          <w:sz w:val="20"/>
          <w:szCs w:val="20"/>
          <w:lang w:val="it-IT"/>
        </w:rPr>
      </w:pPr>
      <w:r w:rsidRPr="00583077">
        <w:rPr>
          <w:sz w:val="20"/>
          <w:szCs w:val="20"/>
          <w:lang w:val="it-IT"/>
        </w:rPr>
        <w:t>* Të dhënat e borxhit të qeverisë qendrore për vitin 2013</w:t>
      </w:r>
    </w:p>
    <w:tbl>
      <w:tblPr>
        <w:tblW w:w="9440" w:type="dxa"/>
        <w:tblInd w:w="98" w:type="dxa"/>
        <w:tblLook w:val="0000"/>
      </w:tblPr>
      <w:tblGrid>
        <w:gridCol w:w="3440"/>
        <w:gridCol w:w="1200"/>
        <w:gridCol w:w="1200"/>
        <w:gridCol w:w="1200"/>
        <w:gridCol w:w="1200"/>
        <w:gridCol w:w="1200"/>
      </w:tblGrid>
      <w:tr w:rsidR="00B22874" w:rsidRPr="00583077" w:rsidTr="005B3E9C">
        <w:trPr>
          <w:trHeight w:val="270"/>
        </w:trPr>
        <w:tc>
          <w:tcPr>
            <w:tcW w:w="3440" w:type="dxa"/>
            <w:tcBorders>
              <w:top w:val="single" w:sz="8" w:space="0" w:color="auto"/>
              <w:left w:val="single" w:sz="8" w:space="0" w:color="auto"/>
              <w:bottom w:val="single" w:sz="8" w:space="0" w:color="auto"/>
              <w:right w:val="single" w:sz="8" w:space="0" w:color="auto"/>
            </w:tcBorders>
            <w:shd w:val="clear" w:color="auto" w:fill="99CCFF"/>
            <w:noWrap/>
            <w:vAlign w:val="bottom"/>
          </w:tcPr>
          <w:p w:rsidR="00B22874" w:rsidRPr="00583077" w:rsidRDefault="00B22874" w:rsidP="00091C90">
            <w:pPr>
              <w:jc w:val="right"/>
              <w:rPr>
                <w:rFonts w:eastAsia="Batang"/>
                <w:color w:val="000000"/>
                <w:sz w:val="20"/>
                <w:szCs w:val="20"/>
                <w:lang w:eastAsia="ko-KR"/>
              </w:rPr>
            </w:pPr>
            <w:r w:rsidRPr="00583077">
              <w:rPr>
                <w:rFonts w:eastAsia="Batang"/>
                <w:color w:val="000000"/>
                <w:sz w:val="20"/>
                <w:szCs w:val="20"/>
                <w:lang w:eastAsia="ko-KR"/>
              </w:rPr>
              <w:t>*Në milion ALL </w:t>
            </w:r>
          </w:p>
        </w:tc>
        <w:tc>
          <w:tcPr>
            <w:tcW w:w="1200" w:type="dxa"/>
            <w:tcBorders>
              <w:top w:val="single" w:sz="8" w:space="0" w:color="auto"/>
              <w:left w:val="nil"/>
              <w:bottom w:val="single" w:sz="8" w:space="0" w:color="auto"/>
              <w:right w:val="single" w:sz="8" w:space="0" w:color="auto"/>
            </w:tcBorders>
            <w:shd w:val="clear" w:color="auto" w:fill="99CCFF"/>
            <w:noWrap/>
            <w:vAlign w:val="bottom"/>
          </w:tcPr>
          <w:p w:rsidR="00B22874" w:rsidRPr="00583077" w:rsidRDefault="00B22874" w:rsidP="00091C90">
            <w:pPr>
              <w:jc w:val="center"/>
              <w:rPr>
                <w:rFonts w:eastAsia="Batang"/>
                <w:b/>
                <w:bCs/>
                <w:sz w:val="18"/>
                <w:szCs w:val="18"/>
                <w:lang w:eastAsia="ko-KR"/>
              </w:rPr>
            </w:pPr>
            <w:r w:rsidRPr="00583077">
              <w:rPr>
                <w:rFonts w:eastAsia="Batang"/>
                <w:b/>
                <w:bCs/>
                <w:sz w:val="18"/>
                <w:szCs w:val="18"/>
                <w:lang w:eastAsia="ko-KR"/>
              </w:rPr>
              <w:t>2009</w:t>
            </w:r>
          </w:p>
        </w:tc>
        <w:tc>
          <w:tcPr>
            <w:tcW w:w="1200" w:type="dxa"/>
            <w:tcBorders>
              <w:top w:val="single" w:sz="8" w:space="0" w:color="auto"/>
              <w:left w:val="nil"/>
              <w:bottom w:val="single" w:sz="8" w:space="0" w:color="auto"/>
              <w:right w:val="single" w:sz="8" w:space="0" w:color="auto"/>
            </w:tcBorders>
            <w:shd w:val="clear" w:color="auto" w:fill="99CCFF"/>
            <w:noWrap/>
            <w:vAlign w:val="bottom"/>
          </w:tcPr>
          <w:p w:rsidR="00B22874" w:rsidRPr="00583077" w:rsidRDefault="00B22874" w:rsidP="00091C90">
            <w:pPr>
              <w:jc w:val="center"/>
              <w:rPr>
                <w:rFonts w:eastAsia="Batang"/>
                <w:b/>
                <w:bCs/>
                <w:sz w:val="18"/>
                <w:szCs w:val="18"/>
                <w:lang w:eastAsia="ko-KR"/>
              </w:rPr>
            </w:pPr>
            <w:r w:rsidRPr="00583077">
              <w:rPr>
                <w:rFonts w:eastAsia="Batang"/>
                <w:b/>
                <w:bCs/>
                <w:sz w:val="18"/>
                <w:szCs w:val="18"/>
                <w:lang w:eastAsia="ko-KR"/>
              </w:rPr>
              <w:t>2010</w:t>
            </w:r>
          </w:p>
        </w:tc>
        <w:tc>
          <w:tcPr>
            <w:tcW w:w="1200" w:type="dxa"/>
            <w:tcBorders>
              <w:top w:val="single" w:sz="8" w:space="0" w:color="auto"/>
              <w:left w:val="nil"/>
              <w:bottom w:val="single" w:sz="8" w:space="0" w:color="auto"/>
              <w:right w:val="single" w:sz="8" w:space="0" w:color="auto"/>
            </w:tcBorders>
            <w:shd w:val="clear" w:color="auto" w:fill="99CCFF"/>
            <w:noWrap/>
            <w:vAlign w:val="bottom"/>
          </w:tcPr>
          <w:p w:rsidR="00B22874" w:rsidRPr="00583077" w:rsidRDefault="00B22874" w:rsidP="00091C90">
            <w:pPr>
              <w:jc w:val="center"/>
              <w:rPr>
                <w:rFonts w:eastAsia="Batang"/>
                <w:b/>
                <w:bCs/>
                <w:sz w:val="18"/>
                <w:szCs w:val="18"/>
                <w:lang w:eastAsia="ko-KR"/>
              </w:rPr>
            </w:pPr>
            <w:r w:rsidRPr="00583077">
              <w:rPr>
                <w:rFonts w:eastAsia="Batang"/>
                <w:b/>
                <w:bCs/>
                <w:sz w:val="18"/>
                <w:szCs w:val="18"/>
                <w:lang w:eastAsia="ko-KR"/>
              </w:rPr>
              <w:t>2011</w:t>
            </w:r>
          </w:p>
        </w:tc>
        <w:tc>
          <w:tcPr>
            <w:tcW w:w="1200" w:type="dxa"/>
            <w:tcBorders>
              <w:top w:val="single" w:sz="8" w:space="0" w:color="auto"/>
              <w:left w:val="nil"/>
              <w:bottom w:val="single" w:sz="8" w:space="0" w:color="auto"/>
              <w:right w:val="single" w:sz="8" w:space="0" w:color="auto"/>
            </w:tcBorders>
            <w:shd w:val="clear" w:color="auto" w:fill="99CCFF"/>
            <w:noWrap/>
            <w:vAlign w:val="bottom"/>
          </w:tcPr>
          <w:p w:rsidR="00B22874" w:rsidRPr="00583077" w:rsidRDefault="00B22874" w:rsidP="00091C90">
            <w:pPr>
              <w:jc w:val="center"/>
              <w:rPr>
                <w:rFonts w:eastAsia="Batang"/>
                <w:b/>
                <w:bCs/>
                <w:sz w:val="18"/>
                <w:szCs w:val="18"/>
                <w:lang w:eastAsia="ko-KR"/>
              </w:rPr>
            </w:pPr>
            <w:r w:rsidRPr="00583077">
              <w:rPr>
                <w:rFonts w:eastAsia="Batang"/>
                <w:b/>
                <w:bCs/>
                <w:sz w:val="18"/>
                <w:szCs w:val="18"/>
                <w:lang w:eastAsia="ko-KR"/>
              </w:rPr>
              <w:t>2012</w:t>
            </w:r>
          </w:p>
        </w:tc>
        <w:tc>
          <w:tcPr>
            <w:tcW w:w="1200" w:type="dxa"/>
            <w:tcBorders>
              <w:top w:val="single" w:sz="8" w:space="0" w:color="auto"/>
              <w:left w:val="nil"/>
              <w:bottom w:val="single" w:sz="8" w:space="0" w:color="auto"/>
              <w:right w:val="single" w:sz="8" w:space="0" w:color="auto"/>
            </w:tcBorders>
            <w:shd w:val="clear" w:color="auto" w:fill="99CCFF"/>
            <w:vAlign w:val="bottom"/>
          </w:tcPr>
          <w:p w:rsidR="00B22874" w:rsidRPr="00583077" w:rsidRDefault="00B22874" w:rsidP="00091C90">
            <w:pPr>
              <w:jc w:val="center"/>
              <w:rPr>
                <w:rFonts w:eastAsia="Batang"/>
                <w:b/>
                <w:bCs/>
                <w:sz w:val="18"/>
                <w:szCs w:val="18"/>
                <w:lang w:eastAsia="ko-KR"/>
              </w:rPr>
            </w:pPr>
            <w:r w:rsidRPr="00583077">
              <w:rPr>
                <w:rFonts w:eastAsia="Batang"/>
                <w:b/>
                <w:bCs/>
                <w:sz w:val="18"/>
                <w:szCs w:val="18"/>
                <w:lang w:eastAsia="ko-KR"/>
              </w:rPr>
              <w:t>2013</w:t>
            </w:r>
          </w:p>
        </w:tc>
      </w:tr>
      <w:tr w:rsidR="00B22874" w:rsidRPr="00583077" w:rsidTr="005B3E9C">
        <w:trPr>
          <w:trHeight w:val="270"/>
        </w:trPr>
        <w:tc>
          <w:tcPr>
            <w:tcW w:w="3440" w:type="dxa"/>
            <w:tcBorders>
              <w:top w:val="single" w:sz="8" w:space="0" w:color="auto"/>
              <w:left w:val="single" w:sz="8" w:space="0" w:color="auto"/>
              <w:bottom w:val="single" w:sz="8" w:space="0" w:color="auto"/>
              <w:right w:val="single" w:sz="8" w:space="0" w:color="auto"/>
            </w:tcBorders>
            <w:noWrap/>
          </w:tcPr>
          <w:p w:rsidR="00B22874" w:rsidRPr="00583077" w:rsidRDefault="00B22874" w:rsidP="00091C90">
            <w:pPr>
              <w:jc w:val="right"/>
              <w:rPr>
                <w:rFonts w:eastAsia="Batang"/>
                <w:b/>
                <w:bCs/>
                <w:color w:val="FF0000"/>
                <w:sz w:val="20"/>
                <w:szCs w:val="20"/>
                <w:lang w:eastAsia="ko-KR"/>
              </w:rPr>
            </w:pPr>
            <w:r w:rsidRPr="00583077">
              <w:rPr>
                <w:rFonts w:eastAsia="Batang"/>
                <w:b/>
                <w:bCs/>
                <w:color w:val="FF0000"/>
                <w:sz w:val="20"/>
                <w:szCs w:val="20"/>
                <w:lang w:eastAsia="ko-KR"/>
              </w:rPr>
              <w:t>Stoku i Borxhit Total</w:t>
            </w:r>
          </w:p>
        </w:tc>
        <w:tc>
          <w:tcPr>
            <w:tcW w:w="1200" w:type="dxa"/>
            <w:tcBorders>
              <w:top w:val="nil"/>
              <w:left w:val="nil"/>
              <w:bottom w:val="single" w:sz="8" w:space="0" w:color="auto"/>
              <w:right w:val="single" w:sz="8" w:space="0" w:color="auto"/>
            </w:tcBorders>
            <w:noWrap/>
            <w:vAlign w:val="bottom"/>
          </w:tcPr>
          <w:p w:rsidR="00B22874" w:rsidRPr="00583077" w:rsidRDefault="00B22874" w:rsidP="00091C90">
            <w:pPr>
              <w:jc w:val="right"/>
              <w:rPr>
                <w:rFonts w:eastAsia="Batang"/>
                <w:b/>
                <w:bCs/>
                <w:color w:val="FF0000"/>
                <w:sz w:val="18"/>
                <w:szCs w:val="18"/>
                <w:lang w:eastAsia="ko-KR"/>
              </w:rPr>
            </w:pPr>
            <w:r w:rsidRPr="00583077">
              <w:rPr>
                <w:rFonts w:eastAsia="Batang"/>
                <w:b/>
                <w:bCs/>
                <w:color w:val="FF0000"/>
                <w:sz w:val="18"/>
                <w:szCs w:val="18"/>
                <w:lang w:eastAsia="ko-KR"/>
              </w:rPr>
              <w:t>682,547</w:t>
            </w:r>
          </w:p>
        </w:tc>
        <w:tc>
          <w:tcPr>
            <w:tcW w:w="1200" w:type="dxa"/>
            <w:tcBorders>
              <w:top w:val="nil"/>
              <w:left w:val="nil"/>
              <w:bottom w:val="single" w:sz="8" w:space="0" w:color="auto"/>
              <w:right w:val="single" w:sz="8" w:space="0" w:color="auto"/>
            </w:tcBorders>
            <w:noWrap/>
            <w:vAlign w:val="bottom"/>
          </w:tcPr>
          <w:p w:rsidR="00B22874" w:rsidRPr="00583077" w:rsidRDefault="00B22874" w:rsidP="00091C90">
            <w:pPr>
              <w:jc w:val="right"/>
              <w:rPr>
                <w:rFonts w:eastAsia="Batang"/>
                <w:b/>
                <w:bCs/>
                <w:color w:val="FF0000"/>
                <w:sz w:val="18"/>
                <w:szCs w:val="18"/>
                <w:lang w:eastAsia="ko-KR"/>
              </w:rPr>
            </w:pPr>
            <w:r w:rsidRPr="00583077">
              <w:rPr>
                <w:rFonts w:eastAsia="Batang"/>
                <w:b/>
                <w:bCs/>
                <w:color w:val="FF0000"/>
                <w:sz w:val="18"/>
                <w:szCs w:val="18"/>
                <w:lang w:eastAsia="ko-KR"/>
              </w:rPr>
              <w:t>715,370</w:t>
            </w:r>
          </w:p>
        </w:tc>
        <w:tc>
          <w:tcPr>
            <w:tcW w:w="1200" w:type="dxa"/>
            <w:tcBorders>
              <w:top w:val="nil"/>
              <w:left w:val="nil"/>
              <w:bottom w:val="single" w:sz="8" w:space="0" w:color="auto"/>
              <w:right w:val="single" w:sz="8" w:space="0" w:color="auto"/>
            </w:tcBorders>
            <w:noWrap/>
            <w:vAlign w:val="bottom"/>
          </w:tcPr>
          <w:p w:rsidR="00B22874" w:rsidRPr="00583077" w:rsidRDefault="00B22874" w:rsidP="00091C90">
            <w:pPr>
              <w:jc w:val="right"/>
              <w:rPr>
                <w:rFonts w:eastAsia="Batang"/>
                <w:b/>
                <w:bCs/>
                <w:color w:val="FF0000"/>
                <w:sz w:val="18"/>
                <w:szCs w:val="18"/>
                <w:lang w:eastAsia="ko-KR"/>
              </w:rPr>
            </w:pPr>
            <w:r w:rsidRPr="00583077">
              <w:rPr>
                <w:rFonts w:eastAsia="Batang"/>
                <w:b/>
                <w:bCs/>
                <w:color w:val="FF0000"/>
                <w:sz w:val="18"/>
                <w:szCs w:val="18"/>
                <w:lang w:eastAsia="ko-KR"/>
              </w:rPr>
              <w:t>772,517</w:t>
            </w:r>
          </w:p>
        </w:tc>
        <w:tc>
          <w:tcPr>
            <w:tcW w:w="1200" w:type="dxa"/>
            <w:tcBorders>
              <w:top w:val="nil"/>
              <w:left w:val="nil"/>
              <w:bottom w:val="single" w:sz="8" w:space="0" w:color="auto"/>
              <w:right w:val="single" w:sz="8" w:space="0" w:color="auto"/>
            </w:tcBorders>
            <w:noWrap/>
            <w:vAlign w:val="bottom"/>
          </w:tcPr>
          <w:p w:rsidR="00B22874" w:rsidRPr="00583077" w:rsidRDefault="00B22874" w:rsidP="00091C90">
            <w:pPr>
              <w:jc w:val="right"/>
              <w:rPr>
                <w:rFonts w:eastAsia="Batang"/>
                <w:b/>
                <w:bCs/>
                <w:color w:val="FF0000"/>
                <w:sz w:val="18"/>
                <w:szCs w:val="18"/>
                <w:lang w:eastAsia="ko-KR"/>
              </w:rPr>
            </w:pPr>
            <w:r w:rsidRPr="00583077">
              <w:rPr>
                <w:rFonts w:eastAsia="Batang"/>
                <w:b/>
                <w:bCs/>
                <w:color w:val="FF0000"/>
                <w:sz w:val="18"/>
                <w:szCs w:val="18"/>
                <w:lang w:eastAsia="ko-KR"/>
              </w:rPr>
              <w:t>827,981</w:t>
            </w:r>
          </w:p>
        </w:tc>
        <w:tc>
          <w:tcPr>
            <w:tcW w:w="1200" w:type="dxa"/>
            <w:tcBorders>
              <w:top w:val="nil"/>
              <w:left w:val="nil"/>
              <w:bottom w:val="single" w:sz="8" w:space="0" w:color="auto"/>
              <w:right w:val="single" w:sz="8" w:space="0" w:color="auto"/>
            </w:tcBorders>
            <w:noWrap/>
            <w:vAlign w:val="bottom"/>
          </w:tcPr>
          <w:p w:rsidR="00B22874" w:rsidRPr="00583077" w:rsidRDefault="00B22874" w:rsidP="00091C90">
            <w:pPr>
              <w:jc w:val="right"/>
              <w:rPr>
                <w:rFonts w:eastAsia="Batang"/>
                <w:b/>
                <w:bCs/>
                <w:color w:val="FF0000"/>
                <w:sz w:val="18"/>
                <w:szCs w:val="18"/>
                <w:lang w:eastAsia="ko-KR"/>
              </w:rPr>
            </w:pPr>
            <w:r w:rsidRPr="00583077">
              <w:rPr>
                <w:rFonts w:eastAsia="Batang"/>
                <w:b/>
                <w:bCs/>
                <w:color w:val="FF0000"/>
                <w:sz w:val="18"/>
                <w:szCs w:val="18"/>
                <w:lang w:eastAsia="ko-KR"/>
              </w:rPr>
              <w:t>884,692</w:t>
            </w:r>
          </w:p>
        </w:tc>
      </w:tr>
      <w:tr w:rsidR="00B22874" w:rsidRPr="00583077" w:rsidTr="005B3E9C">
        <w:trPr>
          <w:trHeight w:val="270"/>
        </w:trPr>
        <w:tc>
          <w:tcPr>
            <w:tcW w:w="3440" w:type="dxa"/>
            <w:tcBorders>
              <w:top w:val="single" w:sz="8" w:space="0" w:color="auto"/>
              <w:left w:val="single" w:sz="8" w:space="0" w:color="auto"/>
              <w:bottom w:val="single" w:sz="8" w:space="0" w:color="auto"/>
              <w:right w:val="single" w:sz="8" w:space="0" w:color="auto"/>
            </w:tcBorders>
            <w:noWrap/>
          </w:tcPr>
          <w:p w:rsidR="00B22874" w:rsidRPr="00583077" w:rsidRDefault="00B22874" w:rsidP="00091C90">
            <w:pPr>
              <w:jc w:val="right"/>
              <w:rPr>
                <w:rFonts w:eastAsia="Batang"/>
                <w:b/>
                <w:bCs/>
                <w:color w:val="000000"/>
                <w:sz w:val="20"/>
                <w:szCs w:val="20"/>
                <w:lang w:eastAsia="ko-KR"/>
              </w:rPr>
            </w:pPr>
            <w:r w:rsidRPr="00583077">
              <w:rPr>
                <w:rFonts w:eastAsia="Batang"/>
                <w:b/>
                <w:bCs/>
                <w:color w:val="000000"/>
                <w:sz w:val="20"/>
                <w:szCs w:val="20"/>
                <w:lang w:eastAsia="ko-KR"/>
              </w:rPr>
              <w:t>Stoku i Borxhit të Brendshëm</w:t>
            </w:r>
          </w:p>
        </w:tc>
        <w:tc>
          <w:tcPr>
            <w:tcW w:w="1200" w:type="dxa"/>
            <w:tcBorders>
              <w:top w:val="nil"/>
              <w:left w:val="nil"/>
              <w:bottom w:val="single" w:sz="8" w:space="0" w:color="auto"/>
              <w:right w:val="single" w:sz="8" w:space="0" w:color="auto"/>
            </w:tcBorders>
            <w:noWrap/>
            <w:vAlign w:val="bottom"/>
          </w:tcPr>
          <w:p w:rsidR="00B22874" w:rsidRPr="00583077" w:rsidRDefault="00B22874" w:rsidP="00091C90">
            <w:pPr>
              <w:jc w:val="right"/>
              <w:rPr>
                <w:rFonts w:eastAsia="Batang"/>
                <w:sz w:val="18"/>
                <w:szCs w:val="18"/>
                <w:lang w:eastAsia="ko-KR"/>
              </w:rPr>
            </w:pPr>
            <w:r w:rsidRPr="00583077">
              <w:rPr>
                <w:rFonts w:eastAsia="Batang"/>
                <w:sz w:val="18"/>
                <w:szCs w:val="18"/>
                <w:lang w:eastAsia="ko-KR"/>
              </w:rPr>
              <w:t>415,028</w:t>
            </w:r>
          </w:p>
        </w:tc>
        <w:tc>
          <w:tcPr>
            <w:tcW w:w="1200" w:type="dxa"/>
            <w:tcBorders>
              <w:top w:val="nil"/>
              <w:left w:val="nil"/>
              <w:bottom w:val="single" w:sz="8" w:space="0" w:color="auto"/>
              <w:right w:val="single" w:sz="8" w:space="0" w:color="auto"/>
            </w:tcBorders>
            <w:noWrap/>
            <w:vAlign w:val="bottom"/>
          </w:tcPr>
          <w:p w:rsidR="00B22874" w:rsidRPr="00583077" w:rsidRDefault="00B22874" w:rsidP="00091C90">
            <w:pPr>
              <w:jc w:val="right"/>
              <w:rPr>
                <w:rFonts w:eastAsia="Batang"/>
                <w:sz w:val="18"/>
                <w:szCs w:val="18"/>
                <w:lang w:eastAsia="ko-KR"/>
              </w:rPr>
            </w:pPr>
            <w:r w:rsidRPr="00583077">
              <w:rPr>
                <w:rFonts w:eastAsia="Batang"/>
                <w:sz w:val="18"/>
                <w:szCs w:val="18"/>
                <w:lang w:eastAsia="ko-KR"/>
              </w:rPr>
              <w:t>407,372</w:t>
            </w:r>
          </w:p>
        </w:tc>
        <w:tc>
          <w:tcPr>
            <w:tcW w:w="1200" w:type="dxa"/>
            <w:tcBorders>
              <w:top w:val="nil"/>
              <w:left w:val="nil"/>
              <w:bottom w:val="single" w:sz="8" w:space="0" w:color="auto"/>
              <w:right w:val="single" w:sz="8" w:space="0" w:color="auto"/>
            </w:tcBorders>
            <w:noWrap/>
            <w:vAlign w:val="bottom"/>
          </w:tcPr>
          <w:p w:rsidR="00B22874" w:rsidRPr="00583077" w:rsidRDefault="00B22874" w:rsidP="00091C90">
            <w:pPr>
              <w:jc w:val="right"/>
              <w:rPr>
                <w:rFonts w:eastAsia="Batang"/>
                <w:sz w:val="18"/>
                <w:szCs w:val="18"/>
                <w:lang w:eastAsia="ko-KR"/>
              </w:rPr>
            </w:pPr>
            <w:r w:rsidRPr="00583077">
              <w:rPr>
                <w:rFonts w:eastAsia="Batang"/>
                <w:sz w:val="18"/>
                <w:szCs w:val="18"/>
                <w:lang w:eastAsia="ko-KR"/>
              </w:rPr>
              <w:t>438,582</w:t>
            </w:r>
          </w:p>
        </w:tc>
        <w:tc>
          <w:tcPr>
            <w:tcW w:w="1200" w:type="dxa"/>
            <w:tcBorders>
              <w:top w:val="nil"/>
              <w:left w:val="nil"/>
              <w:bottom w:val="single" w:sz="8" w:space="0" w:color="auto"/>
              <w:right w:val="single" w:sz="8" w:space="0" w:color="auto"/>
            </w:tcBorders>
            <w:noWrap/>
            <w:vAlign w:val="bottom"/>
          </w:tcPr>
          <w:p w:rsidR="00B22874" w:rsidRPr="00583077" w:rsidRDefault="00B22874" w:rsidP="00091C90">
            <w:pPr>
              <w:jc w:val="right"/>
              <w:rPr>
                <w:rFonts w:eastAsia="Batang"/>
                <w:sz w:val="18"/>
                <w:szCs w:val="18"/>
                <w:lang w:eastAsia="ko-KR"/>
              </w:rPr>
            </w:pPr>
            <w:r w:rsidRPr="00583077">
              <w:rPr>
                <w:rFonts w:eastAsia="Batang"/>
                <w:sz w:val="18"/>
                <w:szCs w:val="18"/>
                <w:lang w:eastAsia="ko-KR"/>
              </w:rPr>
              <w:t>470,359</w:t>
            </w:r>
          </w:p>
        </w:tc>
        <w:tc>
          <w:tcPr>
            <w:tcW w:w="1200" w:type="dxa"/>
            <w:tcBorders>
              <w:top w:val="nil"/>
              <w:left w:val="nil"/>
              <w:bottom w:val="single" w:sz="8" w:space="0" w:color="auto"/>
              <w:right w:val="single" w:sz="8" w:space="0" w:color="auto"/>
            </w:tcBorders>
            <w:noWrap/>
            <w:vAlign w:val="bottom"/>
          </w:tcPr>
          <w:p w:rsidR="00B22874" w:rsidRPr="00583077" w:rsidRDefault="00B22874" w:rsidP="00091C90">
            <w:pPr>
              <w:jc w:val="right"/>
              <w:rPr>
                <w:rFonts w:eastAsia="Batang"/>
                <w:sz w:val="18"/>
                <w:szCs w:val="18"/>
                <w:lang w:eastAsia="ko-KR"/>
              </w:rPr>
            </w:pPr>
            <w:r w:rsidRPr="00583077">
              <w:rPr>
                <w:rFonts w:eastAsia="Batang"/>
                <w:sz w:val="18"/>
                <w:szCs w:val="18"/>
                <w:lang w:eastAsia="ko-KR"/>
              </w:rPr>
              <w:t>520,786</w:t>
            </w:r>
          </w:p>
        </w:tc>
      </w:tr>
      <w:tr w:rsidR="00B22874" w:rsidRPr="00583077" w:rsidTr="005B3E9C">
        <w:trPr>
          <w:trHeight w:val="315"/>
        </w:trPr>
        <w:tc>
          <w:tcPr>
            <w:tcW w:w="3440" w:type="dxa"/>
            <w:tcBorders>
              <w:top w:val="single" w:sz="8" w:space="0" w:color="auto"/>
              <w:left w:val="single" w:sz="8" w:space="0" w:color="auto"/>
              <w:bottom w:val="single" w:sz="8" w:space="0" w:color="auto"/>
              <w:right w:val="single" w:sz="8" w:space="0" w:color="auto"/>
            </w:tcBorders>
          </w:tcPr>
          <w:p w:rsidR="00B22874" w:rsidRPr="00583077" w:rsidRDefault="00B22874" w:rsidP="00091C90">
            <w:pPr>
              <w:jc w:val="right"/>
              <w:rPr>
                <w:rFonts w:eastAsia="Batang"/>
                <w:b/>
                <w:bCs/>
                <w:color w:val="000000"/>
                <w:sz w:val="20"/>
                <w:szCs w:val="20"/>
                <w:lang w:eastAsia="ko-KR"/>
              </w:rPr>
            </w:pPr>
            <w:r w:rsidRPr="00583077">
              <w:rPr>
                <w:rFonts w:eastAsia="Batang"/>
                <w:b/>
                <w:bCs/>
                <w:color w:val="000000"/>
                <w:sz w:val="20"/>
                <w:szCs w:val="20"/>
                <w:lang w:eastAsia="ko-KR"/>
              </w:rPr>
              <w:t xml:space="preserve">Stoku i Borxhit të Jashtëm </w:t>
            </w:r>
          </w:p>
        </w:tc>
        <w:tc>
          <w:tcPr>
            <w:tcW w:w="1200" w:type="dxa"/>
            <w:tcBorders>
              <w:top w:val="nil"/>
              <w:left w:val="nil"/>
              <w:bottom w:val="single" w:sz="8" w:space="0" w:color="auto"/>
              <w:right w:val="single" w:sz="8" w:space="0" w:color="auto"/>
            </w:tcBorders>
            <w:vAlign w:val="bottom"/>
          </w:tcPr>
          <w:p w:rsidR="00B22874" w:rsidRPr="00583077" w:rsidRDefault="00B22874" w:rsidP="00091C90">
            <w:pPr>
              <w:jc w:val="right"/>
              <w:rPr>
                <w:rFonts w:eastAsia="Batang"/>
                <w:sz w:val="18"/>
                <w:szCs w:val="18"/>
                <w:lang w:eastAsia="ko-KR"/>
              </w:rPr>
            </w:pPr>
            <w:r w:rsidRPr="00583077">
              <w:rPr>
                <w:rFonts w:eastAsia="Batang"/>
                <w:sz w:val="18"/>
                <w:szCs w:val="18"/>
                <w:lang w:eastAsia="ko-KR"/>
              </w:rPr>
              <w:t>267,519</w:t>
            </w:r>
          </w:p>
        </w:tc>
        <w:tc>
          <w:tcPr>
            <w:tcW w:w="1200" w:type="dxa"/>
            <w:tcBorders>
              <w:top w:val="nil"/>
              <w:left w:val="nil"/>
              <w:bottom w:val="single" w:sz="8" w:space="0" w:color="auto"/>
              <w:right w:val="single" w:sz="8" w:space="0" w:color="auto"/>
            </w:tcBorders>
            <w:vAlign w:val="bottom"/>
          </w:tcPr>
          <w:p w:rsidR="00B22874" w:rsidRPr="00583077" w:rsidRDefault="00B22874" w:rsidP="00091C90">
            <w:pPr>
              <w:jc w:val="right"/>
              <w:rPr>
                <w:rFonts w:eastAsia="Batang"/>
                <w:sz w:val="18"/>
                <w:szCs w:val="18"/>
                <w:lang w:eastAsia="ko-KR"/>
              </w:rPr>
            </w:pPr>
            <w:r w:rsidRPr="00583077">
              <w:rPr>
                <w:rFonts w:eastAsia="Batang"/>
                <w:sz w:val="18"/>
                <w:szCs w:val="18"/>
                <w:lang w:eastAsia="ko-KR"/>
              </w:rPr>
              <w:t>307,999</w:t>
            </w:r>
          </w:p>
        </w:tc>
        <w:tc>
          <w:tcPr>
            <w:tcW w:w="1200" w:type="dxa"/>
            <w:tcBorders>
              <w:top w:val="nil"/>
              <w:left w:val="nil"/>
              <w:bottom w:val="single" w:sz="8" w:space="0" w:color="auto"/>
              <w:right w:val="single" w:sz="8" w:space="0" w:color="auto"/>
            </w:tcBorders>
            <w:vAlign w:val="bottom"/>
          </w:tcPr>
          <w:p w:rsidR="00B22874" w:rsidRPr="00583077" w:rsidRDefault="00B22874" w:rsidP="00091C90">
            <w:pPr>
              <w:jc w:val="right"/>
              <w:rPr>
                <w:rFonts w:eastAsia="Batang"/>
                <w:sz w:val="18"/>
                <w:szCs w:val="18"/>
                <w:lang w:eastAsia="ko-KR"/>
              </w:rPr>
            </w:pPr>
            <w:r w:rsidRPr="00583077">
              <w:rPr>
                <w:rFonts w:eastAsia="Batang"/>
                <w:sz w:val="18"/>
                <w:szCs w:val="18"/>
                <w:lang w:eastAsia="ko-KR"/>
              </w:rPr>
              <w:t>333,935</w:t>
            </w:r>
          </w:p>
        </w:tc>
        <w:tc>
          <w:tcPr>
            <w:tcW w:w="1200" w:type="dxa"/>
            <w:tcBorders>
              <w:top w:val="nil"/>
              <w:left w:val="nil"/>
              <w:bottom w:val="single" w:sz="8" w:space="0" w:color="auto"/>
              <w:right w:val="single" w:sz="8" w:space="0" w:color="auto"/>
            </w:tcBorders>
            <w:vAlign w:val="bottom"/>
          </w:tcPr>
          <w:p w:rsidR="00B22874" w:rsidRPr="00583077" w:rsidRDefault="00B22874" w:rsidP="00091C90">
            <w:pPr>
              <w:jc w:val="right"/>
              <w:rPr>
                <w:rFonts w:eastAsia="Batang"/>
                <w:sz w:val="18"/>
                <w:szCs w:val="18"/>
                <w:lang w:eastAsia="ko-KR"/>
              </w:rPr>
            </w:pPr>
            <w:r w:rsidRPr="00583077">
              <w:rPr>
                <w:rFonts w:eastAsia="Batang"/>
                <w:sz w:val="18"/>
                <w:szCs w:val="18"/>
                <w:lang w:eastAsia="ko-KR"/>
              </w:rPr>
              <w:t>357,622</w:t>
            </w:r>
          </w:p>
        </w:tc>
        <w:tc>
          <w:tcPr>
            <w:tcW w:w="1200" w:type="dxa"/>
            <w:tcBorders>
              <w:top w:val="nil"/>
              <w:left w:val="nil"/>
              <w:bottom w:val="single" w:sz="8" w:space="0" w:color="auto"/>
              <w:right w:val="single" w:sz="8" w:space="0" w:color="auto"/>
            </w:tcBorders>
            <w:vAlign w:val="bottom"/>
          </w:tcPr>
          <w:p w:rsidR="00B22874" w:rsidRPr="00583077" w:rsidRDefault="00B22874" w:rsidP="00091C90">
            <w:pPr>
              <w:jc w:val="right"/>
              <w:rPr>
                <w:rFonts w:eastAsia="Batang"/>
                <w:sz w:val="18"/>
                <w:szCs w:val="18"/>
                <w:lang w:eastAsia="ko-KR"/>
              </w:rPr>
            </w:pPr>
            <w:r w:rsidRPr="00583077">
              <w:rPr>
                <w:rFonts w:eastAsia="Batang"/>
                <w:sz w:val="18"/>
                <w:szCs w:val="18"/>
                <w:lang w:eastAsia="ko-KR"/>
              </w:rPr>
              <w:t>363,906</w:t>
            </w:r>
          </w:p>
        </w:tc>
      </w:tr>
      <w:tr w:rsidR="00B22874" w:rsidRPr="00583077" w:rsidTr="005B3E9C">
        <w:trPr>
          <w:trHeight w:val="270"/>
        </w:trPr>
        <w:tc>
          <w:tcPr>
            <w:tcW w:w="3440" w:type="dxa"/>
            <w:tcBorders>
              <w:top w:val="single" w:sz="8" w:space="0" w:color="auto"/>
              <w:left w:val="single" w:sz="8" w:space="0" w:color="auto"/>
              <w:bottom w:val="single" w:sz="8" w:space="0" w:color="auto"/>
              <w:right w:val="single" w:sz="8" w:space="0" w:color="auto"/>
            </w:tcBorders>
            <w:noWrap/>
          </w:tcPr>
          <w:p w:rsidR="00B22874" w:rsidRPr="00583077" w:rsidRDefault="00B22874" w:rsidP="00091C90">
            <w:pPr>
              <w:jc w:val="right"/>
              <w:rPr>
                <w:rFonts w:eastAsia="Batang"/>
                <w:b/>
                <w:bCs/>
                <w:color w:val="000000"/>
                <w:sz w:val="20"/>
                <w:szCs w:val="20"/>
                <w:lang w:eastAsia="ko-KR"/>
              </w:rPr>
            </w:pPr>
            <w:r w:rsidRPr="00583077">
              <w:rPr>
                <w:rFonts w:eastAsia="Batang"/>
                <w:b/>
                <w:bCs/>
                <w:color w:val="000000"/>
                <w:sz w:val="20"/>
                <w:szCs w:val="20"/>
                <w:lang w:eastAsia="ko-KR"/>
              </w:rPr>
              <w:t>PBB</w:t>
            </w:r>
          </w:p>
        </w:tc>
        <w:tc>
          <w:tcPr>
            <w:tcW w:w="1200" w:type="dxa"/>
            <w:tcBorders>
              <w:top w:val="nil"/>
              <w:left w:val="nil"/>
              <w:bottom w:val="single" w:sz="8" w:space="0" w:color="auto"/>
              <w:right w:val="single" w:sz="8" w:space="0" w:color="auto"/>
            </w:tcBorders>
            <w:noWrap/>
            <w:vAlign w:val="bottom"/>
          </w:tcPr>
          <w:p w:rsidR="00B22874" w:rsidRPr="00583077" w:rsidRDefault="00B22874" w:rsidP="00091C90">
            <w:pPr>
              <w:jc w:val="right"/>
              <w:rPr>
                <w:rFonts w:eastAsia="Batang"/>
                <w:b/>
                <w:sz w:val="18"/>
                <w:szCs w:val="18"/>
                <w:lang w:eastAsia="ko-KR"/>
              </w:rPr>
            </w:pPr>
            <w:r w:rsidRPr="00583077">
              <w:rPr>
                <w:rFonts w:eastAsia="Batang"/>
                <w:b/>
                <w:sz w:val="18"/>
                <w:szCs w:val="18"/>
                <w:lang w:eastAsia="ko-KR"/>
              </w:rPr>
              <w:t>1,148,082</w:t>
            </w:r>
          </w:p>
        </w:tc>
        <w:tc>
          <w:tcPr>
            <w:tcW w:w="1200" w:type="dxa"/>
            <w:tcBorders>
              <w:top w:val="nil"/>
              <w:left w:val="nil"/>
              <w:bottom w:val="single" w:sz="8" w:space="0" w:color="auto"/>
              <w:right w:val="single" w:sz="8" w:space="0" w:color="auto"/>
            </w:tcBorders>
            <w:noWrap/>
            <w:vAlign w:val="bottom"/>
          </w:tcPr>
          <w:p w:rsidR="00B22874" w:rsidRPr="00583077" w:rsidRDefault="00B22874" w:rsidP="00091C90">
            <w:pPr>
              <w:jc w:val="right"/>
              <w:rPr>
                <w:rFonts w:eastAsia="Batang"/>
                <w:b/>
                <w:sz w:val="18"/>
                <w:szCs w:val="18"/>
                <w:lang w:eastAsia="ko-KR"/>
              </w:rPr>
            </w:pPr>
            <w:r w:rsidRPr="00583077">
              <w:rPr>
                <w:rFonts w:eastAsia="Batang"/>
                <w:b/>
                <w:sz w:val="18"/>
                <w:szCs w:val="18"/>
                <w:lang w:eastAsia="ko-KR"/>
              </w:rPr>
              <w:t>1,222,462</w:t>
            </w:r>
          </w:p>
        </w:tc>
        <w:tc>
          <w:tcPr>
            <w:tcW w:w="1200" w:type="dxa"/>
            <w:tcBorders>
              <w:top w:val="nil"/>
              <w:left w:val="nil"/>
              <w:bottom w:val="single" w:sz="8" w:space="0" w:color="auto"/>
              <w:right w:val="nil"/>
            </w:tcBorders>
            <w:noWrap/>
            <w:vAlign w:val="bottom"/>
          </w:tcPr>
          <w:p w:rsidR="00B22874" w:rsidRPr="00583077" w:rsidRDefault="00B22874" w:rsidP="00091C90">
            <w:pPr>
              <w:jc w:val="right"/>
              <w:rPr>
                <w:rFonts w:eastAsia="Batang"/>
                <w:b/>
                <w:sz w:val="18"/>
                <w:szCs w:val="18"/>
                <w:lang w:eastAsia="ko-KR"/>
              </w:rPr>
            </w:pPr>
            <w:r w:rsidRPr="00583077">
              <w:rPr>
                <w:rFonts w:eastAsia="Batang"/>
                <w:b/>
                <w:sz w:val="18"/>
                <w:szCs w:val="18"/>
                <w:lang w:eastAsia="ko-KR"/>
              </w:rPr>
              <w:t>1,282,255</w:t>
            </w:r>
          </w:p>
        </w:tc>
        <w:tc>
          <w:tcPr>
            <w:tcW w:w="1200" w:type="dxa"/>
            <w:tcBorders>
              <w:top w:val="nil"/>
              <w:left w:val="single" w:sz="8" w:space="0" w:color="auto"/>
              <w:bottom w:val="single" w:sz="8" w:space="0" w:color="auto"/>
              <w:right w:val="single" w:sz="8" w:space="0" w:color="auto"/>
            </w:tcBorders>
            <w:noWrap/>
            <w:vAlign w:val="bottom"/>
          </w:tcPr>
          <w:p w:rsidR="00B22874" w:rsidRPr="00583077" w:rsidRDefault="00B22874" w:rsidP="00091C90">
            <w:pPr>
              <w:jc w:val="right"/>
              <w:rPr>
                <w:rFonts w:eastAsia="Batang"/>
                <w:b/>
                <w:sz w:val="18"/>
                <w:szCs w:val="18"/>
                <w:lang w:eastAsia="ko-KR"/>
              </w:rPr>
            </w:pPr>
            <w:r w:rsidRPr="00583077">
              <w:rPr>
                <w:rFonts w:eastAsia="Batang"/>
                <w:b/>
                <w:sz w:val="18"/>
                <w:szCs w:val="18"/>
                <w:lang w:eastAsia="ko-KR"/>
              </w:rPr>
              <w:t>1,326,000</w:t>
            </w:r>
          </w:p>
        </w:tc>
        <w:tc>
          <w:tcPr>
            <w:tcW w:w="1200" w:type="dxa"/>
            <w:tcBorders>
              <w:top w:val="nil"/>
              <w:left w:val="nil"/>
              <w:bottom w:val="single" w:sz="8" w:space="0" w:color="auto"/>
              <w:right w:val="single" w:sz="8" w:space="0" w:color="auto"/>
            </w:tcBorders>
            <w:noWrap/>
            <w:vAlign w:val="bottom"/>
          </w:tcPr>
          <w:p w:rsidR="00B22874" w:rsidRPr="00583077" w:rsidRDefault="00B22874" w:rsidP="00091C90">
            <w:pPr>
              <w:jc w:val="right"/>
              <w:rPr>
                <w:rFonts w:eastAsia="Batang"/>
                <w:b/>
                <w:sz w:val="18"/>
                <w:szCs w:val="18"/>
                <w:lang w:eastAsia="ko-KR"/>
              </w:rPr>
            </w:pPr>
            <w:r w:rsidRPr="00583077">
              <w:rPr>
                <w:rFonts w:eastAsia="Batang"/>
                <w:b/>
                <w:sz w:val="18"/>
                <w:szCs w:val="18"/>
                <w:lang w:eastAsia="ko-KR"/>
              </w:rPr>
              <w:t>1,358,000</w:t>
            </w:r>
          </w:p>
        </w:tc>
      </w:tr>
      <w:tr w:rsidR="00B22874" w:rsidRPr="00583077" w:rsidTr="005B3E9C">
        <w:trPr>
          <w:trHeight w:val="270"/>
        </w:trPr>
        <w:tc>
          <w:tcPr>
            <w:tcW w:w="3440" w:type="dxa"/>
            <w:tcBorders>
              <w:top w:val="single" w:sz="8" w:space="0" w:color="auto"/>
              <w:left w:val="single" w:sz="8" w:space="0" w:color="auto"/>
              <w:bottom w:val="single" w:sz="8" w:space="0" w:color="auto"/>
              <w:right w:val="single" w:sz="8" w:space="0" w:color="auto"/>
            </w:tcBorders>
            <w:noWrap/>
          </w:tcPr>
          <w:p w:rsidR="00B22874" w:rsidRPr="00583077" w:rsidRDefault="00B22874" w:rsidP="00091C90">
            <w:pPr>
              <w:jc w:val="right"/>
              <w:rPr>
                <w:rFonts w:eastAsia="Batang"/>
                <w:b/>
                <w:bCs/>
                <w:color w:val="000000"/>
                <w:sz w:val="20"/>
                <w:szCs w:val="20"/>
                <w:lang w:eastAsia="ko-KR"/>
              </w:rPr>
            </w:pPr>
            <w:r w:rsidRPr="00583077">
              <w:rPr>
                <w:rFonts w:eastAsia="Batang"/>
                <w:b/>
                <w:bCs/>
                <w:color w:val="000000"/>
                <w:sz w:val="20"/>
                <w:szCs w:val="20"/>
                <w:lang w:eastAsia="ko-KR"/>
              </w:rPr>
              <w:t>Borxhi Total/PBB</w:t>
            </w:r>
          </w:p>
        </w:tc>
        <w:tc>
          <w:tcPr>
            <w:tcW w:w="1200" w:type="dxa"/>
            <w:tcBorders>
              <w:top w:val="nil"/>
              <w:left w:val="nil"/>
              <w:bottom w:val="single" w:sz="8" w:space="0" w:color="auto"/>
              <w:right w:val="single" w:sz="8" w:space="0" w:color="auto"/>
            </w:tcBorders>
            <w:noWrap/>
            <w:vAlign w:val="bottom"/>
          </w:tcPr>
          <w:p w:rsidR="00B22874" w:rsidRPr="00583077" w:rsidRDefault="00B22874" w:rsidP="00091C90">
            <w:pPr>
              <w:jc w:val="right"/>
              <w:rPr>
                <w:rFonts w:eastAsia="Batang"/>
                <w:sz w:val="18"/>
                <w:szCs w:val="18"/>
                <w:lang w:eastAsia="ko-KR"/>
              </w:rPr>
            </w:pPr>
            <w:r w:rsidRPr="00583077">
              <w:rPr>
                <w:rFonts w:eastAsia="Batang"/>
                <w:sz w:val="18"/>
                <w:szCs w:val="18"/>
                <w:lang w:eastAsia="ko-KR"/>
              </w:rPr>
              <w:t>59.45%</w:t>
            </w:r>
          </w:p>
        </w:tc>
        <w:tc>
          <w:tcPr>
            <w:tcW w:w="1200" w:type="dxa"/>
            <w:tcBorders>
              <w:top w:val="nil"/>
              <w:left w:val="nil"/>
              <w:bottom w:val="single" w:sz="8" w:space="0" w:color="auto"/>
              <w:right w:val="single" w:sz="8" w:space="0" w:color="auto"/>
            </w:tcBorders>
            <w:noWrap/>
            <w:vAlign w:val="bottom"/>
          </w:tcPr>
          <w:p w:rsidR="00B22874" w:rsidRPr="00583077" w:rsidRDefault="00B22874" w:rsidP="00091C90">
            <w:pPr>
              <w:jc w:val="right"/>
              <w:rPr>
                <w:rFonts w:eastAsia="Batang"/>
                <w:sz w:val="18"/>
                <w:szCs w:val="18"/>
                <w:lang w:eastAsia="ko-KR"/>
              </w:rPr>
            </w:pPr>
            <w:r w:rsidRPr="00583077">
              <w:rPr>
                <w:rFonts w:eastAsia="Batang"/>
                <w:sz w:val="18"/>
                <w:szCs w:val="18"/>
                <w:lang w:eastAsia="ko-KR"/>
              </w:rPr>
              <w:t>58.52%</w:t>
            </w:r>
          </w:p>
        </w:tc>
        <w:tc>
          <w:tcPr>
            <w:tcW w:w="1200" w:type="dxa"/>
            <w:tcBorders>
              <w:top w:val="nil"/>
              <w:left w:val="nil"/>
              <w:bottom w:val="single" w:sz="8" w:space="0" w:color="auto"/>
              <w:right w:val="single" w:sz="8" w:space="0" w:color="auto"/>
            </w:tcBorders>
            <w:noWrap/>
            <w:vAlign w:val="bottom"/>
          </w:tcPr>
          <w:p w:rsidR="00B22874" w:rsidRPr="00583077" w:rsidRDefault="00B22874" w:rsidP="00091C90">
            <w:pPr>
              <w:jc w:val="right"/>
              <w:rPr>
                <w:rFonts w:eastAsia="Batang"/>
                <w:sz w:val="18"/>
                <w:szCs w:val="18"/>
                <w:lang w:eastAsia="ko-KR"/>
              </w:rPr>
            </w:pPr>
            <w:r w:rsidRPr="00583077">
              <w:rPr>
                <w:rFonts w:eastAsia="Batang"/>
                <w:sz w:val="18"/>
                <w:szCs w:val="18"/>
                <w:lang w:eastAsia="ko-KR"/>
              </w:rPr>
              <w:t>60.25%</w:t>
            </w:r>
          </w:p>
        </w:tc>
        <w:tc>
          <w:tcPr>
            <w:tcW w:w="1200" w:type="dxa"/>
            <w:tcBorders>
              <w:top w:val="nil"/>
              <w:left w:val="nil"/>
              <w:bottom w:val="single" w:sz="8" w:space="0" w:color="auto"/>
              <w:right w:val="single" w:sz="8" w:space="0" w:color="auto"/>
            </w:tcBorders>
            <w:noWrap/>
            <w:vAlign w:val="bottom"/>
          </w:tcPr>
          <w:p w:rsidR="00B22874" w:rsidRPr="00583077" w:rsidRDefault="00B22874" w:rsidP="00091C90">
            <w:pPr>
              <w:jc w:val="right"/>
              <w:rPr>
                <w:rFonts w:eastAsia="Batang"/>
                <w:sz w:val="18"/>
                <w:szCs w:val="18"/>
                <w:lang w:eastAsia="ko-KR"/>
              </w:rPr>
            </w:pPr>
            <w:r w:rsidRPr="00583077">
              <w:rPr>
                <w:rFonts w:eastAsia="Batang"/>
                <w:sz w:val="18"/>
                <w:szCs w:val="18"/>
                <w:lang w:eastAsia="ko-KR"/>
              </w:rPr>
              <w:t>62.44%</w:t>
            </w:r>
          </w:p>
        </w:tc>
        <w:tc>
          <w:tcPr>
            <w:tcW w:w="1200" w:type="dxa"/>
            <w:tcBorders>
              <w:top w:val="nil"/>
              <w:left w:val="nil"/>
              <w:bottom w:val="single" w:sz="8" w:space="0" w:color="auto"/>
              <w:right w:val="single" w:sz="8" w:space="0" w:color="auto"/>
            </w:tcBorders>
            <w:noWrap/>
            <w:vAlign w:val="bottom"/>
          </w:tcPr>
          <w:p w:rsidR="00B22874" w:rsidRPr="00583077" w:rsidRDefault="00B22874" w:rsidP="00091C90">
            <w:pPr>
              <w:jc w:val="right"/>
              <w:rPr>
                <w:rFonts w:eastAsia="Batang"/>
                <w:sz w:val="18"/>
                <w:szCs w:val="18"/>
                <w:lang w:eastAsia="ko-KR"/>
              </w:rPr>
            </w:pPr>
            <w:r w:rsidRPr="00583077">
              <w:rPr>
                <w:rFonts w:eastAsia="Batang"/>
                <w:sz w:val="18"/>
                <w:szCs w:val="18"/>
                <w:lang w:eastAsia="ko-KR"/>
              </w:rPr>
              <w:t>65.15%</w:t>
            </w:r>
          </w:p>
        </w:tc>
      </w:tr>
      <w:tr w:rsidR="00B22874" w:rsidRPr="00583077" w:rsidTr="005B3E9C">
        <w:trPr>
          <w:trHeight w:val="270"/>
        </w:trPr>
        <w:tc>
          <w:tcPr>
            <w:tcW w:w="3440" w:type="dxa"/>
            <w:tcBorders>
              <w:top w:val="single" w:sz="8" w:space="0" w:color="auto"/>
              <w:left w:val="single" w:sz="8" w:space="0" w:color="auto"/>
              <w:bottom w:val="single" w:sz="8" w:space="0" w:color="auto"/>
              <w:right w:val="single" w:sz="8" w:space="0" w:color="auto"/>
            </w:tcBorders>
            <w:noWrap/>
          </w:tcPr>
          <w:p w:rsidR="00B22874" w:rsidRPr="00583077" w:rsidRDefault="00B22874" w:rsidP="00091C90">
            <w:pPr>
              <w:jc w:val="right"/>
              <w:rPr>
                <w:rFonts w:eastAsia="Batang"/>
                <w:b/>
                <w:bCs/>
                <w:color w:val="000000"/>
                <w:sz w:val="20"/>
                <w:szCs w:val="20"/>
                <w:lang w:eastAsia="ko-KR"/>
              </w:rPr>
            </w:pPr>
            <w:r w:rsidRPr="00583077">
              <w:rPr>
                <w:rFonts w:eastAsia="Batang"/>
                <w:b/>
                <w:bCs/>
                <w:color w:val="000000"/>
                <w:sz w:val="20"/>
                <w:szCs w:val="20"/>
                <w:lang w:eastAsia="ko-KR"/>
              </w:rPr>
              <w:t>Borxhi i Brendshëm/PBB</w:t>
            </w:r>
          </w:p>
        </w:tc>
        <w:tc>
          <w:tcPr>
            <w:tcW w:w="1200" w:type="dxa"/>
            <w:tcBorders>
              <w:top w:val="nil"/>
              <w:left w:val="nil"/>
              <w:bottom w:val="single" w:sz="8" w:space="0" w:color="auto"/>
              <w:right w:val="single" w:sz="8" w:space="0" w:color="auto"/>
            </w:tcBorders>
            <w:noWrap/>
            <w:vAlign w:val="bottom"/>
          </w:tcPr>
          <w:p w:rsidR="00B22874" w:rsidRPr="00583077" w:rsidRDefault="00B22874" w:rsidP="00091C90">
            <w:pPr>
              <w:jc w:val="right"/>
              <w:rPr>
                <w:rFonts w:eastAsia="Batang"/>
                <w:sz w:val="18"/>
                <w:szCs w:val="18"/>
                <w:lang w:eastAsia="ko-KR"/>
              </w:rPr>
            </w:pPr>
            <w:r w:rsidRPr="00583077">
              <w:rPr>
                <w:rFonts w:eastAsia="Batang"/>
                <w:sz w:val="18"/>
                <w:szCs w:val="18"/>
                <w:lang w:eastAsia="ko-KR"/>
              </w:rPr>
              <w:t>36.15%</w:t>
            </w:r>
          </w:p>
        </w:tc>
        <w:tc>
          <w:tcPr>
            <w:tcW w:w="1200" w:type="dxa"/>
            <w:tcBorders>
              <w:top w:val="nil"/>
              <w:left w:val="nil"/>
              <w:bottom w:val="single" w:sz="8" w:space="0" w:color="auto"/>
              <w:right w:val="single" w:sz="8" w:space="0" w:color="auto"/>
            </w:tcBorders>
            <w:noWrap/>
            <w:vAlign w:val="bottom"/>
          </w:tcPr>
          <w:p w:rsidR="00B22874" w:rsidRPr="00583077" w:rsidRDefault="00B22874" w:rsidP="00091C90">
            <w:pPr>
              <w:jc w:val="right"/>
              <w:rPr>
                <w:rFonts w:eastAsia="Batang"/>
                <w:sz w:val="18"/>
                <w:szCs w:val="18"/>
                <w:lang w:eastAsia="ko-KR"/>
              </w:rPr>
            </w:pPr>
            <w:r w:rsidRPr="00583077">
              <w:rPr>
                <w:rFonts w:eastAsia="Batang"/>
                <w:sz w:val="18"/>
                <w:szCs w:val="18"/>
                <w:lang w:eastAsia="ko-KR"/>
              </w:rPr>
              <w:t>33.32%</w:t>
            </w:r>
          </w:p>
        </w:tc>
        <w:tc>
          <w:tcPr>
            <w:tcW w:w="1200" w:type="dxa"/>
            <w:tcBorders>
              <w:top w:val="nil"/>
              <w:left w:val="nil"/>
              <w:bottom w:val="single" w:sz="8" w:space="0" w:color="auto"/>
              <w:right w:val="single" w:sz="8" w:space="0" w:color="auto"/>
            </w:tcBorders>
            <w:noWrap/>
            <w:vAlign w:val="bottom"/>
          </w:tcPr>
          <w:p w:rsidR="00B22874" w:rsidRPr="00583077" w:rsidRDefault="00B22874" w:rsidP="00091C90">
            <w:pPr>
              <w:jc w:val="right"/>
              <w:rPr>
                <w:rFonts w:eastAsia="Batang"/>
                <w:sz w:val="18"/>
                <w:szCs w:val="18"/>
                <w:lang w:eastAsia="ko-KR"/>
              </w:rPr>
            </w:pPr>
            <w:r w:rsidRPr="00583077">
              <w:rPr>
                <w:rFonts w:eastAsia="Batang"/>
                <w:sz w:val="18"/>
                <w:szCs w:val="18"/>
                <w:lang w:eastAsia="ko-KR"/>
              </w:rPr>
              <w:t>34.20%</w:t>
            </w:r>
          </w:p>
        </w:tc>
        <w:tc>
          <w:tcPr>
            <w:tcW w:w="1200" w:type="dxa"/>
            <w:tcBorders>
              <w:top w:val="nil"/>
              <w:left w:val="nil"/>
              <w:bottom w:val="single" w:sz="8" w:space="0" w:color="auto"/>
              <w:right w:val="single" w:sz="8" w:space="0" w:color="auto"/>
            </w:tcBorders>
            <w:noWrap/>
            <w:vAlign w:val="bottom"/>
          </w:tcPr>
          <w:p w:rsidR="00B22874" w:rsidRPr="00583077" w:rsidRDefault="00B22874" w:rsidP="00091C90">
            <w:pPr>
              <w:jc w:val="right"/>
              <w:rPr>
                <w:rFonts w:eastAsia="Batang"/>
                <w:sz w:val="18"/>
                <w:szCs w:val="18"/>
                <w:lang w:eastAsia="ko-KR"/>
              </w:rPr>
            </w:pPr>
            <w:r w:rsidRPr="00583077">
              <w:rPr>
                <w:rFonts w:eastAsia="Batang"/>
                <w:sz w:val="18"/>
                <w:szCs w:val="18"/>
                <w:lang w:eastAsia="ko-KR"/>
              </w:rPr>
              <w:t>35.47%</w:t>
            </w:r>
          </w:p>
        </w:tc>
        <w:tc>
          <w:tcPr>
            <w:tcW w:w="1200" w:type="dxa"/>
            <w:tcBorders>
              <w:top w:val="nil"/>
              <w:left w:val="nil"/>
              <w:bottom w:val="single" w:sz="8" w:space="0" w:color="auto"/>
              <w:right w:val="single" w:sz="8" w:space="0" w:color="auto"/>
            </w:tcBorders>
            <w:noWrap/>
            <w:vAlign w:val="bottom"/>
          </w:tcPr>
          <w:p w:rsidR="00B22874" w:rsidRPr="00583077" w:rsidRDefault="00B22874" w:rsidP="00091C90">
            <w:pPr>
              <w:jc w:val="right"/>
              <w:rPr>
                <w:rFonts w:eastAsia="Batang"/>
                <w:sz w:val="18"/>
                <w:szCs w:val="18"/>
                <w:lang w:eastAsia="ko-KR"/>
              </w:rPr>
            </w:pPr>
            <w:r w:rsidRPr="00583077">
              <w:rPr>
                <w:rFonts w:eastAsia="Batang"/>
                <w:sz w:val="18"/>
                <w:szCs w:val="18"/>
                <w:lang w:eastAsia="ko-KR"/>
              </w:rPr>
              <w:t>38.35%</w:t>
            </w:r>
          </w:p>
        </w:tc>
      </w:tr>
      <w:tr w:rsidR="00B22874" w:rsidRPr="00583077" w:rsidTr="005B3E9C">
        <w:trPr>
          <w:trHeight w:val="270"/>
        </w:trPr>
        <w:tc>
          <w:tcPr>
            <w:tcW w:w="3440" w:type="dxa"/>
            <w:tcBorders>
              <w:top w:val="single" w:sz="8" w:space="0" w:color="auto"/>
              <w:left w:val="single" w:sz="8" w:space="0" w:color="auto"/>
              <w:bottom w:val="single" w:sz="8" w:space="0" w:color="auto"/>
              <w:right w:val="single" w:sz="8" w:space="0" w:color="auto"/>
            </w:tcBorders>
            <w:noWrap/>
          </w:tcPr>
          <w:p w:rsidR="00B22874" w:rsidRPr="00583077" w:rsidRDefault="00B22874" w:rsidP="00091C90">
            <w:pPr>
              <w:jc w:val="right"/>
              <w:rPr>
                <w:rFonts w:eastAsia="Batang"/>
                <w:b/>
                <w:bCs/>
                <w:color w:val="000000"/>
                <w:sz w:val="20"/>
                <w:szCs w:val="20"/>
                <w:lang w:eastAsia="ko-KR"/>
              </w:rPr>
            </w:pPr>
            <w:r w:rsidRPr="00583077">
              <w:rPr>
                <w:rFonts w:eastAsia="Batang"/>
                <w:b/>
                <w:bCs/>
                <w:color w:val="000000"/>
                <w:sz w:val="20"/>
                <w:szCs w:val="20"/>
                <w:lang w:eastAsia="ko-KR"/>
              </w:rPr>
              <w:t>Borxhi i Jashtëm/PBB</w:t>
            </w:r>
          </w:p>
        </w:tc>
        <w:tc>
          <w:tcPr>
            <w:tcW w:w="1200" w:type="dxa"/>
            <w:tcBorders>
              <w:top w:val="nil"/>
              <w:left w:val="nil"/>
              <w:bottom w:val="single" w:sz="8" w:space="0" w:color="auto"/>
              <w:right w:val="single" w:sz="8" w:space="0" w:color="auto"/>
            </w:tcBorders>
            <w:noWrap/>
            <w:vAlign w:val="bottom"/>
          </w:tcPr>
          <w:p w:rsidR="00B22874" w:rsidRPr="00583077" w:rsidRDefault="00B22874" w:rsidP="00091C90">
            <w:pPr>
              <w:jc w:val="right"/>
              <w:rPr>
                <w:rFonts w:eastAsia="Batang"/>
                <w:sz w:val="18"/>
                <w:szCs w:val="18"/>
                <w:lang w:eastAsia="ko-KR"/>
              </w:rPr>
            </w:pPr>
            <w:r w:rsidRPr="00583077">
              <w:rPr>
                <w:rFonts w:eastAsia="Batang"/>
                <w:sz w:val="18"/>
                <w:szCs w:val="18"/>
                <w:lang w:eastAsia="ko-KR"/>
              </w:rPr>
              <w:t>23.30%</w:t>
            </w:r>
          </w:p>
        </w:tc>
        <w:tc>
          <w:tcPr>
            <w:tcW w:w="1200" w:type="dxa"/>
            <w:tcBorders>
              <w:top w:val="nil"/>
              <w:left w:val="nil"/>
              <w:bottom w:val="single" w:sz="8" w:space="0" w:color="auto"/>
              <w:right w:val="single" w:sz="8" w:space="0" w:color="auto"/>
            </w:tcBorders>
            <w:noWrap/>
            <w:vAlign w:val="bottom"/>
          </w:tcPr>
          <w:p w:rsidR="00B22874" w:rsidRPr="00583077" w:rsidRDefault="00B22874" w:rsidP="00091C90">
            <w:pPr>
              <w:jc w:val="right"/>
              <w:rPr>
                <w:rFonts w:eastAsia="Batang"/>
                <w:sz w:val="18"/>
                <w:szCs w:val="18"/>
                <w:lang w:eastAsia="ko-KR"/>
              </w:rPr>
            </w:pPr>
            <w:r w:rsidRPr="00583077">
              <w:rPr>
                <w:rFonts w:eastAsia="Batang"/>
                <w:sz w:val="18"/>
                <w:szCs w:val="18"/>
                <w:lang w:eastAsia="ko-KR"/>
              </w:rPr>
              <w:t>25.19%</w:t>
            </w:r>
          </w:p>
        </w:tc>
        <w:tc>
          <w:tcPr>
            <w:tcW w:w="1200" w:type="dxa"/>
            <w:tcBorders>
              <w:top w:val="nil"/>
              <w:left w:val="nil"/>
              <w:bottom w:val="single" w:sz="8" w:space="0" w:color="auto"/>
              <w:right w:val="single" w:sz="8" w:space="0" w:color="auto"/>
            </w:tcBorders>
            <w:noWrap/>
            <w:vAlign w:val="bottom"/>
          </w:tcPr>
          <w:p w:rsidR="00B22874" w:rsidRPr="00583077" w:rsidRDefault="00B22874" w:rsidP="00091C90">
            <w:pPr>
              <w:jc w:val="right"/>
              <w:rPr>
                <w:rFonts w:eastAsia="Batang"/>
                <w:sz w:val="18"/>
                <w:szCs w:val="18"/>
                <w:lang w:eastAsia="ko-KR"/>
              </w:rPr>
            </w:pPr>
            <w:r w:rsidRPr="00583077">
              <w:rPr>
                <w:rFonts w:eastAsia="Batang"/>
                <w:sz w:val="18"/>
                <w:szCs w:val="18"/>
                <w:lang w:eastAsia="ko-KR"/>
              </w:rPr>
              <w:t>26.04%</w:t>
            </w:r>
          </w:p>
        </w:tc>
        <w:tc>
          <w:tcPr>
            <w:tcW w:w="1200" w:type="dxa"/>
            <w:tcBorders>
              <w:top w:val="nil"/>
              <w:left w:val="nil"/>
              <w:bottom w:val="single" w:sz="8" w:space="0" w:color="auto"/>
              <w:right w:val="single" w:sz="8" w:space="0" w:color="auto"/>
            </w:tcBorders>
            <w:noWrap/>
            <w:vAlign w:val="bottom"/>
          </w:tcPr>
          <w:p w:rsidR="00B22874" w:rsidRPr="00583077" w:rsidRDefault="00B22874" w:rsidP="00091C90">
            <w:pPr>
              <w:jc w:val="right"/>
              <w:rPr>
                <w:rFonts w:eastAsia="Batang"/>
                <w:sz w:val="18"/>
                <w:szCs w:val="18"/>
                <w:lang w:eastAsia="ko-KR"/>
              </w:rPr>
            </w:pPr>
            <w:r w:rsidRPr="00583077">
              <w:rPr>
                <w:rFonts w:eastAsia="Batang"/>
                <w:sz w:val="18"/>
                <w:szCs w:val="18"/>
                <w:lang w:eastAsia="ko-KR"/>
              </w:rPr>
              <w:t>26.97%</w:t>
            </w:r>
          </w:p>
        </w:tc>
        <w:tc>
          <w:tcPr>
            <w:tcW w:w="1200" w:type="dxa"/>
            <w:tcBorders>
              <w:top w:val="nil"/>
              <w:left w:val="nil"/>
              <w:bottom w:val="single" w:sz="8" w:space="0" w:color="auto"/>
              <w:right w:val="single" w:sz="8" w:space="0" w:color="auto"/>
            </w:tcBorders>
            <w:noWrap/>
            <w:vAlign w:val="bottom"/>
          </w:tcPr>
          <w:p w:rsidR="00B22874" w:rsidRPr="00583077" w:rsidRDefault="00B22874" w:rsidP="00091C90">
            <w:pPr>
              <w:jc w:val="right"/>
              <w:rPr>
                <w:rFonts w:eastAsia="Batang"/>
                <w:sz w:val="18"/>
                <w:szCs w:val="18"/>
                <w:lang w:eastAsia="ko-KR"/>
              </w:rPr>
            </w:pPr>
            <w:r w:rsidRPr="00583077">
              <w:rPr>
                <w:rFonts w:eastAsia="Batang"/>
                <w:sz w:val="18"/>
                <w:szCs w:val="18"/>
                <w:lang w:eastAsia="ko-KR"/>
              </w:rPr>
              <w:t>26.80%</w:t>
            </w:r>
          </w:p>
        </w:tc>
      </w:tr>
    </w:tbl>
    <w:p w:rsidR="00B22874" w:rsidRPr="00583077" w:rsidRDefault="00B22874" w:rsidP="005F0B75">
      <w:pPr>
        <w:jc w:val="both"/>
        <w:rPr>
          <w:lang w:val="sq-AL"/>
        </w:rPr>
      </w:pPr>
    </w:p>
    <w:p w:rsidR="00B22874" w:rsidRDefault="00B22874" w:rsidP="005F0B75">
      <w:pPr>
        <w:jc w:val="both"/>
        <w:rPr>
          <w:lang w:val="sq-AL"/>
        </w:rPr>
      </w:pPr>
      <w:r w:rsidRPr="00583077">
        <w:rPr>
          <w:lang w:val="sq-AL"/>
        </w:rPr>
        <w:t>Gjatë periudhës 5 vjecare 2009-2013 niveli i borxhit është luhatur në intervalin 58.52% -65.15%</w:t>
      </w:r>
      <w:r>
        <w:rPr>
          <w:lang w:val="sq-AL"/>
        </w:rPr>
        <w:t xml:space="preserve"> me tendencë rritëse pas vitit 2010, duke arritur nivelin më të lartë gjatë vitit 2013</w:t>
      </w:r>
      <w:r w:rsidRPr="00583077">
        <w:rPr>
          <w:lang w:val="sq-AL"/>
        </w:rPr>
        <w:t xml:space="preserve">. </w:t>
      </w:r>
    </w:p>
    <w:p w:rsidR="00B22874" w:rsidRPr="00583077" w:rsidRDefault="00B22874" w:rsidP="005F0B75">
      <w:pPr>
        <w:jc w:val="both"/>
        <w:rPr>
          <w:lang w:val="sq-AL"/>
        </w:rPr>
      </w:pPr>
    </w:p>
    <w:p w:rsidR="00B22874" w:rsidRPr="00583077" w:rsidRDefault="00B22874" w:rsidP="00DA4068">
      <w:pPr>
        <w:jc w:val="both"/>
        <w:rPr>
          <w:b/>
          <w:bCs/>
          <w:sz w:val="20"/>
          <w:szCs w:val="20"/>
          <w:lang w:val="it-IT"/>
        </w:rPr>
      </w:pPr>
      <w:r w:rsidRPr="00583077">
        <w:rPr>
          <w:b/>
          <w:bCs/>
          <w:sz w:val="20"/>
          <w:szCs w:val="20"/>
          <w:lang w:val="it-IT"/>
        </w:rPr>
        <w:t>Grafik 1.</w:t>
      </w:r>
    </w:p>
    <w:p w:rsidR="00B22874" w:rsidRPr="00583077" w:rsidRDefault="00B22874" w:rsidP="00DA4068">
      <w:pPr>
        <w:autoSpaceDE w:val="0"/>
        <w:autoSpaceDN w:val="0"/>
        <w:adjustRightInd w:val="0"/>
        <w:spacing w:line="300" w:lineRule="exact"/>
        <w:jc w:val="both"/>
        <w:rPr>
          <w:sz w:val="20"/>
          <w:szCs w:val="20"/>
          <w:lang w:val="it-IT"/>
        </w:rPr>
      </w:pPr>
      <w:r w:rsidRPr="00583077">
        <w:rPr>
          <w:sz w:val="20"/>
          <w:szCs w:val="20"/>
          <w:lang w:val="it-IT"/>
        </w:rPr>
        <w:t xml:space="preserve">* Ecuria e stokut të borxhit </w:t>
      </w:r>
    </w:p>
    <w:p w:rsidR="00B22874" w:rsidRPr="00583077" w:rsidRDefault="00512804" w:rsidP="005F0B75">
      <w:pPr>
        <w:jc w:val="both"/>
        <w:rPr>
          <w:lang w:val="sq-AL"/>
        </w:rPr>
      </w:pPr>
      <w:r>
        <w:rPr>
          <w:noProof/>
          <w:lang w:val="en-GB" w:eastAsia="en-GB"/>
        </w:rPr>
        <w:drawing>
          <wp:inline distT="0" distB="0" distL="0" distR="0">
            <wp:extent cx="5505450" cy="24860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505450" cy="2486025"/>
                    </a:xfrm>
                    <a:prstGeom prst="rect">
                      <a:avLst/>
                    </a:prstGeom>
                    <a:noFill/>
                    <a:ln w="9525">
                      <a:noFill/>
                      <a:miter lim="800000"/>
                      <a:headEnd/>
                      <a:tailEnd/>
                    </a:ln>
                  </pic:spPr>
                </pic:pic>
              </a:graphicData>
            </a:graphic>
          </wp:inline>
        </w:drawing>
      </w:r>
    </w:p>
    <w:p w:rsidR="00B22874" w:rsidRPr="00583077" w:rsidRDefault="00B22874" w:rsidP="00DA4068">
      <w:pPr>
        <w:jc w:val="both"/>
        <w:rPr>
          <w:lang w:val="sq-AL"/>
        </w:rPr>
      </w:pPr>
      <w:r>
        <w:rPr>
          <w:lang w:val="sq-AL"/>
        </w:rPr>
        <w:lastRenderedPageBreak/>
        <w:t>Në harkun kohor të 3</w:t>
      </w:r>
      <w:r w:rsidRPr="00583077">
        <w:rPr>
          <w:lang w:val="sq-AL"/>
        </w:rPr>
        <w:t xml:space="preserve"> viteve të fundit vërrehet një tendence rritëse e rritmeve të rritjes së nivelit të borxhit të brendshëm </w:t>
      </w:r>
      <w:r>
        <w:rPr>
          <w:lang w:val="sq-AL"/>
        </w:rPr>
        <w:t xml:space="preserve">dhe të </w:t>
      </w:r>
      <w:r w:rsidRPr="00583077">
        <w:rPr>
          <w:lang w:val="sq-AL"/>
        </w:rPr>
        <w:t>borxhi</w:t>
      </w:r>
      <w:r>
        <w:rPr>
          <w:lang w:val="sq-AL"/>
        </w:rPr>
        <w:t>t të</w:t>
      </w:r>
      <w:r w:rsidRPr="00583077">
        <w:rPr>
          <w:lang w:val="sq-AL"/>
        </w:rPr>
        <w:t xml:space="preserve"> jashtëm</w:t>
      </w:r>
      <w:r>
        <w:rPr>
          <w:lang w:val="sq-AL"/>
        </w:rPr>
        <w:t>.</w:t>
      </w:r>
      <w:r w:rsidRPr="00583077">
        <w:rPr>
          <w:lang w:val="sq-AL"/>
        </w:rPr>
        <w:t xml:space="preserve"> </w:t>
      </w:r>
    </w:p>
    <w:p w:rsidR="00B22874" w:rsidRPr="00583077" w:rsidRDefault="00B22874" w:rsidP="005F0B75">
      <w:pPr>
        <w:jc w:val="both"/>
        <w:rPr>
          <w:lang w:val="sq-AL"/>
        </w:rPr>
      </w:pPr>
    </w:p>
    <w:p w:rsidR="00B22874" w:rsidRPr="00583077" w:rsidRDefault="00B22874" w:rsidP="005F0B75">
      <w:pPr>
        <w:jc w:val="both"/>
        <w:rPr>
          <w:lang w:val="sq-AL"/>
        </w:rPr>
      </w:pPr>
      <w:r w:rsidRPr="00583077">
        <w:rPr>
          <w:lang w:val="sq-AL"/>
        </w:rPr>
        <w:t>Përsa i përket stokut të garancive në raport me PBB, gjatë vitit 2013 ato janë ulurt me 25 pikë bazë krahasuar me vitin e kaluar; ulje e cila i atribuohet rrënies së peshës së garancive të jashtme me 54 pikë bazë, ndërkohë që garancitë e brendshme rezultojnë të jenë rritur me 29 pikë bazë.</w:t>
      </w:r>
    </w:p>
    <w:p w:rsidR="00B22874" w:rsidRPr="00583077" w:rsidRDefault="00B22874" w:rsidP="008A3794">
      <w:pPr>
        <w:rPr>
          <w:lang w:val="it-IT"/>
        </w:rPr>
      </w:pPr>
    </w:p>
    <w:p w:rsidR="00B22874" w:rsidRPr="00583077" w:rsidRDefault="00B22874" w:rsidP="008A3794">
      <w:pPr>
        <w:jc w:val="both"/>
        <w:rPr>
          <w:b/>
          <w:bCs/>
          <w:sz w:val="20"/>
          <w:szCs w:val="20"/>
          <w:lang w:val="it-IT"/>
        </w:rPr>
      </w:pPr>
      <w:r w:rsidRPr="00583077">
        <w:rPr>
          <w:b/>
          <w:bCs/>
          <w:sz w:val="20"/>
          <w:szCs w:val="20"/>
          <w:lang w:val="it-IT"/>
        </w:rPr>
        <w:t>Tabela 2.</w:t>
      </w:r>
    </w:p>
    <w:p w:rsidR="00B22874" w:rsidRPr="00583077" w:rsidRDefault="00B22874" w:rsidP="008A3794">
      <w:pPr>
        <w:autoSpaceDE w:val="0"/>
        <w:autoSpaceDN w:val="0"/>
        <w:adjustRightInd w:val="0"/>
        <w:spacing w:line="300" w:lineRule="exact"/>
        <w:jc w:val="both"/>
        <w:rPr>
          <w:sz w:val="20"/>
          <w:szCs w:val="20"/>
          <w:lang w:val="it-IT"/>
        </w:rPr>
      </w:pPr>
      <w:r w:rsidRPr="00583077">
        <w:rPr>
          <w:sz w:val="20"/>
          <w:szCs w:val="20"/>
          <w:lang w:val="it-IT"/>
        </w:rPr>
        <w:t>* Ecuria e stokut të borxhit shtetëror/garantuar</w:t>
      </w:r>
    </w:p>
    <w:tbl>
      <w:tblPr>
        <w:tblW w:w="9540" w:type="dxa"/>
        <w:tblInd w:w="98" w:type="dxa"/>
        <w:tblLook w:val="0000"/>
      </w:tblPr>
      <w:tblGrid>
        <w:gridCol w:w="3440"/>
        <w:gridCol w:w="1220"/>
        <w:gridCol w:w="1220"/>
        <w:gridCol w:w="1220"/>
        <w:gridCol w:w="1220"/>
        <w:gridCol w:w="1220"/>
      </w:tblGrid>
      <w:tr w:rsidR="00B22874" w:rsidRPr="00583077" w:rsidTr="005B3E9C">
        <w:trPr>
          <w:trHeight w:val="270"/>
        </w:trPr>
        <w:tc>
          <w:tcPr>
            <w:tcW w:w="3440" w:type="dxa"/>
            <w:tcBorders>
              <w:top w:val="single" w:sz="8" w:space="0" w:color="auto"/>
              <w:left w:val="single" w:sz="8" w:space="0" w:color="auto"/>
              <w:bottom w:val="single" w:sz="8" w:space="0" w:color="auto"/>
              <w:right w:val="single" w:sz="8" w:space="0" w:color="auto"/>
            </w:tcBorders>
            <w:shd w:val="clear" w:color="auto" w:fill="99CCFF"/>
            <w:noWrap/>
            <w:vAlign w:val="bottom"/>
          </w:tcPr>
          <w:p w:rsidR="00B22874" w:rsidRPr="00583077" w:rsidRDefault="00B22874" w:rsidP="009603A1">
            <w:pPr>
              <w:jc w:val="right"/>
              <w:rPr>
                <w:rFonts w:eastAsia="Batang"/>
                <w:color w:val="000000"/>
                <w:sz w:val="20"/>
                <w:szCs w:val="20"/>
                <w:lang w:eastAsia="ko-KR"/>
              </w:rPr>
            </w:pPr>
            <w:r w:rsidRPr="00583077">
              <w:rPr>
                <w:rFonts w:eastAsia="Batang"/>
                <w:color w:val="000000"/>
                <w:sz w:val="20"/>
                <w:szCs w:val="20"/>
                <w:lang w:eastAsia="ko-KR"/>
              </w:rPr>
              <w:t xml:space="preserve">*në milion </w:t>
            </w:r>
            <w:r>
              <w:rPr>
                <w:rFonts w:eastAsia="Batang"/>
                <w:color w:val="000000"/>
                <w:sz w:val="20"/>
                <w:szCs w:val="20"/>
                <w:lang w:eastAsia="ko-KR"/>
              </w:rPr>
              <w:t>lekë</w:t>
            </w:r>
            <w:r w:rsidRPr="00583077">
              <w:rPr>
                <w:rFonts w:eastAsia="Batang"/>
                <w:color w:val="000000"/>
                <w:sz w:val="20"/>
                <w:szCs w:val="20"/>
                <w:lang w:eastAsia="ko-KR"/>
              </w:rPr>
              <w:t> </w:t>
            </w:r>
          </w:p>
        </w:tc>
        <w:tc>
          <w:tcPr>
            <w:tcW w:w="1220" w:type="dxa"/>
            <w:tcBorders>
              <w:top w:val="single" w:sz="8" w:space="0" w:color="auto"/>
              <w:left w:val="nil"/>
              <w:bottom w:val="single" w:sz="8" w:space="0" w:color="auto"/>
              <w:right w:val="single" w:sz="8" w:space="0" w:color="auto"/>
            </w:tcBorders>
            <w:shd w:val="clear" w:color="auto" w:fill="99CCFF"/>
            <w:noWrap/>
            <w:vAlign w:val="bottom"/>
          </w:tcPr>
          <w:p w:rsidR="00B22874" w:rsidRPr="00583077" w:rsidRDefault="00B22874" w:rsidP="009603A1">
            <w:pPr>
              <w:jc w:val="center"/>
              <w:rPr>
                <w:rFonts w:eastAsia="Batang"/>
                <w:b/>
                <w:bCs/>
                <w:sz w:val="18"/>
                <w:szCs w:val="18"/>
                <w:lang w:eastAsia="ko-KR"/>
              </w:rPr>
            </w:pPr>
            <w:r w:rsidRPr="00583077">
              <w:rPr>
                <w:rFonts w:eastAsia="Batang"/>
                <w:b/>
                <w:bCs/>
                <w:sz w:val="18"/>
                <w:szCs w:val="18"/>
                <w:lang w:eastAsia="ko-KR"/>
              </w:rPr>
              <w:t>2009</w:t>
            </w:r>
          </w:p>
        </w:tc>
        <w:tc>
          <w:tcPr>
            <w:tcW w:w="1220" w:type="dxa"/>
            <w:tcBorders>
              <w:top w:val="single" w:sz="8" w:space="0" w:color="auto"/>
              <w:left w:val="nil"/>
              <w:bottom w:val="single" w:sz="8" w:space="0" w:color="auto"/>
              <w:right w:val="single" w:sz="8" w:space="0" w:color="auto"/>
            </w:tcBorders>
            <w:shd w:val="clear" w:color="auto" w:fill="99CCFF"/>
            <w:noWrap/>
            <w:vAlign w:val="bottom"/>
          </w:tcPr>
          <w:p w:rsidR="00B22874" w:rsidRPr="00583077" w:rsidRDefault="00B22874" w:rsidP="009603A1">
            <w:pPr>
              <w:jc w:val="center"/>
              <w:rPr>
                <w:rFonts w:eastAsia="Batang"/>
                <w:b/>
                <w:bCs/>
                <w:sz w:val="18"/>
                <w:szCs w:val="18"/>
                <w:lang w:eastAsia="ko-KR"/>
              </w:rPr>
            </w:pPr>
            <w:r w:rsidRPr="00583077">
              <w:rPr>
                <w:rFonts w:eastAsia="Batang"/>
                <w:b/>
                <w:bCs/>
                <w:sz w:val="18"/>
                <w:szCs w:val="18"/>
                <w:lang w:eastAsia="ko-KR"/>
              </w:rPr>
              <w:t>2010</w:t>
            </w:r>
          </w:p>
        </w:tc>
        <w:tc>
          <w:tcPr>
            <w:tcW w:w="1220" w:type="dxa"/>
            <w:tcBorders>
              <w:top w:val="single" w:sz="8" w:space="0" w:color="auto"/>
              <w:left w:val="nil"/>
              <w:bottom w:val="single" w:sz="8" w:space="0" w:color="auto"/>
              <w:right w:val="single" w:sz="8" w:space="0" w:color="auto"/>
            </w:tcBorders>
            <w:shd w:val="clear" w:color="auto" w:fill="99CCFF"/>
            <w:noWrap/>
            <w:vAlign w:val="bottom"/>
          </w:tcPr>
          <w:p w:rsidR="00B22874" w:rsidRPr="00583077" w:rsidRDefault="00B22874" w:rsidP="009603A1">
            <w:pPr>
              <w:jc w:val="center"/>
              <w:rPr>
                <w:rFonts w:eastAsia="Batang"/>
                <w:b/>
                <w:bCs/>
                <w:sz w:val="18"/>
                <w:szCs w:val="18"/>
                <w:lang w:eastAsia="ko-KR"/>
              </w:rPr>
            </w:pPr>
            <w:r w:rsidRPr="00583077">
              <w:rPr>
                <w:rFonts w:eastAsia="Batang"/>
                <w:b/>
                <w:bCs/>
                <w:sz w:val="18"/>
                <w:szCs w:val="18"/>
                <w:lang w:eastAsia="ko-KR"/>
              </w:rPr>
              <w:t>2011</w:t>
            </w:r>
          </w:p>
        </w:tc>
        <w:tc>
          <w:tcPr>
            <w:tcW w:w="1220" w:type="dxa"/>
            <w:tcBorders>
              <w:top w:val="single" w:sz="8" w:space="0" w:color="auto"/>
              <w:left w:val="nil"/>
              <w:bottom w:val="single" w:sz="8" w:space="0" w:color="auto"/>
              <w:right w:val="single" w:sz="8" w:space="0" w:color="auto"/>
            </w:tcBorders>
            <w:shd w:val="clear" w:color="auto" w:fill="99CCFF"/>
            <w:noWrap/>
            <w:vAlign w:val="bottom"/>
          </w:tcPr>
          <w:p w:rsidR="00B22874" w:rsidRPr="00583077" w:rsidRDefault="00B22874" w:rsidP="009603A1">
            <w:pPr>
              <w:jc w:val="center"/>
              <w:rPr>
                <w:rFonts w:eastAsia="Batang"/>
                <w:b/>
                <w:bCs/>
                <w:sz w:val="18"/>
                <w:szCs w:val="18"/>
                <w:lang w:eastAsia="ko-KR"/>
              </w:rPr>
            </w:pPr>
            <w:r w:rsidRPr="00583077">
              <w:rPr>
                <w:rFonts w:eastAsia="Batang"/>
                <w:b/>
                <w:bCs/>
                <w:sz w:val="18"/>
                <w:szCs w:val="18"/>
                <w:lang w:eastAsia="ko-KR"/>
              </w:rPr>
              <w:t>2012</w:t>
            </w:r>
          </w:p>
        </w:tc>
        <w:tc>
          <w:tcPr>
            <w:tcW w:w="1220" w:type="dxa"/>
            <w:tcBorders>
              <w:top w:val="single" w:sz="8" w:space="0" w:color="auto"/>
              <w:left w:val="nil"/>
              <w:bottom w:val="single" w:sz="8" w:space="0" w:color="auto"/>
              <w:right w:val="single" w:sz="8" w:space="0" w:color="auto"/>
            </w:tcBorders>
            <w:shd w:val="clear" w:color="auto" w:fill="99CCFF"/>
            <w:vAlign w:val="bottom"/>
          </w:tcPr>
          <w:p w:rsidR="00B22874" w:rsidRPr="00583077" w:rsidRDefault="00B22874" w:rsidP="009603A1">
            <w:pPr>
              <w:jc w:val="center"/>
              <w:rPr>
                <w:rFonts w:eastAsia="Batang"/>
                <w:b/>
                <w:bCs/>
                <w:sz w:val="18"/>
                <w:szCs w:val="18"/>
                <w:lang w:eastAsia="ko-KR"/>
              </w:rPr>
            </w:pPr>
            <w:r w:rsidRPr="00583077">
              <w:rPr>
                <w:rFonts w:eastAsia="Batang"/>
                <w:b/>
                <w:bCs/>
                <w:sz w:val="18"/>
                <w:szCs w:val="18"/>
                <w:lang w:eastAsia="ko-KR"/>
              </w:rPr>
              <w:t>2013</w:t>
            </w:r>
          </w:p>
        </w:tc>
      </w:tr>
      <w:tr w:rsidR="00B22874" w:rsidRPr="00583077" w:rsidTr="005B3E9C">
        <w:trPr>
          <w:trHeight w:val="255"/>
        </w:trPr>
        <w:tc>
          <w:tcPr>
            <w:tcW w:w="3440" w:type="dxa"/>
            <w:tcBorders>
              <w:top w:val="single" w:sz="8" w:space="0" w:color="auto"/>
              <w:left w:val="single" w:sz="8" w:space="0" w:color="auto"/>
              <w:bottom w:val="nil"/>
              <w:right w:val="single" w:sz="8" w:space="0" w:color="auto"/>
            </w:tcBorders>
            <w:noWrap/>
            <w:vAlign w:val="bottom"/>
          </w:tcPr>
          <w:p w:rsidR="00B22874" w:rsidRPr="009F044E" w:rsidRDefault="00B22874" w:rsidP="009603A1">
            <w:pPr>
              <w:jc w:val="right"/>
              <w:rPr>
                <w:rFonts w:eastAsia="Batang"/>
                <w:b/>
                <w:bCs/>
                <w:sz w:val="20"/>
                <w:szCs w:val="20"/>
                <w:lang w:eastAsia="ko-KR"/>
              </w:rPr>
            </w:pPr>
            <w:r w:rsidRPr="009F044E">
              <w:rPr>
                <w:rFonts w:eastAsia="Batang"/>
                <w:b/>
                <w:bCs/>
                <w:sz w:val="20"/>
                <w:szCs w:val="20"/>
                <w:lang w:eastAsia="ko-KR"/>
              </w:rPr>
              <w:t>I. Stoku i Borxhit Shtetëror</w:t>
            </w:r>
          </w:p>
        </w:tc>
        <w:tc>
          <w:tcPr>
            <w:tcW w:w="1220" w:type="dxa"/>
            <w:tcBorders>
              <w:top w:val="nil"/>
              <w:left w:val="nil"/>
              <w:bottom w:val="nil"/>
              <w:right w:val="single" w:sz="8" w:space="0" w:color="auto"/>
            </w:tcBorders>
            <w:noWrap/>
            <w:vAlign w:val="bottom"/>
          </w:tcPr>
          <w:p w:rsidR="00B22874" w:rsidRPr="00583077" w:rsidRDefault="00B22874" w:rsidP="0050045E">
            <w:pPr>
              <w:jc w:val="right"/>
              <w:rPr>
                <w:rFonts w:eastAsia="Batang"/>
                <w:b/>
                <w:bCs/>
                <w:sz w:val="20"/>
                <w:szCs w:val="20"/>
                <w:lang w:eastAsia="ko-KR"/>
              </w:rPr>
            </w:pPr>
            <w:r w:rsidRPr="00583077">
              <w:rPr>
                <w:rFonts w:eastAsia="Batang"/>
                <w:b/>
                <w:bCs/>
                <w:sz w:val="20"/>
                <w:szCs w:val="20"/>
                <w:lang w:eastAsia="ko-KR"/>
              </w:rPr>
              <w:t xml:space="preserve">         636,772 </w:t>
            </w:r>
          </w:p>
        </w:tc>
        <w:tc>
          <w:tcPr>
            <w:tcW w:w="1220" w:type="dxa"/>
            <w:tcBorders>
              <w:top w:val="nil"/>
              <w:left w:val="nil"/>
              <w:bottom w:val="nil"/>
              <w:right w:val="single" w:sz="8" w:space="0" w:color="auto"/>
            </w:tcBorders>
            <w:noWrap/>
            <w:vAlign w:val="bottom"/>
          </w:tcPr>
          <w:p w:rsidR="00B22874" w:rsidRPr="00583077" w:rsidRDefault="00B22874" w:rsidP="0050045E">
            <w:pPr>
              <w:jc w:val="right"/>
              <w:rPr>
                <w:rFonts w:eastAsia="Batang"/>
                <w:b/>
                <w:bCs/>
                <w:sz w:val="20"/>
                <w:szCs w:val="20"/>
                <w:lang w:eastAsia="ko-KR"/>
              </w:rPr>
            </w:pPr>
            <w:r w:rsidRPr="00583077">
              <w:rPr>
                <w:rFonts w:eastAsia="Batang"/>
                <w:b/>
                <w:bCs/>
                <w:sz w:val="20"/>
                <w:szCs w:val="20"/>
                <w:lang w:eastAsia="ko-KR"/>
              </w:rPr>
              <w:t xml:space="preserve">         669,945 </w:t>
            </w:r>
          </w:p>
        </w:tc>
        <w:tc>
          <w:tcPr>
            <w:tcW w:w="1220" w:type="dxa"/>
            <w:tcBorders>
              <w:top w:val="nil"/>
              <w:left w:val="nil"/>
              <w:bottom w:val="nil"/>
              <w:right w:val="single" w:sz="8" w:space="0" w:color="auto"/>
            </w:tcBorders>
            <w:noWrap/>
            <w:vAlign w:val="bottom"/>
          </w:tcPr>
          <w:p w:rsidR="00B22874" w:rsidRPr="00583077" w:rsidRDefault="00B22874" w:rsidP="0050045E">
            <w:pPr>
              <w:jc w:val="right"/>
              <w:rPr>
                <w:rFonts w:eastAsia="Batang"/>
                <w:b/>
                <w:bCs/>
                <w:sz w:val="20"/>
                <w:szCs w:val="20"/>
                <w:lang w:eastAsia="ko-KR"/>
              </w:rPr>
            </w:pPr>
            <w:r w:rsidRPr="00583077">
              <w:rPr>
                <w:rFonts w:eastAsia="Batang"/>
                <w:b/>
                <w:bCs/>
                <w:sz w:val="20"/>
                <w:szCs w:val="20"/>
                <w:lang w:eastAsia="ko-KR"/>
              </w:rPr>
              <w:t xml:space="preserve">         724,201 </w:t>
            </w:r>
          </w:p>
        </w:tc>
        <w:tc>
          <w:tcPr>
            <w:tcW w:w="1220" w:type="dxa"/>
            <w:tcBorders>
              <w:top w:val="nil"/>
              <w:left w:val="nil"/>
              <w:bottom w:val="nil"/>
              <w:right w:val="single" w:sz="8" w:space="0" w:color="auto"/>
            </w:tcBorders>
            <w:noWrap/>
            <w:vAlign w:val="bottom"/>
          </w:tcPr>
          <w:p w:rsidR="00B22874" w:rsidRPr="00583077" w:rsidRDefault="00B22874" w:rsidP="0050045E">
            <w:pPr>
              <w:jc w:val="right"/>
              <w:rPr>
                <w:rFonts w:eastAsia="Batang"/>
                <w:b/>
                <w:bCs/>
                <w:sz w:val="20"/>
                <w:szCs w:val="20"/>
                <w:lang w:eastAsia="ko-KR"/>
              </w:rPr>
            </w:pPr>
            <w:r w:rsidRPr="00583077">
              <w:rPr>
                <w:rFonts w:eastAsia="Batang"/>
                <w:b/>
                <w:bCs/>
                <w:sz w:val="20"/>
                <w:szCs w:val="20"/>
                <w:lang w:eastAsia="ko-KR"/>
              </w:rPr>
              <w:t xml:space="preserve">         774,528 </w:t>
            </w:r>
          </w:p>
        </w:tc>
        <w:tc>
          <w:tcPr>
            <w:tcW w:w="1220" w:type="dxa"/>
            <w:tcBorders>
              <w:top w:val="nil"/>
              <w:left w:val="nil"/>
              <w:bottom w:val="nil"/>
              <w:right w:val="single" w:sz="8" w:space="0" w:color="auto"/>
            </w:tcBorders>
            <w:noWrap/>
            <w:vAlign w:val="bottom"/>
          </w:tcPr>
          <w:p w:rsidR="00B22874" w:rsidRPr="00583077" w:rsidRDefault="00B22874" w:rsidP="0050045E">
            <w:pPr>
              <w:jc w:val="right"/>
              <w:rPr>
                <w:rFonts w:eastAsia="Batang"/>
                <w:b/>
                <w:bCs/>
                <w:sz w:val="20"/>
                <w:szCs w:val="20"/>
                <w:lang w:eastAsia="ko-KR"/>
              </w:rPr>
            </w:pPr>
            <w:r w:rsidRPr="00583077">
              <w:rPr>
                <w:rFonts w:eastAsia="Batang"/>
                <w:b/>
                <w:bCs/>
                <w:sz w:val="20"/>
                <w:szCs w:val="20"/>
                <w:lang w:eastAsia="ko-KR"/>
              </w:rPr>
              <w:t xml:space="preserve">         833,368 </w:t>
            </w:r>
          </w:p>
        </w:tc>
      </w:tr>
      <w:tr w:rsidR="00B22874" w:rsidRPr="00583077" w:rsidTr="005B3E9C">
        <w:trPr>
          <w:trHeight w:val="255"/>
        </w:trPr>
        <w:tc>
          <w:tcPr>
            <w:tcW w:w="3440" w:type="dxa"/>
            <w:tcBorders>
              <w:top w:val="single" w:sz="4" w:space="0" w:color="auto"/>
              <w:left w:val="single" w:sz="8" w:space="0" w:color="auto"/>
              <w:bottom w:val="single" w:sz="4" w:space="0" w:color="auto"/>
              <w:right w:val="single" w:sz="8" w:space="0" w:color="auto"/>
            </w:tcBorders>
            <w:noWrap/>
            <w:vAlign w:val="bottom"/>
          </w:tcPr>
          <w:p w:rsidR="00B22874" w:rsidRPr="009F044E" w:rsidRDefault="00B22874" w:rsidP="009603A1">
            <w:pPr>
              <w:jc w:val="right"/>
              <w:rPr>
                <w:rFonts w:eastAsia="Batang"/>
                <w:sz w:val="20"/>
                <w:szCs w:val="20"/>
                <w:lang w:eastAsia="ko-KR"/>
              </w:rPr>
            </w:pPr>
            <w:r w:rsidRPr="009F044E">
              <w:rPr>
                <w:rFonts w:eastAsia="Batang"/>
                <w:sz w:val="20"/>
                <w:szCs w:val="20"/>
                <w:lang w:eastAsia="ko-KR"/>
              </w:rPr>
              <w:t>i. Borxh i Brendshëm</w:t>
            </w:r>
          </w:p>
        </w:tc>
        <w:tc>
          <w:tcPr>
            <w:tcW w:w="1220" w:type="dxa"/>
            <w:tcBorders>
              <w:top w:val="single" w:sz="4" w:space="0" w:color="auto"/>
              <w:left w:val="nil"/>
              <w:bottom w:val="single" w:sz="4" w:space="0" w:color="auto"/>
              <w:right w:val="single" w:sz="8" w:space="0" w:color="auto"/>
            </w:tcBorders>
            <w:noWrap/>
            <w:vAlign w:val="bottom"/>
          </w:tcPr>
          <w:p w:rsidR="00B22874" w:rsidRPr="00583077" w:rsidRDefault="00B22874" w:rsidP="0050045E">
            <w:pPr>
              <w:jc w:val="right"/>
              <w:rPr>
                <w:rFonts w:eastAsia="Batang"/>
                <w:sz w:val="20"/>
                <w:szCs w:val="20"/>
                <w:lang w:eastAsia="ko-KR"/>
              </w:rPr>
            </w:pPr>
            <w:r w:rsidRPr="00583077">
              <w:rPr>
                <w:rFonts w:eastAsia="Batang"/>
                <w:sz w:val="20"/>
                <w:szCs w:val="20"/>
                <w:lang w:eastAsia="ko-KR"/>
              </w:rPr>
              <w:t xml:space="preserve">           409,501 </w:t>
            </w:r>
          </w:p>
        </w:tc>
        <w:tc>
          <w:tcPr>
            <w:tcW w:w="1220" w:type="dxa"/>
            <w:tcBorders>
              <w:top w:val="single" w:sz="4" w:space="0" w:color="auto"/>
              <w:left w:val="nil"/>
              <w:bottom w:val="single" w:sz="4" w:space="0" w:color="auto"/>
              <w:right w:val="single" w:sz="8" w:space="0" w:color="auto"/>
            </w:tcBorders>
            <w:noWrap/>
            <w:vAlign w:val="bottom"/>
          </w:tcPr>
          <w:p w:rsidR="00B22874" w:rsidRPr="00583077" w:rsidRDefault="00B22874" w:rsidP="0050045E">
            <w:pPr>
              <w:jc w:val="right"/>
              <w:rPr>
                <w:rFonts w:eastAsia="Batang"/>
                <w:sz w:val="20"/>
                <w:szCs w:val="20"/>
                <w:lang w:eastAsia="ko-KR"/>
              </w:rPr>
            </w:pPr>
            <w:r w:rsidRPr="00583077">
              <w:rPr>
                <w:rFonts w:eastAsia="Batang"/>
                <w:sz w:val="20"/>
                <w:szCs w:val="20"/>
                <w:lang w:eastAsia="ko-KR"/>
              </w:rPr>
              <w:t xml:space="preserve">           401,821 </w:t>
            </w:r>
          </w:p>
        </w:tc>
        <w:tc>
          <w:tcPr>
            <w:tcW w:w="1220" w:type="dxa"/>
            <w:tcBorders>
              <w:top w:val="single" w:sz="4" w:space="0" w:color="auto"/>
              <w:left w:val="nil"/>
              <w:bottom w:val="single" w:sz="4" w:space="0" w:color="auto"/>
              <w:right w:val="single" w:sz="8" w:space="0" w:color="auto"/>
            </w:tcBorders>
            <w:noWrap/>
            <w:vAlign w:val="bottom"/>
          </w:tcPr>
          <w:p w:rsidR="00B22874" w:rsidRPr="00583077" w:rsidRDefault="00B22874" w:rsidP="0050045E">
            <w:pPr>
              <w:jc w:val="right"/>
              <w:rPr>
                <w:rFonts w:eastAsia="Batang"/>
                <w:sz w:val="20"/>
                <w:szCs w:val="20"/>
                <w:lang w:eastAsia="ko-KR"/>
              </w:rPr>
            </w:pPr>
            <w:r w:rsidRPr="00583077">
              <w:rPr>
                <w:rFonts w:eastAsia="Batang"/>
                <w:sz w:val="20"/>
                <w:szCs w:val="20"/>
                <w:lang w:eastAsia="ko-KR"/>
              </w:rPr>
              <w:t xml:space="preserve">           429,925 </w:t>
            </w:r>
          </w:p>
        </w:tc>
        <w:tc>
          <w:tcPr>
            <w:tcW w:w="1220" w:type="dxa"/>
            <w:tcBorders>
              <w:top w:val="single" w:sz="4" w:space="0" w:color="auto"/>
              <w:left w:val="nil"/>
              <w:bottom w:val="single" w:sz="4" w:space="0" w:color="auto"/>
              <w:right w:val="single" w:sz="8" w:space="0" w:color="auto"/>
            </w:tcBorders>
            <w:noWrap/>
            <w:vAlign w:val="bottom"/>
          </w:tcPr>
          <w:p w:rsidR="00B22874" w:rsidRPr="00583077" w:rsidRDefault="00B22874" w:rsidP="0050045E">
            <w:pPr>
              <w:jc w:val="right"/>
              <w:rPr>
                <w:rFonts w:eastAsia="Batang"/>
                <w:sz w:val="20"/>
                <w:szCs w:val="20"/>
                <w:lang w:eastAsia="ko-KR"/>
              </w:rPr>
            </w:pPr>
            <w:r w:rsidRPr="00583077">
              <w:rPr>
                <w:rFonts w:eastAsia="Batang"/>
                <w:sz w:val="20"/>
                <w:szCs w:val="20"/>
                <w:lang w:eastAsia="ko-KR"/>
              </w:rPr>
              <w:t xml:space="preserve">           454,695 </w:t>
            </w:r>
          </w:p>
        </w:tc>
        <w:tc>
          <w:tcPr>
            <w:tcW w:w="1220" w:type="dxa"/>
            <w:tcBorders>
              <w:top w:val="single" w:sz="4" w:space="0" w:color="auto"/>
              <w:left w:val="nil"/>
              <w:bottom w:val="single" w:sz="4" w:space="0" w:color="auto"/>
              <w:right w:val="single" w:sz="8" w:space="0" w:color="auto"/>
            </w:tcBorders>
            <w:noWrap/>
            <w:vAlign w:val="bottom"/>
          </w:tcPr>
          <w:p w:rsidR="00B22874" w:rsidRPr="00583077" w:rsidRDefault="00B22874" w:rsidP="0050045E">
            <w:pPr>
              <w:jc w:val="right"/>
              <w:rPr>
                <w:rFonts w:eastAsia="Batang"/>
                <w:sz w:val="20"/>
                <w:szCs w:val="20"/>
                <w:lang w:eastAsia="ko-KR"/>
              </w:rPr>
            </w:pPr>
            <w:r w:rsidRPr="00583077">
              <w:rPr>
                <w:rFonts w:eastAsia="Batang"/>
                <w:sz w:val="20"/>
                <w:szCs w:val="20"/>
                <w:lang w:eastAsia="ko-KR"/>
              </w:rPr>
              <w:t xml:space="preserve">           500,868 </w:t>
            </w:r>
          </w:p>
        </w:tc>
      </w:tr>
      <w:tr w:rsidR="00B22874" w:rsidRPr="00583077" w:rsidTr="005B3E9C">
        <w:trPr>
          <w:trHeight w:val="255"/>
        </w:trPr>
        <w:tc>
          <w:tcPr>
            <w:tcW w:w="3440" w:type="dxa"/>
            <w:tcBorders>
              <w:top w:val="nil"/>
              <w:left w:val="single" w:sz="8" w:space="0" w:color="auto"/>
              <w:bottom w:val="single" w:sz="4" w:space="0" w:color="auto"/>
              <w:right w:val="single" w:sz="8" w:space="0" w:color="auto"/>
            </w:tcBorders>
            <w:noWrap/>
            <w:vAlign w:val="bottom"/>
          </w:tcPr>
          <w:p w:rsidR="00B22874" w:rsidRPr="009F044E" w:rsidRDefault="00B22874" w:rsidP="009603A1">
            <w:pPr>
              <w:jc w:val="right"/>
              <w:rPr>
                <w:rFonts w:eastAsia="Batang"/>
                <w:sz w:val="20"/>
                <w:szCs w:val="20"/>
                <w:lang w:eastAsia="ko-KR"/>
              </w:rPr>
            </w:pPr>
            <w:r w:rsidRPr="009F044E">
              <w:rPr>
                <w:rFonts w:eastAsia="Batang"/>
                <w:sz w:val="20"/>
                <w:szCs w:val="20"/>
                <w:lang w:eastAsia="ko-KR"/>
              </w:rPr>
              <w:t>ii. Borxh i Jashtëm</w:t>
            </w:r>
          </w:p>
        </w:tc>
        <w:tc>
          <w:tcPr>
            <w:tcW w:w="1220" w:type="dxa"/>
            <w:tcBorders>
              <w:top w:val="nil"/>
              <w:left w:val="nil"/>
              <w:bottom w:val="single" w:sz="4" w:space="0" w:color="auto"/>
              <w:right w:val="single" w:sz="8" w:space="0" w:color="auto"/>
            </w:tcBorders>
            <w:noWrap/>
            <w:vAlign w:val="bottom"/>
          </w:tcPr>
          <w:p w:rsidR="00B22874" w:rsidRPr="00583077" w:rsidRDefault="00B22874" w:rsidP="0050045E">
            <w:pPr>
              <w:jc w:val="right"/>
              <w:rPr>
                <w:rFonts w:eastAsia="Batang"/>
                <w:sz w:val="20"/>
                <w:szCs w:val="20"/>
                <w:lang w:eastAsia="ko-KR"/>
              </w:rPr>
            </w:pPr>
            <w:r w:rsidRPr="00583077">
              <w:rPr>
                <w:rFonts w:eastAsia="Batang"/>
                <w:sz w:val="20"/>
                <w:szCs w:val="20"/>
                <w:lang w:eastAsia="ko-KR"/>
              </w:rPr>
              <w:t xml:space="preserve">           227,271 </w:t>
            </w:r>
          </w:p>
        </w:tc>
        <w:tc>
          <w:tcPr>
            <w:tcW w:w="1220" w:type="dxa"/>
            <w:tcBorders>
              <w:top w:val="nil"/>
              <w:left w:val="nil"/>
              <w:bottom w:val="single" w:sz="4" w:space="0" w:color="auto"/>
              <w:right w:val="single" w:sz="8" w:space="0" w:color="auto"/>
            </w:tcBorders>
            <w:noWrap/>
            <w:vAlign w:val="bottom"/>
          </w:tcPr>
          <w:p w:rsidR="00B22874" w:rsidRPr="00583077" w:rsidRDefault="00B22874" w:rsidP="0050045E">
            <w:pPr>
              <w:jc w:val="right"/>
              <w:rPr>
                <w:rFonts w:eastAsia="Batang"/>
                <w:sz w:val="20"/>
                <w:szCs w:val="20"/>
                <w:lang w:eastAsia="ko-KR"/>
              </w:rPr>
            </w:pPr>
            <w:r w:rsidRPr="00583077">
              <w:rPr>
                <w:rFonts w:eastAsia="Batang"/>
                <w:sz w:val="20"/>
                <w:szCs w:val="20"/>
                <w:lang w:eastAsia="ko-KR"/>
              </w:rPr>
              <w:t xml:space="preserve">           268,124 </w:t>
            </w:r>
          </w:p>
        </w:tc>
        <w:tc>
          <w:tcPr>
            <w:tcW w:w="1220" w:type="dxa"/>
            <w:tcBorders>
              <w:top w:val="nil"/>
              <w:left w:val="nil"/>
              <w:bottom w:val="single" w:sz="4" w:space="0" w:color="auto"/>
              <w:right w:val="single" w:sz="8" w:space="0" w:color="auto"/>
            </w:tcBorders>
            <w:noWrap/>
            <w:vAlign w:val="bottom"/>
          </w:tcPr>
          <w:p w:rsidR="00B22874" w:rsidRPr="00583077" w:rsidRDefault="00B22874" w:rsidP="0050045E">
            <w:pPr>
              <w:jc w:val="right"/>
              <w:rPr>
                <w:rFonts w:eastAsia="Batang"/>
                <w:sz w:val="20"/>
                <w:szCs w:val="20"/>
                <w:lang w:eastAsia="ko-KR"/>
              </w:rPr>
            </w:pPr>
            <w:r w:rsidRPr="00583077">
              <w:rPr>
                <w:rFonts w:eastAsia="Batang"/>
                <w:sz w:val="20"/>
                <w:szCs w:val="20"/>
                <w:lang w:eastAsia="ko-KR"/>
              </w:rPr>
              <w:t xml:space="preserve">           294,276 </w:t>
            </w:r>
          </w:p>
        </w:tc>
        <w:tc>
          <w:tcPr>
            <w:tcW w:w="1220" w:type="dxa"/>
            <w:tcBorders>
              <w:top w:val="nil"/>
              <w:left w:val="nil"/>
              <w:bottom w:val="single" w:sz="4" w:space="0" w:color="auto"/>
              <w:right w:val="single" w:sz="8" w:space="0" w:color="auto"/>
            </w:tcBorders>
            <w:noWrap/>
            <w:vAlign w:val="bottom"/>
          </w:tcPr>
          <w:p w:rsidR="00B22874" w:rsidRPr="00583077" w:rsidRDefault="00B22874" w:rsidP="0050045E">
            <w:pPr>
              <w:jc w:val="right"/>
              <w:rPr>
                <w:rFonts w:eastAsia="Batang"/>
                <w:sz w:val="20"/>
                <w:szCs w:val="20"/>
                <w:lang w:eastAsia="ko-KR"/>
              </w:rPr>
            </w:pPr>
            <w:r w:rsidRPr="00583077">
              <w:rPr>
                <w:rFonts w:eastAsia="Batang"/>
                <w:sz w:val="20"/>
                <w:szCs w:val="20"/>
                <w:lang w:eastAsia="ko-KR"/>
              </w:rPr>
              <w:t xml:space="preserve">           319,833 </w:t>
            </w:r>
          </w:p>
        </w:tc>
        <w:tc>
          <w:tcPr>
            <w:tcW w:w="1220" w:type="dxa"/>
            <w:tcBorders>
              <w:top w:val="nil"/>
              <w:left w:val="nil"/>
              <w:bottom w:val="single" w:sz="4" w:space="0" w:color="auto"/>
              <w:right w:val="single" w:sz="8" w:space="0" w:color="auto"/>
            </w:tcBorders>
            <w:noWrap/>
            <w:vAlign w:val="bottom"/>
          </w:tcPr>
          <w:p w:rsidR="00B22874" w:rsidRPr="00583077" w:rsidRDefault="00B22874" w:rsidP="0050045E">
            <w:pPr>
              <w:jc w:val="right"/>
              <w:rPr>
                <w:rFonts w:eastAsia="Batang"/>
                <w:sz w:val="20"/>
                <w:szCs w:val="20"/>
                <w:lang w:eastAsia="ko-KR"/>
              </w:rPr>
            </w:pPr>
            <w:r w:rsidRPr="00583077">
              <w:rPr>
                <w:rFonts w:eastAsia="Batang"/>
                <w:sz w:val="20"/>
                <w:szCs w:val="20"/>
                <w:lang w:eastAsia="ko-KR"/>
              </w:rPr>
              <w:t xml:space="preserve">           332,500 </w:t>
            </w:r>
          </w:p>
        </w:tc>
      </w:tr>
      <w:tr w:rsidR="00B22874" w:rsidRPr="00583077" w:rsidTr="005B3E9C">
        <w:trPr>
          <w:trHeight w:val="255"/>
        </w:trPr>
        <w:tc>
          <w:tcPr>
            <w:tcW w:w="3440" w:type="dxa"/>
            <w:tcBorders>
              <w:top w:val="nil"/>
              <w:left w:val="single" w:sz="8" w:space="0" w:color="auto"/>
              <w:bottom w:val="single" w:sz="4" w:space="0" w:color="auto"/>
              <w:right w:val="single" w:sz="8" w:space="0" w:color="auto"/>
            </w:tcBorders>
            <w:noWrap/>
            <w:vAlign w:val="bottom"/>
          </w:tcPr>
          <w:p w:rsidR="00B22874" w:rsidRPr="009F044E" w:rsidRDefault="00B22874" w:rsidP="009603A1">
            <w:pPr>
              <w:jc w:val="right"/>
              <w:rPr>
                <w:rFonts w:eastAsia="Batang"/>
                <w:b/>
                <w:bCs/>
                <w:sz w:val="20"/>
                <w:szCs w:val="20"/>
                <w:lang w:eastAsia="ko-KR"/>
              </w:rPr>
            </w:pPr>
            <w:r w:rsidRPr="009F044E">
              <w:rPr>
                <w:rFonts w:eastAsia="Batang"/>
                <w:b/>
                <w:bCs/>
                <w:sz w:val="20"/>
                <w:szCs w:val="20"/>
                <w:lang w:eastAsia="ko-KR"/>
              </w:rPr>
              <w:t>II.Stoku i Borxhit të Garantuar</w:t>
            </w:r>
          </w:p>
        </w:tc>
        <w:tc>
          <w:tcPr>
            <w:tcW w:w="1220" w:type="dxa"/>
            <w:tcBorders>
              <w:top w:val="nil"/>
              <w:left w:val="nil"/>
              <w:bottom w:val="single" w:sz="4" w:space="0" w:color="auto"/>
              <w:right w:val="single" w:sz="8" w:space="0" w:color="auto"/>
            </w:tcBorders>
            <w:noWrap/>
            <w:vAlign w:val="bottom"/>
          </w:tcPr>
          <w:p w:rsidR="00B22874" w:rsidRPr="00583077" w:rsidRDefault="00B22874" w:rsidP="0050045E">
            <w:pPr>
              <w:jc w:val="right"/>
              <w:rPr>
                <w:rFonts w:eastAsia="Batang"/>
                <w:b/>
                <w:bCs/>
                <w:sz w:val="20"/>
                <w:szCs w:val="20"/>
                <w:lang w:eastAsia="ko-KR"/>
              </w:rPr>
            </w:pPr>
            <w:r w:rsidRPr="00583077">
              <w:rPr>
                <w:rFonts w:eastAsia="Batang"/>
                <w:b/>
                <w:bCs/>
                <w:sz w:val="20"/>
                <w:szCs w:val="20"/>
                <w:lang w:eastAsia="ko-KR"/>
              </w:rPr>
              <w:t xml:space="preserve">           45,774 </w:t>
            </w:r>
          </w:p>
        </w:tc>
        <w:tc>
          <w:tcPr>
            <w:tcW w:w="1220" w:type="dxa"/>
            <w:tcBorders>
              <w:top w:val="nil"/>
              <w:left w:val="nil"/>
              <w:bottom w:val="single" w:sz="4" w:space="0" w:color="auto"/>
              <w:right w:val="single" w:sz="8" w:space="0" w:color="auto"/>
            </w:tcBorders>
            <w:noWrap/>
            <w:vAlign w:val="bottom"/>
          </w:tcPr>
          <w:p w:rsidR="00B22874" w:rsidRPr="00583077" w:rsidRDefault="00B22874" w:rsidP="0050045E">
            <w:pPr>
              <w:jc w:val="right"/>
              <w:rPr>
                <w:rFonts w:eastAsia="Batang"/>
                <w:b/>
                <w:bCs/>
                <w:sz w:val="20"/>
                <w:szCs w:val="20"/>
                <w:lang w:eastAsia="ko-KR"/>
              </w:rPr>
            </w:pPr>
            <w:r w:rsidRPr="00583077">
              <w:rPr>
                <w:rFonts w:eastAsia="Batang"/>
                <w:b/>
                <w:bCs/>
                <w:sz w:val="20"/>
                <w:szCs w:val="20"/>
                <w:lang w:eastAsia="ko-KR"/>
              </w:rPr>
              <w:t xml:space="preserve">           45,426 </w:t>
            </w:r>
          </w:p>
        </w:tc>
        <w:tc>
          <w:tcPr>
            <w:tcW w:w="1220" w:type="dxa"/>
            <w:tcBorders>
              <w:top w:val="nil"/>
              <w:left w:val="nil"/>
              <w:bottom w:val="single" w:sz="4" w:space="0" w:color="auto"/>
              <w:right w:val="single" w:sz="8" w:space="0" w:color="auto"/>
            </w:tcBorders>
            <w:noWrap/>
            <w:vAlign w:val="bottom"/>
          </w:tcPr>
          <w:p w:rsidR="00B22874" w:rsidRPr="00583077" w:rsidRDefault="00B22874" w:rsidP="0050045E">
            <w:pPr>
              <w:jc w:val="right"/>
              <w:rPr>
                <w:rFonts w:eastAsia="Batang"/>
                <w:b/>
                <w:bCs/>
                <w:sz w:val="20"/>
                <w:szCs w:val="20"/>
                <w:lang w:eastAsia="ko-KR"/>
              </w:rPr>
            </w:pPr>
            <w:r w:rsidRPr="00583077">
              <w:rPr>
                <w:rFonts w:eastAsia="Batang"/>
                <w:b/>
                <w:bCs/>
                <w:sz w:val="20"/>
                <w:szCs w:val="20"/>
                <w:lang w:eastAsia="ko-KR"/>
              </w:rPr>
              <w:t xml:space="preserve">           48,316 </w:t>
            </w:r>
          </w:p>
        </w:tc>
        <w:tc>
          <w:tcPr>
            <w:tcW w:w="1220" w:type="dxa"/>
            <w:tcBorders>
              <w:top w:val="nil"/>
              <w:left w:val="nil"/>
              <w:bottom w:val="single" w:sz="4" w:space="0" w:color="auto"/>
              <w:right w:val="single" w:sz="8" w:space="0" w:color="auto"/>
            </w:tcBorders>
            <w:noWrap/>
            <w:vAlign w:val="bottom"/>
          </w:tcPr>
          <w:p w:rsidR="00B22874" w:rsidRPr="00583077" w:rsidRDefault="00B22874" w:rsidP="0050045E">
            <w:pPr>
              <w:jc w:val="right"/>
              <w:rPr>
                <w:rFonts w:eastAsia="Batang"/>
                <w:b/>
                <w:bCs/>
                <w:sz w:val="20"/>
                <w:szCs w:val="20"/>
                <w:lang w:eastAsia="ko-KR"/>
              </w:rPr>
            </w:pPr>
            <w:r w:rsidRPr="00583077">
              <w:rPr>
                <w:rFonts w:eastAsia="Batang"/>
                <w:b/>
                <w:bCs/>
                <w:sz w:val="20"/>
                <w:szCs w:val="20"/>
                <w:lang w:eastAsia="ko-KR"/>
              </w:rPr>
              <w:t xml:space="preserve">           53,453 </w:t>
            </w:r>
          </w:p>
        </w:tc>
        <w:tc>
          <w:tcPr>
            <w:tcW w:w="1220" w:type="dxa"/>
            <w:tcBorders>
              <w:top w:val="nil"/>
              <w:left w:val="nil"/>
              <w:bottom w:val="single" w:sz="4" w:space="0" w:color="auto"/>
              <w:right w:val="single" w:sz="8" w:space="0" w:color="auto"/>
            </w:tcBorders>
            <w:noWrap/>
            <w:vAlign w:val="bottom"/>
          </w:tcPr>
          <w:p w:rsidR="00B22874" w:rsidRPr="00583077" w:rsidRDefault="00B22874" w:rsidP="0050045E">
            <w:pPr>
              <w:jc w:val="right"/>
              <w:rPr>
                <w:rFonts w:eastAsia="Batang"/>
                <w:b/>
                <w:bCs/>
                <w:sz w:val="20"/>
                <w:szCs w:val="20"/>
                <w:lang w:eastAsia="ko-KR"/>
              </w:rPr>
            </w:pPr>
            <w:r w:rsidRPr="00583077">
              <w:rPr>
                <w:rFonts w:eastAsia="Batang"/>
                <w:b/>
                <w:bCs/>
                <w:sz w:val="20"/>
                <w:szCs w:val="20"/>
                <w:lang w:eastAsia="ko-KR"/>
              </w:rPr>
              <w:t xml:space="preserve">           51,324 </w:t>
            </w:r>
          </w:p>
        </w:tc>
      </w:tr>
      <w:tr w:rsidR="00B22874" w:rsidRPr="00583077" w:rsidTr="005B3E9C">
        <w:trPr>
          <w:trHeight w:val="255"/>
        </w:trPr>
        <w:tc>
          <w:tcPr>
            <w:tcW w:w="3440" w:type="dxa"/>
            <w:tcBorders>
              <w:top w:val="nil"/>
              <w:left w:val="single" w:sz="8" w:space="0" w:color="auto"/>
              <w:bottom w:val="single" w:sz="4" w:space="0" w:color="auto"/>
              <w:right w:val="single" w:sz="8" w:space="0" w:color="auto"/>
            </w:tcBorders>
            <w:noWrap/>
            <w:vAlign w:val="bottom"/>
          </w:tcPr>
          <w:p w:rsidR="00B22874" w:rsidRPr="009F044E" w:rsidRDefault="00B22874" w:rsidP="009603A1">
            <w:pPr>
              <w:jc w:val="right"/>
              <w:rPr>
                <w:rFonts w:eastAsia="Batang"/>
                <w:sz w:val="20"/>
                <w:szCs w:val="20"/>
                <w:lang w:eastAsia="ko-KR"/>
              </w:rPr>
            </w:pPr>
            <w:r w:rsidRPr="009F044E">
              <w:rPr>
                <w:rFonts w:eastAsia="Batang"/>
                <w:sz w:val="20"/>
                <w:szCs w:val="20"/>
                <w:lang w:eastAsia="ko-KR"/>
              </w:rPr>
              <w:t>i. Garancitë e Brendshme</w:t>
            </w:r>
          </w:p>
        </w:tc>
        <w:tc>
          <w:tcPr>
            <w:tcW w:w="1220" w:type="dxa"/>
            <w:tcBorders>
              <w:top w:val="nil"/>
              <w:left w:val="nil"/>
              <w:bottom w:val="single" w:sz="4" w:space="0" w:color="auto"/>
              <w:right w:val="single" w:sz="8" w:space="0" w:color="auto"/>
            </w:tcBorders>
            <w:noWrap/>
            <w:vAlign w:val="bottom"/>
          </w:tcPr>
          <w:p w:rsidR="00B22874" w:rsidRPr="00583077" w:rsidRDefault="00B22874" w:rsidP="0050045E">
            <w:pPr>
              <w:jc w:val="right"/>
              <w:rPr>
                <w:rFonts w:eastAsia="Batang"/>
                <w:sz w:val="20"/>
                <w:szCs w:val="20"/>
                <w:lang w:eastAsia="ko-KR"/>
              </w:rPr>
            </w:pPr>
            <w:r w:rsidRPr="00583077">
              <w:rPr>
                <w:rFonts w:eastAsia="Batang"/>
                <w:sz w:val="20"/>
                <w:szCs w:val="20"/>
                <w:lang w:eastAsia="ko-KR"/>
              </w:rPr>
              <w:t xml:space="preserve">               5,527 </w:t>
            </w:r>
          </w:p>
        </w:tc>
        <w:tc>
          <w:tcPr>
            <w:tcW w:w="1220" w:type="dxa"/>
            <w:tcBorders>
              <w:top w:val="nil"/>
              <w:left w:val="nil"/>
              <w:bottom w:val="single" w:sz="4" w:space="0" w:color="auto"/>
              <w:right w:val="single" w:sz="8" w:space="0" w:color="auto"/>
            </w:tcBorders>
            <w:noWrap/>
            <w:vAlign w:val="bottom"/>
          </w:tcPr>
          <w:p w:rsidR="00B22874" w:rsidRPr="00583077" w:rsidRDefault="00B22874" w:rsidP="0050045E">
            <w:pPr>
              <w:jc w:val="right"/>
              <w:rPr>
                <w:rFonts w:eastAsia="Batang"/>
                <w:sz w:val="20"/>
                <w:szCs w:val="20"/>
                <w:lang w:eastAsia="ko-KR"/>
              </w:rPr>
            </w:pPr>
            <w:r w:rsidRPr="00583077">
              <w:rPr>
                <w:rFonts w:eastAsia="Batang"/>
                <w:sz w:val="20"/>
                <w:szCs w:val="20"/>
                <w:lang w:eastAsia="ko-KR"/>
              </w:rPr>
              <w:t xml:space="preserve">               5,551 </w:t>
            </w:r>
          </w:p>
        </w:tc>
        <w:tc>
          <w:tcPr>
            <w:tcW w:w="1220" w:type="dxa"/>
            <w:tcBorders>
              <w:top w:val="nil"/>
              <w:left w:val="nil"/>
              <w:bottom w:val="single" w:sz="4" w:space="0" w:color="auto"/>
              <w:right w:val="single" w:sz="8" w:space="0" w:color="auto"/>
            </w:tcBorders>
            <w:noWrap/>
            <w:vAlign w:val="bottom"/>
          </w:tcPr>
          <w:p w:rsidR="00B22874" w:rsidRPr="00583077" w:rsidRDefault="00B22874" w:rsidP="0050045E">
            <w:pPr>
              <w:jc w:val="right"/>
              <w:rPr>
                <w:rFonts w:eastAsia="Batang"/>
                <w:sz w:val="20"/>
                <w:szCs w:val="20"/>
                <w:lang w:eastAsia="ko-KR"/>
              </w:rPr>
            </w:pPr>
            <w:r w:rsidRPr="00583077">
              <w:rPr>
                <w:rFonts w:eastAsia="Batang"/>
                <w:sz w:val="20"/>
                <w:szCs w:val="20"/>
                <w:lang w:eastAsia="ko-KR"/>
              </w:rPr>
              <w:t xml:space="preserve">               8,657 </w:t>
            </w:r>
          </w:p>
        </w:tc>
        <w:tc>
          <w:tcPr>
            <w:tcW w:w="1220" w:type="dxa"/>
            <w:tcBorders>
              <w:top w:val="nil"/>
              <w:left w:val="nil"/>
              <w:bottom w:val="single" w:sz="4" w:space="0" w:color="auto"/>
              <w:right w:val="single" w:sz="8" w:space="0" w:color="auto"/>
            </w:tcBorders>
            <w:noWrap/>
            <w:vAlign w:val="bottom"/>
          </w:tcPr>
          <w:p w:rsidR="00B22874" w:rsidRPr="00583077" w:rsidRDefault="00B22874" w:rsidP="0050045E">
            <w:pPr>
              <w:jc w:val="right"/>
              <w:rPr>
                <w:rFonts w:eastAsia="Batang"/>
                <w:sz w:val="20"/>
                <w:szCs w:val="20"/>
                <w:lang w:eastAsia="ko-KR"/>
              </w:rPr>
            </w:pPr>
            <w:r w:rsidRPr="00583077">
              <w:rPr>
                <w:rFonts w:eastAsia="Batang"/>
                <w:sz w:val="20"/>
                <w:szCs w:val="20"/>
                <w:lang w:eastAsia="ko-KR"/>
              </w:rPr>
              <w:t xml:space="preserve">             15,663 </w:t>
            </w:r>
          </w:p>
        </w:tc>
        <w:tc>
          <w:tcPr>
            <w:tcW w:w="1220" w:type="dxa"/>
            <w:tcBorders>
              <w:top w:val="nil"/>
              <w:left w:val="nil"/>
              <w:bottom w:val="single" w:sz="4" w:space="0" w:color="auto"/>
              <w:right w:val="single" w:sz="8" w:space="0" w:color="auto"/>
            </w:tcBorders>
            <w:noWrap/>
            <w:vAlign w:val="bottom"/>
          </w:tcPr>
          <w:p w:rsidR="00B22874" w:rsidRPr="00583077" w:rsidRDefault="00B22874" w:rsidP="0050045E">
            <w:pPr>
              <w:jc w:val="right"/>
              <w:rPr>
                <w:rFonts w:eastAsia="Batang"/>
                <w:sz w:val="20"/>
                <w:szCs w:val="20"/>
                <w:lang w:eastAsia="ko-KR"/>
              </w:rPr>
            </w:pPr>
            <w:r w:rsidRPr="00583077">
              <w:rPr>
                <w:rFonts w:eastAsia="Batang"/>
                <w:sz w:val="20"/>
                <w:szCs w:val="20"/>
                <w:lang w:eastAsia="ko-KR"/>
              </w:rPr>
              <w:t xml:space="preserve">             19,918 </w:t>
            </w:r>
          </w:p>
        </w:tc>
      </w:tr>
      <w:tr w:rsidR="00B22874" w:rsidRPr="00583077" w:rsidTr="005B3E9C">
        <w:trPr>
          <w:trHeight w:val="270"/>
        </w:trPr>
        <w:tc>
          <w:tcPr>
            <w:tcW w:w="3440" w:type="dxa"/>
            <w:tcBorders>
              <w:top w:val="nil"/>
              <w:left w:val="single" w:sz="8" w:space="0" w:color="auto"/>
              <w:bottom w:val="nil"/>
              <w:right w:val="single" w:sz="8" w:space="0" w:color="auto"/>
            </w:tcBorders>
            <w:noWrap/>
            <w:vAlign w:val="bottom"/>
          </w:tcPr>
          <w:p w:rsidR="00B22874" w:rsidRPr="009F044E" w:rsidRDefault="00B22874" w:rsidP="009603A1">
            <w:pPr>
              <w:jc w:val="right"/>
              <w:rPr>
                <w:rFonts w:eastAsia="Batang"/>
                <w:sz w:val="20"/>
                <w:szCs w:val="20"/>
                <w:lang w:eastAsia="ko-KR"/>
              </w:rPr>
            </w:pPr>
            <w:r w:rsidRPr="009F044E">
              <w:rPr>
                <w:rFonts w:eastAsia="Batang"/>
                <w:sz w:val="20"/>
                <w:szCs w:val="20"/>
                <w:lang w:eastAsia="ko-KR"/>
              </w:rPr>
              <w:t>ii. Garancitë e Jashtme</w:t>
            </w:r>
          </w:p>
        </w:tc>
        <w:tc>
          <w:tcPr>
            <w:tcW w:w="1220" w:type="dxa"/>
            <w:tcBorders>
              <w:top w:val="nil"/>
              <w:left w:val="nil"/>
              <w:bottom w:val="nil"/>
              <w:right w:val="single" w:sz="8" w:space="0" w:color="auto"/>
            </w:tcBorders>
            <w:noWrap/>
            <w:vAlign w:val="bottom"/>
          </w:tcPr>
          <w:p w:rsidR="00B22874" w:rsidRPr="00583077" w:rsidRDefault="00B22874" w:rsidP="0050045E">
            <w:pPr>
              <w:jc w:val="right"/>
              <w:rPr>
                <w:rFonts w:eastAsia="Batang"/>
                <w:sz w:val="20"/>
                <w:szCs w:val="20"/>
                <w:lang w:eastAsia="ko-KR"/>
              </w:rPr>
            </w:pPr>
            <w:r w:rsidRPr="00583077">
              <w:rPr>
                <w:rFonts w:eastAsia="Batang"/>
                <w:sz w:val="20"/>
                <w:szCs w:val="20"/>
                <w:lang w:eastAsia="ko-KR"/>
              </w:rPr>
              <w:t xml:space="preserve">             40,247 </w:t>
            </w:r>
          </w:p>
        </w:tc>
        <w:tc>
          <w:tcPr>
            <w:tcW w:w="1220" w:type="dxa"/>
            <w:tcBorders>
              <w:top w:val="nil"/>
              <w:left w:val="nil"/>
              <w:bottom w:val="nil"/>
              <w:right w:val="single" w:sz="8" w:space="0" w:color="auto"/>
            </w:tcBorders>
            <w:noWrap/>
            <w:vAlign w:val="bottom"/>
          </w:tcPr>
          <w:p w:rsidR="00B22874" w:rsidRPr="00583077" w:rsidRDefault="00B22874" w:rsidP="0050045E">
            <w:pPr>
              <w:jc w:val="right"/>
              <w:rPr>
                <w:rFonts w:eastAsia="Batang"/>
                <w:sz w:val="20"/>
                <w:szCs w:val="20"/>
                <w:lang w:eastAsia="ko-KR"/>
              </w:rPr>
            </w:pPr>
            <w:r w:rsidRPr="00583077">
              <w:rPr>
                <w:rFonts w:eastAsia="Batang"/>
                <w:sz w:val="20"/>
                <w:szCs w:val="20"/>
                <w:lang w:eastAsia="ko-KR"/>
              </w:rPr>
              <w:t xml:space="preserve">             39,875 </w:t>
            </w:r>
          </w:p>
        </w:tc>
        <w:tc>
          <w:tcPr>
            <w:tcW w:w="1220" w:type="dxa"/>
            <w:tcBorders>
              <w:top w:val="nil"/>
              <w:left w:val="nil"/>
              <w:bottom w:val="nil"/>
              <w:right w:val="single" w:sz="8" w:space="0" w:color="auto"/>
            </w:tcBorders>
            <w:noWrap/>
            <w:vAlign w:val="bottom"/>
          </w:tcPr>
          <w:p w:rsidR="00B22874" w:rsidRPr="00583077" w:rsidRDefault="00B22874" w:rsidP="0050045E">
            <w:pPr>
              <w:jc w:val="right"/>
              <w:rPr>
                <w:rFonts w:eastAsia="Batang"/>
                <w:sz w:val="20"/>
                <w:szCs w:val="20"/>
                <w:lang w:eastAsia="ko-KR"/>
              </w:rPr>
            </w:pPr>
            <w:r w:rsidRPr="00583077">
              <w:rPr>
                <w:rFonts w:eastAsia="Batang"/>
                <w:sz w:val="20"/>
                <w:szCs w:val="20"/>
                <w:lang w:eastAsia="ko-KR"/>
              </w:rPr>
              <w:t xml:space="preserve">             39,659 </w:t>
            </w:r>
          </w:p>
        </w:tc>
        <w:tc>
          <w:tcPr>
            <w:tcW w:w="1220" w:type="dxa"/>
            <w:tcBorders>
              <w:top w:val="nil"/>
              <w:left w:val="nil"/>
              <w:bottom w:val="nil"/>
              <w:right w:val="single" w:sz="8" w:space="0" w:color="auto"/>
            </w:tcBorders>
            <w:noWrap/>
            <w:vAlign w:val="bottom"/>
          </w:tcPr>
          <w:p w:rsidR="00B22874" w:rsidRPr="00583077" w:rsidRDefault="00B22874" w:rsidP="0050045E">
            <w:pPr>
              <w:jc w:val="right"/>
              <w:rPr>
                <w:rFonts w:eastAsia="Batang"/>
                <w:sz w:val="20"/>
                <w:szCs w:val="20"/>
                <w:lang w:eastAsia="ko-KR"/>
              </w:rPr>
            </w:pPr>
            <w:r w:rsidRPr="00583077">
              <w:rPr>
                <w:rFonts w:eastAsia="Batang"/>
                <w:sz w:val="20"/>
                <w:szCs w:val="20"/>
                <w:lang w:eastAsia="ko-KR"/>
              </w:rPr>
              <w:t xml:space="preserve">             37,790 </w:t>
            </w:r>
          </w:p>
        </w:tc>
        <w:tc>
          <w:tcPr>
            <w:tcW w:w="1220" w:type="dxa"/>
            <w:tcBorders>
              <w:top w:val="nil"/>
              <w:left w:val="nil"/>
              <w:bottom w:val="nil"/>
              <w:right w:val="single" w:sz="8" w:space="0" w:color="auto"/>
            </w:tcBorders>
            <w:noWrap/>
            <w:vAlign w:val="bottom"/>
          </w:tcPr>
          <w:p w:rsidR="00B22874" w:rsidRPr="00583077" w:rsidRDefault="00B22874" w:rsidP="0050045E">
            <w:pPr>
              <w:jc w:val="right"/>
              <w:rPr>
                <w:rFonts w:eastAsia="Batang"/>
                <w:sz w:val="20"/>
                <w:szCs w:val="20"/>
                <w:lang w:eastAsia="ko-KR"/>
              </w:rPr>
            </w:pPr>
            <w:r w:rsidRPr="00583077">
              <w:rPr>
                <w:rFonts w:eastAsia="Batang"/>
                <w:sz w:val="20"/>
                <w:szCs w:val="20"/>
                <w:lang w:eastAsia="ko-KR"/>
              </w:rPr>
              <w:t xml:space="preserve">             31,406 </w:t>
            </w:r>
          </w:p>
        </w:tc>
      </w:tr>
      <w:tr w:rsidR="00B22874" w:rsidRPr="00583077" w:rsidTr="009F044E">
        <w:trPr>
          <w:trHeight w:val="270"/>
        </w:trPr>
        <w:tc>
          <w:tcPr>
            <w:tcW w:w="3440" w:type="dxa"/>
            <w:tcBorders>
              <w:top w:val="single" w:sz="8" w:space="0" w:color="auto"/>
              <w:left w:val="single" w:sz="8" w:space="0" w:color="auto"/>
              <w:bottom w:val="single" w:sz="8" w:space="0" w:color="auto"/>
              <w:right w:val="single" w:sz="8" w:space="0" w:color="auto"/>
            </w:tcBorders>
            <w:vAlign w:val="center"/>
          </w:tcPr>
          <w:p w:rsidR="00B22874" w:rsidRPr="009F044E" w:rsidRDefault="00B22874" w:rsidP="009F044E">
            <w:pPr>
              <w:jc w:val="right"/>
              <w:rPr>
                <w:rFonts w:eastAsia="Batang"/>
                <w:b/>
                <w:bCs/>
                <w:color w:val="000000"/>
                <w:sz w:val="20"/>
                <w:szCs w:val="20"/>
                <w:lang w:eastAsia="ko-KR"/>
              </w:rPr>
            </w:pPr>
            <w:r w:rsidRPr="009F044E">
              <w:rPr>
                <w:rFonts w:eastAsia="Batang"/>
                <w:b/>
                <w:bCs/>
                <w:color w:val="000000"/>
                <w:sz w:val="20"/>
                <w:szCs w:val="20"/>
                <w:lang w:eastAsia="ko-KR"/>
              </w:rPr>
              <w:t>PBB</w:t>
            </w:r>
          </w:p>
        </w:tc>
        <w:tc>
          <w:tcPr>
            <w:tcW w:w="1220" w:type="dxa"/>
            <w:tcBorders>
              <w:top w:val="single" w:sz="8" w:space="0" w:color="auto"/>
              <w:left w:val="nil"/>
              <w:bottom w:val="single" w:sz="8" w:space="0" w:color="auto"/>
              <w:right w:val="single" w:sz="8" w:space="0" w:color="auto"/>
            </w:tcBorders>
            <w:noWrap/>
            <w:vAlign w:val="center"/>
          </w:tcPr>
          <w:p w:rsidR="00B22874" w:rsidRPr="00583077" w:rsidRDefault="00B22874" w:rsidP="009F044E">
            <w:pPr>
              <w:jc w:val="right"/>
              <w:rPr>
                <w:rFonts w:eastAsia="Batang"/>
                <w:b/>
                <w:bCs/>
                <w:sz w:val="20"/>
                <w:szCs w:val="20"/>
                <w:lang w:eastAsia="ko-KR"/>
              </w:rPr>
            </w:pPr>
            <w:r w:rsidRPr="00583077">
              <w:rPr>
                <w:rFonts w:eastAsia="Batang"/>
                <w:b/>
                <w:bCs/>
                <w:sz w:val="20"/>
                <w:szCs w:val="20"/>
                <w:lang w:eastAsia="ko-KR"/>
              </w:rPr>
              <w:t xml:space="preserve">     1,148,082 </w:t>
            </w:r>
          </w:p>
        </w:tc>
        <w:tc>
          <w:tcPr>
            <w:tcW w:w="1220" w:type="dxa"/>
            <w:tcBorders>
              <w:top w:val="single" w:sz="8" w:space="0" w:color="auto"/>
              <w:left w:val="nil"/>
              <w:bottom w:val="single" w:sz="8" w:space="0" w:color="auto"/>
              <w:right w:val="single" w:sz="8" w:space="0" w:color="auto"/>
            </w:tcBorders>
            <w:noWrap/>
            <w:vAlign w:val="center"/>
          </w:tcPr>
          <w:p w:rsidR="00B22874" w:rsidRPr="00583077" w:rsidRDefault="00B22874" w:rsidP="009F044E">
            <w:pPr>
              <w:jc w:val="right"/>
              <w:rPr>
                <w:rFonts w:eastAsia="Batang"/>
                <w:b/>
                <w:bCs/>
                <w:sz w:val="20"/>
                <w:szCs w:val="20"/>
                <w:lang w:eastAsia="ko-KR"/>
              </w:rPr>
            </w:pPr>
            <w:r w:rsidRPr="00583077">
              <w:rPr>
                <w:rFonts w:eastAsia="Batang"/>
                <w:b/>
                <w:bCs/>
                <w:sz w:val="20"/>
                <w:szCs w:val="20"/>
                <w:lang w:eastAsia="ko-KR"/>
              </w:rPr>
              <w:t xml:space="preserve">     1,222,462 </w:t>
            </w:r>
          </w:p>
        </w:tc>
        <w:tc>
          <w:tcPr>
            <w:tcW w:w="1220" w:type="dxa"/>
            <w:tcBorders>
              <w:top w:val="single" w:sz="8" w:space="0" w:color="auto"/>
              <w:left w:val="nil"/>
              <w:bottom w:val="single" w:sz="8" w:space="0" w:color="auto"/>
              <w:right w:val="single" w:sz="8" w:space="0" w:color="auto"/>
            </w:tcBorders>
            <w:noWrap/>
            <w:vAlign w:val="center"/>
          </w:tcPr>
          <w:p w:rsidR="00B22874" w:rsidRPr="00583077" w:rsidRDefault="00B22874" w:rsidP="009F044E">
            <w:pPr>
              <w:jc w:val="right"/>
              <w:rPr>
                <w:rFonts w:eastAsia="Batang"/>
                <w:b/>
                <w:bCs/>
                <w:sz w:val="20"/>
                <w:szCs w:val="20"/>
                <w:lang w:eastAsia="ko-KR"/>
              </w:rPr>
            </w:pPr>
            <w:r w:rsidRPr="00583077">
              <w:rPr>
                <w:rFonts w:eastAsia="Batang"/>
                <w:b/>
                <w:bCs/>
                <w:sz w:val="20"/>
                <w:szCs w:val="20"/>
                <w:lang w:eastAsia="ko-KR"/>
              </w:rPr>
              <w:t xml:space="preserve">     1,282,255 </w:t>
            </w:r>
          </w:p>
        </w:tc>
        <w:tc>
          <w:tcPr>
            <w:tcW w:w="1220" w:type="dxa"/>
            <w:tcBorders>
              <w:top w:val="single" w:sz="8" w:space="0" w:color="auto"/>
              <w:left w:val="nil"/>
              <w:bottom w:val="single" w:sz="8" w:space="0" w:color="auto"/>
              <w:right w:val="single" w:sz="8" w:space="0" w:color="auto"/>
            </w:tcBorders>
            <w:noWrap/>
            <w:vAlign w:val="center"/>
          </w:tcPr>
          <w:p w:rsidR="00B22874" w:rsidRPr="00583077" w:rsidRDefault="00B22874" w:rsidP="009F044E">
            <w:pPr>
              <w:jc w:val="right"/>
              <w:rPr>
                <w:rFonts w:eastAsia="Batang"/>
                <w:b/>
                <w:bCs/>
                <w:sz w:val="20"/>
                <w:szCs w:val="20"/>
                <w:lang w:eastAsia="ko-KR"/>
              </w:rPr>
            </w:pPr>
            <w:r w:rsidRPr="00583077">
              <w:rPr>
                <w:rFonts w:eastAsia="Batang"/>
                <w:b/>
                <w:bCs/>
                <w:sz w:val="20"/>
                <w:szCs w:val="20"/>
                <w:lang w:eastAsia="ko-KR"/>
              </w:rPr>
              <w:t xml:space="preserve">     1,326,000 </w:t>
            </w:r>
          </w:p>
        </w:tc>
        <w:tc>
          <w:tcPr>
            <w:tcW w:w="1220" w:type="dxa"/>
            <w:tcBorders>
              <w:top w:val="single" w:sz="8" w:space="0" w:color="auto"/>
              <w:left w:val="nil"/>
              <w:bottom w:val="single" w:sz="8" w:space="0" w:color="auto"/>
              <w:right w:val="single" w:sz="8" w:space="0" w:color="auto"/>
            </w:tcBorders>
            <w:noWrap/>
            <w:vAlign w:val="center"/>
          </w:tcPr>
          <w:p w:rsidR="00B22874" w:rsidRPr="00583077" w:rsidRDefault="00B22874" w:rsidP="009F044E">
            <w:pPr>
              <w:jc w:val="right"/>
              <w:rPr>
                <w:rFonts w:eastAsia="Batang"/>
                <w:b/>
                <w:bCs/>
                <w:sz w:val="20"/>
                <w:szCs w:val="20"/>
                <w:lang w:eastAsia="ko-KR"/>
              </w:rPr>
            </w:pPr>
            <w:r w:rsidRPr="00583077">
              <w:rPr>
                <w:rFonts w:eastAsia="Batang"/>
                <w:b/>
                <w:bCs/>
                <w:sz w:val="20"/>
                <w:szCs w:val="20"/>
                <w:lang w:eastAsia="ko-KR"/>
              </w:rPr>
              <w:t xml:space="preserve">     1,358,000 </w:t>
            </w:r>
          </w:p>
        </w:tc>
      </w:tr>
      <w:tr w:rsidR="00B22874" w:rsidRPr="00583077" w:rsidTr="005B3E9C">
        <w:trPr>
          <w:trHeight w:val="255"/>
        </w:trPr>
        <w:tc>
          <w:tcPr>
            <w:tcW w:w="3440" w:type="dxa"/>
            <w:tcBorders>
              <w:top w:val="nil"/>
              <w:left w:val="single" w:sz="8" w:space="0" w:color="auto"/>
              <w:bottom w:val="nil"/>
              <w:right w:val="single" w:sz="8" w:space="0" w:color="auto"/>
            </w:tcBorders>
            <w:noWrap/>
            <w:vAlign w:val="bottom"/>
          </w:tcPr>
          <w:p w:rsidR="00B22874" w:rsidRPr="009F044E" w:rsidRDefault="00B22874" w:rsidP="009603A1">
            <w:pPr>
              <w:jc w:val="right"/>
              <w:rPr>
                <w:rFonts w:eastAsia="Batang"/>
                <w:b/>
                <w:bCs/>
                <w:sz w:val="20"/>
                <w:szCs w:val="20"/>
                <w:lang w:eastAsia="ko-KR"/>
              </w:rPr>
            </w:pPr>
            <w:r w:rsidRPr="009F044E">
              <w:rPr>
                <w:rFonts w:eastAsia="Batang"/>
                <w:b/>
                <w:bCs/>
                <w:sz w:val="20"/>
                <w:szCs w:val="20"/>
                <w:lang w:eastAsia="ko-KR"/>
              </w:rPr>
              <w:t>I. Stoku i Borxhit Shtetëror/PBB</w:t>
            </w:r>
          </w:p>
        </w:tc>
        <w:tc>
          <w:tcPr>
            <w:tcW w:w="1220" w:type="dxa"/>
            <w:tcBorders>
              <w:top w:val="nil"/>
              <w:left w:val="nil"/>
              <w:bottom w:val="nil"/>
              <w:right w:val="single" w:sz="8" w:space="0" w:color="auto"/>
            </w:tcBorders>
            <w:noWrap/>
            <w:vAlign w:val="bottom"/>
          </w:tcPr>
          <w:p w:rsidR="00B22874" w:rsidRPr="00583077" w:rsidRDefault="00B22874" w:rsidP="0050045E">
            <w:pPr>
              <w:jc w:val="right"/>
              <w:rPr>
                <w:rFonts w:eastAsia="Batang"/>
                <w:b/>
                <w:bCs/>
                <w:sz w:val="20"/>
                <w:szCs w:val="20"/>
                <w:lang w:eastAsia="ko-KR"/>
              </w:rPr>
            </w:pPr>
            <w:r w:rsidRPr="00583077">
              <w:rPr>
                <w:rFonts w:eastAsia="Batang"/>
                <w:b/>
                <w:bCs/>
                <w:sz w:val="20"/>
                <w:szCs w:val="20"/>
                <w:lang w:eastAsia="ko-KR"/>
              </w:rPr>
              <w:t>55.46%</w:t>
            </w:r>
          </w:p>
        </w:tc>
        <w:tc>
          <w:tcPr>
            <w:tcW w:w="1220" w:type="dxa"/>
            <w:tcBorders>
              <w:top w:val="nil"/>
              <w:left w:val="nil"/>
              <w:bottom w:val="nil"/>
              <w:right w:val="single" w:sz="8" w:space="0" w:color="auto"/>
            </w:tcBorders>
            <w:noWrap/>
            <w:vAlign w:val="bottom"/>
          </w:tcPr>
          <w:p w:rsidR="00B22874" w:rsidRPr="00583077" w:rsidRDefault="00B22874" w:rsidP="0050045E">
            <w:pPr>
              <w:jc w:val="right"/>
              <w:rPr>
                <w:rFonts w:eastAsia="Batang"/>
                <w:b/>
                <w:bCs/>
                <w:sz w:val="20"/>
                <w:szCs w:val="20"/>
                <w:lang w:eastAsia="ko-KR"/>
              </w:rPr>
            </w:pPr>
            <w:r w:rsidRPr="00583077">
              <w:rPr>
                <w:rFonts w:eastAsia="Batang"/>
                <w:b/>
                <w:bCs/>
                <w:sz w:val="20"/>
                <w:szCs w:val="20"/>
                <w:lang w:eastAsia="ko-KR"/>
              </w:rPr>
              <w:t>54.80%</w:t>
            </w:r>
          </w:p>
        </w:tc>
        <w:tc>
          <w:tcPr>
            <w:tcW w:w="1220" w:type="dxa"/>
            <w:tcBorders>
              <w:top w:val="nil"/>
              <w:left w:val="nil"/>
              <w:bottom w:val="nil"/>
              <w:right w:val="single" w:sz="8" w:space="0" w:color="auto"/>
            </w:tcBorders>
            <w:noWrap/>
            <w:vAlign w:val="bottom"/>
          </w:tcPr>
          <w:p w:rsidR="00B22874" w:rsidRPr="00583077" w:rsidRDefault="00B22874" w:rsidP="0050045E">
            <w:pPr>
              <w:jc w:val="right"/>
              <w:rPr>
                <w:rFonts w:eastAsia="Batang"/>
                <w:b/>
                <w:bCs/>
                <w:sz w:val="20"/>
                <w:szCs w:val="20"/>
                <w:lang w:eastAsia="ko-KR"/>
              </w:rPr>
            </w:pPr>
            <w:r w:rsidRPr="00583077">
              <w:rPr>
                <w:rFonts w:eastAsia="Batang"/>
                <w:b/>
                <w:bCs/>
                <w:sz w:val="20"/>
                <w:szCs w:val="20"/>
                <w:lang w:eastAsia="ko-KR"/>
              </w:rPr>
              <w:t>56.48%</w:t>
            </w:r>
          </w:p>
        </w:tc>
        <w:tc>
          <w:tcPr>
            <w:tcW w:w="1220" w:type="dxa"/>
            <w:tcBorders>
              <w:top w:val="nil"/>
              <w:left w:val="nil"/>
              <w:bottom w:val="nil"/>
              <w:right w:val="single" w:sz="8" w:space="0" w:color="auto"/>
            </w:tcBorders>
            <w:noWrap/>
            <w:vAlign w:val="bottom"/>
          </w:tcPr>
          <w:p w:rsidR="00B22874" w:rsidRPr="00583077" w:rsidRDefault="00B22874" w:rsidP="0050045E">
            <w:pPr>
              <w:jc w:val="right"/>
              <w:rPr>
                <w:rFonts w:eastAsia="Batang"/>
                <w:b/>
                <w:bCs/>
                <w:sz w:val="20"/>
                <w:szCs w:val="20"/>
                <w:lang w:eastAsia="ko-KR"/>
              </w:rPr>
            </w:pPr>
            <w:r w:rsidRPr="00583077">
              <w:rPr>
                <w:rFonts w:eastAsia="Batang"/>
                <w:b/>
                <w:bCs/>
                <w:sz w:val="20"/>
                <w:szCs w:val="20"/>
                <w:lang w:eastAsia="ko-KR"/>
              </w:rPr>
              <w:t>58.41%</w:t>
            </w:r>
          </w:p>
        </w:tc>
        <w:tc>
          <w:tcPr>
            <w:tcW w:w="1220" w:type="dxa"/>
            <w:tcBorders>
              <w:top w:val="nil"/>
              <w:left w:val="nil"/>
              <w:bottom w:val="nil"/>
              <w:right w:val="single" w:sz="8" w:space="0" w:color="auto"/>
            </w:tcBorders>
            <w:noWrap/>
            <w:vAlign w:val="bottom"/>
          </w:tcPr>
          <w:p w:rsidR="00B22874" w:rsidRPr="00583077" w:rsidRDefault="00B22874" w:rsidP="0050045E">
            <w:pPr>
              <w:jc w:val="right"/>
              <w:rPr>
                <w:rFonts w:eastAsia="Batang"/>
                <w:b/>
                <w:bCs/>
                <w:sz w:val="20"/>
                <w:szCs w:val="20"/>
                <w:lang w:eastAsia="ko-KR"/>
              </w:rPr>
            </w:pPr>
            <w:r w:rsidRPr="00583077">
              <w:rPr>
                <w:rFonts w:eastAsia="Batang"/>
                <w:b/>
                <w:bCs/>
                <w:sz w:val="20"/>
                <w:szCs w:val="20"/>
                <w:lang w:eastAsia="ko-KR"/>
              </w:rPr>
              <w:t>61.37%</w:t>
            </w:r>
          </w:p>
        </w:tc>
      </w:tr>
      <w:tr w:rsidR="00B22874" w:rsidRPr="00583077" w:rsidTr="005B3E9C">
        <w:trPr>
          <w:trHeight w:val="255"/>
        </w:trPr>
        <w:tc>
          <w:tcPr>
            <w:tcW w:w="3440" w:type="dxa"/>
            <w:tcBorders>
              <w:top w:val="single" w:sz="4" w:space="0" w:color="auto"/>
              <w:left w:val="single" w:sz="8" w:space="0" w:color="auto"/>
              <w:bottom w:val="single" w:sz="4" w:space="0" w:color="auto"/>
              <w:right w:val="single" w:sz="8" w:space="0" w:color="auto"/>
            </w:tcBorders>
            <w:noWrap/>
            <w:vAlign w:val="bottom"/>
          </w:tcPr>
          <w:p w:rsidR="00B22874" w:rsidRPr="009F044E" w:rsidRDefault="00B22874" w:rsidP="009603A1">
            <w:pPr>
              <w:jc w:val="right"/>
              <w:rPr>
                <w:rFonts w:eastAsia="Batang"/>
                <w:sz w:val="20"/>
                <w:szCs w:val="20"/>
                <w:lang w:eastAsia="ko-KR"/>
              </w:rPr>
            </w:pPr>
            <w:r w:rsidRPr="009F044E">
              <w:rPr>
                <w:rFonts w:eastAsia="Batang"/>
                <w:sz w:val="20"/>
                <w:szCs w:val="20"/>
                <w:lang w:eastAsia="ko-KR"/>
              </w:rPr>
              <w:t>i. Borxh i Brendshëm/PBB</w:t>
            </w:r>
          </w:p>
        </w:tc>
        <w:tc>
          <w:tcPr>
            <w:tcW w:w="1220" w:type="dxa"/>
            <w:tcBorders>
              <w:top w:val="single" w:sz="4" w:space="0" w:color="auto"/>
              <w:left w:val="nil"/>
              <w:bottom w:val="single" w:sz="4" w:space="0" w:color="auto"/>
              <w:right w:val="single" w:sz="8" w:space="0" w:color="auto"/>
            </w:tcBorders>
            <w:noWrap/>
            <w:vAlign w:val="bottom"/>
          </w:tcPr>
          <w:p w:rsidR="00B22874" w:rsidRPr="00583077" w:rsidRDefault="00B22874" w:rsidP="0050045E">
            <w:pPr>
              <w:jc w:val="right"/>
              <w:rPr>
                <w:rFonts w:eastAsia="Batang"/>
                <w:sz w:val="20"/>
                <w:szCs w:val="20"/>
                <w:lang w:eastAsia="ko-KR"/>
              </w:rPr>
            </w:pPr>
            <w:r w:rsidRPr="00583077">
              <w:rPr>
                <w:rFonts w:eastAsia="Batang"/>
                <w:sz w:val="20"/>
                <w:szCs w:val="20"/>
                <w:lang w:eastAsia="ko-KR"/>
              </w:rPr>
              <w:t>35.67%</w:t>
            </w:r>
          </w:p>
        </w:tc>
        <w:tc>
          <w:tcPr>
            <w:tcW w:w="1220" w:type="dxa"/>
            <w:tcBorders>
              <w:top w:val="single" w:sz="4" w:space="0" w:color="auto"/>
              <w:left w:val="nil"/>
              <w:bottom w:val="single" w:sz="4" w:space="0" w:color="auto"/>
              <w:right w:val="single" w:sz="8" w:space="0" w:color="auto"/>
            </w:tcBorders>
            <w:noWrap/>
            <w:vAlign w:val="bottom"/>
          </w:tcPr>
          <w:p w:rsidR="00B22874" w:rsidRPr="00583077" w:rsidRDefault="00B22874" w:rsidP="0050045E">
            <w:pPr>
              <w:jc w:val="right"/>
              <w:rPr>
                <w:rFonts w:eastAsia="Batang"/>
                <w:sz w:val="20"/>
                <w:szCs w:val="20"/>
                <w:lang w:eastAsia="ko-KR"/>
              </w:rPr>
            </w:pPr>
            <w:r w:rsidRPr="00583077">
              <w:rPr>
                <w:rFonts w:eastAsia="Batang"/>
                <w:sz w:val="20"/>
                <w:szCs w:val="20"/>
                <w:lang w:eastAsia="ko-KR"/>
              </w:rPr>
              <w:t>32.87%</w:t>
            </w:r>
          </w:p>
        </w:tc>
        <w:tc>
          <w:tcPr>
            <w:tcW w:w="1220" w:type="dxa"/>
            <w:tcBorders>
              <w:top w:val="single" w:sz="4" w:space="0" w:color="auto"/>
              <w:left w:val="nil"/>
              <w:bottom w:val="single" w:sz="4" w:space="0" w:color="auto"/>
              <w:right w:val="single" w:sz="8" w:space="0" w:color="auto"/>
            </w:tcBorders>
            <w:noWrap/>
            <w:vAlign w:val="bottom"/>
          </w:tcPr>
          <w:p w:rsidR="00B22874" w:rsidRPr="00583077" w:rsidRDefault="00B22874" w:rsidP="0050045E">
            <w:pPr>
              <w:jc w:val="right"/>
              <w:rPr>
                <w:rFonts w:eastAsia="Batang"/>
                <w:sz w:val="20"/>
                <w:szCs w:val="20"/>
                <w:lang w:eastAsia="ko-KR"/>
              </w:rPr>
            </w:pPr>
            <w:r w:rsidRPr="00583077">
              <w:rPr>
                <w:rFonts w:eastAsia="Batang"/>
                <w:sz w:val="20"/>
                <w:szCs w:val="20"/>
                <w:lang w:eastAsia="ko-KR"/>
              </w:rPr>
              <w:t>33.53%</w:t>
            </w:r>
          </w:p>
        </w:tc>
        <w:tc>
          <w:tcPr>
            <w:tcW w:w="1220" w:type="dxa"/>
            <w:tcBorders>
              <w:top w:val="single" w:sz="4" w:space="0" w:color="auto"/>
              <w:left w:val="nil"/>
              <w:bottom w:val="single" w:sz="4" w:space="0" w:color="auto"/>
              <w:right w:val="single" w:sz="8" w:space="0" w:color="auto"/>
            </w:tcBorders>
            <w:noWrap/>
            <w:vAlign w:val="bottom"/>
          </w:tcPr>
          <w:p w:rsidR="00B22874" w:rsidRPr="00583077" w:rsidRDefault="00B22874" w:rsidP="0050045E">
            <w:pPr>
              <w:jc w:val="right"/>
              <w:rPr>
                <w:rFonts w:eastAsia="Batang"/>
                <w:sz w:val="20"/>
                <w:szCs w:val="20"/>
                <w:lang w:eastAsia="ko-KR"/>
              </w:rPr>
            </w:pPr>
            <w:r w:rsidRPr="00583077">
              <w:rPr>
                <w:rFonts w:eastAsia="Batang"/>
                <w:sz w:val="20"/>
                <w:szCs w:val="20"/>
                <w:lang w:eastAsia="ko-KR"/>
              </w:rPr>
              <w:t>34.29%</w:t>
            </w:r>
          </w:p>
        </w:tc>
        <w:tc>
          <w:tcPr>
            <w:tcW w:w="1220" w:type="dxa"/>
            <w:tcBorders>
              <w:top w:val="single" w:sz="4" w:space="0" w:color="auto"/>
              <w:left w:val="nil"/>
              <w:bottom w:val="single" w:sz="4" w:space="0" w:color="auto"/>
              <w:right w:val="single" w:sz="8" w:space="0" w:color="auto"/>
            </w:tcBorders>
            <w:noWrap/>
            <w:vAlign w:val="bottom"/>
          </w:tcPr>
          <w:p w:rsidR="00B22874" w:rsidRPr="00583077" w:rsidRDefault="00B22874" w:rsidP="0050045E">
            <w:pPr>
              <w:jc w:val="right"/>
              <w:rPr>
                <w:rFonts w:eastAsia="Batang"/>
                <w:sz w:val="20"/>
                <w:szCs w:val="20"/>
                <w:lang w:eastAsia="ko-KR"/>
              </w:rPr>
            </w:pPr>
            <w:r w:rsidRPr="00583077">
              <w:rPr>
                <w:rFonts w:eastAsia="Batang"/>
                <w:sz w:val="20"/>
                <w:szCs w:val="20"/>
                <w:lang w:eastAsia="ko-KR"/>
              </w:rPr>
              <w:t>36.88%</w:t>
            </w:r>
          </w:p>
        </w:tc>
      </w:tr>
      <w:tr w:rsidR="00B22874" w:rsidRPr="00583077" w:rsidTr="005B3E9C">
        <w:trPr>
          <w:trHeight w:val="255"/>
        </w:trPr>
        <w:tc>
          <w:tcPr>
            <w:tcW w:w="3440" w:type="dxa"/>
            <w:tcBorders>
              <w:top w:val="nil"/>
              <w:left w:val="single" w:sz="8" w:space="0" w:color="auto"/>
              <w:bottom w:val="single" w:sz="4" w:space="0" w:color="auto"/>
              <w:right w:val="single" w:sz="8" w:space="0" w:color="auto"/>
            </w:tcBorders>
            <w:noWrap/>
            <w:vAlign w:val="bottom"/>
          </w:tcPr>
          <w:p w:rsidR="00B22874" w:rsidRPr="009F044E" w:rsidRDefault="00B22874" w:rsidP="009603A1">
            <w:pPr>
              <w:jc w:val="right"/>
              <w:rPr>
                <w:rFonts w:eastAsia="Batang"/>
                <w:sz w:val="20"/>
                <w:szCs w:val="20"/>
                <w:lang w:eastAsia="ko-KR"/>
              </w:rPr>
            </w:pPr>
            <w:r w:rsidRPr="009F044E">
              <w:rPr>
                <w:rFonts w:eastAsia="Batang"/>
                <w:sz w:val="20"/>
                <w:szCs w:val="20"/>
                <w:lang w:eastAsia="ko-KR"/>
              </w:rPr>
              <w:t>ii. Borxh i Jashtëm/PBB</w:t>
            </w:r>
          </w:p>
        </w:tc>
        <w:tc>
          <w:tcPr>
            <w:tcW w:w="1220" w:type="dxa"/>
            <w:tcBorders>
              <w:top w:val="nil"/>
              <w:left w:val="nil"/>
              <w:bottom w:val="single" w:sz="4" w:space="0" w:color="auto"/>
              <w:right w:val="single" w:sz="8" w:space="0" w:color="auto"/>
            </w:tcBorders>
            <w:noWrap/>
            <w:vAlign w:val="bottom"/>
          </w:tcPr>
          <w:p w:rsidR="00B22874" w:rsidRPr="00583077" w:rsidRDefault="00B22874" w:rsidP="0050045E">
            <w:pPr>
              <w:jc w:val="right"/>
              <w:rPr>
                <w:rFonts w:eastAsia="Batang"/>
                <w:sz w:val="20"/>
                <w:szCs w:val="20"/>
                <w:lang w:eastAsia="ko-KR"/>
              </w:rPr>
            </w:pPr>
            <w:r w:rsidRPr="00583077">
              <w:rPr>
                <w:rFonts w:eastAsia="Batang"/>
                <w:sz w:val="20"/>
                <w:szCs w:val="20"/>
                <w:lang w:eastAsia="ko-KR"/>
              </w:rPr>
              <w:t>19.80%</w:t>
            </w:r>
          </w:p>
        </w:tc>
        <w:tc>
          <w:tcPr>
            <w:tcW w:w="1220" w:type="dxa"/>
            <w:tcBorders>
              <w:top w:val="nil"/>
              <w:left w:val="nil"/>
              <w:bottom w:val="single" w:sz="4" w:space="0" w:color="auto"/>
              <w:right w:val="single" w:sz="8" w:space="0" w:color="auto"/>
            </w:tcBorders>
            <w:noWrap/>
            <w:vAlign w:val="bottom"/>
          </w:tcPr>
          <w:p w:rsidR="00B22874" w:rsidRPr="00583077" w:rsidRDefault="00B22874" w:rsidP="0050045E">
            <w:pPr>
              <w:jc w:val="right"/>
              <w:rPr>
                <w:rFonts w:eastAsia="Batang"/>
                <w:sz w:val="20"/>
                <w:szCs w:val="20"/>
                <w:lang w:eastAsia="ko-KR"/>
              </w:rPr>
            </w:pPr>
            <w:r w:rsidRPr="00583077">
              <w:rPr>
                <w:rFonts w:eastAsia="Batang"/>
                <w:sz w:val="20"/>
                <w:szCs w:val="20"/>
                <w:lang w:eastAsia="ko-KR"/>
              </w:rPr>
              <w:t>21.93%</w:t>
            </w:r>
          </w:p>
        </w:tc>
        <w:tc>
          <w:tcPr>
            <w:tcW w:w="1220" w:type="dxa"/>
            <w:tcBorders>
              <w:top w:val="nil"/>
              <w:left w:val="nil"/>
              <w:bottom w:val="single" w:sz="4" w:space="0" w:color="auto"/>
              <w:right w:val="single" w:sz="8" w:space="0" w:color="auto"/>
            </w:tcBorders>
            <w:noWrap/>
            <w:vAlign w:val="bottom"/>
          </w:tcPr>
          <w:p w:rsidR="00B22874" w:rsidRPr="00583077" w:rsidRDefault="00B22874" w:rsidP="0050045E">
            <w:pPr>
              <w:jc w:val="right"/>
              <w:rPr>
                <w:rFonts w:eastAsia="Batang"/>
                <w:sz w:val="20"/>
                <w:szCs w:val="20"/>
                <w:lang w:eastAsia="ko-KR"/>
              </w:rPr>
            </w:pPr>
            <w:r w:rsidRPr="00583077">
              <w:rPr>
                <w:rFonts w:eastAsia="Batang"/>
                <w:sz w:val="20"/>
                <w:szCs w:val="20"/>
                <w:lang w:eastAsia="ko-KR"/>
              </w:rPr>
              <w:t>22.95%</w:t>
            </w:r>
          </w:p>
        </w:tc>
        <w:tc>
          <w:tcPr>
            <w:tcW w:w="1220" w:type="dxa"/>
            <w:tcBorders>
              <w:top w:val="nil"/>
              <w:left w:val="nil"/>
              <w:bottom w:val="single" w:sz="4" w:space="0" w:color="auto"/>
              <w:right w:val="single" w:sz="8" w:space="0" w:color="auto"/>
            </w:tcBorders>
            <w:noWrap/>
            <w:vAlign w:val="bottom"/>
          </w:tcPr>
          <w:p w:rsidR="00B22874" w:rsidRPr="00583077" w:rsidRDefault="00B22874" w:rsidP="0050045E">
            <w:pPr>
              <w:jc w:val="right"/>
              <w:rPr>
                <w:rFonts w:eastAsia="Batang"/>
                <w:sz w:val="20"/>
                <w:szCs w:val="20"/>
                <w:lang w:eastAsia="ko-KR"/>
              </w:rPr>
            </w:pPr>
            <w:r w:rsidRPr="00583077">
              <w:rPr>
                <w:rFonts w:eastAsia="Batang"/>
                <w:sz w:val="20"/>
                <w:szCs w:val="20"/>
                <w:lang w:eastAsia="ko-KR"/>
              </w:rPr>
              <w:t>24.12%</w:t>
            </w:r>
          </w:p>
        </w:tc>
        <w:tc>
          <w:tcPr>
            <w:tcW w:w="1220" w:type="dxa"/>
            <w:tcBorders>
              <w:top w:val="nil"/>
              <w:left w:val="nil"/>
              <w:bottom w:val="single" w:sz="4" w:space="0" w:color="auto"/>
              <w:right w:val="single" w:sz="8" w:space="0" w:color="auto"/>
            </w:tcBorders>
            <w:noWrap/>
            <w:vAlign w:val="bottom"/>
          </w:tcPr>
          <w:p w:rsidR="00B22874" w:rsidRPr="00583077" w:rsidRDefault="00B22874" w:rsidP="0050045E">
            <w:pPr>
              <w:jc w:val="right"/>
              <w:rPr>
                <w:rFonts w:eastAsia="Batang"/>
                <w:sz w:val="20"/>
                <w:szCs w:val="20"/>
                <w:lang w:eastAsia="ko-KR"/>
              </w:rPr>
            </w:pPr>
            <w:r w:rsidRPr="00583077">
              <w:rPr>
                <w:rFonts w:eastAsia="Batang"/>
                <w:sz w:val="20"/>
                <w:szCs w:val="20"/>
                <w:lang w:eastAsia="ko-KR"/>
              </w:rPr>
              <w:t>24.48%</w:t>
            </w:r>
          </w:p>
        </w:tc>
      </w:tr>
      <w:tr w:rsidR="00B22874" w:rsidRPr="00583077" w:rsidTr="005B3E9C">
        <w:trPr>
          <w:trHeight w:val="255"/>
        </w:trPr>
        <w:tc>
          <w:tcPr>
            <w:tcW w:w="3440" w:type="dxa"/>
            <w:tcBorders>
              <w:top w:val="nil"/>
              <w:left w:val="single" w:sz="8" w:space="0" w:color="auto"/>
              <w:bottom w:val="nil"/>
              <w:right w:val="single" w:sz="8" w:space="0" w:color="auto"/>
            </w:tcBorders>
            <w:noWrap/>
            <w:vAlign w:val="bottom"/>
          </w:tcPr>
          <w:p w:rsidR="00B22874" w:rsidRPr="009F044E" w:rsidRDefault="00B22874" w:rsidP="009603A1">
            <w:pPr>
              <w:jc w:val="right"/>
              <w:rPr>
                <w:rFonts w:eastAsia="Batang"/>
                <w:b/>
                <w:bCs/>
                <w:sz w:val="20"/>
                <w:szCs w:val="20"/>
                <w:lang w:eastAsia="ko-KR"/>
              </w:rPr>
            </w:pPr>
            <w:r w:rsidRPr="009F044E">
              <w:rPr>
                <w:rFonts w:eastAsia="Batang"/>
                <w:b/>
                <w:bCs/>
                <w:sz w:val="20"/>
                <w:szCs w:val="20"/>
                <w:lang w:eastAsia="ko-KR"/>
              </w:rPr>
              <w:t>II.Stoku i Borxhit të Garantuar/PBB</w:t>
            </w:r>
          </w:p>
        </w:tc>
        <w:tc>
          <w:tcPr>
            <w:tcW w:w="1220" w:type="dxa"/>
            <w:tcBorders>
              <w:top w:val="nil"/>
              <w:left w:val="nil"/>
              <w:bottom w:val="single" w:sz="4" w:space="0" w:color="auto"/>
              <w:right w:val="single" w:sz="8" w:space="0" w:color="auto"/>
            </w:tcBorders>
            <w:noWrap/>
            <w:vAlign w:val="bottom"/>
          </w:tcPr>
          <w:p w:rsidR="00B22874" w:rsidRPr="00583077" w:rsidRDefault="00B22874" w:rsidP="0050045E">
            <w:pPr>
              <w:jc w:val="right"/>
              <w:rPr>
                <w:rFonts w:eastAsia="Batang"/>
                <w:b/>
                <w:bCs/>
                <w:sz w:val="20"/>
                <w:szCs w:val="20"/>
                <w:lang w:eastAsia="ko-KR"/>
              </w:rPr>
            </w:pPr>
            <w:r w:rsidRPr="00583077">
              <w:rPr>
                <w:rFonts w:eastAsia="Batang"/>
                <w:b/>
                <w:bCs/>
                <w:sz w:val="20"/>
                <w:szCs w:val="20"/>
                <w:lang w:eastAsia="ko-KR"/>
              </w:rPr>
              <w:t>3.99%</w:t>
            </w:r>
          </w:p>
        </w:tc>
        <w:tc>
          <w:tcPr>
            <w:tcW w:w="1220" w:type="dxa"/>
            <w:tcBorders>
              <w:top w:val="nil"/>
              <w:left w:val="nil"/>
              <w:bottom w:val="single" w:sz="4" w:space="0" w:color="auto"/>
              <w:right w:val="single" w:sz="8" w:space="0" w:color="auto"/>
            </w:tcBorders>
            <w:noWrap/>
            <w:vAlign w:val="bottom"/>
          </w:tcPr>
          <w:p w:rsidR="00B22874" w:rsidRPr="00583077" w:rsidRDefault="00B22874" w:rsidP="0050045E">
            <w:pPr>
              <w:jc w:val="right"/>
              <w:rPr>
                <w:rFonts w:eastAsia="Batang"/>
                <w:b/>
                <w:bCs/>
                <w:sz w:val="20"/>
                <w:szCs w:val="20"/>
                <w:lang w:eastAsia="ko-KR"/>
              </w:rPr>
            </w:pPr>
            <w:r w:rsidRPr="00583077">
              <w:rPr>
                <w:rFonts w:eastAsia="Batang"/>
                <w:b/>
                <w:bCs/>
                <w:sz w:val="20"/>
                <w:szCs w:val="20"/>
                <w:lang w:eastAsia="ko-KR"/>
              </w:rPr>
              <w:t>3.72%</w:t>
            </w:r>
          </w:p>
        </w:tc>
        <w:tc>
          <w:tcPr>
            <w:tcW w:w="1220" w:type="dxa"/>
            <w:tcBorders>
              <w:top w:val="nil"/>
              <w:left w:val="nil"/>
              <w:bottom w:val="single" w:sz="4" w:space="0" w:color="auto"/>
              <w:right w:val="single" w:sz="8" w:space="0" w:color="auto"/>
            </w:tcBorders>
            <w:noWrap/>
            <w:vAlign w:val="bottom"/>
          </w:tcPr>
          <w:p w:rsidR="00B22874" w:rsidRPr="00583077" w:rsidRDefault="00B22874" w:rsidP="0050045E">
            <w:pPr>
              <w:jc w:val="right"/>
              <w:rPr>
                <w:rFonts w:eastAsia="Batang"/>
                <w:b/>
                <w:bCs/>
                <w:sz w:val="20"/>
                <w:szCs w:val="20"/>
                <w:lang w:eastAsia="ko-KR"/>
              </w:rPr>
            </w:pPr>
            <w:r w:rsidRPr="00583077">
              <w:rPr>
                <w:rFonts w:eastAsia="Batang"/>
                <w:b/>
                <w:bCs/>
                <w:sz w:val="20"/>
                <w:szCs w:val="20"/>
                <w:lang w:eastAsia="ko-KR"/>
              </w:rPr>
              <w:t>3.77%</w:t>
            </w:r>
          </w:p>
        </w:tc>
        <w:tc>
          <w:tcPr>
            <w:tcW w:w="1220" w:type="dxa"/>
            <w:tcBorders>
              <w:top w:val="nil"/>
              <w:left w:val="nil"/>
              <w:bottom w:val="single" w:sz="4" w:space="0" w:color="auto"/>
              <w:right w:val="single" w:sz="8" w:space="0" w:color="auto"/>
            </w:tcBorders>
            <w:noWrap/>
            <w:vAlign w:val="bottom"/>
          </w:tcPr>
          <w:p w:rsidR="00B22874" w:rsidRPr="00583077" w:rsidRDefault="00B22874" w:rsidP="0050045E">
            <w:pPr>
              <w:jc w:val="right"/>
              <w:rPr>
                <w:rFonts w:eastAsia="Batang"/>
                <w:b/>
                <w:bCs/>
                <w:sz w:val="20"/>
                <w:szCs w:val="20"/>
                <w:lang w:eastAsia="ko-KR"/>
              </w:rPr>
            </w:pPr>
            <w:r w:rsidRPr="00583077">
              <w:rPr>
                <w:rFonts w:eastAsia="Batang"/>
                <w:b/>
                <w:bCs/>
                <w:sz w:val="20"/>
                <w:szCs w:val="20"/>
                <w:lang w:eastAsia="ko-KR"/>
              </w:rPr>
              <w:t>4.03%</w:t>
            </w:r>
          </w:p>
        </w:tc>
        <w:tc>
          <w:tcPr>
            <w:tcW w:w="1220" w:type="dxa"/>
            <w:tcBorders>
              <w:top w:val="nil"/>
              <w:left w:val="nil"/>
              <w:bottom w:val="single" w:sz="4" w:space="0" w:color="auto"/>
              <w:right w:val="single" w:sz="8" w:space="0" w:color="auto"/>
            </w:tcBorders>
            <w:noWrap/>
            <w:vAlign w:val="bottom"/>
          </w:tcPr>
          <w:p w:rsidR="00B22874" w:rsidRPr="00583077" w:rsidRDefault="00B22874" w:rsidP="0050045E">
            <w:pPr>
              <w:jc w:val="right"/>
              <w:rPr>
                <w:rFonts w:eastAsia="Batang"/>
                <w:b/>
                <w:bCs/>
                <w:sz w:val="20"/>
                <w:szCs w:val="20"/>
                <w:lang w:eastAsia="ko-KR"/>
              </w:rPr>
            </w:pPr>
            <w:r w:rsidRPr="00583077">
              <w:rPr>
                <w:rFonts w:eastAsia="Batang"/>
                <w:b/>
                <w:bCs/>
                <w:sz w:val="20"/>
                <w:szCs w:val="20"/>
                <w:lang w:eastAsia="ko-KR"/>
              </w:rPr>
              <w:t>3.78%</w:t>
            </w:r>
          </w:p>
        </w:tc>
      </w:tr>
      <w:tr w:rsidR="00B22874" w:rsidRPr="00583077" w:rsidTr="005B3E9C">
        <w:trPr>
          <w:trHeight w:val="255"/>
        </w:trPr>
        <w:tc>
          <w:tcPr>
            <w:tcW w:w="3440" w:type="dxa"/>
            <w:tcBorders>
              <w:top w:val="single" w:sz="4" w:space="0" w:color="auto"/>
              <w:left w:val="single" w:sz="8" w:space="0" w:color="auto"/>
              <w:bottom w:val="single" w:sz="4" w:space="0" w:color="auto"/>
              <w:right w:val="single" w:sz="8" w:space="0" w:color="auto"/>
            </w:tcBorders>
            <w:noWrap/>
            <w:vAlign w:val="bottom"/>
          </w:tcPr>
          <w:p w:rsidR="00B22874" w:rsidRPr="009F044E" w:rsidRDefault="00B22874" w:rsidP="009603A1">
            <w:pPr>
              <w:jc w:val="right"/>
              <w:rPr>
                <w:rFonts w:eastAsia="Batang"/>
                <w:sz w:val="20"/>
                <w:szCs w:val="20"/>
                <w:lang w:eastAsia="ko-KR"/>
              </w:rPr>
            </w:pPr>
            <w:r w:rsidRPr="009F044E">
              <w:rPr>
                <w:rFonts w:eastAsia="Batang"/>
                <w:sz w:val="20"/>
                <w:szCs w:val="20"/>
                <w:lang w:eastAsia="ko-KR"/>
              </w:rPr>
              <w:t>i. Garancitë e Brendshme/PBB</w:t>
            </w:r>
          </w:p>
        </w:tc>
        <w:tc>
          <w:tcPr>
            <w:tcW w:w="1220" w:type="dxa"/>
            <w:tcBorders>
              <w:top w:val="nil"/>
              <w:left w:val="nil"/>
              <w:bottom w:val="single" w:sz="4" w:space="0" w:color="auto"/>
              <w:right w:val="single" w:sz="8" w:space="0" w:color="auto"/>
            </w:tcBorders>
            <w:noWrap/>
            <w:vAlign w:val="bottom"/>
          </w:tcPr>
          <w:p w:rsidR="00B22874" w:rsidRPr="00583077" w:rsidRDefault="00B22874" w:rsidP="0050045E">
            <w:pPr>
              <w:jc w:val="right"/>
              <w:rPr>
                <w:rFonts w:eastAsia="Batang"/>
                <w:sz w:val="20"/>
                <w:szCs w:val="20"/>
                <w:lang w:eastAsia="ko-KR"/>
              </w:rPr>
            </w:pPr>
            <w:r w:rsidRPr="00583077">
              <w:rPr>
                <w:rFonts w:eastAsia="Batang"/>
                <w:sz w:val="20"/>
                <w:szCs w:val="20"/>
                <w:lang w:eastAsia="ko-KR"/>
              </w:rPr>
              <w:t>0.48%</w:t>
            </w:r>
          </w:p>
        </w:tc>
        <w:tc>
          <w:tcPr>
            <w:tcW w:w="1220" w:type="dxa"/>
            <w:tcBorders>
              <w:top w:val="nil"/>
              <w:left w:val="nil"/>
              <w:bottom w:val="single" w:sz="4" w:space="0" w:color="auto"/>
              <w:right w:val="single" w:sz="8" w:space="0" w:color="auto"/>
            </w:tcBorders>
            <w:noWrap/>
            <w:vAlign w:val="bottom"/>
          </w:tcPr>
          <w:p w:rsidR="00B22874" w:rsidRPr="00583077" w:rsidRDefault="00B22874" w:rsidP="0050045E">
            <w:pPr>
              <w:jc w:val="right"/>
              <w:rPr>
                <w:rFonts w:eastAsia="Batang"/>
                <w:sz w:val="20"/>
                <w:szCs w:val="20"/>
                <w:lang w:eastAsia="ko-KR"/>
              </w:rPr>
            </w:pPr>
            <w:r w:rsidRPr="00583077">
              <w:rPr>
                <w:rFonts w:eastAsia="Batang"/>
                <w:sz w:val="20"/>
                <w:szCs w:val="20"/>
                <w:lang w:eastAsia="ko-KR"/>
              </w:rPr>
              <w:t>0.45%</w:t>
            </w:r>
          </w:p>
        </w:tc>
        <w:tc>
          <w:tcPr>
            <w:tcW w:w="1220" w:type="dxa"/>
            <w:tcBorders>
              <w:top w:val="nil"/>
              <w:left w:val="nil"/>
              <w:bottom w:val="single" w:sz="4" w:space="0" w:color="auto"/>
              <w:right w:val="single" w:sz="8" w:space="0" w:color="auto"/>
            </w:tcBorders>
            <w:noWrap/>
            <w:vAlign w:val="bottom"/>
          </w:tcPr>
          <w:p w:rsidR="00B22874" w:rsidRPr="00583077" w:rsidRDefault="00B22874" w:rsidP="0050045E">
            <w:pPr>
              <w:jc w:val="right"/>
              <w:rPr>
                <w:rFonts w:eastAsia="Batang"/>
                <w:sz w:val="20"/>
                <w:szCs w:val="20"/>
                <w:lang w:eastAsia="ko-KR"/>
              </w:rPr>
            </w:pPr>
            <w:r w:rsidRPr="00583077">
              <w:rPr>
                <w:rFonts w:eastAsia="Batang"/>
                <w:sz w:val="20"/>
                <w:szCs w:val="20"/>
                <w:lang w:eastAsia="ko-KR"/>
              </w:rPr>
              <w:t>0.68%</w:t>
            </w:r>
          </w:p>
        </w:tc>
        <w:tc>
          <w:tcPr>
            <w:tcW w:w="1220" w:type="dxa"/>
            <w:tcBorders>
              <w:top w:val="nil"/>
              <w:left w:val="nil"/>
              <w:bottom w:val="single" w:sz="4" w:space="0" w:color="auto"/>
              <w:right w:val="single" w:sz="8" w:space="0" w:color="auto"/>
            </w:tcBorders>
            <w:noWrap/>
            <w:vAlign w:val="bottom"/>
          </w:tcPr>
          <w:p w:rsidR="00B22874" w:rsidRPr="00583077" w:rsidRDefault="00B22874" w:rsidP="0050045E">
            <w:pPr>
              <w:jc w:val="right"/>
              <w:rPr>
                <w:rFonts w:eastAsia="Batang"/>
                <w:sz w:val="20"/>
                <w:szCs w:val="20"/>
                <w:lang w:eastAsia="ko-KR"/>
              </w:rPr>
            </w:pPr>
            <w:r w:rsidRPr="00583077">
              <w:rPr>
                <w:rFonts w:eastAsia="Batang"/>
                <w:sz w:val="20"/>
                <w:szCs w:val="20"/>
                <w:lang w:eastAsia="ko-KR"/>
              </w:rPr>
              <w:t>1.18%</w:t>
            </w:r>
          </w:p>
        </w:tc>
        <w:tc>
          <w:tcPr>
            <w:tcW w:w="1220" w:type="dxa"/>
            <w:tcBorders>
              <w:top w:val="nil"/>
              <w:left w:val="nil"/>
              <w:bottom w:val="single" w:sz="4" w:space="0" w:color="auto"/>
              <w:right w:val="single" w:sz="8" w:space="0" w:color="auto"/>
            </w:tcBorders>
            <w:noWrap/>
            <w:vAlign w:val="bottom"/>
          </w:tcPr>
          <w:p w:rsidR="00B22874" w:rsidRPr="00583077" w:rsidRDefault="00B22874" w:rsidP="0050045E">
            <w:pPr>
              <w:jc w:val="right"/>
              <w:rPr>
                <w:rFonts w:eastAsia="Batang"/>
                <w:sz w:val="20"/>
                <w:szCs w:val="20"/>
                <w:lang w:eastAsia="ko-KR"/>
              </w:rPr>
            </w:pPr>
            <w:r w:rsidRPr="00583077">
              <w:rPr>
                <w:rFonts w:eastAsia="Batang"/>
                <w:sz w:val="20"/>
                <w:szCs w:val="20"/>
                <w:lang w:eastAsia="ko-KR"/>
              </w:rPr>
              <w:t>1.47%</w:t>
            </w:r>
          </w:p>
        </w:tc>
      </w:tr>
      <w:tr w:rsidR="00B22874" w:rsidRPr="00583077" w:rsidTr="005B3E9C">
        <w:trPr>
          <w:trHeight w:val="270"/>
        </w:trPr>
        <w:tc>
          <w:tcPr>
            <w:tcW w:w="3440" w:type="dxa"/>
            <w:tcBorders>
              <w:top w:val="nil"/>
              <w:left w:val="single" w:sz="8" w:space="0" w:color="auto"/>
              <w:bottom w:val="single" w:sz="8" w:space="0" w:color="auto"/>
              <w:right w:val="single" w:sz="8" w:space="0" w:color="auto"/>
            </w:tcBorders>
            <w:noWrap/>
            <w:vAlign w:val="bottom"/>
          </w:tcPr>
          <w:p w:rsidR="00B22874" w:rsidRPr="009F044E" w:rsidRDefault="00B22874" w:rsidP="009603A1">
            <w:pPr>
              <w:jc w:val="right"/>
              <w:rPr>
                <w:rFonts w:eastAsia="Batang"/>
                <w:sz w:val="20"/>
                <w:szCs w:val="20"/>
                <w:lang w:eastAsia="ko-KR"/>
              </w:rPr>
            </w:pPr>
            <w:r w:rsidRPr="009F044E">
              <w:rPr>
                <w:rFonts w:eastAsia="Batang"/>
                <w:sz w:val="20"/>
                <w:szCs w:val="20"/>
                <w:lang w:eastAsia="ko-KR"/>
              </w:rPr>
              <w:t>ii. Garancitë e Jashtme/PBB</w:t>
            </w:r>
          </w:p>
        </w:tc>
        <w:tc>
          <w:tcPr>
            <w:tcW w:w="1220" w:type="dxa"/>
            <w:tcBorders>
              <w:top w:val="nil"/>
              <w:left w:val="nil"/>
              <w:bottom w:val="single" w:sz="8" w:space="0" w:color="auto"/>
              <w:right w:val="single" w:sz="8" w:space="0" w:color="auto"/>
            </w:tcBorders>
            <w:noWrap/>
            <w:vAlign w:val="bottom"/>
          </w:tcPr>
          <w:p w:rsidR="00B22874" w:rsidRPr="00583077" w:rsidRDefault="00B22874" w:rsidP="0050045E">
            <w:pPr>
              <w:jc w:val="right"/>
              <w:rPr>
                <w:rFonts w:eastAsia="Batang"/>
                <w:sz w:val="20"/>
                <w:szCs w:val="20"/>
                <w:lang w:eastAsia="ko-KR"/>
              </w:rPr>
            </w:pPr>
            <w:r w:rsidRPr="00583077">
              <w:rPr>
                <w:rFonts w:eastAsia="Batang"/>
                <w:sz w:val="20"/>
                <w:szCs w:val="20"/>
                <w:lang w:eastAsia="ko-KR"/>
              </w:rPr>
              <w:t>3.51%</w:t>
            </w:r>
          </w:p>
        </w:tc>
        <w:tc>
          <w:tcPr>
            <w:tcW w:w="1220" w:type="dxa"/>
            <w:tcBorders>
              <w:top w:val="nil"/>
              <w:left w:val="nil"/>
              <w:bottom w:val="single" w:sz="8" w:space="0" w:color="auto"/>
              <w:right w:val="single" w:sz="8" w:space="0" w:color="auto"/>
            </w:tcBorders>
            <w:noWrap/>
            <w:vAlign w:val="bottom"/>
          </w:tcPr>
          <w:p w:rsidR="00B22874" w:rsidRPr="00583077" w:rsidRDefault="00B22874" w:rsidP="0050045E">
            <w:pPr>
              <w:jc w:val="right"/>
              <w:rPr>
                <w:rFonts w:eastAsia="Batang"/>
                <w:sz w:val="20"/>
                <w:szCs w:val="20"/>
                <w:lang w:eastAsia="ko-KR"/>
              </w:rPr>
            </w:pPr>
            <w:r w:rsidRPr="00583077">
              <w:rPr>
                <w:rFonts w:eastAsia="Batang"/>
                <w:sz w:val="20"/>
                <w:szCs w:val="20"/>
                <w:lang w:eastAsia="ko-KR"/>
              </w:rPr>
              <w:t>3.26%</w:t>
            </w:r>
          </w:p>
        </w:tc>
        <w:tc>
          <w:tcPr>
            <w:tcW w:w="1220" w:type="dxa"/>
            <w:tcBorders>
              <w:top w:val="nil"/>
              <w:left w:val="nil"/>
              <w:bottom w:val="single" w:sz="8" w:space="0" w:color="auto"/>
              <w:right w:val="single" w:sz="8" w:space="0" w:color="auto"/>
            </w:tcBorders>
            <w:noWrap/>
            <w:vAlign w:val="bottom"/>
          </w:tcPr>
          <w:p w:rsidR="00B22874" w:rsidRPr="00583077" w:rsidRDefault="00B22874" w:rsidP="0050045E">
            <w:pPr>
              <w:jc w:val="right"/>
              <w:rPr>
                <w:rFonts w:eastAsia="Batang"/>
                <w:sz w:val="20"/>
                <w:szCs w:val="20"/>
                <w:lang w:eastAsia="ko-KR"/>
              </w:rPr>
            </w:pPr>
            <w:r w:rsidRPr="00583077">
              <w:rPr>
                <w:rFonts w:eastAsia="Batang"/>
                <w:sz w:val="20"/>
                <w:szCs w:val="20"/>
                <w:lang w:eastAsia="ko-KR"/>
              </w:rPr>
              <w:t>3.09%</w:t>
            </w:r>
          </w:p>
        </w:tc>
        <w:tc>
          <w:tcPr>
            <w:tcW w:w="1220" w:type="dxa"/>
            <w:tcBorders>
              <w:top w:val="nil"/>
              <w:left w:val="nil"/>
              <w:bottom w:val="single" w:sz="8" w:space="0" w:color="auto"/>
              <w:right w:val="single" w:sz="8" w:space="0" w:color="auto"/>
            </w:tcBorders>
            <w:noWrap/>
            <w:vAlign w:val="bottom"/>
          </w:tcPr>
          <w:p w:rsidR="00B22874" w:rsidRPr="00583077" w:rsidRDefault="00B22874" w:rsidP="0050045E">
            <w:pPr>
              <w:jc w:val="right"/>
              <w:rPr>
                <w:rFonts w:eastAsia="Batang"/>
                <w:sz w:val="20"/>
                <w:szCs w:val="20"/>
                <w:lang w:eastAsia="ko-KR"/>
              </w:rPr>
            </w:pPr>
            <w:r w:rsidRPr="00583077">
              <w:rPr>
                <w:rFonts w:eastAsia="Batang"/>
                <w:sz w:val="20"/>
                <w:szCs w:val="20"/>
                <w:lang w:eastAsia="ko-KR"/>
              </w:rPr>
              <w:t>2.85%</w:t>
            </w:r>
          </w:p>
        </w:tc>
        <w:tc>
          <w:tcPr>
            <w:tcW w:w="1220" w:type="dxa"/>
            <w:tcBorders>
              <w:top w:val="nil"/>
              <w:left w:val="nil"/>
              <w:bottom w:val="single" w:sz="8" w:space="0" w:color="auto"/>
              <w:right w:val="single" w:sz="8" w:space="0" w:color="auto"/>
            </w:tcBorders>
            <w:noWrap/>
            <w:vAlign w:val="bottom"/>
          </w:tcPr>
          <w:p w:rsidR="00B22874" w:rsidRPr="00583077" w:rsidRDefault="00B22874" w:rsidP="0050045E">
            <w:pPr>
              <w:jc w:val="right"/>
              <w:rPr>
                <w:rFonts w:eastAsia="Batang"/>
                <w:sz w:val="20"/>
                <w:szCs w:val="20"/>
                <w:lang w:eastAsia="ko-KR"/>
              </w:rPr>
            </w:pPr>
            <w:r w:rsidRPr="00583077">
              <w:rPr>
                <w:rFonts w:eastAsia="Batang"/>
                <w:sz w:val="20"/>
                <w:szCs w:val="20"/>
                <w:lang w:eastAsia="ko-KR"/>
              </w:rPr>
              <w:t>2.31%</w:t>
            </w:r>
          </w:p>
        </w:tc>
      </w:tr>
    </w:tbl>
    <w:p w:rsidR="00B22874" w:rsidRDefault="00B22874" w:rsidP="005F0B75">
      <w:pPr>
        <w:jc w:val="both"/>
        <w:rPr>
          <w:lang w:val="sq-AL"/>
        </w:rPr>
      </w:pPr>
    </w:p>
    <w:p w:rsidR="00B22874" w:rsidRPr="00583077" w:rsidRDefault="00B22874" w:rsidP="005F0B75">
      <w:pPr>
        <w:jc w:val="both"/>
        <w:rPr>
          <w:lang w:val="sq-AL"/>
        </w:rPr>
      </w:pPr>
    </w:p>
    <w:p w:rsidR="00B22874" w:rsidRDefault="00B22874" w:rsidP="00E77E3C">
      <w:pPr>
        <w:jc w:val="both"/>
        <w:rPr>
          <w:lang w:val="sq-AL"/>
        </w:rPr>
      </w:pPr>
      <w:r w:rsidRPr="00583077">
        <w:t xml:space="preserve">Politika për financimin e defiçitit të buxhetit ka çuar në përmbushjen e nevojave për huamarrje të brendshme në tregun </w:t>
      </w:r>
      <w:smartTag w:uri="urn:schemas-microsoft-com:office:smarttags" w:element="country-region">
        <w:smartTag w:uri="urn:schemas-microsoft-com:office:smarttags" w:element="place">
          <w:r w:rsidRPr="00583077">
            <w:t>vendas</w:t>
          </w:r>
        </w:smartTag>
      </w:smartTag>
      <w:r w:rsidRPr="00583077">
        <w:t xml:space="preserve"> kryesisht gjatë gjashtëmujorit të parë dhe njëkohësisht ka qënë shumë e rëndësishme për manaxhimin e likuiditetit për shkak të tendencave të të ardhurave në buxhet dhe zhvillimeve të shpejta të shpenzimeve. Gjatë </w:t>
      </w:r>
      <w:r>
        <w:t xml:space="preserve">një pjese të madhe të vitit 2013 ka pasur </w:t>
      </w:r>
      <w:r w:rsidRPr="00583077">
        <w:t xml:space="preserve"> rënie të të ardhurave shoqëruar me rritjen e shpenzimeve gjë e cila ka ushtruar presion mbi rritjen e defiçitit dhe të hua</w:t>
      </w:r>
      <w:r>
        <w:t xml:space="preserve">marrjes. Konkretisht, </w:t>
      </w:r>
      <w:r>
        <w:rPr>
          <w:lang w:val="sq-AL"/>
        </w:rPr>
        <w:t>n</w:t>
      </w:r>
      <w:r w:rsidRPr="00583077">
        <w:rPr>
          <w:rFonts w:eastAsia="Batang"/>
          <w:bCs/>
          <w:color w:val="000000"/>
          <w:lang w:eastAsia="ko-KR"/>
        </w:rPr>
        <w:t>ë</w:t>
      </w:r>
      <w:r w:rsidRPr="00583077">
        <w:rPr>
          <w:lang w:val="sq-AL"/>
        </w:rPr>
        <w:t xml:space="preserve"> fund t</w:t>
      </w:r>
      <w:r w:rsidRPr="00583077">
        <w:rPr>
          <w:rFonts w:eastAsia="Batang"/>
          <w:bCs/>
          <w:color w:val="000000"/>
          <w:lang w:eastAsia="ko-KR"/>
        </w:rPr>
        <w:t>ë vitit</w:t>
      </w:r>
      <w:r w:rsidRPr="00583077">
        <w:rPr>
          <w:lang w:val="sq-AL"/>
        </w:rPr>
        <w:t xml:space="preserve">  huamarrja e brendshme u realizua në nivelin 46.20 miliardë lekë nga të cilat 109.93% janë siguruar nëpërmjet emetimit të obligacioneve dhe -9.93% është ulur nga emetimi i bonove t</w:t>
      </w:r>
      <w:r w:rsidRPr="00583077">
        <w:rPr>
          <w:rFonts w:eastAsia="Batang"/>
          <w:bCs/>
          <w:color w:val="000000"/>
          <w:lang w:eastAsia="ko-KR"/>
        </w:rPr>
        <w:t>ë</w:t>
      </w:r>
      <w:r w:rsidRPr="00583077">
        <w:rPr>
          <w:lang w:val="sq-AL"/>
        </w:rPr>
        <w:t xml:space="preserve"> thesarit. Për herë të parë në muajin tetor u zhvillua ankandi për emetimin e obligacioneve 10 vjeçare, ankand i cili u realizua me sukses si rrjedhojë e kërkesës së lartë të tregut për këtë instrument dhe pjesëmarrjes së gjerë të investitorëve. </w:t>
      </w:r>
    </w:p>
    <w:p w:rsidR="00B22874" w:rsidRDefault="00B22874" w:rsidP="00E77E3C">
      <w:pPr>
        <w:jc w:val="both"/>
        <w:rPr>
          <w:lang w:val="sq-AL"/>
        </w:rPr>
      </w:pPr>
    </w:p>
    <w:p w:rsidR="00B22874" w:rsidRDefault="00B22874" w:rsidP="00E77E3C">
      <w:pPr>
        <w:jc w:val="both"/>
        <w:rPr>
          <w:lang w:val="sq-AL"/>
        </w:rPr>
      </w:pPr>
    </w:p>
    <w:p w:rsidR="00B22874" w:rsidRDefault="00B22874" w:rsidP="00E77E3C">
      <w:pPr>
        <w:jc w:val="both"/>
        <w:rPr>
          <w:lang w:val="sq-AL"/>
        </w:rPr>
      </w:pPr>
    </w:p>
    <w:p w:rsidR="00B22874" w:rsidRDefault="00B22874" w:rsidP="00E77E3C">
      <w:pPr>
        <w:jc w:val="both"/>
        <w:rPr>
          <w:lang w:val="sq-AL"/>
        </w:rPr>
      </w:pPr>
    </w:p>
    <w:p w:rsidR="00B22874" w:rsidRDefault="00B22874" w:rsidP="00E77E3C">
      <w:pPr>
        <w:jc w:val="both"/>
        <w:rPr>
          <w:lang w:val="sq-AL"/>
        </w:rPr>
      </w:pPr>
    </w:p>
    <w:p w:rsidR="00B22874" w:rsidRPr="00583077" w:rsidRDefault="00B22874" w:rsidP="00E77E3C">
      <w:pPr>
        <w:jc w:val="both"/>
        <w:rPr>
          <w:lang w:val="sq-AL"/>
        </w:rPr>
      </w:pPr>
    </w:p>
    <w:p w:rsidR="00B22874" w:rsidRPr="00583077" w:rsidRDefault="00B22874" w:rsidP="00735000">
      <w:pPr>
        <w:jc w:val="both"/>
        <w:rPr>
          <w:b/>
          <w:bCs/>
          <w:sz w:val="20"/>
          <w:szCs w:val="20"/>
          <w:lang w:val="it-IT"/>
        </w:rPr>
      </w:pPr>
      <w:r w:rsidRPr="00583077">
        <w:rPr>
          <w:b/>
          <w:bCs/>
          <w:sz w:val="20"/>
          <w:szCs w:val="20"/>
          <w:lang w:val="it-IT"/>
        </w:rPr>
        <w:lastRenderedPageBreak/>
        <w:t>Tabela 3.</w:t>
      </w:r>
    </w:p>
    <w:p w:rsidR="00B22874" w:rsidRPr="00583077" w:rsidRDefault="00B22874" w:rsidP="00735000">
      <w:pPr>
        <w:autoSpaceDE w:val="0"/>
        <w:autoSpaceDN w:val="0"/>
        <w:adjustRightInd w:val="0"/>
        <w:spacing w:line="300" w:lineRule="exact"/>
        <w:jc w:val="both"/>
        <w:rPr>
          <w:sz w:val="20"/>
          <w:szCs w:val="20"/>
          <w:lang w:val="it-IT"/>
        </w:rPr>
      </w:pPr>
      <w:r w:rsidRPr="00583077">
        <w:rPr>
          <w:sz w:val="20"/>
          <w:szCs w:val="20"/>
          <w:lang w:val="it-IT"/>
        </w:rPr>
        <w:t>* Financimi i deficitit sipas instrumentave të borxhit të brendshëm</w:t>
      </w:r>
    </w:p>
    <w:tbl>
      <w:tblPr>
        <w:tblW w:w="9440" w:type="dxa"/>
        <w:tblInd w:w="98" w:type="dxa"/>
        <w:tblLook w:val="0000"/>
      </w:tblPr>
      <w:tblGrid>
        <w:gridCol w:w="2800"/>
        <w:gridCol w:w="1660"/>
        <w:gridCol w:w="1660"/>
        <w:gridCol w:w="1660"/>
        <w:gridCol w:w="1660"/>
      </w:tblGrid>
      <w:tr w:rsidR="00B22874" w:rsidRPr="00583077" w:rsidTr="009F044E">
        <w:trPr>
          <w:trHeight w:val="510"/>
        </w:trPr>
        <w:tc>
          <w:tcPr>
            <w:tcW w:w="2800" w:type="dxa"/>
            <w:tcBorders>
              <w:top w:val="single" w:sz="8" w:space="0" w:color="auto"/>
              <w:left w:val="single" w:sz="8" w:space="0" w:color="auto"/>
              <w:bottom w:val="single" w:sz="8" w:space="0" w:color="auto"/>
              <w:right w:val="single" w:sz="8" w:space="0" w:color="auto"/>
            </w:tcBorders>
            <w:shd w:val="clear" w:color="auto" w:fill="99CCFF"/>
            <w:noWrap/>
            <w:vAlign w:val="bottom"/>
          </w:tcPr>
          <w:p w:rsidR="00B22874" w:rsidRPr="00583077" w:rsidRDefault="00B22874" w:rsidP="005E6205">
            <w:pPr>
              <w:jc w:val="right"/>
              <w:rPr>
                <w:rFonts w:eastAsia="Batang"/>
                <w:b/>
                <w:bCs/>
                <w:sz w:val="18"/>
                <w:szCs w:val="18"/>
                <w:lang w:eastAsia="ko-KR"/>
              </w:rPr>
            </w:pPr>
            <w:r w:rsidRPr="00583077">
              <w:rPr>
                <w:rFonts w:eastAsia="Batang"/>
                <w:b/>
                <w:bCs/>
                <w:sz w:val="18"/>
                <w:szCs w:val="18"/>
                <w:lang w:eastAsia="ko-KR"/>
              </w:rPr>
              <w:t> *në lekë</w:t>
            </w:r>
          </w:p>
        </w:tc>
        <w:tc>
          <w:tcPr>
            <w:tcW w:w="1660" w:type="dxa"/>
            <w:tcBorders>
              <w:top w:val="single" w:sz="8" w:space="0" w:color="auto"/>
              <w:left w:val="nil"/>
              <w:bottom w:val="single" w:sz="8" w:space="0" w:color="auto"/>
              <w:right w:val="single" w:sz="8" w:space="0" w:color="auto"/>
            </w:tcBorders>
            <w:shd w:val="clear" w:color="auto" w:fill="99CCFF"/>
            <w:noWrap/>
            <w:vAlign w:val="center"/>
          </w:tcPr>
          <w:p w:rsidR="00B22874" w:rsidRPr="00583077" w:rsidRDefault="00B22874" w:rsidP="005E6205">
            <w:pPr>
              <w:jc w:val="center"/>
              <w:rPr>
                <w:rFonts w:eastAsia="Batang"/>
                <w:b/>
                <w:bCs/>
                <w:sz w:val="20"/>
                <w:szCs w:val="20"/>
                <w:lang w:eastAsia="ko-KR"/>
              </w:rPr>
            </w:pPr>
            <w:r w:rsidRPr="00583077">
              <w:rPr>
                <w:rFonts w:eastAsia="Batang"/>
                <w:b/>
                <w:bCs/>
                <w:sz w:val="20"/>
                <w:szCs w:val="20"/>
                <w:lang w:eastAsia="ko-KR"/>
              </w:rPr>
              <w:t>Mars 2013</w:t>
            </w:r>
          </w:p>
        </w:tc>
        <w:tc>
          <w:tcPr>
            <w:tcW w:w="1660" w:type="dxa"/>
            <w:tcBorders>
              <w:top w:val="single" w:sz="8" w:space="0" w:color="auto"/>
              <w:left w:val="nil"/>
              <w:bottom w:val="single" w:sz="8" w:space="0" w:color="auto"/>
              <w:right w:val="single" w:sz="8" w:space="0" w:color="auto"/>
            </w:tcBorders>
            <w:shd w:val="clear" w:color="auto" w:fill="99CCFF"/>
            <w:noWrap/>
            <w:vAlign w:val="center"/>
          </w:tcPr>
          <w:p w:rsidR="00B22874" w:rsidRPr="00583077" w:rsidRDefault="00B22874" w:rsidP="005E6205">
            <w:pPr>
              <w:jc w:val="center"/>
              <w:rPr>
                <w:rFonts w:eastAsia="Batang"/>
                <w:b/>
                <w:bCs/>
                <w:sz w:val="20"/>
                <w:szCs w:val="20"/>
                <w:lang w:eastAsia="ko-KR"/>
              </w:rPr>
            </w:pPr>
            <w:r w:rsidRPr="00583077">
              <w:rPr>
                <w:rFonts w:eastAsia="Batang"/>
                <w:b/>
                <w:bCs/>
                <w:sz w:val="20"/>
                <w:szCs w:val="20"/>
                <w:lang w:eastAsia="ko-KR"/>
              </w:rPr>
              <w:t xml:space="preserve">Qershor 2013 </w:t>
            </w:r>
          </w:p>
        </w:tc>
        <w:tc>
          <w:tcPr>
            <w:tcW w:w="1660" w:type="dxa"/>
            <w:tcBorders>
              <w:top w:val="single" w:sz="8" w:space="0" w:color="auto"/>
              <w:left w:val="nil"/>
              <w:bottom w:val="single" w:sz="8" w:space="0" w:color="auto"/>
              <w:right w:val="single" w:sz="8" w:space="0" w:color="auto"/>
            </w:tcBorders>
            <w:shd w:val="clear" w:color="auto" w:fill="99CCFF"/>
            <w:vAlign w:val="center"/>
          </w:tcPr>
          <w:p w:rsidR="00B22874" w:rsidRPr="00583077" w:rsidRDefault="00B22874" w:rsidP="005E6205">
            <w:pPr>
              <w:jc w:val="center"/>
              <w:rPr>
                <w:rFonts w:eastAsia="Batang"/>
                <w:b/>
                <w:bCs/>
                <w:sz w:val="20"/>
                <w:szCs w:val="20"/>
                <w:lang w:eastAsia="ko-KR"/>
              </w:rPr>
            </w:pPr>
            <w:r w:rsidRPr="00583077">
              <w:rPr>
                <w:rFonts w:eastAsia="Batang"/>
                <w:b/>
                <w:bCs/>
                <w:sz w:val="20"/>
                <w:szCs w:val="20"/>
                <w:lang w:eastAsia="ko-KR"/>
              </w:rPr>
              <w:t xml:space="preserve">Shtator 2013 </w:t>
            </w:r>
          </w:p>
        </w:tc>
        <w:tc>
          <w:tcPr>
            <w:tcW w:w="1660" w:type="dxa"/>
            <w:tcBorders>
              <w:top w:val="single" w:sz="8" w:space="0" w:color="auto"/>
              <w:left w:val="nil"/>
              <w:bottom w:val="single" w:sz="8" w:space="0" w:color="auto"/>
              <w:right w:val="single" w:sz="8" w:space="0" w:color="auto"/>
            </w:tcBorders>
            <w:shd w:val="clear" w:color="auto" w:fill="99CCFF"/>
            <w:vAlign w:val="center"/>
          </w:tcPr>
          <w:p w:rsidR="00B22874" w:rsidRPr="00583077" w:rsidRDefault="00B22874" w:rsidP="005E6205">
            <w:pPr>
              <w:jc w:val="center"/>
              <w:rPr>
                <w:rFonts w:eastAsia="Batang"/>
                <w:b/>
                <w:bCs/>
                <w:sz w:val="20"/>
                <w:szCs w:val="20"/>
                <w:lang w:eastAsia="ko-KR"/>
              </w:rPr>
            </w:pPr>
            <w:r w:rsidRPr="00583077">
              <w:rPr>
                <w:rFonts w:eastAsia="Batang"/>
                <w:b/>
                <w:bCs/>
                <w:sz w:val="20"/>
                <w:szCs w:val="20"/>
                <w:lang w:eastAsia="ko-KR"/>
              </w:rPr>
              <w:t>Dhjetor 2013</w:t>
            </w:r>
          </w:p>
        </w:tc>
      </w:tr>
      <w:tr w:rsidR="00B22874" w:rsidRPr="00583077" w:rsidTr="009F044E">
        <w:trPr>
          <w:trHeight w:val="270"/>
        </w:trPr>
        <w:tc>
          <w:tcPr>
            <w:tcW w:w="2800" w:type="dxa"/>
            <w:tcBorders>
              <w:top w:val="single" w:sz="8" w:space="0" w:color="auto"/>
              <w:left w:val="single" w:sz="8" w:space="0" w:color="auto"/>
              <w:bottom w:val="single" w:sz="8" w:space="0" w:color="auto"/>
              <w:right w:val="single" w:sz="8" w:space="0" w:color="auto"/>
            </w:tcBorders>
            <w:noWrap/>
            <w:vAlign w:val="bottom"/>
          </w:tcPr>
          <w:p w:rsidR="00B22874" w:rsidRPr="00583077" w:rsidRDefault="00B22874" w:rsidP="005E6205">
            <w:pPr>
              <w:jc w:val="right"/>
              <w:rPr>
                <w:rFonts w:eastAsia="Batang"/>
                <w:b/>
                <w:bCs/>
                <w:color w:val="FF0000"/>
                <w:sz w:val="20"/>
                <w:szCs w:val="20"/>
                <w:lang w:eastAsia="ko-KR"/>
              </w:rPr>
            </w:pPr>
            <w:r w:rsidRPr="00583077">
              <w:rPr>
                <w:rFonts w:eastAsia="Batang"/>
                <w:b/>
                <w:bCs/>
                <w:color w:val="FF0000"/>
                <w:sz w:val="20"/>
                <w:szCs w:val="20"/>
                <w:lang w:eastAsia="ko-KR"/>
              </w:rPr>
              <w:t>Financimi i Defiçitit</w:t>
            </w:r>
          </w:p>
        </w:tc>
        <w:tc>
          <w:tcPr>
            <w:tcW w:w="1660" w:type="dxa"/>
            <w:tcBorders>
              <w:top w:val="nil"/>
              <w:left w:val="nil"/>
              <w:bottom w:val="single" w:sz="8" w:space="0" w:color="auto"/>
              <w:right w:val="single" w:sz="8" w:space="0" w:color="auto"/>
            </w:tcBorders>
            <w:noWrap/>
            <w:vAlign w:val="bottom"/>
          </w:tcPr>
          <w:p w:rsidR="00B22874" w:rsidRPr="00583077" w:rsidRDefault="00B22874" w:rsidP="005E6205">
            <w:pPr>
              <w:jc w:val="right"/>
              <w:rPr>
                <w:rFonts w:eastAsia="Batang"/>
                <w:b/>
                <w:bCs/>
                <w:color w:val="FF0000"/>
                <w:sz w:val="20"/>
                <w:szCs w:val="20"/>
                <w:lang w:eastAsia="ko-KR"/>
              </w:rPr>
            </w:pPr>
            <w:r w:rsidRPr="00583077">
              <w:rPr>
                <w:rFonts w:eastAsia="Batang"/>
                <w:b/>
                <w:bCs/>
                <w:color w:val="FF0000"/>
                <w:sz w:val="20"/>
                <w:szCs w:val="20"/>
                <w:lang w:eastAsia="ko-KR"/>
              </w:rPr>
              <w:t>18,931,768,571</w:t>
            </w:r>
          </w:p>
        </w:tc>
        <w:tc>
          <w:tcPr>
            <w:tcW w:w="1660" w:type="dxa"/>
            <w:tcBorders>
              <w:top w:val="nil"/>
              <w:left w:val="nil"/>
              <w:bottom w:val="single" w:sz="8" w:space="0" w:color="auto"/>
              <w:right w:val="single" w:sz="8" w:space="0" w:color="auto"/>
            </w:tcBorders>
            <w:noWrap/>
            <w:vAlign w:val="bottom"/>
          </w:tcPr>
          <w:p w:rsidR="00B22874" w:rsidRPr="00583077" w:rsidRDefault="00B22874" w:rsidP="005E6205">
            <w:pPr>
              <w:jc w:val="right"/>
              <w:rPr>
                <w:rFonts w:eastAsia="Batang"/>
                <w:b/>
                <w:bCs/>
                <w:color w:val="FF0000"/>
                <w:sz w:val="20"/>
                <w:szCs w:val="20"/>
                <w:lang w:eastAsia="ko-KR"/>
              </w:rPr>
            </w:pPr>
            <w:r w:rsidRPr="00583077">
              <w:rPr>
                <w:rFonts w:eastAsia="Batang"/>
                <w:b/>
                <w:bCs/>
                <w:color w:val="FF0000"/>
                <w:sz w:val="20"/>
                <w:szCs w:val="20"/>
                <w:lang w:eastAsia="ko-KR"/>
              </w:rPr>
              <w:t>25,162,766,415</w:t>
            </w:r>
          </w:p>
        </w:tc>
        <w:tc>
          <w:tcPr>
            <w:tcW w:w="1660" w:type="dxa"/>
            <w:tcBorders>
              <w:top w:val="nil"/>
              <w:left w:val="nil"/>
              <w:bottom w:val="single" w:sz="8" w:space="0" w:color="auto"/>
              <w:right w:val="single" w:sz="8" w:space="0" w:color="auto"/>
            </w:tcBorders>
            <w:vAlign w:val="bottom"/>
          </w:tcPr>
          <w:p w:rsidR="00B22874" w:rsidRPr="00583077" w:rsidRDefault="00B22874" w:rsidP="005E6205">
            <w:pPr>
              <w:jc w:val="right"/>
              <w:rPr>
                <w:rFonts w:eastAsia="Batang"/>
                <w:b/>
                <w:bCs/>
                <w:color w:val="FF0000"/>
                <w:sz w:val="20"/>
                <w:szCs w:val="20"/>
                <w:lang w:eastAsia="ko-KR"/>
              </w:rPr>
            </w:pPr>
            <w:r w:rsidRPr="00583077">
              <w:rPr>
                <w:rFonts w:eastAsia="Batang"/>
                <w:b/>
                <w:bCs/>
                <w:color w:val="FF0000"/>
                <w:sz w:val="20"/>
                <w:szCs w:val="20"/>
                <w:lang w:eastAsia="ko-KR"/>
              </w:rPr>
              <w:t>25,476,280,318</w:t>
            </w:r>
          </w:p>
        </w:tc>
        <w:tc>
          <w:tcPr>
            <w:tcW w:w="1660" w:type="dxa"/>
            <w:tcBorders>
              <w:top w:val="single" w:sz="4" w:space="0" w:color="auto"/>
              <w:left w:val="nil"/>
              <w:bottom w:val="single" w:sz="4" w:space="0" w:color="auto"/>
              <w:right w:val="single" w:sz="8" w:space="0" w:color="auto"/>
            </w:tcBorders>
            <w:noWrap/>
            <w:vAlign w:val="bottom"/>
          </w:tcPr>
          <w:p w:rsidR="00B22874" w:rsidRPr="00583077" w:rsidRDefault="00B22874" w:rsidP="005E6205">
            <w:pPr>
              <w:jc w:val="right"/>
              <w:rPr>
                <w:rFonts w:eastAsia="Batang"/>
                <w:b/>
                <w:bCs/>
                <w:color w:val="FF0000"/>
                <w:sz w:val="20"/>
                <w:szCs w:val="20"/>
                <w:lang w:eastAsia="ko-KR"/>
              </w:rPr>
            </w:pPr>
            <w:r w:rsidRPr="00583077">
              <w:rPr>
                <w:rFonts w:eastAsia="Batang"/>
                <w:b/>
                <w:bCs/>
                <w:color w:val="FF0000"/>
                <w:sz w:val="20"/>
                <w:szCs w:val="20"/>
                <w:lang w:eastAsia="ko-KR"/>
              </w:rPr>
              <w:t>46,195,682,581</w:t>
            </w:r>
          </w:p>
        </w:tc>
      </w:tr>
      <w:tr w:rsidR="00B22874" w:rsidRPr="00583077" w:rsidTr="009F044E">
        <w:trPr>
          <w:trHeight w:val="270"/>
        </w:trPr>
        <w:tc>
          <w:tcPr>
            <w:tcW w:w="2800" w:type="dxa"/>
            <w:tcBorders>
              <w:top w:val="single" w:sz="8" w:space="0" w:color="auto"/>
              <w:left w:val="single" w:sz="8" w:space="0" w:color="auto"/>
              <w:bottom w:val="single" w:sz="8" w:space="0" w:color="auto"/>
              <w:right w:val="single" w:sz="8" w:space="0" w:color="auto"/>
            </w:tcBorders>
            <w:noWrap/>
            <w:vAlign w:val="bottom"/>
          </w:tcPr>
          <w:p w:rsidR="00B22874" w:rsidRPr="00583077" w:rsidRDefault="00B22874" w:rsidP="005E6205">
            <w:pPr>
              <w:jc w:val="right"/>
              <w:rPr>
                <w:rFonts w:eastAsia="Batang"/>
                <w:sz w:val="20"/>
                <w:szCs w:val="20"/>
                <w:lang w:eastAsia="ko-KR"/>
              </w:rPr>
            </w:pPr>
            <w:r w:rsidRPr="00583077">
              <w:rPr>
                <w:rFonts w:eastAsia="Batang"/>
                <w:sz w:val="20"/>
                <w:szCs w:val="20"/>
                <w:lang w:eastAsia="ko-KR"/>
              </w:rPr>
              <w:t>Nga i cili:</w:t>
            </w:r>
          </w:p>
        </w:tc>
        <w:tc>
          <w:tcPr>
            <w:tcW w:w="1660" w:type="dxa"/>
            <w:tcBorders>
              <w:top w:val="nil"/>
              <w:left w:val="nil"/>
              <w:bottom w:val="single" w:sz="8" w:space="0" w:color="auto"/>
              <w:right w:val="nil"/>
            </w:tcBorders>
            <w:noWrap/>
            <w:vAlign w:val="bottom"/>
          </w:tcPr>
          <w:p w:rsidR="00B22874" w:rsidRPr="00583077" w:rsidRDefault="00B22874" w:rsidP="005E6205">
            <w:pPr>
              <w:jc w:val="right"/>
              <w:rPr>
                <w:rFonts w:eastAsia="Batang"/>
                <w:b/>
                <w:bCs/>
                <w:sz w:val="20"/>
                <w:szCs w:val="20"/>
                <w:lang w:eastAsia="ko-KR"/>
              </w:rPr>
            </w:pPr>
            <w:r w:rsidRPr="00583077">
              <w:rPr>
                <w:rFonts w:eastAsia="Batang"/>
                <w:b/>
                <w:bCs/>
                <w:sz w:val="20"/>
                <w:szCs w:val="20"/>
                <w:lang w:eastAsia="ko-KR"/>
              </w:rPr>
              <w:t> </w:t>
            </w:r>
          </w:p>
        </w:tc>
        <w:tc>
          <w:tcPr>
            <w:tcW w:w="1660" w:type="dxa"/>
            <w:tcBorders>
              <w:top w:val="nil"/>
              <w:left w:val="nil"/>
              <w:bottom w:val="single" w:sz="8" w:space="0" w:color="auto"/>
              <w:right w:val="nil"/>
            </w:tcBorders>
            <w:noWrap/>
            <w:vAlign w:val="bottom"/>
          </w:tcPr>
          <w:p w:rsidR="00B22874" w:rsidRPr="00583077" w:rsidRDefault="00B22874" w:rsidP="005E6205">
            <w:pPr>
              <w:jc w:val="right"/>
              <w:rPr>
                <w:rFonts w:eastAsia="Batang"/>
                <w:b/>
                <w:bCs/>
                <w:sz w:val="20"/>
                <w:szCs w:val="20"/>
                <w:lang w:eastAsia="ko-KR"/>
              </w:rPr>
            </w:pPr>
            <w:r w:rsidRPr="00583077">
              <w:rPr>
                <w:rFonts w:eastAsia="Batang"/>
                <w:b/>
                <w:bCs/>
                <w:sz w:val="20"/>
                <w:szCs w:val="20"/>
                <w:lang w:eastAsia="ko-KR"/>
              </w:rPr>
              <w:t> </w:t>
            </w:r>
          </w:p>
        </w:tc>
        <w:tc>
          <w:tcPr>
            <w:tcW w:w="1660" w:type="dxa"/>
            <w:tcBorders>
              <w:top w:val="nil"/>
              <w:left w:val="nil"/>
              <w:bottom w:val="single" w:sz="8" w:space="0" w:color="auto"/>
              <w:right w:val="nil"/>
            </w:tcBorders>
            <w:vAlign w:val="bottom"/>
          </w:tcPr>
          <w:p w:rsidR="00B22874" w:rsidRPr="00583077" w:rsidRDefault="00B22874" w:rsidP="005E6205">
            <w:pPr>
              <w:jc w:val="right"/>
              <w:rPr>
                <w:rFonts w:eastAsia="Batang"/>
                <w:b/>
                <w:bCs/>
                <w:sz w:val="20"/>
                <w:szCs w:val="20"/>
                <w:lang w:eastAsia="ko-KR"/>
              </w:rPr>
            </w:pPr>
            <w:r w:rsidRPr="00583077">
              <w:rPr>
                <w:rFonts w:eastAsia="Batang"/>
                <w:b/>
                <w:bCs/>
                <w:sz w:val="20"/>
                <w:szCs w:val="20"/>
                <w:lang w:eastAsia="ko-KR"/>
              </w:rPr>
              <w:t> </w:t>
            </w:r>
          </w:p>
        </w:tc>
        <w:tc>
          <w:tcPr>
            <w:tcW w:w="1660" w:type="dxa"/>
            <w:tcBorders>
              <w:top w:val="single" w:sz="8" w:space="0" w:color="auto"/>
              <w:left w:val="nil"/>
              <w:bottom w:val="single" w:sz="8" w:space="0" w:color="auto"/>
              <w:right w:val="single" w:sz="8" w:space="0" w:color="auto"/>
            </w:tcBorders>
            <w:noWrap/>
            <w:vAlign w:val="bottom"/>
          </w:tcPr>
          <w:p w:rsidR="00B22874" w:rsidRPr="00583077" w:rsidRDefault="00B22874" w:rsidP="005E6205">
            <w:pPr>
              <w:rPr>
                <w:rFonts w:eastAsia="Batang"/>
                <w:sz w:val="20"/>
                <w:szCs w:val="20"/>
                <w:lang w:eastAsia="ko-KR"/>
              </w:rPr>
            </w:pPr>
            <w:r w:rsidRPr="00583077">
              <w:rPr>
                <w:rFonts w:eastAsia="Batang"/>
                <w:sz w:val="20"/>
                <w:szCs w:val="20"/>
                <w:lang w:eastAsia="ko-KR"/>
              </w:rPr>
              <w:t> </w:t>
            </w:r>
          </w:p>
        </w:tc>
      </w:tr>
      <w:tr w:rsidR="00B22874" w:rsidRPr="00583077" w:rsidTr="009F044E">
        <w:trPr>
          <w:trHeight w:val="270"/>
        </w:trPr>
        <w:tc>
          <w:tcPr>
            <w:tcW w:w="2800" w:type="dxa"/>
            <w:tcBorders>
              <w:top w:val="single" w:sz="8" w:space="0" w:color="auto"/>
              <w:left w:val="single" w:sz="8" w:space="0" w:color="auto"/>
              <w:bottom w:val="single" w:sz="8" w:space="0" w:color="auto"/>
              <w:right w:val="single" w:sz="8" w:space="0" w:color="auto"/>
            </w:tcBorders>
            <w:noWrap/>
            <w:vAlign w:val="bottom"/>
          </w:tcPr>
          <w:p w:rsidR="00B22874" w:rsidRPr="00583077" w:rsidRDefault="00B22874" w:rsidP="005E6205">
            <w:pPr>
              <w:jc w:val="right"/>
              <w:rPr>
                <w:rFonts w:eastAsia="Batang"/>
                <w:b/>
                <w:bCs/>
                <w:sz w:val="20"/>
                <w:szCs w:val="20"/>
                <w:lang w:eastAsia="ko-KR"/>
              </w:rPr>
            </w:pPr>
            <w:r w:rsidRPr="00583077">
              <w:rPr>
                <w:rFonts w:eastAsia="Batang"/>
                <w:b/>
                <w:bCs/>
                <w:sz w:val="20"/>
                <w:szCs w:val="20"/>
                <w:lang w:eastAsia="ko-KR"/>
              </w:rPr>
              <w:t>Instrumenta Financiare Gjithsej</w:t>
            </w:r>
          </w:p>
        </w:tc>
        <w:tc>
          <w:tcPr>
            <w:tcW w:w="1660" w:type="dxa"/>
            <w:tcBorders>
              <w:top w:val="nil"/>
              <w:left w:val="nil"/>
              <w:bottom w:val="single" w:sz="8" w:space="0" w:color="auto"/>
              <w:right w:val="single" w:sz="8" w:space="0" w:color="auto"/>
            </w:tcBorders>
            <w:noWrap/>
            <w:vAlign w:val="bottom"/>
          </w:tcPr>
          <w:p w:rsidR="00B22874" w:rsidRPr="00583077" w:rsidRDefault="00B22874" w:rsidP="005E6205">
            <w:pPr>
              <w:jc w:val="right"/>
              <w:rPr>
                <w:rFonts w:eastAsia="Batang"/>
                <w:b/>
                <w:bCs/>
                <w:sz w:val="20"/>
                <w:szCs w:val="20"/>
                <w:lang w:eastAsia="ko-KR"/>
              </w:rPr>
            </w:pPr>
            <w:r w:rsidRPr="00583077">
              <w:rPr>
                <w:rFonts w:eastAsia="Batang"/>
                <w:b/>
                <w:bCs/>
                <w:sz w:val="20"/>
                <w:szCs w:val="20"/>
                <w:lang w:eastAsia="ko-KR"/>
              </w:rPr>
              <w:t>18,931,768,571</w:t>
            </w:r>
          </w:p>
        </w:tc>
        <w:tc>
          <w:tcPr>
            <w:tcW w:w="1660" w:type="dxa"/>
            <w:tcBorders>
              <w:top w:val="nil"/>
              <w:left w:val="nil"/>
              <w:bottom w:val="single" w:sz="8" w:space="0" w:color="auto"/>
              <w:right w:val="single" w:sz="8" w:space="0" w:color="auto"/>
            </w:tcBorders>
            <w:noWrap/>
            <w:vAlign w:val="bottom"/>
          </w:tcPr>
          <w:p w:rsidR="00B22874" w:rsidRPr="00583077" w:rsidRDefault="00B22874" w:rsidP="005E6205">
            <w:pPr>
              <w:jc w:val="right"/>
              <w:rPr>
                <w:rFonts w:eastAsia="Batang"/>
                <w:b/>
                <w:bCs/>
                <w:sz w:val="20"/>
                <w:szCs w:val="20"/>
                <w:lang w:eastAsia="ko-KR"/>
              </w:rPr>
            </w:pPr>
            <w:r w:rsidRPr="00583077">
              <w:rPr>
                <w:rFonts w:eastAsia="Batang"/>
                <w:b/>
                <w:bCs/>
                <w:sz w:val="20"/>
                <w:szCs w:val="20"/>
                <w:lang w:eastAsia="ko-KR"/>
              </w:rPr>
              <w:t>25,162,766,415</w:t>
            </w:r>
          </w:p>
        </w:tc>
        <w:tc>
          <w:tcPr>
            <w:tcW w:w="1660" w:type="dxa"/>
            <w:tcBorders>
              <w:top w:val="nil"/>
              <w:left w:val="nil"/>
              <w:bottom w:val="single" w:sz="8" w:space="0" w:color="auto"/>
              <w:right w:val="single" w:sz="8" w:space="0" w:color="auto"/>
            </w:tcBorders>
            <w:vAlign w:val="bottom"/>
          </w:tcPr>
          <w:p w:rsidR="00B22874" w:rsidRPr="00583077" w:rsidRDefault="00B22874" w:rsidP="005E6205">
            <w:pPr>
              <w:jc w:val="right"/>
              <w:rPr>
                <w:rFonts w:eastAsia="Batang"/>
                <w:b/>
                <w:bCs/>
                <w:sz w:val="20"/>
                <w:szCs w:val="20"/>
                <w:lang w:eastAsia="ko-KR"/>
              </w:rPr>
            </w:pPr>
            <w:r w:rsidRPr="00583077">
              <w:rPr>
                <w:rFonts w:eastAsia="Batang"/>
                <w:b/>
                <w:bCs/>
                <w:sz w:val="20"/>
                <w:szCs w:val="20"/>
                <w:lang w:eastAsia="ko-KR"/>
              </w:rPr>
              <w:t>25,476,280,318</w:t>
            </w:r>
          </w:p>
        </w:tc>
        <w:tc>
          <w:tcPr>
            <w:tcW w:w="1660" w:type="dxa"/>
            <w:tcBorders>
              <w:top w:val="nil"/>
              <w:left w:val="nil"/>
              <w:bottom w:val="single" w:sz="8" w:space="0" w:color="auto"/>
              <w:right w:val="single" w:sz="8" w:space="0" w:color="auto"/>
            </w:tcBorders>
            <w:noWrap/>
            <w:vAlign w:val="bottom"/>
          </w:tcPr>
          <w:p w:rsidR="00B22874" w:rsidRPr="00583077" w:rsidRDefault="00B22874" w:rsidP="005E6205">
            <w:pPr>
              <w:jc w:val="right"/>
              <w:rPr>
                <w:rFonts w:eastAsia="Batang"/>
                <w:b/>
                <w:bCs/>
                <w:sz w:val="20"/>
                <w:szCs w:val="20"/>
                <w:lang w:eastAsia="ko-KR"/>
              </w:rPr>
            </w:pPr>
            <w:r w:rsidRPr="00583077">
              <w:rPr>
                <w:rFonts w:eastAsia="Batang"/>
                <w:b/>
                <w:bCs/>
                <w:sz w:val="20"/>
                <w:szCs w:val="20"/>
                <w:lang w:eastAsia="ko-KR"/>
              </w:rPr>
              <w:t>46,195,682,581</w:t>
            </w:r>
          </w:p>
        </w:tc>
      </w:tr>
      <w:tr w:rsidR="00B22874" w:rsidRPr="00583077" w:rsidTr="009F044E">
        <w:trPr>
          <w:trHeight w:val="270"/>
        </w:trPr>
        <w:tc>
          <w:tcPr>
            <w:tcW w:w="2800" w:type="dxa"/>
            <w:tcBorders>
              <w:top w:val="single" w:sz="8" w:space="0" w:color="auto"/>
              <w:left w:val="single" w:sz="8" w:space="0" w:color="auto"/>
              <w:bottom w:val="single" w:sz="8" w:space="0" w:color="auto"/>
              <w:right w:val="single" w:sz="8" w:space="0" w:color="auto"/>
            </w:tcBorders>
            <w:noWrap/>
            <w:vAlign w:val="bottom"/>
          </w:tcPr>
          <w:p w:rsidR="00B22874" w:rsidRPr="00583077" w:rsidRDefault="00B22874" w:rsidP="005E6205">
            <w:pPr>
              <w:jc w:val="right"/>
              <w:rPr>
                <w:rFonts w:eastAsia="Batang"/>
                <w:b/>
                <w:bCs/>
                <w:sz w:val="20"/>
                <w:szCs w:val="20"/>
                <w:lang w:eastAsia="ko-KR"/>
              </w:rPr>
            </w:pPr>
            <w:r w:rsidRPr="00583077">
              <w:rPr>
                <w:rFonts w:eastAsia="Batang"/>
                <w:b/>
                <w:bCs/>
                <w:sz w:val="20"/>
                <w:szCs w:val="20"/>
                <w:lang w:eastAsia="ko-KR"/>
              </w:rPr>
              <w:t xml:space="preserve"> Bono Thesari Gjithsej</w:t>
            </w:r>
          </w:p>
        </w:tc>
        <w:tc>
          <w:tcPr>
            <w:tcW w:w="1660" w:type="dxa"/>
            <w:tcBorders>
              <w:top w:val="nil"/>
              <w:left w:val="nil"/>
              <w:bottom w:val="single" w:sz="8" w:space="0" w:color="auto"/>
              <w:right w:val="single" w:sz="8" w:space="0" w:color="auto"/>
            </w:tcBorders>
            <w:noWrap/>
            <w:vAlign w:val="bottom"/>
          </w:tcPr>
          <w:p w:rsidR="00B22874" w:rsidRPr="00583077" w:rsidRDefault="00B22874" w:rsidP="005E6205">
            <w:pPr>
              <w:jc w:val="right"/>
              <w:rPr>
                <w:rFonts w:eastAsia="Batang"/>
                <w:b/>
                <w:bCs/>
                <w:sz w:val="20"/>
                <w:szCs w:val="20"/>
                <w:lang w:eastAsia="ko-KR"/>
              </w:rPr>
            </w:pPr>
            <w:r w:rsidRPr="00583077">
              <w:rPr>
                <w:rFonts w:eastAsia="Batang"/>
                <w:b/>
                <w:bCs/>
                <w:sz w:val="20"/>
                <w:szCs w:val="20"/>
                <w:lang w:eastAsia="ko-KR"/>
              </w:rPr>
              <w:t>3,611,400,289</w:t>
            </w:r>
          </w:p>
        </w:tc>
        <w:tc>
          <w:tcPr>
            <w:tcW w:w="1660" w:type="dxa"/>
            <w:tcBorders>
              <w:top w:val="nil"/>
              <w:left w:val="nil"/>
              <w:bottom w:val="single" w:sz="8" w:space="0" w:color="auto"/>
              <w:right w:val="single" w:sz="8" w:space="0" w:color="auto"/>
            </w:tcBorders>
            <w:noWrap/>
            <w:vAlign w:val="bottom"/>
          </w:tcPr>
          <w:p w:rsidR="00B22874" w:rsidRPr="00583077" w:rsidRDefault="00B22874" w:rsidP="005E6205">
            <w:pPr>
              <w:jc w:val="right"/>
              <w:rPr>
                <w:rFonts w:eastAsia="Batang"/>
                <w:b/>
                <w:bCs/>
                <w:sz w:val="20"/>
                <w:szCs w:val="20"/>
                <w:lang w:eastAsia="ko-KR"/>
              </w:rPr>
            </w:pPr>
            <w:r w:rsidRPr="00583077">
              <w:rPr>
                <w:rFonts w:eastAsia="Batang"/>
                <w:b/>
                <w:bCs/>
                <w:sz w:val="20"/>
                <w:szCs w:val="20"/>
                <w:lang w:eastAsia="ko-KR"/>
              </w:rPr>
              <w:t>3,134,498,133</w:t>
            </w:r>
          </w:p>
        </w:tc>
        <w:tc>
          <w:tcPr>
            <w:tcW w:w="1660" w:type="dxa"/>
            <w:tcBorders>
              <w:top w:val="nil"/>
              <w:left w:val="nil"/>
              <w:bottom w:val="single" w:sz="8" w:space="0" w:color="auto"/>
              <w:right w:val="single" w:sz="8" w:space="0" w:color="auto"/>
            </w:tcBorders>
            <w:vAlign w:val="bottom"/>
          </w:tcPr>
          <w:p w:rsidR="00B22874" w:rsidRPr="00583077" w:rsidRDefault="00B22874" w:rsidP="005E6205">
            <w:pPr>
              <w:jc w:val="right"/>
              <w:rPr>
                <w:rFonts w:eastAsia="Batang"/>
                <w:b/>
                <w:bCs/>
                <w:sz w:val="20"/>
                <w:szCs w:val="20"/>
                <w:lang w:eastAsia="ko-KR"/>
              </w:rPr>
            </w:pPr>
            <w:r w:rsidRPr="00583077">
              <w:rPr>
                <w:rFonts w:eastAsia="Batang"/>
                <w:b/>
                <w:bCs/>
                <w:sz w:val="20"/>
                <w:szCs w:val="20"/>
                <w:lang w:eastAsia="ko-KR"/>
              </w:rPr>
              <w:t>-1,180,382,425</w:t>
            </w:r>
          </w:p>
        </w:tc>
        <w:tc>
          <w:tcPr>
            <w:tcW w:w="1660" w:type="dxa"/>
            <w:tcBorders>
              <w:top w:val="nil"/>
              <w:left w:val="nil"/>
              <w:bottom w:val="single" w:sz="8" w:space="0" w:color="auto"/>
              <w:right w:val="single" w:sz="8" w:space="0" w:color="auto"/>
            </w:tcBorders>
            <w:noWrap/>
            <w:vAlign w:val="bottom"/>
          </w:tcPr>
          <w:p w:rsidR="00B22874" w:rsidRPr="00583077" w:rsidRDefault="00B22874" w:rsidP="005E6205">
            <w:pPr>
              <w:jc w:val="right"/>
              <w:rPr>
                <w:rFonts w:eastAsia="Batang"/>
                <w:b/>
                <w:bCs/>
                <w:sz w:val="20"/>
                <w:szCs w:val="20"/>
                <w:lang w:eastAsia="ko-KR"/>
              </w:rPr>
            </w:pPr>
            <w:r w:rsidRPr="00583077">
              <w:rPr>
                <w:rFonts w:eastAsia="Batang"/>
                <w:b/>
                <w:bCs/>
                <w:sz w:val="20"/>
                <w:szCs w:val="20"/>
                <w:lang w:eastAsia="ko-KR"/>
              </w:rPr>
              <w:t>-4,586,386,656</w:t>
            </w:r>
          </w:p>
        </w:tc>
      </w:tr>
      <w:tr w:rsidR="00B22874" w:rsidRPr="00583077" w:rsidTr="009F044E">
        <w:trPr>
          <w:trHeight w:val="270"/>
        </w:trPr>
        <w:tc>
          <w:tcPr>
            <w:tcW w:w="2800" w:type="dxa"/>
            <w:tcBorders>
              <w:top w:val="single" w:sz="8" w:space="0" w:color="auto"/>
              <w:left w:val="single" w:sz="8" w:space="0" w:color="auto"/>
              <w:bottom w:val="single" w:sz="8" w:space="0" w:color="auto"/>
              <w:right w:val="single" w:sz="8" w:space="0" w:color="auto"/>
            </w:tcBorders>
            <w:noWrap/>
            <w:vAlign w:val="bottom"/>
          </w:tcPr>
          <w:p w:rsidR="00B22874" w:rsidRPr="00583077" w:rsidRDefault="00B22874" w:rsidP="005E6205">
            <w:pPr>
              <w:jc w:val="right"/>
              <w:rPr>
                <w:rFonts w:eastAsia="Batang"/>
                <w:sz w:val="20"/>
                <w:szCs w:val="20"/>
                <w:lang w:eastAsia="ko-KR"/>
              </w:rPr>
            </w:pPr>
            <w:r w:rsidRPr="00583077">
              <w:rPr>
                <w:rFonts w:eastAsia="Batang"/>
                <w:sz w:val="20"/>
                <w:szCs w:val="20"/>
                <w:lang w:eastAsia="ko-KR"/>
              </w:rPr>
              <w:t xml:space="preserve">  - Bono Thesari Lekë</w:t>
            </w:r>
          </w:p>
        </w:tc>
        <w:tc>
          <w:tcPr>
            <w:tcW w:w="1660" w:type="dxa"/>
            <w:tcBorders>
              <w:top w:val="nil"/>
              <w:left w:val="nil"/>
              <w:bottom w:val="single" w:sz="8" w:space="0" w:color="auto"/>
              <w:right w:val="single" w:sz="8" w:space="0" w:color="auto"/>
            </w:tcBorders>
            <w:noWrap/>
            <w:vAlign w:val="bottom"/>
          </w:tcPr>
          <w:p w:rsidR="00B22874" w:rsidRPr="00583077" w:rsidRDefault="00B22874" w:rsidP="005E6205">
            <w:pPr>
              <w:jc w:val="right"/>
              <w:rPr>
                <w:rFonts w:eastAsia="Batang"/>
                <w:sz w:val="20"/>
                <w:szCs w:val="20"/>
                <w:lang w:eastAsia="ko-KR"/>
              </w:rPr>
            </w:pPr>
            <w:r w:rsidRPr="00583077">
              <w:rPr>
                <w:rFonts w:eastAsia="Batang"/>
                <w:sz w:val="20"/>
                <w:szCs w:val="20"/>
                <w:lang w:eastAsia="ko-KR"/>
              </w:rPr>
              <w:t>3,611,400,289</w:t>
            </w:r>
          </w:p>
        </w:tc>
        <w:tc>
          <w:tcPr>
            <w:tcW w:w="1660" w:type="dxa"/>
            <w:tcBorders>
              <w:top w:val="nil"/>
              <w:left w:val="nil"/>
              <w:bottom w:val="single" w:sz="8" w:space="0" w:color="auto"/>
              <w:right w:val="single" w:sz="8" w:space="0" w:color="auto"/>
            </w:tcBorders>
            <w:noWrap/>
            <w:vAlign w:val="bottom"/>
          </w:tcPr>
          <w:p w:rsidR="00B22874" w:rsidRPr="00583077" w:rsidRDefault="00B22874" w:rsidP="005E6205">
            <w:pPr>
              <w:jc w:val="right"/>
              <w:rPr>
                <w:rFonts w:eastAsia="Batang"/>
                <w:sz w:val="20"/>
                <w:szCs w:val="20"/>
                <w:lang w:eastAsia="ko-KR"/>
              </w:rPr>
            </w:pPr>
            <w:r w:rsidRPr="00583077">
              <w:rPr>
                <w:rFonts w:eastAsia="Batang"/>
                <w:sz w:val="20"/>
                <w:szCs w:val="20"/>
                <w:lang w:eastAsia="ko-KR"/>
              </w:rPr>
              <w:t>3,134,498,133</w:t>
            </w:r>
          </w:p>
        </w:tc>
        <w:tc>
          <w:tcPr>
            <w:tcW w:w="1660" w:type="dxa"/>
            <w:tcBorders>
              <w:top w:val="nil"/>
              <w:left w:val="nil"/>
              <w:bottom w:val="single" w:sz="8" w:space="0" w:color="auto"/>
              <w:right w:val="single" w:sz="8" w:space="0" w:color="auto"/>
            </w:tcBorders>
            <w:vAlign w:val="bottom"/>
          </w:tcPr>
          <w:p w:rsidR="00B22874" w:rsidRPr="00583077" w:rsidRDefault="00B22874" w:rsidP="005E6205">
            <w:pPr>
              <w:jc w:val="right"/>
              <w:rPr>
                <w:rFonts w:eastAsia="Batang"/>
                <w:sz w:val="20"/>
                <w:szCs w:val="20"/>
                <w:lang w:eastAsia="ko-KR"/>
              </w:rPr>
            </w:pPr>
            <w:r w:rsidRPr="00583077">
              <w:rPr>
                <w:rFonts w:eastAsia="Batang"/>
                <w:sz w:val="20"/>
                <w:szCs w:val="20"/>
                <w:lang w:eastAsia="ko-KR"/>
              </w:rPr>
              <w:t>-1,011,348,475</w:t>
            </w:r>
          </w:p>
        </w:tc>
        <w:tc>
          <w:tcPr>
            <w:tcW w:w="1660" w:type="dxa"/>
            <w:tcBorders>
              <w:top w:val="nil"/>
              <w:left w:val="nil"/>
              <w:bottom w:val="single" w:sz="8" w:space="0" w:color="auto"/>
              <w:right w:val="single" w:sz="8" w:space="0" w:color="auto"/>
            </w:tcBorders>
            <w:noWrap/>
            <w:vAlign w:val="bottom"/>
          </w:tcPr>
          <w:p w:rsidR="00B22874" w:rsidRPr="00583077" w:rsidRDefault="00B22874" w:rsidP="005E6205">
            <w:pPr>
              <w:jc w:val="right"/>
              <w:rPr>
                <w:rFonts w:eastAsia="Batang"/>
                <w:sz w:val="20"/>
                <w:szCs w:val="20"/>
                <w:lang w:eastAsia="ko-KR"/>
              </w:rPr>
            </w:pPr>
            <w:r w:rsidRPr="00583077">
              <w:rPr>
                <w:rFonts w:eastAsia="Batang"/>
                <w:sz w:val="20"/>
                <w:szCs w:val="20"/>
                <w:lang w:eastAsia="ko-KR"/>
              </w:rPr>
              <w:t>-1,759,160,081</w:t>
            </w:r>
          </w:p>
        </w:tc>
      </w:tr>
      <w:tr w:rsidR="00B22874" w:rsidRPr="00583077" w:rsidTr="009F044E">
        <w:trPr>
          <w:trHeight w:val="270"/>
        </w:trPr>
        <w:tc>
          <w:tcPr>
            <w:tcW w:w="2800" w:type="dxa"/>
            <w:tcBorders>
              <w:top w:val="single" w:sz="8" w:space="0" w:color="auto"/>
              <w:left w:val="single" w:sz="8" w:space="0" w:color="auto"/>
              <w:bottom w:val="single" w:sz="8" w:space="0" w:color="auto"/>
              <w:right w:val="single" w:sz="8" w:space="0" w:color="auto"/>
            </w:tcBorders>
            <w:noWrap/>
            <w:vAlign w:val="bottom"/>
          </w:tcPr>
          <w:p w:rsidR="00B22874" w:rsidRPr="00583077" w:rsidRDefault="00B22874" w:rsidP="005E6205">
            <w:pPr>
              <w:jc w:val="right"/>
              <w:rPr>
                <w:rFonts w:eastAsia="Batang"/>
                <w:sz w:val="20"/>
                <w:szCs w:val="20"/>
                <w:lang w:eastAsia="ko-KR"/>
              </w:rPr>
            </w:pPr>
            <w:r w:rsidRPr="00583077">
              <w:rPr>
                <w:rFonts w:eastAsia="Batang"/>
                <w:sz w:val="20"/>
                <w:szCs w:val="20"/>
                <w:lang w:eastAsia="ko-KR"/>
              </w:rPr>
              <w:t xml:space="preserve">  - Bono Thesari Euro</w:t>
            </w:r>
          </w:p>
        </w:tc>
        <w:tc>
          <w:tcPr>
            <w:tcW w:w="1660" w:type="dxa"/>
            <w:tcBorders>
              <w:top w:val="nil"/>
              <w:left w:val="nil"/>
              <w:bottom w:val="single" w:sz="8" w:space="0" w:color="auto"/>
              <w:right w:val="single" w:sz="8" w:space="0" w:color="auto"/>
            </w:tcBorders>
            <w:noWrap/>
            <w:vAlign w:val="bottom"/>
          </w:tcPr>
          <w:p w:rsidR="00B22874" w:rsidRPr="00583077" w:rsidRDefault="00B22874" w:rsidP="005E6205">
            <w:pPr>
              <w:jc w:val="right"/>
              <w:rPr>
                <w:rFonts w:eastAsia="Batang"/>
                <w:sz w:val="20"/>
                <w:szCs w:val="20"/>
                <w:lang w:eastAsia="ko-KR"/>
              </w:rPr>
            </w:pPr>
            <w:r w:rsidRPr="00583077">
              <w:rPr>
                <w:rFonts w:eastAsia="Batang"/>
                <w:sz w:val="20"/>
                <w:szCs w:val="20"/>
                <w:lang w:eastAsia="ko-KR"/>
              </w:rPr>
              <w:t>0</w:t>
            </w:r>
          </w:p>
        </w:tc>
        <w:tc>
          <w:tcPr>
            <w:tcW w:w="1660" w:type="dxa"/>
            <w:tcBorders>
              <w:top w:val="nil"/>
              <w:left w:val="nil"/>
              <w:bottom w:val="single" w:sz="8" w:space="0" w:color="auto"/>
              <w:right w:val="single" w:sz="8" w:space="0" w:color="auto"/>
            </w:tcBorders>
            <w:noWrap/>
            <w:vAlign w:val="bottom"/>
          </w:tcPr>
          <w:p w:rsidR="00B22874" w:rsidRPr="00583077" w:rsidRDefault="00B22874" w:rsidP="005E6205">
            <w:pPr>
              <w:jc w:val="right"/>
              <w:rPr>
                <w:rFonts w:eastAsia="Batang"/>
                <w:sz w:val="20"/>
                <w:szCs w:val="20"/>
                <w:lang w:eastAsia="ko-KR"/>
              </w:rPr>
            </w:pPr>
            <w:r w:rsidRPr="00583077">
              <w:rPr>
                <w:rFonts w:eastAsia="Batang"/>
                <w:sz w:val="20"/>
                <w:szCs w:val="20"/>
                <w:lang w:eastAsia="ko-KR"/>
              </w:rPr>
              <w:t>0</w:t>
            </w:r>
          </w:p>
        </w:tc>
        <w:tc>
          <w:tcPr>
            <w:tcW w:w="1660" w:type="dxa"/>
            <w:tcBorders>
              <w:top w:val="nil"/>
              <w:left w:val="nil"/>
              <w:bottom w:val="single" w:sz="8" w:space="0" w:color="auto"/>
              <w:right w:val="single" w:sz="8" w:space="0" w:color="auto"/>
            </w:tcBorders>
            <w:vAlign w:val="bottom"/>
          </w:tcPr>
          <w:p w:rsidR="00B22874" w:rsidRPr="00583077" w:rsidRDefault="00B22874" w:rsidP="005E6205">
            <w:pPr>
              <w:jc w:val="right"/>
              <w:rPr>
                <w:rFonts w:eastAsia="Batang"/>
                <w:sz w:val="20"/>
                <w:szCs w:val="20"/>
                <w:lang w:eastAsia="ko-KR"/>
              </w:rPr>
            </w:pPr>
            <w:r w:rsidRPr="00583077">
              <w:rPr>
                <w:rFonts w:eastAsia="Batang"/>
                <w:sz w:val="20"/>
                <w:szCs w:val="20"/>
                <w:lang w:eastAsia="ko-KR"/>
              </w:rPr>
              <w:t>-169,033,950</w:t>
            </w:r>
          </w:p>
        </w:tc>
        <w:tc>
          <w:tcPr>
            <w:tcW w:w="1660" w:type="dxa"/>
            <w:tcBorders>
              <w:top w:val="nil"/>
              <w:left w:val="nil"/>
              <w:bottom w:val="single" w:sz="8" w:space="0" w:color="auto"/>
              <w:right w:val="single" w:sz="8" w:space="0" w:color="auto"/>
            </w:tcBorders>
            <w:noWrap/>
            <w:vAlign w:val="bottom"/>
          </w:tcPr>
          <w:p w:rsidR="00B22874" w:rsidRPr="00583077" w:rsidRDefault="00B22874" w:rsidP="005E6205">
            <w:pPr>
              <w:jc w:val="right"/>
              <w:rPr>
                <w:rFonts w:eastAsia="Batang"/>
                <w:sz w:val="20"/>
                <w:szCs w:val="20"/>
                <w:lang w:eastAsia="ko-KR"/>
              </w:rPr>
            </w:pPr>
            <w:r w:rsidRPr="00583077">
              <w:rPr>
                <w:rFonts w:eastAsia="Batang"/>
                <w:sz w:val="20"/>
                <w:szCs w:val="20"/>
                <w:lang w:eastAsia="ko-KR"/>
              </w:rPr>
              <w:t>-2,827,226,576</w:t>
            </w:r>
          </w:p>
        </w:tc>
      </w:tr>
      <w:tr w:rsidR="00B22874" w:rsidRPr="00583077" w:rsidTr="009F044E">
        <w:trPr>
          <w:trHeight w:val="270"/>
        </w:trPr>
        <w:tc>
          <w:tcPr>
            <w:tcW w:w="2800" w:type="dxa"/>
            <w:tcBorders>
              <w:top w:val="single" w:sz="8" w:space="0" w:color="auto"/>
              <w:left w:val="single" w:sz="8" w:space="0" w:color="auto"/>
              <w:bottom w:val="single" w:sz="8" w:space="0" w:color="auto"/>
              <w:right w:val="single" w:sz="8" w:space="0" w:color="auto"/>
            </w:tcBorders>
            <w:noWrap/>
            <w:vAlign w:val="bottom"/>
          </w:tcPr>
          <w:p w:rsidR="00B22874" w:rsidRPr="00583077" w:rsidRDefault="00B22874" w:rsidP="005E6205">
            <w:pPr>
              <w:jc w:val="right"/>
              <w:rPr>
                <w:rFonts w:eastAsia="Batang"/>
                <w:b/>
                <w:bCs/>
                <w:sz w:val="20"/>
                <w:szCs w:val="20"/>
                <w:lang w:eastAsia="ko-KR"/>
              </w:rPr>
            </w:pPr>
            <w:r w:rsidRPr="00583077">
              <w:rPr>
                <w:rFonts w:eastAsia="Batang"/>
                <w:b/>
                <w:bCs/>
                <w:sz w:val="20"/>
                <w:szCs w:val="20"/>
                <w:lang w:eastAsia="ko-KR"/>
              </w:rPr>
              <w:t>Obligacione Gjithsej</w:t>
            </w:r>
          </w:p>
        </w:tc>
        <w:tc>
          <w:tcPr>
            <w:tcW w:w="1660" w:type="dxa"/>
            <w:tcBorders>
              <w:top w:val="nil"/>
              <w:left w:val="nil"/>
              <w:bottom w:val="single" w:sz="8" w:space="0" w:color="auto"/>
              <w:right w:val="single" w:sz="8" w:space="0" w:color="auto"/>
            </w:tcBorders>
            <w:noWrap/>
            <w:vAlign w:val="bottom"/>
          </w:tcPr>
          <w:p w:rsidR="00B22874" w:rsidRPr="00583077" w:rsidRDefault="00B22874" w:rsidP="005E6205">
            <w:pPr>
              <w:jc w:val="right"/>
              <w:rPr>
                <w:rFonts w:eastAsia="Batang"/>
                <w:b/>
                <w:bCs/>
                <w:sz w:val="20"/>
                <w:szCs w:val="20"/>
                <w:lang w:eastAsia="ko-KR"/>
              </w:rPr>
            </w:pPr>
            <w:r w:rsidRPr="00583077">
              <w:rPr>
                <w:rFonts w:eastAsia="Batang"/>
                <w:b/>
                <w:bCs/>
                <w:sz w:val="20"/>
                <w:szCs w:val="20"/>
                <w:lang w:eastAsia="ko-KR"/>
              </w:rPr>
              <w:t>15,320,368,282</w:t>
            </w:r>
          </w:p>
        </w:tc>
        <w:tc>
          <w:tcPr>
            <w:tcW w:w="1660" w:type="dxa"/>
            <w:tcBorders>
              <w:top w:val="nil"/>
              <w:left w:val="nil"/>
              <w:bottom w:val="single" w:sz="8" w:space="0" w:color="auto"/>
              <w:right w:val="single" w:sz="8" w:space="0" w:color="auto"/>
            </w:tcBorders>
            <w:noWrap/>
            <w:vAlign w:val="bottom"/>
          </w:tcPr>
          <w:p w:rsidR="00B22874" w:rsidRPr="00583077" w:rsidRDefault="00B22874" w:rsidP="005E6205">
            <w:pPr>
              <w:jc w:val="right"/>
              <w:rPr>
                <w:rFonts w:eastAsia="Batang"/>
                <w:b/>
                <w:bCs/>
                <w:sz w:val="20"/>
                <w:szCs w:val="20"/>
                <w:lang w:eastAsia="ko-KR"/>
              </w:rPr>
            </w:pPr>
            <w:r w:rsidRPr="00583077">
              <w:rPr>
                <w:rFonts w:eastAsia="Batang"/>
                <w:b/>
                <w:bCs/>
                <w:sz w:val="20"/>
                <w:szCs w:val="20"/>
                <w:lang w:eastAsia="ko-KR"/>
              </w:rPr>
              <w:t>22,028,268,282</w:t>
            </w:r>
          </w:p>
        </w:tc>
        <w:tc>
          <w:tcPr>
            <w:tcW w:w="1660" w:type="dxa"/>
            <w:tcBorders>
              <w:top w:val="nil"/>
              <w:left w:val="nil"/>
              <w:bottom w:val="single" w:sz="8" w:space="0" w:color="auto"/>
              <w:right w:val="single" w:sz="8" w:space="0" w:color="auto"/>
            </w:tcBorders>
            <w:vAlign w:val="bottom"/>
          </w:tcPr>
          <w:p w:rsidR="00B22874" w:rsidRPr="00583077" w:rsidRDefault="00B22874" w:rsidP="005E6205">
            <w:pPr>
              <w:jc w:val="right"/>
              <w:rPr>
                <w:rFonts w:eastAsia="Batang"/>
                <w:b/>
                <w:bCs/>
                <w:sz w:val="20"/>
                <w:szCs w:val="20"/>
                <w:lang w:eastAsia="ko-KR"/>
              </w:rPr>
            </w:pPr>
            <w:r w:rsidRPr="00583077">
              <w:rPr>
                <w:rFonts w:eastAsia="Batang"/>
                <w:b/>
                <w:bCs/>
                <w:sz w:val="20"/>
                <w:szCs w:val="20"/>
                <w:lang w:eastAsia="ko-KR"/>
              </w:rPr>
              <w:t>26,656,662,743</w:t>
            </w:r>
          </w:p>
        </w:tc>
        <w:tc>
          <w:tcPr>
            <w:tcW w:w="1660" w:type="dxa"/>
            <w:tcBorders>
              <w:top w:val="nil"/>
              <w:left w:val="nil"/>
              <w:bottom w:val="single" w:sz="8" w:space="0" w:color="auto"/>
              <w:right w:val="single" w:sz="8" w:space="0" w:color="auto"/>
            </w:tcBorders>
            <w:noWrap/>
            <w:vAlign w:val="bottom"/>
          </w:tcPr>
          <w:p w:rsidR="00B22874" w:rsidRPr="00583077" w:rsidRDefault="00B22874" w:rsidP="005E6205">
            <w:pPr>
              <w:jc w:val="right"/>
              <w:rPr>
                <w:rFonts w:eastAsia="Batang"/>
                <w:b/>
                <w:bCs/>
                <w:sz w:val="20"/>
                <w:szCs w:val="20"/>
                <w:lang w:eastAsia="ko-KR"/>
              </w:rPr>
            </w:pPr>
            <w:r w:rsidRPr="00583077">
              <w:rPr>
                <w:rFonts w:eastAsia="Batang"/>
                <w:b/>
                <w:bCs/>
                <w:sz w:val="20"/>
                <w:szCs w:val="20"/>
                <w:lang w:eastAsia="ko-KR"/>
              </w:rPr>
              <w:t>50,782,068,237</w:t>
            </w:r>
          </w:p>
        </w:tc>
      </w:tr>
      <w:tr w:rsidR="00B22874" w:rsidRPr="00583077" w:rsidTr="009F044E">
        <w:trPr>
          <w:trHeight w:val="270"/>
        </w:trPr>
        <w:tc>
          <w:tcPr>
            <w:tcW w:w="2800" w:type="dxa"/>
            <w:tcBorders>
              <w:top w:val="single" w:sz="8" w:space="0" w:color="auto"/>
              <w:left w:val="single" w:sz="8" w:space="0" w:color="auto"/>
              <w:bottom w:val="single" w:sz="8" w:space="0" w:color="auto"/>
              <w:right w:val="single" w:sz="8" w:space="0" w:color="auto"/>
            </w:tcBorders>
            <w:noWrap/>
            <w:vAlign w:val="bottom"/>
          </w:tcPr>
          <w:p w:rsidR="00B22874" w:rsidRPr="00583077" w:rsidRDefault="00B22874" w:rsidP="005E6205">
            <w:pPr>
              <w:jc w:val="right"/>
              <w:rPr>
                <w:rFonts w:eastAsia="Batang"/>
                <w:sz w:val="20"/>
                <w:szCs w:val="20"/>
                <w:lang w:eastAsia="ko-KR"/>
              </w:rPr>
            </w:pPr>
            <w:r w:rsidRPr="00583077">
              <w:rPr>
                <w:rFonts w:eastAsia="Batang"/>
                <w:sz w:val="20"/>
                <w:szCs w:val="20"/>
                <w:lang w:eastAsia="ko-KR"/>
              </w:rPr>
              <w:t xml:space="preserve">  - Oblig.e qeverisë 2 vjeçare</w:t>
            </w:r>
          </w:p>
        </w:tc>
        <w:tc>
          <w:tcPr>
            <w:tcW w:w="1660" w:type="dxa"/>
            <w:tcBorders>
              <w:top w:val="nil"/>
              <w:left w:val="nil"/>
              <w:bottom w:val="single" w:sz="8" w:space="0" w:color="auto"/>
              <w:right w:val="single" w:sz="8" w:space="0" w:color="auto"/>
            </w:tcBorders>
            <w:noWrap/>
            <w:vAlign w:val="bottom"/>
          </w:tcPr>
          <w:p w:rsidR="00B22874" w:rsidRPr="00583077" w:rsidRDefault="00B22874" w:rsidP="005E6205">
            <w:pPr>
              <w:jc w:val="right"/>
              <w:rPr>
                <w:rFonts w:eastAsia="Batang"/>
                <w:sz w:val="20"/>
                <w:szCs w:val="20"/>
                <w:lang w:eastAsia="ko-KR"/>
              </w:rPr>
            </w:pPr>
            <w:r w:rsidRPr="00583077">
              <w:rPr>
                <w:rFonts w:eastAsia="Batang"/>
                <w:sz w:val="20"/>
                <w:szCs w:val="20"/>
                <w:lang w:eastAsia="ko-KR"/>
              </w:rPr>
              <w:t>1,850,000,000</w:t>
            </w:r>
          </w:p>
        </w:tc>
        <w:tc>
          <w:tcPr>
            <w:tcW w:w="1660" w:type="dxa"/>
            <w:tcBorders>
              <w:top w:val="nil"/>
              <w:left w:val="nil"/>
              <w:bottom w:val="single" w:sz="8" w:space="0" w:color="auto"/>
              <w:right w:val="single" w:sz="8" w:space="0" w:color="auto"/>
            </w:tcBorders>
            <w:noWrap/>
            <w:vAlign w:val="bottom"/>
          </w:tcPr>
          <w:p w:rsidR="00B22874" w:rsidRPr="00583077" w:rsidRDefault="00B22874" w:rsidP="005E6205">
            <w:pPr>
              <w:jc w:val="right"/>
              <w:rPr>
                <w:rFonts w:eastAsia="Batang"/>
                <w:sz w:val="20"/>
                <w:szCs w:val="20"/>
                <w:lang w:eastAsia="ko-KR"/>
              </w:rPr>
            </w:pPr>
            <w:r w:rsidRPr="00583077">
              <w:rPr>
                <w:rFonts w:eastAsia="Batang"/>
                <w:sz w:val="20"/>
                <w:szCs w:val="20"/>
                <w:lang w:eastAsia="ko-KR"/>
              </w:rPr>
              <w:t>1,200,000,000</w:t>
            </w:r>
          </w:p>
        </w:tc>
        <w:tc>
          <w:tcPr>
            <w:tcW w:w="1660" w:type="dxa"/>
            <w:tcBorders>
              <w:top w:val="nil"/>
              <w:left w:val="nil"/>
              <w:bottom w:val="single" w:sz="8" w:space="0" w:color="auto"/>
              <w:right w:val="single" w:sz="8" w:space="0" w:color="auto"/>
            </w:tcBorders>
            <w:vAlign w:val="bottom"/>
          </w:tcPr>
          <w:p w:rsidR="00B22874" w:rsidRPr="00583077" w:rsidRDefault="00B22874" w:rsidP="005E6205">
            <w:pPr>
              <w:jc w:val="right"/>
              <w:rPr>
                <w:rFonts w:eastAsia="Batang"/>
                <w:sz w:val="20"/>
                <w:szCs w:val="20"/>
                <w:lang w:eastAsia="ko-KR"/>
              </w:rPr>
            </w:pPr>
            <w:r w:rsidRPr="00583077">
              <w:rPr>
                <w:rFonts w:eastAsia="Batang"/>
                <w:sz w:val="20"/>
                <w:szCs w:val="20"/>
                <w:lang w:eastAsia="ko-KR"/>
              </w:rPr>
              <w:t>700,000,000</w:t>
            </w:r>
          </w:p>
        </w:tc>
        <w:tc>
          <w:tcPr>
            <w:tcW w:w="1660" w:type="dxa"/>
            <w:tcBorders>
              <w:top w:val="nil"/>
              <w:left w:val="nil"/>
              <w:bottom w:val="single" w:sz="8" w:space="0" w:color="auto"/>
              <w:right w:val="single" w:sz="8" w:space="0" w:color="auto"/>
            </w:tcBorders>
            <w:noWrap/>
            <w:vAlign w:val="bottom"/>
          </w:tcPr>
          <w:p w:rsidR="00B22874" w:rsidRPr="00583077" w:rsidRDefault="00B22874" w:rsidP="005E6205">
            <w:pPr>
              <w:jc w:val="right"/>
              <w:rPr>
                <w:rFonts w:eastAsia="Batang"/>
                <w:sz w:val="20"/>
                <w:szCs w:val="20"/>
                <w:lang w:eastAsia="ko-KR"/>
              </w:rPr>
            </w:pPr>
            <w:r w:rsidRPr="00583077">
              <w:rPr>
                <w:rFonts w:eastAsia="Batang"/>
                <w:sz w:val="20"/>
                <w:szCs w:val="20"/>
                <w:lang w:eastAsia="ko-KR"/>
              </w:rPr>
              <w:t>1,484,830,000</w:t>
            </w:r>
          </w:p>
        </w:tc>
      </w:tr>
      <w:tr w:rsidR="00B22874" w:rsidRPr="00583077" w:rsidTr="009F044E">
        <w:trPr>
          <w:trHeight w:val="270"/>
        </w:trPr>
        <w:tc>
          <w:tcPr>
            <w:tcW w:w="2800" w:type="dxa"/>
            <w:tcBorders>
              <w:top w:val="single" w:sz="8" w:space="0" w:color="auto"/>
              <w:left w:val="single" w:sz="8" w:space="0" w:color="auto"/>
              <w:bottom w:val="single" w:sz="8" w:space="0" w:color="auto"/>
              <w:right w:val="single" w:sz="8" w:space="0" w:color="auto"/>
            </w:tcBorders>
            <w:noWrap/>
            <w:vAlign w:val="bottom"/>
          </w:tcPr>
          <w:p w:rsidR="00B22874" w:rsidRPr="00583077" w:rsidRDefault="00B22874" w:rsidP="005E6205">
            <w:pPr>
              <w:jc w:val="right"/>
              <w:rPr>
                <w:rFonts w:eastAsia="Batang"/>
                <w:sz w:val="20"/>
                <w:szCs w:val="20"/>
                <w:lang w:eastAsia="ko-KR"/>
              </w:rPr>
            </w:pPr>
            <w:r w:rsidRPr="00583077">
              <w:rPr>
                <w:rFonts w:eastAsia="Batang"/>
                <w:sz w:val="20"/>
                <w:szCs w:val="20"/>
                <w:lang w:eastAsia="ko-KR"/>
              </w:rPr>
              <w:t xml:space="preserve">  - Oblig.e qeverisë 3 vjeçare</w:t>
            </w:r>
          </w:p>
        </w:tc>
        <w:tc>
          <w:tcPr>
            <w:tcW w:w="1660" w:type="dxa"/>
            <w:tcBorders>
              <w:top w:val="nil"/>
              <w:left w:val="nil"/>
              <w:bottom w:val="single" w:sz="8" w:space="0" w:color="auto"/>
              <w:right w:val="single" w:sz="8" w:space="0" w:color="auto"/>
            </w:tcBorders>
            <w:noWrap/>
            <w:vAlign w:val="bottom"/>
          </w:tcPr>
          <w:p w:rsidR="00B22874" w:rsidRPr="00583077" w:rsidRDefault="00B22874" w:rsidP="005E6205">
            <w:pPr>
              <w:jc w:val="right"/>
              <w:rPr>
                <w:rFonts w:eastAsia="Batang"/>
                <w:sz w:val="20"/>
                <w:szCs w:val="20"/>
                <w:lang w:eastAsia="ko-KR"/>
              </w:rPr>
            </w:pPr>
            <w:r w:rsidRPr="00583077">
              <w:rPr>
                <w:rFonts w:eastAsia="Batang"/>
                <w:sz w:val="20"/>
                <w:szCs w:val="20"/>
                <w:lang w:eastAsia="ko-KR"/>
              </w:rPr>
              <w:t>4,009,590,921</w:t>
            </w:r>
          </w:p>
        </w:tc>
        <w:tc>
          <w:tcPr>
            <w:tcW w:w="1660" w:type="dxa"/>
            <w:tcBorders>
              <w:top w:val="nil"/>
              <w:left w:val="nil"/>
              <w:bottom w:val="single" w:sz="8" w:space="0" w:color="auto"/>
              <w:right w:val="single" w:sz="8" w:space="0" w:color="auto"/>
            </w:tcBorders>
            <w:noWrap/>
            <w:vAlign w:val="bottom"/>
          </w:tcPr>
          <w:p w:rsidR="00B22874" w:rsidRPr="00583077" w:rsidRDefault="00B22874" w:rsidP="005E6205">
            <w:pPr>
              <w:jc w:val="right"/>
              <w:rPr>
                <w:rFonts w:eastAsia="Batang"/>
                <w:sz w:val="20"/>
                <w:szCs w:val="20"/>
                <w:lang w:eastAsia="ko-KR"/>
              </w:rPr>
            </w:pPr>
            <w:r w:rsidRPr="00583077">
              <w:rPr>
                <w:rFonts w:eastAsia="Batang"/>
                <w:sz w:val="20"/>
                <w:szCs w:val="20"/>
                <w:lang w:eastAsia="ko-KR"/>
              </w:rPr>
              <w:t>6,867,490,921</w:t>
            </w:r>
          </w:p>
        </w:tc>
        <w:tc>
          <w:tcPr>
            <w:tcW w:w="1660" w:type="dxa"/>
            <w:tcBorders>
              <w:top w:val="nil"/>
              <w:left w:val="nil"/>
              <w:bottom w:val="single" w:sz="8" w:space="0" w:color="auto"/>
              <w:right w:val="single" w:sz="8" w:space="0" w:color="auto"/>
            </w:tcBorders>
            <w:vAlign w:val="bottom"/>
          </w:tcPr>
          <w:p w:rsidR="00B22874" w:rsidRPr="00583077" w:rsidRDefault="00B22874" w:rsidP="005E6205">
            <w:pPr>
              <w:jc w:val="right"/>
              <w:rPr>
                <w:rFonts w:eastAsia="Batang"/>
                <w:sz w:val="20"/>
                <w:szCs w:val="20"/>
                <w:lang w:eastAsia="ko-KR"/>
              </w:rPr>
            </w:pPr>
            <w:r w:rsidRPr="00583077">
              <w:rPr>
                <w:rFonts w:eastAsia="Batang"/>
                <w:sz w:val="20"/>
                <w:szCs w:val="20"/>
                <w:lang w:eastAsia="ko-KR"/>
              </w:rPr>
              <w:t>8,067,490,921</w:t>
            </w:r>
          </w:p>
        </w:tc>
        <w:tc>
          <w:tcPr>
            <w:tcW w:w="1660" w:type="dxa"/>
            <w:tcBorders>
              <w:top w:val="nil"/>
              <w:left w:val="nil"/>
              <w:bottom w:val="single" w:sz="8" w:space="0" w:color="auto"/>
              <w:right w:val="single" w:sz="8" w:space="0" w:color="auto"/>
            </w:tcBorders>
            <w:noWrap/>
            <w:vAlign w:val="bottom"/>
          </w:tcPr>
          <w:p w:rsidR="00B22874" w:rsidRPr="00583077" w:rsidRDefault="00B22874" w:rsidP="005E6205">
            <w:pPr>
              <w:jc w:val="right"/>
              <w:rPr>
                <w:rFonts w:eastAsia="Batang"/>
                <w:sz w:val="20"/>
                <w:szCs w:val="20"/>
                <w:lang w:eastAsia="ko-KR"/>
              </w:rPr>
            </w:pPr>
            <w:r w:rsidRPr="00583077">
              <w:rPr>
                <w:rFonts w:eastAsia="Batang"/>
                <w:sz w:val="20"/>
                <w:szCs w:val="20"/>
                <w:lang w:eastAsia="ko-KR"/>
              </w:rPr>
              <w:t>10,039,764,927</w:t>
            </w:r>
          </w:p>
        </w:tc>
      </w:tr>
      <w:tr w:rsidR="00B22874" w:rsidRPr="00583077" w:rsidTr="009F044E">
        <w:trPr>
          <w:trHeight w:val="270"/>
        </w:trPr>
        <w:tc>
          <w:tcPr>
            <w:tcW w:w="2800" w:type="dxa"/>
            <w:tcBorders>
              <w:top w:val="single" w:sz="8" w:space="0" w:color="auto"/>
              <w:left w:val="single" w:sz="8" w:space="0" w:color="auto"/>
              <w:bottom w:val="single" w:sz="8" w:space="0" w:color="auto"/>
              <w:right w:val="single" w:sz="8" w:space="0" w:color="auto"/>
            </w:tcBorders>
            <w:noWrap/>
            <w:vAlign w:val="bottom"/>
          </w:tcPr>
          <w:p w:rsidR="00B22874" w:rsidRPr="00583077" w:rsidRDefault="00B22874" w:rsidP="005E6205">
            <w:pPr>
              <w:jc w:val="right"/>
              <w:rPr>
                <w:rFonts w:eastAsia="Batang"/>
                <w:sz w:val="20"/>
                <w:szCs w:val="20"/>
                <w:lang w:eastAsia="ko-KR"/>
              </w:rPr>
            </w:pPr>
            <w:r w:rsidRPr="00583077">
              <w:rPr>
                <w:rFonts w:eastAsia="Batang"/>
                <w:sz w:val="20"/>
                <w:szCs w:val="20"/>
                <w:lang w:eastAsia="ko-KR"/>
              </w:rPr>
              <w:t xml:space="preserve">  - Oblig.e qeverisë 5 vjeçare</w:t>
            </w:r>
          </w:p>
        </w:tc>
        <w:tc>
          <w:tcPr>
            <w:tcW w:w="1660" w:type="dxa"/>
            <w:tcBorders>
              <w:top w:val="nil"/>
              <w:left w:val="nil"/>
              <w:bottom w:val="single" w:sz="8" w:space="0" w:color="auto"/>
              <w:right w:val="single" w:sz="8" w:space="0" w:color="auto"/>
            </w:tcBorders>
            <w:noWrap/>
            <w:vAlign w:val="bottom"/>
          </w:tcPr>
          <w:p w:rsidR="00B22874" w:rsidRPr="00583077" w:rsidRDefault="00B22874" w:rsidP="005E6205">
            <w:pPr>
              <w:jc w:val="right"/>
              <w:rPr>
                <w:rFonts w:eastAsia="Batang"/>
                <w:sz w:val="20"/>
                <w:szCs w:val="20"/>
                <w:lang w:eastAsia="ko-KR"/>
              </w:rPr>
            </w:pPr>
            <w:r w:rsidRPr="00583077">
              <w:rPr>
                <w:rFonts w:eastAsia="Batang"/>
                <w:sz w:val="20"/>
                <w:szCs w:val="20"/>
                <w:lang w:eastAsia="ko-KR"/>
              </w:rPr>
              <w:t>2,509,077,361</w:t>
            </w:r>
          </w:p>
        </w:tc>
        <w:tc>
          <w:tcPr>
            <w:tcW w:w="1660" w:type="dxa"/>
            <w:tcBorders>
              <w:top w:val="nil"/>
              <w:left w:val="nil"/>
              <w:bottom w:val="single" w:sz="8" w:space="0" w:color="auto"/>
              <w:right w:val="single" w:sz="8" w:space="0" w:color="auto"/>
            </w:tcBorders>
            <w:noWrap/>
            <w:vAlign w:val="bottom"/>
          </w:tcPr>
          <w:p w:rsidR="00B22874" w:rsidRPr="00583077" w:rsidRDefault="00B22874" w:rsidP="005E6205">
            <w:pPr>
              <w:jc w:val="right"/>
              <w:rPr>
                <w:rFonts w:eastAsia="Batang"/>
                <w:sz w:val="20"/>
                <w:szCs w:val="20"/>
                <w:lang w:eastAsia="ko-KR"/>
              </w:rPr>
            </w:pPr>
            <w:r w:rsidRPr="00583077">
              <w:rPr>
                <w:rFonts w:eastAsia="Batang"/>
                <w:sz w:val="20"/>
                <w:szCs w:val="20"/>
                <w:lang w:eastAsia="ko-KR"/>
              </w:rPr>
              <w:t>4,009,077,361</w:t>
            </w:r>
          </w:p>
        </w:tc>
        <w:tc>
          <w:tcPr>
            <w:tcW w:w="1660" w:type="dxa"/>
            <w:tcBorders>
              <w:top w:val="nil"/>
              <w:left w:val="nil"/>
              <w:bottom w:val="single" w:sz="8" w:space="0" w:color="auto"/>
              <w:right w:val="single" w:sz="8" w:space="0" w:color="auto"/>
            </w:tcBorders>
            <w:vAlign w:val="bottom"/>
          </w:tcPr>
          <w:p w:rsidR="00B22874" w:rsidRPr="00583077" w:rsidRDefault="00B22874" w:rsidP="005E6205">
            <w:pPr>
              <w:jc w:val="right"/>
              <w:rPr>
                <w:rFonts w:eastAsia="Batang"/>
                <w:sz w:val="20"/>
                <w:szCs w:val="20"/>
                <w:lang w:eastAsia="ko-KR"/>
              </w:rPr>
            </w:pPr>
            <w:r w:rsidRPr="00583077">
              <w:rPr>
                <w:rFonts w:eastAsia="Batang"/>
                <w:sz w:val="20"/>
                <w:szCs w:val="20"/>
                <w:lang w:eastAsia="ko-KR"/>
              </w:rPr>
              <w:t>4,937,471,822</w:t>
            </w:r>
          </w:p>
        </w:tc>
        <w:tc>
          <w:tcPr>
            <w:tcW w:w="1660" w:type="dxa"/>
            <w:tcBorders>
              <w:top w:val="nil"/>
              <w:left w:val="nil"/>
              <w:bottom w:val="single" w:sz="8" w:space="0" w:color="auto"/>
              <w:right w:val="single" w:sz="8" w:space="0" w:color="auto"/>
            </w:tcBorders>
            <w:noWrap/>
            <w:vAlign w:val="bottom"/>
          </w:tcPr>
          <w:p w:rsidR="00B22874" w:rsidRPr="00583077" w:rsidRDefault="00B22874" w:rsidP="005E6205">
            <w:pPr>
              <w:jc w:val="right"/>
              <w:rPr>
                <w:rFonts w:eastAsia="Batang"/>
                <w:sz w:val="20"/>
                <w:szCs w:val="20"/>
                <w:lang w:eastAsia="ko-KR"/>
              </w:rPr>
            </w:pPr>
            <w:r w:rsidRPr="00583077">
              <w:rPr>
                <w:rFonts w:eastAsia="Batang"/>
                <w:sz w:val="20"/>
                <w:szCs w:val="20"/>
                <w:lang w:eastAsia="ko-KR"/>
              </w:rPr>
              <w:t>5,949,071,822</w:t>
            </w:r>
          </w:p>
        </w:tc>
      </w:tr>
      <w:tr w:rsidR="00B22874" w:rsidRPr="00583077" w:rsidTr="009F044E">
        <w:trPr>
          <w:trHeight w:val="270"/>
        </w:trPr>
        <w:tc>
          <w:tcPr>
            <w:tcW w:w="2800" w:type="dxa"/>
            <w:tcBorders>
              <w:top w:val="single" w:sz="8" w:space="0" w:color="auto"/>
              <w:left w:val="single" w:sz="8" w:space="0" w:color="auto"/>
              <w:bottom w:val="single" w:sz="8" w:space="0" w:color="auto"/>
              <w:right w:val="single" w:sz="8" w:space="0" w:color="auto"/>
            </w:tcBorders>
            <w:noWrap/>
            <w:vAlign w:val="bottom"/>
          </w:tcPr>
          <w:p w:rsidR="00B22874" w:rsidRPr="00583077" w:rsidRDefault="00B22874" w:rsidP="005E6205">
            <w:pPr>
              <w:jc w:val="right"/>
              <w:rPr>
                <w:rFonts w:eastAsia="Batang"/>
                <w:sz w:val="20"/>
                <w:szCs w:val="20"/>
                <w:lang w:eastAsia="ko-KR"/>
              </w:rPr>
            </w:pPr>
            <w:r w:rsidRPr="00583077">
              <w:rPr>
                <w:rFonts w:eastAsia="Batang"/>
                <w:sz w:val="20"/>
                <w:szCs w:val="20"/>
                <w:lang w:eastAsia="ko-KR"/>
              </w:rPr>
              <w:t xml:space="preserve">  - Oblig.e qeverisë 7 vjeçare</w:t>
            </w:r>
          </w:p>
        </w:tc>
        <w:tc>
          <w:tcPr>
            <w:tcW w:w="1660" w:type="dxa"/>
            <w:tcBorders>
              <w:top w:val="nil"/>
              <w:left w:val="nil"/>
              <w:bottom w:val="single" w:sz="8" w:space="0" w:color="auto"/>
              <w:right w:val="single" w:sz="8" w:space="0" w:color="auto"/>
            </w:tcBorders>
            <w:noWrap/>
            <w:vAlign w:val="bottom"/>
          </w:tcPr>
          <w:p w:rsidR="00B22874" w:rsidRPr="00583077" w:rsidRDefault="00B22874" w:rsidP="005E6205">
            <w:pPr>
              <w:jc w:val="right"/>
              <w:rPr>
                <w:rFonts w:eastAsia="Batang"/>
                <w:sz w:val="20"/>
                <w:szCs w:val="20"/>
                <w:lang w:eastAsia="ko-KR"/>
              </w:rPr>
            </w:pPr>
            <w:r w:rsidRPr="00583077">
              <w:rPr>
                <w:rFonts w:eastAsia="Batang"/>
                <w:sz w:val="20"/>
                <w:szCs w:val="20"/>
                <w:lang w:eastAsia="ko-KR"/>
              </w:rPr>
              <w:t>6,951,700,000</w:t>
            </w:r>
          </w:p>
        </w:tc>
        <w:tc>
          <w:tcPr>
            <w:tcW w:w="1660" w:type="dxa"/>
            <w:tcBorders>
              <w:top w:val="nil"/>
              <w:left w:val="nil"/>
              <w:bottom w:val="single" w:sz="8" w:space="0" w:color="auto"/>
              <w:right w:val="single" w:sz="8" w:space="0" w:color="auto"/>
            </w:tcBorders>
            <w:noWrap/>
            <w:vAlign w:val="bottom"/>
          </w:tcPr>
          <w:p w:rsidR="00B22874" w:rsidRPr="00583077" w:rsidRDefault="00B22874" w:rsidP="005E6205">
            <w:pPr>
              <w:jc w:val="right"/>
              <w:rPr>
                <w:rFonts w:eastAsia="Batang"/>
                <w:sz w:val="20"/>
                <w:szCs w:val="20"/>
                <w:lang w:eastAsia="ko-KR"/>
              </w:rPr>
            </w:pPr>
            <w:r w:rsidRPr="00583077">
              <w:rPr>
                <w:rFonts w:eastAsia="Batang"/>
                <w:sz w:val="20"/>
                <w:szCs w:val="20"/>
                <w:lang w:eastAsia="ko-KR"/>
              </w:rPr>
              <w:t>9,951,700,000</w:t>
            </w:r>
          </w:p>
        </w:tc>
        <w:tc>
          <w:tcPr>
            <w:tcW w:w="1660" w:type="dxa"/>
            <w:tcBorders>
              <w:top w:val="nil"/>
              <w:left w:val="nil"/>
              <w:bottom w:val="single" w:sz="8" w:space="0" w:color="auto"/>
              <w:right w:val="single" w:sz="8" w:space="0" w:color="auto"/>
            </w:tcBorders>
            <w:vAlign w:val="bottom"/>
          </w:tcPr>
          <w:p w:rsidR="00B22874" w:rsidRPr="00583077" w:rsidRDefault="00B22874" w:rsidP="005E6205">
            <w:pPr>
              <w:jc w:val="right"/>
              <w:rPr>
                <w:rFonts w:eastAsia="Batang"/>
                <w:sz w:val="20"/>
                <w:szCs w:val="20"/>
                <w:lang w:eastAsia="ko-KR"/>
              </w:rPr>
            </w:pPr>
            <w:r w:rsidRPr="00583077">
              <w:rPr>
                <w:rFonts w:eastAsia="Batang"/>
                <w:sz w:val="20"/>
                <w:szCs w:val="20"/>
                <w:lang w:eastAsia="ko-KR"/>
              </w:rPr>
              <w:t>12,951,700,000</w:t>
            </w:r>
          </w:p>
        </w:tc>
        <w:tc>
          <w:tcPr>
            <w:tcW w:w="1660" w:type="dxa"/>
            <w:tcBorders>
              <w:top w:val="nil"/>
              <w:left w:val="nil"/>
              <w:bottom w:val="single" w:sz="8" w:space="0" w:color="auto"/>
              <w:right w:val="single" w:sz="8" w:space="0" w:color="auto"/>
            </w:tcBorders>
            <w:noWrap/>
            <w:vAlign w:val="bottom"/>
          </w:tcPr>
          <w:p w:rsidR="00B22874" w:rsidRPr="00583077" w:rsidRDefault="00B22874" w:rsidP="005E6205">
            <w:pPr>
              <w:jc w:val="right"/>
              <w:rPr>
                <w:rFonts w:eastAsia="Batang"/>
                <w:sz w:val="20"/>
                <w:szCs w:val="20"/>
                <w:lang w:eastAsia="ko-KR"/>
              </w:rPr>
            </w:pPr>
            <w:r w:rsidRPr="00583077">
              <w:rPr>
                <w:rFonts w:eastAsia="Batang"/>
                <w:sz w:val="20"/>
                <w:szCs w:val="20"/>
                <w:lang w:eastAsia="ko-KR"/>
              </w:rPr>
              <w:t>21,540,766,969</w:t>
            </w:r>
          </w:p>
        </w:tc>
      </w:tr>
      <w:tr w:rsidR="00B22874" w:rsidRPr="00583077" w:rsidTr="009F044E">
        <w:trPr>
          <w:trHeight w:val="270"/>
        </w:trPr>
        <w:tc>
          <w:tcPr>
            <w:tcW w:w="2800" w:type="dxa"/>
            <w:tcBorders>
              <w:top w:val="single" w:sz="8" w:space="0" w:color="auto"/>
              <w:left w:val="single" w:sz="8" w:space="0" w:color="auto"/>
              <w:bottom w:val="single" w:sz="8" w:space="0" w:color="auto"/>
              <w:right w:val="single" w:sz="8" w:space="0" w:color="auto"/>
            </w:tcBorders>
            <w:noWrap/>
            <w:vAlign w:val="bottom"/>
          </w:tcPr>
          <w:p w:rsidR="00B22874" w:rsidRPr="00583077" w:rsidRDefault="00B22874" w:rsidP="005E6205">
            <w:pPr>
              <w:jc w:val="right"/>
              <w:rPr>
                <w:rFonts w:eastAsia="Batang"/>
                <w:sz w:val="20"/>
                <w:szCs w:val="20"/>
                <w:lang w:eastAsia="ko-KR"/>
              </w:rPr>
            </w:pPr>
            <w:r w:rsidRPr="00583077">
              <w:rPr>
                <w:rFonts w:eastAsia="Batang"/>
                <w:sz w:val="20"/>
                <w:szCs w:val="20"/>
                <w:lang w:eastAsia="ko-KR"/>
              </w:rPr>
              <w:t xml:space="preserve">  - Oblig.e qeverisë 10 vjeçare</w:t>
            </w:r>
          </w:p>
        </w:tc>
        <w:tc>
          <w:tcPr>
            <w:tcW w:w="1660" w:type="dxa"/>
            <w:tcBorders>
              <w:top w:val="nil"/>
              <w:left w:val="nil"/>
              <w:bottom w:val="single" w:sz="8" w:space="0" w:color="auto"/>
              <w:right w:val="single" w:sz="8" w:space="0" w:color="auto"/>
            </w:tcBorders>
            <w:noWrap/>
            <w:vAlign w:val="bottom"/>
          </w:tcPr>
          <w:p w:rsidR="00B22874" w:rsidRPr="00583077" w:rsidRDefault="00B22874" w:rsidP="005E6205">
            <w:pPr>
              <w:jc w:val="right"/>
              <w:rPr>
                <w:rFonts w:eastAsia="Batang"/>
                <w:sz w:val="20"/>
                <w:szCs w:val="20"/>
                <w:lang w:eastAsia="ko-KR"/>
              </w:rPr>
            </w:pPr>
            <w:r w:rsidRPr="00583077">
              <w:rPr>
                <w:rFonts w:eastAsia="Batang"/>
                <w:sz w:val="20"/>
                <w:szCs w:val="20"/>
                <w:lang w:eastAsia="ko-KR"/>
              </w:rPr>
              <w:t>0</w:t>
            </w:r>
          </w:p>
        </w:tc>
        <w:tc>
          <w:tcPr>
            <w:tcW w:w="1660" w:type="dxa"/>
            <w:tcBorders>
              <w:top w:val="nil"/>
              <w:left w:val="nil"/>
              <w:bottom w:val="single" w:sz="8" w:space="0" w:color="auto"/>
              <w:right w:val="single" w:sz="8" w:space="0" w:color="auto"/>
            </w:tcBorders>
            <w:noWrap/>
            <w:vAlign w:val="bottom"/>
          </w:tcPr>
          <w:p w:rsidR="00B22874" w:rsidRPr="00583077" w:rsidRDefault="00B22874" w:rsidP="005E6205">
            <w:pPr>
              <w:jc w:val="right"/>
              <w:rPr>
                <w:rFonts w:eastAsia="Batang"/>
                <w:sz w:val="20"/>
                <w:szCs w:val="20"/>
                <w:lang w:eastAsia="ko-KR"/>
              </w:rPr>
            </w:pPr>
            <w:r w:rsidRPr="00583077">
              <w:rPr>
                <w:rFonts w:eastAsia="Batang"/>
                <w:sz w:val="20"/>
                <w:szCs w:val="20"/>
                <w:lang w:eastAsia="ko-KR"/>
              </w:rPr>
              <w:t>0</w:t>
            </w:r>
          </w:p>
        </w:tc>
        <w:tc>
          <w:tcPr>
            <w:tcW w:w="1660" w:type="dxa"/>
            <w:tcBorders>
              <w:top w:val="nil"/>
              <w:left w:val="nil"/>
              <w:bottom w:val="single" w:sz="8" w:space="0" w:color="auto"/>
              <w:right w:val="single" w:sz="8" w:space="0" w:color="auto"/>
            </w:tcBorders>
            <w:vAlign w:val="bottom"/>
          </w:tcPr>
          <w:p w:rsidR="00B22874" w:rsidRPr="00583077" w:rsidRDefault="00B22874" w:rsidP="005E6205">
            <w:pPr>
              <w:jc w:val="right"/>
              <w:rPr>
                <w:rFonts w:eastAsia="Batang"/>
                <w:sz w:val="20"/>
                <w:szCs w:val="20"/>
                <w:lang w:eastAsia="ko-KR"/>
              </w:rPr>
            </w:pPr>
            <w:r w:rsidRPr="00583077">
              <w:rPr>
                <w:rFonts w:eastAsia="Batang"/>
                <w:sz w:val="20"/>
                <w:szCs w:val="20"/>
                <w:lang w:eastAsia="ko-KR"/>
              </w:rPr>
              <w:t>0</w:t>
            </w:r>
          </w:p>
        </w:tc>
        <w:tc>
          <w:tcPr>
            <w:tcW w:w="1660" w:type="dxa"/>
            <w:tcBorders>
              <w:top w:val="nil"/>
              <w:left w:val="nil"/>
              <w:bottom w:val="single" w:sz="8" w:space="0" w:color="auto"/>
              <w:right w:val="single" w:sz="8" w:space="0" w:color="auto"/>
            </w:tcBorders>
            <w:noWrap/>
            <w:vAlign w:val="bottom"/>
          </w:tcPr>
          <w:p w:rsidR="00B22874" w:rsidRPr="00583077" w:rsidRDefault="00B22874" w:rsidP="005E6205">
            <w:pPr>
              <w:jc w:val="right"/>
              <w:rPr>
                <w:rFonts w:eastAsia="Batang"/>
                <w:sz w:val="20"/>
                <w:szCs w:val="20"/>
                <w:lang w:eastAsia="ko-KR"/>
              </w:rPr>
            </w:pPr>
            <w:r w:rsidRPr="00583077">
              <w:rPr>
                <w:rFonts w:eastAsia="Batang"/>
                <w:sz w:val="20"/>
                <w:szCs w:val="20"/>
                <w:lang w:eastAsia="ko-KR"/>
              </w:rPr>
              <w:t>8,277,989,027</w:t>
            </w:r>
          </w:p>
        </w:tc>
      </w:tr>
      <w:tr w:rsidR="00B22874" w:rsidRPr="00583077" w:rsidTr="009F044E">
        <w:trPr>
          <w:trHeight w:val="270"/>
        </w:trPr>
        <w:tc>
          <w:tcPr>
            <w:tcW w:w="2800" w:type="dxa"/>
            <w:tcBorders>
              <w:top w:val="single" w:sz="8" w:space="0" w:color="auto"/>
              <w:left w:val="single" w:sz="8" w:space="0" w:color="auto"/>
              <w:bottom w:val="single" w:sz="8" w:space="0" w:color="auto"/>
              <w:right w:val="single" w:sz="8" w:space="0" w:color="auto"/>
            </w:tcBorders>
            <w:noWrap/>
            <w:vAlign w:val="bottom"/>
          </w:tcPr>
          <w:p w:rsidR="00B22874" w:rsidRPr="00583077" w:rsidRDefault="00B22874" w:rsidP="005E6205">
            <w:pPr>
              <w:jc w:val="right"/>
              <w:rPr>
                <w:rFonts w:eastAsia="Batang"/>
                <w:bCs/>
                <w:sz w:val="20"/>
                <w:szCs w:val="20"/>
                <w:lang w:eastAsia="ko-KR"/>
              </w:rPr>
            </w:pPr>
            <w:r w:rsidRPr="00583077">
              <w:rPr>
                <w:rFonts w:eastAsia="Batang"/>
                <w:bCs/>
                <w:sz w:val="20"/>
                <w:szCs w:val="20"/>
                <w:lang w:eastAsia="ko-KR"/>
              </w:rPr>
              <w:t>Obligacione në Euro</w:t>
            </w:r>
          </w:p>
        </w:tc>
        <w:tc>
          <w:tcPr>
            <w:tcW w:w="1660" w:type="dxa"/>
            <w:tcBorders>
              <w:top w:val="nil"/>
              <w:left w:val="nil"/>
              <w:bottom w:val="single" w:sz="8" w:space="0" w:color="auto"/>
              <w:right w:val="single" w:sz="8" w:space="0" w:color="auto"/>
            </w:tcBorders>
            <w:noWrap/>
            <w:vAlign w:val="bottom"/>
          </w:tcPr>
          <w:p w:rsidR="00B22874" w:rsidRPr="00583077" w:rsidRDefault="00B22874" w:rsidP="005E6205">
            <w:pPr>
              <w:jc w:val="right"/>
              <w:rPr>
                <w:rFonts w:eastAsia="Batang"/>
                <w:bCs/>
                <w:sz w:val="20"/>
                <w:szCs w:val="20"/>
                <w:lang w:eastAsia="ko-KR"/>
              </w:rPr>
            </w:pPr>
            <w:r w:rsidRPr="00583077">
              <w:rPr>
                <w:rFonts w:eastAsia="Batang"/>
                <w:bCs/>
                <w:sz w:val="20"/>
                <w:szCs w:val="20"/>
                <w:lang w:eastAsia="ko-KR"/>
              </w:rPr>
              <w:t>0</w:t>
            </w:r>
          </w:p>
        </w:tc>
        <w:tc>
          <w:tcPr>
            <w:tcW w:w="1660" w:type="dxa"/>
            <w:tcBorders>
              <w:top w:val="nil"/>
              <w:left w:val="nil"/>
              <w:bottom w:val="single" w:sz="8" w:space="0" w:color="auto"/>
              <w:right w:val="single" w:sz="8" w:space="0" w:color="auto"/>
            </w:tcBorders>
            <w:noWrap/>
            <w:vAlign w:val="bottom"/>
          </w:tcPr>
          <w:p w:rsidR="00B22874" w:rsidRPr="00583077" w:rsidRDefault="00B22874" w:rsidP="005E6205">
            <w:pPr>
              <w:jc w:val="right"/>
              <w:rPr>
                <w:rFonts w:eastAsia="Batang"/>
                <w:bCs/>
                <w:sz w:val="20"/>
                <w:szCs w:val="20"/>
                <w:lang w:eastAsia="ko-KR"/>
              </w:rPr>
            </w:pPr>
            <w:r w:rsidRPr="00583077">
              <w:rPr>
                <w:rFonts w:eastAsia="Batang"/>
                <w:bCs/>
                <w:sz w:val="20"/>
                <w:szCs w:val="20"/>
                <w:lang w:eastAsia="ko-KR"/>
              </w:rPr>
              <w:t>0</w:t>
            </w:r>
          </w:p>
        </w:tc>
        <w:tc>
          <w:tcPr>
            <w:tcW w:w="1660" w:type="dxa"/>
            <w:tcBorders>
              <w:top w:val="nil"/>
              <w:left w:val="nil"/>
              <w:bottom w:val="single" w:sz="8" w:space="0" w:color="auto"/>
              <w:right w:val="single" w:sz="8" w:space="0" w:color="auto"/>
            </w:tcBorders>
            <w:vAlign w:val="bottom"/>
          </w:tcPr>
          <w:p w:rsidR="00B22874" w:rsidRPr="00583077" w:rsidRDefault="00B22874" w:rsidP="005E6205">
            <w:pPr>
              <w:jc w:val="right"/>
              <w:rPr>
                <w:rFonts w:eastAsia="Batang"/>
                <w:bCs/>
                <w:sz w:val="20"/>
                <w:szCs w:val="20"/>
                <w:lang w:eastAsia="ko-KR"/>
              </w:rPr>
            </w:pPr>
            <w:r w:rsidRPr="00583077">
              <w:rPr>
                <w:rFonts w:eastAsia="Batang"/>
                <w:bCs/>
                <w:sz w:val="20"/>
                <w:szCs w:val="20"/>
                <w:lang w:eastAsia="ko-KR"/>
              </w:rPr>
              <w:t>0</w:t>
            </w:r>
          </w:p>
        </w:tc>
        <w:tc>
          <w:tcPr>
            <w:tcW w:w="1660" w:type="dxa"/>
            <w:tcBorders>
              <w:top w:val="nil"/>
              <w:left w:val="nil"/>
              <w:bottom w:val="single" w:sz="8" w:space="0" w:color="auto"/>
              <w:right w:val="single" w:sz="8" w:space="0" w:color="auto"/>
            </w:tcBorders>
            <w:noWrap/>
            <w:vAlign w:val="bottom"/>
          </w:tcPr>
          <w:p w:rsidR="00B22874" w:rsidRPr="00583077" w:rsidRDefault="00B22874" w:rsidP="005E6205">
            <w:pPr>
              <w:jc w:val="right"/>
              <w:rPr>
                <w:rFonts w:eastAsia="Batang"/>
                <w:bCs/>
                <w:sz w:val="20"/>
                <w:szCs w:val="20"/>
                <w:lang w:eastAsia="ko-KR"/>
              </w:rPr>
            </w:pPr>
            <w:r w:rsidRPr="00583077">
              <w:rPr>
                <w:rFonts w:eastAsia="Batang"/>
                <w:bCs/>
                <w:sz w:val="20"/>
                <w:szCs w:val="20"/>
                <w:lang w:eastAsia="ko-KR"/>
              </w:rPr>
              <w:t>3,489,645,492</w:t>
            </w:r>
          </w:p>
        </w:tc>
      </w:tr>
      <w:tr w:rsidR="00B22874" w:rsidRPr="00583077" w:rsidTr="009F044E">
        <w:trPr>
          <w:trHeight w:val="270"/>
        </w:trPr>
        <w:tc>
          <w:tcPr>
            <w:tcW w:w="2800" w:type="dxa"/>
            <w:tcBorders>
              <w:top w:val="single" w:sz="8" w:space="0" w:color="auto"/>
              <w:left w:val="single" w:sz="8" w:space="0" w:color="auto"/>
              <w:bottom w:val="single" w:sz="8" w:space="0" w:color="auto"/>
              <w:right w:val="single" w:sz="8" w:space="0" w:color="auto"/>
            </w:tcBorders>
            <w:noWrap/>
            <w:vAlign w:val="bottom"/>
          </w:tcPr>
          <w:p w:rsidR="00B22874" w:rsidRPr="00583077" w:rsidRDefault="00B22874" w:rsidP="005E6205">
            <w:pPr>
              <w:jc w:val="right"/>
              <w:rPr>
                <w:rFonts w:eastAsia="Batang"/>
                <w:b/>
                <w:bCs/>
                <w:sz w:val="20"/>
                <w:szCs w:val="20"/>
                <w:lang w:eastAsia="ko-KR"/>
              </w:rPr>
            </w:pPr>
            <w:r w:rsidRPr="00583077">
              <w:rPr>
                <w:rFonts w:eastAsia="Batang"/>
                <w:b/>
                <w:bCs/>
                <w:sz w:val="20"/>
                <w:szCs w:val="20"/>
                <w:lang w:eastAsia="ko-KR"/>
              </w:rPr>
              <w:t>Kredi Direkte</w:t>
            </w:r>
          </w:p>
        </w:tc>
        <w:tc>
          <w:tcPr>
            <w:tcW w:w="1660" w:type="dxa"/>
            <w:tcBorders>
              <w:top w:val="nil"/>
              <w:left w:val="nil"/>
              <w:bottom w:val="single" w:sz="8" w:space="0" w:color="auto"/>
              <w:right w:val="single" w:sz="8" w:space="0" w:color="auto"/>
            </w:tcBorders>
            <w:noWrap/>
            <w:vAlign w:val="bottom"/>
          </w:tcPr>
          <w:p w:rsidR="00B22874" w:rsidRPr="00583077" w:rsidRDefault="00B22874" w:rsidP="005E6205">
            <w:pPr>
              <w:jc w:val="right"/>
              <w:rPr>
                <w:rFonts w:eastAsia="Batang"/>
                <w:b/>
                <w:bCs/>
                <w:sz w:val="20"/>
                <w:szCs w:val="20"/>
                <w:lang w:eastAsia="ko-KR"/>
              </w:rPr>
            </w:pPr>
            <w:r w:rsidRPr="00583077">
              <w:rPr>
                <w:rFonts w:eastAsia="Batang"/>
                <w:b/>
                <w:bCs/>
                <w:sz w:val="20"/>
                <w:szCs w:val="20"/>
                <w:lang w:eastAsia="ko-KR"/>
              </w:rPr>
              <w:t>0</w:t>
            </w:r>
          </w:p>
        </w:tc>
        <w:tc>
          <w:tcPr>
            <w:tcW w:w="1660" w:type="dxa"/>
            <w:tcBorders>
              <w:top w:val="nil"/>
              <w:left w:val="nil"/>
              <w:bottom w:val="single" w:sz="8" w:space="0" w:color="auto"/>
              <w:right w:val="single" w:sz="8" w:space="0" w:color="auto"/>
            </w:tcBorders>
            <w:noWrap/>
            <w:vAlign w:val="bottom"/>
          </w:tcPr>
          <w:p w:rsidR="00B22874" w:rsidRPr="00583077" w:rsidRDefault="00B22874" w:rsidP="005E6205">
            <w:pPr>
              <w:jc w:val="right"/>
              <w:rPr>
                <w:rFonts w:eastAsia="Batang"/>
                <w:b/>
                <w:bCs/>
                <w:sz w:val="20"/>
                <w:szCs w:val="20"/>
                <w:lang w:eastAsia="ko-KR"/>
              </w:rPr>
            </w:pPr>
            <w:r w:rsidRPr="00583077">
              <w:rPr>
                <w:rFonts w:eastAsia="Batang"/>
                <w:b/>
                <w:bCs/>
                <w:sz w:val="20"/>
                <w:szCs w:val="20"/>
                <w:lang w:eastAsia="ko-KR"/>
              </w:rPr>
              <w:t>0</w:t>
            </w:r>
          </w:p>
        </w:tc>
        <w:tc>
          <w:tcPr>
            <w:tcW w:w="1660" w:type="dxa"/>
            <w:tcBorders>
              <w:top w:val="nil"/>
              <w:left w:val="nil"/>
              <w:bottom w:val="single" w:sz="8" w:space="0" w:color="auto"/>
              <w:right w:val="single" w:sz="8" w:space="0" w:color="auto"/>
            </w:tcBorders>
            <w:vAlign w:val="bottom"/>
          </w:tcPr>
          <w:p w:rsidR="00B22874" w:rsidRPr="00583077" w:rsidRDefault="00B22874" w:rsidP="005E6205">
            <w:pPr>
              <w:jc w:val="right"/>
              <w:rPr>
                <w:rFonts w:eastAsia="Batang"/>
                <w:b/>
                <w:bCs/>
                <w:sz w:val="20"/>
                <w:szCs w:val="20"/>
                <w:lang w:eastAsia="ko-KR"/>
              </w:rPr>
            </w:pPr>
            <w:r w:rsidRPr="00583077">
              <w:rPr>
                <w:rFonts w:eastAsia="Batang"/>
                <w:b/>
                <w:bCs/>
                <w:sz w:val="20"/>
                <w:szCs w:val="20"/>
                <w:lang w:eastAsia="ko-KR"/>
              </w:rPr>
              <w:t>0</w:t>
            </w:r>
          </w:p>
        </w:tc>
        <w:tc>
          <w:tcPr>
            <w:tcW w:w="1660" w:type="dxa"/>
            <w:tcBorders>
              <w:top w:val="nil"/>
              <w:left w:val="nil"/>
              <w:bottom w:val="single" w:sz="8" w:space="0" w:color="auto"/>
              <w:right w:val="single" w:sz="8" w:space="0" w:color="auto"/>
            </w:tcBorders>
            <w:noWrap/>
            <w:vAlign w:val="bottom"/>
          </w:tcPr>
          <w:p w:rsidR="00B22874" w:rsidRPr="00583077" w:rsidRDefault="00B22874" w:rsidP="005E6205">
            <w:pPr>
              <w:jc w:val="right"/>
              <w:rPr>
                <w:rFonts w:ascii="Arial" w:eastAsia="Batang" w:hAnsi="Arial" w:cs="Arial"/>
                <w:b/>
                <w:bCs/>
                <w:sz w:val="20"/>
                <w:szCs w:val="20"/>
                <w:lang w:eastAsia="ko-KR"/>
              </w:rPr>
            </w:pPr>
            <w:r w:rsidRPr="00583077">
              <w:rPr>
                <w:rFonts w:ascii="Arial" w:eastAsia="Batang" w:hAnsi="Arial" w:cs="Arial"/>
                <w:b/>
                <w:bCs/>
                <w:sz w:val="20"/>
                <w:szCs w:val="20"/>
                <w:lang w:eastAsia="ko-KR"/>
              </w:rPr>
              <w:t>0</w:t>
            </w:r>
          </w:p>
        </w:tc>
      </w:tr>
    </w:tbl>
    <w:p w:rsidR="00B22874" w:rsidRDefault="00B22874" w:rsidP="001E1D64">
      <w:pPr>
        <w:jc w:val="both"/>
        <w:rPr>
          <w:b/>
          <w:lang w:val="sq-AL"/>
        </w:rPr>
      </w:pPr>
    </w:p>
    <w:p w:rsidR="00B22874" w:rsidRDefault="00B22874" w:rsidP="001E1D64">
      <w:pPr>
        <w:jc w:val="both"/>
        <w:rPr>
          <w:b/>
          <w:lang w:val="sq-AL"/>
        </w:rPr>
      </w:pPr>
    </w:p>
    <w:p w:rsidR="00B22874" w:rsidRDefault="00B22874" w:rsidP="0095423B">
      <w:pPr>
        <w:jc w:val="both"/>
        <w:rPr>
          <w:lang w:val="de-DE"/>
        </w:rPr>
      </w:pPr>
      <w:r>
        <w:rPr>
          <w:lang w:val="de-DE"/>
        </w:rPr>
        <w:t xml:space="preserve">Stoku i nënhuasë deri në 31.12.2013 është </w:t>
      </w:r>
      <w:r w:rsidRPr="000A7257">
        <w:rPr>
          <w:bCs/>
        </w:rPr>
        <w:t>387,481,216.49 euro ose 54,324 milion lekë</w:t>
      </w:r>
      <w:r>
        <w:rPr>
          <w:rFonts w:ascii="Arial" w:hAnsi="Arial" w:cs="Arial"/>
          <w:b/>
          <w:bCs/>
          <w:sz w:val="20"/>
          <w:szCs w:val="20"/>
        </w:rPr>
        <w:t>.</w:t>
      </w:r>
    </w:p>
    <w:p w:rsidR="00B22874" w:rsidRDefault="00B22874" w:rsidP="0095423B">
      <w:pPr>
        <w:jc w:val="both"/>
        <w:rPr>
          <w:lang w:val="de-DE"/>
        </w:rPr>
      </w:pPr>
      <w:r>
        <w:rPr>
          <w:lang w:val="de-DE"/>
        </w:rPr>
        <w:t>Pjesa më e madhe e fondeve janë nënhuazuar në sektorin e energjetikës, ku stoku përbëhet nga 131 milionë euro për projektet e KESH-it, 69 milion euro për OST dhe 118 milion euro në sektorin e ujësjellësave.</w:t>
      </w:r>
    </w:p>
    <w:p w:rsidR="00B22874" w:rsidRDefault="00B22874" w:rsidP="0095423B">
      <w:pPr>
        <w:jc w:val="both"/>
        <w:rPr>
          <w:lang w:val="de-DE"/>
        </w:rPr>
      </w:pPr>
      <w:r>
        <w:rPr>
          <w:lang w:val="de-DE"/>
        </w:rPr>
        <w:t xml:space="preserve">Në sektorin e energjetikës, mjaft problematike në shlyerjen e detyrimeve paraqitet Kompania KESH sh.a, e cila për shkak të situates së rënduar financiare dhe mungesës së likujditeteve nuk shlyen detyrimet ndaj Ministrisë së Financave duke filluar që nga 6/mujori i dytë i vitit 2011 e në vijim. </w:t>
      </w:r>
    </w:p>
    <w:p w:rsidR="00B22874" w:rsidRDefault="00B22874" w:rsidP="0095423B">
      <w:pPr>
        <w:jc w:val="both"/>
        <w:rPr>
          <w:rFonts w:ascii="Calibri" w:hAnsi="Calibri"/>
          <w:sz w:val="22"/>
          <w:szCs w:val="22"/>
        </w:rPr>
      </w:pPr>
      <w:r>
        <w:rPr>
          <w:lang w:val="de-DE"/>
        </w:rPr>
        <w:t>Në të njëjtën kohë, sektori i ujësjellës kanalizimeve, i cili zë një peshë të konsiderueshme të portofolit të nënhuasë, paraqitet me mjaft problematika në shlyerjen e detyrimeve, të cilat kanë si shkak paaftësinë financiare të ndërmarrjeve të UK, dhe/ose mungesën e dokumentacionit që vërteton kryerjen e punimeve.</w:t>
      </w:r>
    </w:p>
    <w:p w:rsidR="00B22874" w:rsidRDefault="00B22874" w:rsidP="001E1D64">
      <w:pPr>
        <w:jc w:val="both"/>
        <w:rPr>
          <w:b/>
          <w:lang w:val="sq-AL"/>
        </w:rPr>
      </w:pPr>
    </w:p>
    <w:p w:rsidR="00B22874" w:rsidRDefault="00B22874" w:rsidP="00E6569B">
      <w:pPr>
        <w:jc w:val="center"/>
        <w:rPr>
          <w:b/>
          <w:lang w:val="sq-AL"/>
        </w:rPr>
      </w:pPr>
      <w:r>
        <w:rPr>
          <w:b/>
          <w:lang w:val="sq-AL"/>
        </w:rPr>
        <w:t>II. Analiza e borxhit</w:t>
      </w:r>
    </w:p>
    <w:p w:rsidR="00B22874" w:rsidRPr="00583077" w:rsidRDefault="00B22874" w:rsidP="001E1D64">
      <w:pPr>
        <w:jc w:val="both"/>
        <w:rPr>
          <w:b/>
          <w:lang w:val="sq-AL"/>
        </w:rPr>
      </w:pPr>
    </w:p>
    <w:p w:rsidR="00B22874" w:rsidRPr="00583077" w:rsidRDefault="00B22874" w:rsidP="001E1D64">
      <w:pPr>
        <w:jc w:val="both"/>
        <w:rPr>
          <w:b/>
          <w:lang w:val="sq-AL"/>
        </w:rPr>
      </w:pPr>
      <w:r>
        <w:rPr>
          <w:b/>
          <w:lang w:val="sq-AL"/>
        </w:rPr>
        <w:t>II-a</w:t>
      </w:r>
      <w:r w:rsidRPr="00583077">
        <w:rPr>
          <w:b/>
          <w:lang w:val="sq-AL"/>
        </w:rPr>
        <w:t>. Analiza e borxhit të brendshëm</w:t>
      </w:r>
    </w:p>
    <w:p w:rsidR="00B22874" w:rsidRPr="00583077" w:rsidRDefault="00B22874" w:rsidP="001E1D64">
      <w:pPr>
        <w:jc w:val="both"/>
        <w:rPr>
          <w:b/>
          <w:lang w:val="sq-AL"/>
        </w:rPr>
      </w:pPr>
    </w:p>
    <w:p w:rsidR="00B22874" w:rsidRPr="00583077" w:rsidRDefault="00B22874" w:rsidP="004C3C4A">
      <w:pPr>
        <w:ind w:firstLine="720"/>
        <w:jc w:val="both"/>
        <w:rPr>
          <w:b/>
          <w:lang w:val="de-DE"/>
        </w:rPr>
      </w:pPr>
      <w:r>
        <w:rPr>
          <w:b/>
          <w:lang w:val="de-DE"/>
        </w:rPr>
        <w:t>i-a</w:t>
      </w:r>
      <w:r w:rsidRPr="00583077">
        <w:rPr>
          <w:b/>
          <w:lang w:val="de-DE"/>
        </w:rPr>
        <w:t>.  Ecuria e kompozimit të stokut të borxhit të brendshëm.</w:t>
      </w:r>
    </w:p>
    <w:p w:rsidR="00B22874" w:rsidRPr="00583077" w:rsidRDefault="00B22874" w:rsidP="001E1D64">
      <w:pPr>
        <w:jc w:val="both"/>
        <w:rPr>
          <w:b/>
          <w:lang w:val="sq-AL"/>
        </w:rPr>
      </w:pPr>
    </w:p>
    <w:p w:rsidR="00B22874" w:rsidRPr="00583077" w:rsidRDefault="00B22874" w:rsidP="00E9302D">
      <w:pPr>
        <w:jc w:val="both"/>
        <w:rPr>
          <w:lang w:val="sq-AL"/>
        </w:rPr>
      </w:pPr>
      <w:r w:rsidRPr="00583077">
        <w:rPr>
          <w:lang w:val="sq-AL"/>
        </w:rPr>
        <w:t xml:space="preserve">Stoku i borxhit të brendshëm në fund të vitit 2013 zë rreth 59% të totalit të stokut të borxhit të  qeverisjes qëndrore. </w:t>
      </w:r>
    </w:p>
    <w:p w:rsidR="00B22874" w:rsidRPr="00583077" w:rsidRDefault="00B22874" w:rsidP="00E9302D">
      <w:pPr>
        <w:jc w:val="both"/>
        <w:rPr>
          <w:lang w:val="sq-AL"/>
        </w:rPr>
      </w:pPr>
    </w:p>
    <w:p w:rsidR="00B22874" w:rsidRPr="00583077" w:rsidRDefault="00B22874" w:rsidP="00E9302D">
      <w:pPr>
        <w:jc w:val="both"/>
        <w:rPr>
          <w:lang w:val="de-DE"/>
        </w:rPr>
      </w:pPr>
      <w:r w:rsidRPr="00583077">
        <w:rPr>
          <w:lang w:val="sq-AL"/>
        </w:rPr>
        <w:t xml:space="preserve">Ky borxh është i kompozuar nga instrumentat financiare afatshkurtra (bonot e thesarit), instrumentat financiare afatgjata (obligacionet) dhe garancitë. </w:t>
      </w:r>
      <w:r w:rsidRPr="00583077">
        <w:rPr>
          <w:lang w:val="de-DE"/>
        </w:rPr>
        <w:t xml:space="preserve">Instrumentat afatshkurtër përbëjnë rreth 47.19% të totalit të portofolit të borxhit të brendshëm ndërsa instrumentat afatgjatë </w:t>
      </w:r>
      <w:r w:rsidRPr="00583077">
        <w:rPr>
          <w:lang w:val="de-DE"/>
        </w:rPr>
        <w:lastRenderedPageBreak/>
        <w:t>rezultojnë në 48.98% të portofolit. Ndërkohë, pjesa e mbetur prej 3.82% i përket garancive të brendshme.</w:t>
      </w:r>
    </w:p>
    <w:p w:rsidR="00B22874" w:rsidRPr="00583077" w:rsidRDefault="00B22874" w:rsidP="00E9302D">
      <w:pPr>
        <w:jc w:val="both"/>
        <w:rPr>
          <w:lang w:val="de-DE"/>
        </w:rPr>
      </w:pPr>
      <w:r w:rsidRPr="00583077">
        <w:rPr>
          <w:lang w:val="de-DE"/>
        </w:rPr>
        <w:t>Nga krahasimi me vitin e kaluar vlen për tu përmendur rritja e peshës specifike të instrumentave afatgjatë me 554 pikë bazë. Kjo rritje e peshës së instrumentave afatgjatë është reflektuar kryesisht tek obligacionet 3 dhe 7 vjecare, si edhe në emetimin për herë të parë të obligacionit 10 vjecar. Ndërkohë, obligacionet 2 dhe 5 vjecare kanë pësuar një rënie përkatësisht prej 32 dhe 68 pikë bazë.</w:t>
      </w:r>
    </w:p>
    <w:p w:rsidR="00B22874" w:rsidRPr="00583077" w:rsidRDefault="00B22874" w:rsidP="00E9302D">
      <w:pPr>
        <w:jc w:val="both"/>
        <w:rPr>
          <w:lang w:val="it-IT"/>
        </w:rPr>
      </w:pPr>
      <w:r w:rsidRPr="00583077">
        <w:rPr>
          <w:lang w:val="it-IT"/>
        </w:rPr>
        <w:t xml:space="preserve">Pjesa dërrmuese e instrumentave afatgjatë rreth 34% është e përbërë nga obligacionet 2 dhe 5 vjecare. </w:t>
      </w:r>
    </w:p>
    <w:p w:rsidR="00B22874" w:rsidRPr="00583077" w:rsidRDefault="00B22874" w:rsidP="00E9302D">
      <w:pPr>
        <w:jc w:val="both"/>
        <w:rPr>
          <w:lang w:val="sq-AL"/>
        </w:rPr>
      </w:pPr>
      <w:r w:rsidRPr="00583077">
        <w:rPr>
          <w:lang w:val="sq-AL"/>
        </w:rPr>
        <w:t xml:space="preserve">Rritja e peshës së instruementave afatgjata në përbërje tregon një përmirësim në strukturën e portofolit të borxhit të brendshëm duke zgjatur profilin e maturimeve dhe jetëgjatësinë e portofolit. </w:t>
      </w:r>
    </w:p>
    <w:p w:rsidR="00B22874" w:rsidRPr="00583077" w:rsidRDefault="00B22874" w:rsidP="00E9302D">
      <w:pPr>
        <w:jc w:val="both"/>
        <w:rPr>
          <w:lang w:val="sq-AL"/>
        </w:rPr>
      </w:pPr>
      <w:r w:rsidRPr="00583077">
        <w:rPr>
          <w:lang w:val="sq-AL"/>
        </w:rPr>
        <w:t>Përsa i përket garancive në tregun e brends</w:t>
      </w:r>
      <w:r>
        <w:rPr>
          <w:lang w:val="sq-AL"/>
        </w:rPr>
        <w:t>hëm ato janë rritur me rreth 4.25</w:t>
      </w:r>
      <w:r w:rsidRPr="00583077">
        <w:rPr>
          <w:lang w:val="sq-AL"/>
        </w:rPr>
        <w:t xml:space="preserve"> miliardë lekë ose me  49 pikë bazë për shkak të garancitve të reja që janë lëshuar në favor të Kesh. Sh.a.</w:t>
      </w:r>
    </w:p>
    <w:p w:rsidR="00B22874" w:rsidRPr="00583077" w:rsidRDefault="00B22874" w:rsidP="001E1D64">
      <w:pPr>
        <w:jc w:val="both"/>
        <w:rPr>
          <w:lang w:val="sq-AL"/>
        </w:rPr>
      </w:pPr>
    </w:p>
    <w:p w:rsidR="00B22874" w:rsidRPr="00583077" w:rsidRDefault="00B22874" w:rsidP="001E1D64">
      <w:pPr>
        <w:jc w:val="both"/>
        <w:rPr>
          <w:lang w:val="sq-AL"/>
        </w:rPr>
      </w:pPr>
    </w:p>
    <w:p w:rsidR="00B22874" w:rsidRPr="00583077" w:rsidRDefault="00B22874" w:rsidP="00EB7332">
      <w:pPr>
        <w:jc w:val="both"/>
        <w:rPr>
          <w:b/>
          <w:bCs/>
          <w:sz w:val="20"/>
          <w:szCs w:val="20"/>
          <w:lang w:val="it-IT"/>
        </w:rPr>
      </w:pPr>
      <w:r w:rsidRPr="00583077">
        <w:rPr>
          <w:b/>
          <w:bCs/>
          <w:sz w:val="20"/>
          <w:szCs w:val="20"/>
          <w:lang w:val="it-IT"/>
        </w:rPr>
        <w:t>Tabela 4.</w:t>
      </w:r>
    </w:p>
    <w:p w:rsidR="00B22874" w:rsidRPr="00583077" w:rsidRDefault="00B22874" w:rsidP="00EB7332">
      <w:pPr>
        <w:autoSpaceDE w:val="0"/>
        <w:autoSpaceDN w:val="0"/>
        <w:adjustRightInd w:val="0"/>
        <w:spacing w:line="300" w:lineRule="exact"/>
        <w:jc w:val="both"/>
        <w:rPr>
          <w:sz w:val="20"/>
          <w:szCs w:val="20"/>
          <w:lang w:val="it-IT"/>
        </w:rPr>
      </w:pPr>
      <w:r w:rsidRPr="00583077">
        <w:rPr>
          <w:sz w:val="20"/>
          <w:szCs w:val="20"/>
          <w:lang w:val="it-IT"/>
        </w:rPr>
        <w:t>* Kompozimi i portofolit të borxhit të brendshëm</w:t>
      </w:r>
    </w:p>
    <w:tbl>
      <w:tblPr>
        <w:tblW w:w="9280" w:type="dxa"/>
        <w:tblInd w:w="98" w:type="dxa"/>
        <w:tblLook w:val="0000"/>
      </w:tblPr>
      <w:tblGrid>
        <w:gridCol w:w="2400"/>
        <w:gridCol w:w="1544"/>
        <w:gridCol w:w="666"/>
        <w:gridCol w:w="1770"/>
        <w:gridCol w:w="730"/>
        <w:gridCol w:w="1558"/>
        <w:gridCol w:w="666"/>
      </w:tblGrid>
      <w:tr w:rsidR="00B22874" w:rsidRPr="00583077" w:rsidTr="005B3E9C">
        <w:trPr>
          <w:trHeight w:val="255"/>
        </w:trPr>
        <w:tc>
          <w:tcPr>
            <w:tcW w:w="2400" w:type="dxa"/>
            <w:tcBorders>
              <w:top w:val="single" w:sz="8" w:space="0" w:color="auto"/>
              <w:left w:val="single" w:sz="8" w:space="0" w:color="auto"/>
              <w:right w:val="single" w:sz="4" w:space="0" w:color="auto"/>
            </w:tcBorders>
            <w:shd w:val="clear" w:color="auto" w:fill="99CCFF"/>
            <w:noWrap/>
            <w:vAlign w:val="bottom"/>
          </w:tcPr>
          <w:p w:rsidR="00B22874" w:rsidRPr="00583077" w:rsidRDefault="00B22874" w:rsidP="009F044E">
            <w:pPr>
              <w:jc w:val="right"/>
              <w:rPr>
                <w:rFonts w:eastAsia="Batang"/>
                <w:color w:val="FF0000"/>
                <w:sz w:val="20"/>
                <w:szCs w:val="20"/>
                <w:lang w:eastAsia="ko-KR"/>
              </w:rPr>
            </w:pPr>
            <w:r w:rsidRPr="00583077">
              <w:rPr>
                <w:rFonts w:eastAsia="Batang"/>
                <w:color w:val="FF0000"/>
                <w:sz w:val="20"/>
                <w:szCs w:val="20"/>
                <w:lang w:eastAsia="ko-KR"/>
              </w:rPr>
              <w:t> </w:t>
            </w:r>
            <w:r w:rsidRPr="00583077">
              <w:rPr>
                <w:rFonts w:eastAsia="Batang"/>
                <w:sz w:val="20"/>
                <w:szCs w:val="20"/>
                <w:lang w:eastAsia="ko-KR"/>
              </w:rPr>
              <w:t>*Në milion lekë</w:t>
            </w:r>
            <w:r w:rsidRPr="00583077">
              <w:rPr>
                <w:rFonts w:eastAsia="Batang"/>
                <w:color w:val="FF0000"/>
                <w:sz w:val="20"/>
                <w:szCs w:val="20"/>
                <w:lang w:eastAsia="ko-KR"/>
              </w:rPr>
              <w:t> </w:t>
            </w:r>
          </w:p>
        </w:tc>
        <w:tc>
          <w:tcPr>
            <w:tcW w:w="2180" w:type="dxa"/>
            <w:gridSpan w:val="2"/>
            <w:tcBorders>
              <w:top w:val="single" w:sz="8" w:space="0" w:color="auto"/>
              <w:left w:val="nil"/>
              <w:bottom w:val="single" w:sz="4" w:space="0" w:color="auto"/>
              <w:right w:val="single" w:sz="4" w:space="0" w:color="000000"/>
            </w:tcBorders>
            <w:shd w:val="clear" w:color="auto" w:fill="99CCFF"/>
            <w:noWrap/>
            <w:vAlign w:val="bottom"/>
          </w:tcPr>
          <w:p w:rsidR="00B22874" w:rsidRPr="00583077" w:rsidRDefault="00B22874" w:rsidP="00EB7332">
            <w:pPr>
              <w:jc w:val="center"/>
              <w:rPr>
                <w:rFonts w:eastAsia="Batang"/>
                <w:b/>
                <w:bCs/>
                <w:sz w:val="20"/>
                <w:szCs w:val="20"/>
                <w:lang w:eastAsia="ko-KR"/>
              </w:rPr>
            </w:pPr>
            <w:r w:rsidRPr="00583077">
              <w:rPr>
                <w:rFonts w:eastAsia="Batang"/>
                <w:b/>
                <w:bCs/>
                <w:sz w:val="20"/>
                <w:szCs w:val="20"/>
                <w:lang w:eastAsia="ko-KR"/>
              </w:rPr>
              <w:t xml:space="preserve"> 31.12.2011 </w:t>
            </w:r>
          </w:p>
        </w:tc>
        <w:tc>
          <w:tcPr>
            <w:tcW w:w="2500" w:type="dxa"/>
            <w:gridSpan w:val="2"/>
            <w:tcBorders>
              <w:top w:val="single" w:sz="8" w:space="0" w:color="auto"/>
              <w:left w:val="nil"/>
              <w:bottom w:val="single" w:sz="4" w:space="0" w:color="auto"/>
              <w:right w:val="single" w:sz="4" w:space="0" w:color="000000"/>
            </w:tcBorders>
            <w:shd w:val="clear" w:color="auto" w:fill="99CCFF"/>
            <w:noWrap/>
            <w:vAlign w:val="bottom"/>
          </w:tcPr>
          <w:p w:rsidR="00B22874" w:rsidRPr="00583077" w:rsidRDefault="00B22874" w:rsidP="00EB7332">
            <w:pPr>
              <w:jc w:val="center"/>
              <w:rPr>
                <w:rFonts w:eastAsia="Batang"/>
                <w:b/>
                <w:bCs/>
                <w:sz w:val="20"/>
                <w:szCs w:val="20"/>
                <w:lang w:eastAsia="ko-KR"/>
              </w:rPr>
            </w:pPr>
            <w:r w:rsidRPr="00583077">
              <w:rPr>
                <w:rFonts w:eastAsia="Batang"/>
                <w:b/>
                <w:bCs/>
                <w:sz w:val="20"/>
                <w:szCs w:val="20"/>
                <w:lang w:eastAsia="ko-KR"/>
              </w:rPr>
              <w:t xml:space="preserve"> 31.12.2012 </w:t>
            </w:r>
          </w:p>
        </w:tc>
        <w:tc>
          <w:tcPr>
            <w:tcW w:w="2200" w:type="dxa"/>
            <w:gridSpan w:val="2"/>
            <w:tcBorders>
              <w:top w:val="single" w:sz="8" w:space="0" w:color="auto"/>
              <w:left w:val="nil"/>
              <w:bottom w:val="single" w:sz="4" w:space="0" w:color="auto"/>
              <w:right w:val="single" w:sz="4" w:space="0" w:color="000000"/>
            </w:tcBorders>
            <w:shd w:val="clear" w:color="auto" w:fill="99CCFF"/>
            <w:noWrap/>
            <w:vAlign w:val="bottom"/>
          </w:tcPr>
          <w:p w:rsidR="00B22874" w:rsidRPr="00583077" w:rsidRDefault="00B22874" w:rsidP="00EB7332">
            <w:pPr>
              <w:jc w:val="center"/>
              <w:rPr>
                <w:rFonts w:eastAsia="Batang"/>
                <w:b/>
                <w:bCs/>
                <w:sz w:val="20"/>
                <w:szCs w:val="20"/>
                <w:lang w:eastAsia="ko-KR"/>
              </w:rPr>
            </w:pPr>
            <w:r w:rsidRPr="00583077">
              <w:rPr>
                <w:rFonts w:eastAsia="Batang"/>
                <w:b/>
                <w:bCs/>
                <w:sz w:val="20"/>
                <w:szCs w:val="20"/>
                <w:lang w:eastAsia="ko-KR"/>
              </w:rPr>
              <w:t xml:space="preserve"> 31.12.2013 </w:t>
            </w:r>
          </w:p>
        </w:tc>
      </w:tr>
      <w:tr w:rsidR="00B22874" w:rsidRPr="00583077" w:rsidTr="005B3E9C">
        <w:trPr>
          <w:trHeight w:val="255"/>
        </w:trPr>
        <w:tc>
          <w:tcPr>
            <w:tcW w:w="2400" w:type="dxa"/>
            <w:tcBorders>
              <w:top w:val="nil"/>
              <w:left w:val="single" w:sz="8" w:space="0" w:color="auto"/>
              <w:bottom w:val="single" w:sz="4" w:space="0" w:color="auto"/>
              <w:right w:val="single" w:sz="4" w:space="0" w:color="auto"/>
            </w:tcBorders>
            <w:noWrap/>
            <w:vAlign w:val="bottom"/>
          </w:tcPr>
          <w:p w:rsidR="00B22874" w:rsidRPr="00583077" w:rsidRDefault="00B22874" w:rsidP="00EB7332">
            <w:pPr>
              <w:jc w:val="right"/>
              <w:rPr>
                <w:rFonts w:eastAsia="Batang"/>
                <w:color w:val="FF0000"/>
                <w:sz w:val="20"/>
                <w:szCs w:val="20"/>
                <w:lang w:eastAsia="ko-KR"/>
              </w:rPr>
            </w:pPr>
          </w:p>
        </w:tc>
        <w:tc>
          <w:tcPr>
            <w:tcW w:w="1544" w:type="dxa"/>
            <w:tcBorders>
              <w:top w:val="nil"/>
              <w:left w:val="nil"/>
              <w:bottom w:val="single" w:sz="4" w:space="0" w:color="auto"/>
              <w:right w:val="single" w:sz="4" w:space="0" w:color="auto"/>
            </w:tcBorders>
            <w:noWrap/>
            <w:vAlign w:val="bottom"/>
          </w:tcPr>
          <w:p w:rsidR="00B22874" w:rsidRPr="00583077" w:rsidRDefault="00B22874" w:rsidP="00EB7332">
            <w:pPr>
              <w:jc w:val="right"/>
              <w:rPr>
                <w:rFonts w:eastAsia="Batang"/>
                <w:b/>
                <w:bCs/>
                <w:sz w:val="20"/>
                <w:szCs w:val="20"/>
                <w:lang w:eastAsia="ko-KR"/>
              </w:rPr>
            </w:pPr>
            <w:r w:rsidRPr="00583077">
              <w:rPr>
                <w:rFonts w:eastAsia="Batang"/>
                <w:b/>
                <w:bCs/>
                <w:sz w:val="20"/>
                <w:szCs w:val="20"/>
                <w:lang w:eastAsia="ko-KR"/>
              </w:rPr>
              <w:t>Cmim Blerje</w:t>
            </w:r>
          </w:p>
        </w:tc>
        <w:tc>
          <w:tcPr>
            <w:tcW w:w="636" w:type="dxa"/>
            <w:tcBorders>
              <w:top w:val="nil"/>
              <w:left w:val="nil"/>
              <w:bottom w:val="single" w:sz="4" w:space="0" w:color="auto"/>
              <w:right w:val="single" w:sz="4" w:space="0" w:color="auto"/>
            </w:tcBorders>
            <w:noWrap/>
            <w:vAlign w:val="bottom"/>
          </w:tcPr>
          <w:p w:rsidR="00B22874" w:rsidRPr="00583077" w:rsidRDefault="00B22874" w:rsidP="00EB7332">
            <w:pPr>
              <w:jc w:val="center"/>
              <w:rPr>
                <w:rFonts w:eastAsia="Batang"/>
                <w:b/>
                <w:bCs/>
                <w:sz w:val="20"/>
                <w:szCs w:val="20"/>
                <w:lang w:eastAsia="ko-KR"/>
              </w:rPr>
            </w:pPr>
            <w:r w:rsidRPr="00583077">
              <w:rPr>
                <w:rFonts w:eastAsia="Batang"/>
                <w:b/>
                <w:bCs/>
                <w:sz w:val="20"/>
                <w:szCs w:val="20"/>
                <w:lang w:eastAsia="ko-KR"/>
              </w:rPr>
              <w:t>%</w:t>
            </w:r>
          </w:p>
        </w:tc>
        <w:tc>
          <w:tcPr>
            <w:tcW w:w="1770" w:type="dxa"/>
            <w:tcBorders>
              <w:top w:val="nil"/>
              <w:left w:val="nil"/>
              <w:bottom w:val="single" w:sz="4" w:space="0" w:color="auto"/>
              <w:right w:val="single" w:sz="4" w:space="0" w:color="auto"/>
            </w:tcBorders>
            <w:noWrap/>
            <w:vAlign w:val="bottom"/>
          </w:tcPr>
          <w:p w:rsidR="00B22874" w:rsidRPr="00583077" w:rsidRDefault="00B22874" w:rsidP="00EB7332">
            <w:pPr>
              <w:jc w:val="right"/>
              <w:rPr>
                <w:rFonts w:eastAsia="Batang"/>
                <w:b/>
                <w:bCs/>
                <w:sz w:val="20"/>
                <w:szCs w:val="20"/>
                <w:lang w:eastAsia="ko-KR"/>
              </w:rPr>
            </w:pPr>
            <w:r w:rsidRPr="00583077">
              <w:rPr>
                <w:rFonts w:eastAsia="Batang"/>
                <w:b/>
                <w:bCs/>
                <w:sz w:val="20"/>
                <w:szCs w:val="20"/>
                <w:lang w:eastAsia="ko-KR"/>
              </w:rPr>
              <w:t>Cmim Blerje</w:t>
            </w:r>
          </w:p>
        </w:tc>
        <w:tc>
          <w:tcPr>
            <w:tcW w:w="730" w:type="dxa"/>
            <w:tcBorders>
              <w:top w:val="nil"/>
              <w:left w:val="nil"/>
              <w:bottom w:val="single" w:sz="4" w:space="0" w:color="auto"/>
              <w:right w:val="single" w:sz="4" w:space="0" w:color="auto"/>
            </w:tcBorders>
            <w:noWrap/>
            <w:vAlign w:val="bottom"/>
          </w:tcPr>
          <w:p w:rsidR="00B22874" w:rsidRPr="00583077" w:rsidRDefault="00B22874" w:rsidP="00EB7332">
            <w:pPr>
              <w:jc w:val="center"/>
              <w:rPr>
                <w:rFonts w:eastAsia="Batang"/>
                <w:b/>
                <w:bCs/>
                <w:sz w:val="20"/>
                <w:szCs w:val="20"/>
                <w:lang w:eastAsia="ko-KR"/>
              </w:rPr>
            </w:pPr>
            <w:r w:rsidRPr="00583077">
              <w:rPr>
                <w:rFonts w:eastAsia="Batang"/>
                <w:b/>
                <w:bCs/>
                <w:sz w:val="20"/>
                <w:szCs w:val="20"/>
                <w:lang w:eastAsia="ko-KR"/>
              </w:rPr>
              <w:t>%</w:t>
            </w:r>
          </w:p>
        </w:tc>
        <w:tc>
          <w:tcPr>
            <w:tcW w:w="1558" w:type="dxa"/>
            <w:tcBorders>
              <w:top w:val="nil"/>
              <w:left w:val="nil"/>
              <w:bottom w:val="single" w:sz="4" w:space="0" w:color="auto"/>
              <w:right w:val="single" w:sz="4" w:space="0" w:color="auto"/>
            </w:tcBorders>
            <w:noWrap/>
            <w:vAlign w:val="bottom"/>
          </w:tcPr>
          <w:p w:rsidR="00B22874" w:rsidRPr="00583077" w:rsidRDefault="00B22874" w:rsidP="00EB7332">
            <w:pPr>
              <w:jc w:val="right"/>
              <w:rPr>
                <w:rFonts w:eastAsia="Batang"/>
                <w:b/>
                <w:bCs/>
                <w:sz w:val="20"/>
                <w:szCs w:val="20"/>
                <w:lang w:eastAsia="ko-KR"/>
              </w:rPr>
            </w:pPr>
            <w:r w:rsidRPr="00583077">
              <w:rPr>
                <w:rFonts w:eastAsia="Batang"/>
                <w:b/>
                <w:bCs/>
                <w:sz w:val="20"/>
                <w:szCs w:val="20"/>
                <w:lang w:eastAsia="ko-KR"/>
              </w:rPr>
              <w:t>Cmim Blerje</w:t>
            </w:r>
          </w:p>
        </w:tc>
        <w:tc>
          <w:tcPr>
            <w:tcW w:w="642" w:type="dxa"/>
            <w:tcBorders>
              <w:top w:val="nil"/>
              <w:left w:val="nil"/>
              <w:bottom w:val="single" w:sz="4" w:space="0" w:color="auto"/>
              <w:right w:val="single" w:sz="4" w:space="0" w:color="auto"/>
            </w:tcBorders>
            <w:noWrap/>
            <w:vAlign w:val="bottom"/>
          </w:tcPr>
          <w:p w:rsidR="00B22874" w:rsidRPr="00583077" w:rsidRDefault="00B22874" w:rsidP="00EB7332">
            <w:pPr>
              <w:jc w:val="center"/>
              <w:rPr>
                <w:rFonts w:eastAsia="Batang"/>
                <w:b/>
                <w:bCs/>
                <w:sz w:val="20"/>
                <w:szCs w:val="20"/>
                <w:lang w:eastAsia="ko-KR"/>
              </w:rPr>
            </w:pPr>
            <w:r w:rsidRPr="00583077">
              <w:rPr>
                <w:rFonts w:eastAsia="Batang"/>
                <w:b/>
                <w:bCs/>
                <w:sz w:val="20"/>
                <w:szCs w:val="20"/>
                <w:lang w:eastAsia="ko-KR"/>
              </w:rPr>
              <w:t>%</w:t>
            </w:r>
          </w:p>
        </w:tc>
      </w:tr>
      <w:tr w:rsidR="00B22874" w:rsidRPr="00583077" w:rsidTr="005B3E9C">
        <w:trPr>
          <w:trHeight w:val="255"/>
        </w:trPr>
        <w:tc>
          <w:tcPr>
            <w:tcW w:w="2400" w:type="dxa"/>
            <w:tcBorders>
              <w:top w:val="nil"/>
              <w:left w:val="single" w:sz="8" w:space="0" w:color="auto"/>
              <w:bottom w:val="single" w:sz="4" w:space="0" w:color="auto"/>
              <w:right w:val="single" w:sz="4" w:space="0" w:color="auto"/>
            </w:tcBorders>
            <w:noWrap/>
            <w:vAlign w:val="bottom"/>
          </w:tcPr>
          <w:p w:rsidR="00B22874" w:rsidRPr="00583077" w:rsidRDefault="00B22874" w:rsidP="009F044E">
            <w:pPr>
              <w:jc w:val="right"/>
              <w:rPr>
                <w:rFonts w:eastAsia="Batang"/>
                <w:b/>
                <w:bCs/>
                <w:color w:val="FF0000"/>
                <w:sz w:val="20"/>
                <w:szCs w:val="20"/>
                <w:lang w:eastAsia="ko-KR"/>
              </w:rPr>
            </w:pPr>
            <w:r w:rsidRPr="00583077">
              <w:rPr>
                <w:rFonts w:eastAsia="Batang"/>
                <w:b/>
                <w:bCs/>
                <w:color w:val="FF0000"/>
                <w:sz w:val="20"/>
                <w:szCs w:val="20"/>
                <w:lang w:eastAsia="ko-KR"/>
              </w:rPr>
              <w:t>Stoku I Borxhit Gjithsej</w:t>
            </w:r>
          </w:p>
        </w:tc>
        <w:tc>
          <w:tcPr>
            <w:tcW w:w="1544" w:type="dxa"/>
            <w:tcBorders>
              <w:top w:val="nil"/>
              <w:left w:val="nil"/>
              <w:bottom w:val="single" w:sz="4" w:space="0" w:color="auto"/>
              <w:right w:val="single" w:sz="4" w:space="0" w:color="auto"/>
            </w:tcBorders>
            <w:noWrap/>
            <w:vAlign w:val="bottom"/>
          </w:tcPr>
          <w:p w:rsidR="00B22874" w:rsidRPr="00583077" w:rsidRDefault="00B22874" w:rsidP="00EB7332">
            <w:pPr>
              <w:jc w:val="right"/>
              <w:rPr>
                <w:rFonts w:eastAsia="Batang"/>
                <w:b/>
                <w:bCs/>
                <w:color w:val="FF0000"/>
                <w:sz w:val="20"/>
                <w:szCs w:val="20"/>
                <w:lang w:eastAsia="ko-KR"/>
              </w:rPr>
            </w:pPr>
            <w:r w:rsidRPr="00583077">
              <w:rPr>
                <w:rFonts w:eastAsia="Batang"/>
                <w:b/>
                <w:bCs/>
                <w:color w:val="FF0000"/>
                <w:sz w:val="20"/>
                <w:szCs w:val="20"/>
                <w:lang w:eastAsia="ko-KR"/>
              </w:rPr>
              <w:t>438,582</w:t>
            </w:r>
          </w:p>
        </w:tc>
        <w:tc>
          <w:tcPr>
            <w:tcW w:w="636" w:type="dxa"/>
            <w:tcBorders>
              <w:top w:val="nil"/>
              <w:left w:val="nil"/>
              <w:bottom w:val="single" w:sz="4" w:space="0" w:color="auto"/>
              <w:right w:val="single" w:sz="4" w:space="0" w:color="auto"/>
            </w:tcBorders>
            <w:noWrap/>
            <w:vAlign w:val="bottom"/>
          </w:tcPr>
          <w:p w:rsidR="00B22874" w:rsidRPr="00583077" w:rsidRDefault="00B22874" w:rsidP="00EB7332">
            <w:pPr>
              <w:jc w:val="center"/>
              <w:rPr>
                <w:rFonts w:eastAsia="Batang"/>
                <w:b/>
                <w:bCs/>
                <w:color w:val="FF0000"/>
                <w:sz w:val="20"/>
                <w:szCs w:val="20"/>
                <w:lang w:eastAsia="ko-KR"/>
              </w:rPr>
            </w:pPr>
            <w:r w:rsidRPr="00583077">
              <w:rPr>
                <w:rFonts w:eastAsia="Batang"/>
                <w:b/>
                <w:bCs/>
                <w:color w:val="FF0000"/>
                <w:sz w:val="20"/>
                <w:szCs w:val="20"/>
                <w:lang w:eastAsia="ko-KR"/>
              </w:rPr>
              <w:t> </w:t>
            </w:r>
          </w:p>
        </w:tc>
        <w:tc>
          <w:tcPr>
            <w:tcW w:w="1770" w:type="dxa"/>
            <w:tcBorders>
              <w:top w:val="nil"/>
              <w:left w:val="nil"/>
              <w:bottom w:val="single" w:sz="4" w:space="0" w:color="auto"/>
              <w:right w:val="single" w:sz="4" w:space="0" w:color="auto"/>
            </w:tcBorders>
            <w:noWrap/>
            <w:vAlign w:val="bottom"/>
          </w:tcPr>
          <w:p w:rsidR="00B22874" w:rsidRPr="00583077" w:rsidRDefault="00B22874" w:rsidP="00EB7332">
            <w:pPr>
              <w:jc w:val="right"/>
              <w:rPr>
                <w:rFonts w:eastAsia="Batang"/>
                <w:b/>
                <w:bCs/>
                <w:color w:val="FF0000"/>
                <w:sz w:val="20"/>
                <w:szCs w:val="20"/>
                <w:lang w:eastAsia="ko-KR"/>
              </w:rPr>
            </w:pPr>
            <w:r w:rsidRPr="00583077">
              <w:rPr>
                <w:rFonts w:eastAsia="Batang"/>
                <w:b/>
                <w:bCs/>
                <w:color w:val="FF0000"/>
                <w:sz w:val="20"/>
                <w:szCs w:val="20"/>
                <w:lang w:eastAsia="ko-KR"/>
              </w:rPr>
              <w:t>470,358</w:t>
            </w:r>
          </w:p>
        </w:tc>
        <w:tc>
          <w:tcPr>
            <w:tcW w:w="730" w:type="dxa"/>
            <w:tcBorders>
              <w:top w:val="nil"/>
              <w:left w:val="nil"/>
              <w:bottom w:val="single" w:sz="4" w:space="0" w:color="auto"/>
              <w:right w:val="single" w:sz="4" w:space="0" w:color="auto"/>
            </w:tcBorders>
            <w:noWrap/>
            <w:vAlign w:val="bottom"/>
          </w:tcPr>
          <w:p w:rsidR="00B22874" w:rsidRPr="00583077" w:rsidRDefault="00B22874" w:rsidP="00EB7332">
            <w:pPr>
              <w:jc w:val="center"/>
              <w:rPr>
                <w:rFonts w:eastAsia="Batang"/>
                <w:b/>
                <w:bCs/>
                <w:color w:val="FF0000"/>
                <w:sz w:val="20"/>
                <w:szCs w:val="20"/>
                <w:lang w:eastAsia="ko-KR"/>
              </w:rPr>
            </w:pPr>
            <w:r w:rsidRPr="00583077">
              <w:rPr>
                <w:rFonts w:eastAsia="Batang"/>
                <w:b/>
                <w:bCs/>
                <w:color w:val="FF0000"/>
                <w:sz w:val="20"/>
                <w:szCs w:val="20"/>
                <w:lang w:eastAsia="ko-KR"/>
              </w:rPr>
              <w:t> </w:t>
            </w:r>
          </w:p>
        </w:tc>
        <w:tc>
          <w:tcPr>
            <w:tcW w:w="1558" w:type="dxa"/>
            <w:tcBorders>
              <w:top w:val="nil"/>
              <w:left w:val="nil"/>
              <w:bottom w:val="single" w:sz="4" w:space="0" w:color="auto"/>
              <w:right w:val="single" w:sz="4" w:space="0" w:color="auto"/>
            </w:tcBorders>
            <w:noWrap/>
            <w:vAlign w:val="bottom"/>
          </w:tcPr>
          <w:p w:rsidR="00B22874" w:rsidRPr="00583077" w:rsidRDefault="00B22874" w:rsidP="00EB7332">
            <w:pPr>
              <w:jc w:val="right"/>
              <w:rPr>
                <w:rFonts w:eastAsia="Batang"/>
                <w:b/>
                <w:bCs/>
                <w:color w:val="FF0000"/>
                <w:sz w:val="20"/>
                <w:szCs w:val="20"/>
                <w:lang w:eastAsia="ko-KR"/>
              </w:rPr>
            </w:pPr>
            <w:r w:rsidRPr="00583077">
              <w:rPr>
                <w:rFonts w:eastAsia="Batang"/>
                <w:b/>
                <w:bCs/>
                <w:color w:val="FF0000"/>
                <w:sz w:val="20"/>
                <w:szCs w:val="20"/>
                <w:lang w:eastAsia="ko-KR"/>
              </w:rPr>
              <w:t>520,786</w:t>
            </w:r>
          </w:p>
        </w:tc>
        <w:tc>
          <w:tcPr>
            <w:tcW w:w="642" w:type="dxa"/>
            <w:tcBorders>
              <w:top w:val="nil"/>
              <w:left w:val="nil"/>
              <w:bottom w:val="single" w:sz="4" w:space="0" w:color="auto"/>
              <w:right w:val="single" w:sz="4" w:space="0" w:color="auto"/>
            </w:tcBorders>
            <w:noWrap/>
            <w:vAlign w:val="bottom"/>
          </w:tcPr>
          <w:p w:rsidR="00B22874" w:rsidRPr="00583077" w:rsidRDefault="00B22874" w:rsidP="00EB7332">
            <w:pPr>
              <w:jc w:val="center"/>
              <w:rPr>
                <w:rFonts w:eastAsia="Batang"/>
                <w:b/>
                <w:bCs/>
                <w:color w:val="FF0000"/>
                <w:sz w:val="20"/>
                <w:szCs w:val="20"/>
                <w:lang w:eastAsia="ko-KR"/>
              </w:rPr>
            </w:pPr>
            <w:r w:rsidRPr="00583077">
              <w:rPr>
                <w:rFonts w:eastAsia="Batang"/>
                <w:b/>
                <w:bCs/>
                <w:color w:val="FF0000"/>
                <w:sz w:val="20"/>
                <w:szCs w:val="20"/>
                <w:lang w:eastAsia="ko-KR"/>
              </w:rPr>
              <w:t> </w:t>
            </w:r>
          </w:p>
        </w:tc>
      </w:tr>
      <w:tr w:rsidR="00B22874" w:rsidRPr="00583077" w:rsidTr="005B3E9C">
        <w:trPr>
          <w:trHeight w:val="255"/>
        </w:trPr>
        <w:tc>
          <w:tcPr>
            <w:tcW w:w="2400" w:type="dxa"/>
            <w:tcBorders>
              <w:top w:val="nil"/>
              <w:left w:val="single" w:sz="8" w:space="0" w:color="auto"/>
              <w:bottom w:val="single" w:sz="4" w:space="0" w:color="auto"/>
              <w:right w:val="single" w:sz="4" w:space="0" w:color="auto"/>
            </w:tcBorders>
            <w:noWrap/>
            <w:vAlign w:val="bottom"/>
          </w:tcPr>
          <w:p w:rsidR="00B22874" w:rsidRPr="00583077" w:rsidRDefault="00B22874" w:rsidP="009F044E">
            <w:pPr>
              <w:jc w:val="right"/>
              <w:rPr>
                <w:rFonts w:eastAsia="Batang"/>
                <w:b/>
                <w:bCs/>
                <w:color w:val="0000FF"/>
                <w:sz w:val="20"/>
                <w:szCs w:val="20"/>
                <w:lang w:eastAsia="ko-KR"/>
              </w:rPr>
            </w:pPr>
            <w:r w:rsidRPr="00583077">
              <w:rPr>
                <w:rFonts w:eastAsia="Batang"/>
                <w:b/>
                <w:bCs/>
                <w:color w:val="0000FF"/>
                <w:sz w:val="20"/>
                <w:szCs w:val="20"/>
                <w:lang w:eastAsia="ko-KR"/>
              </w:rPr>
              <w:t>I.Borxhi Shtetëror</w:t>
            </w:r>
          </w:p>
        </w:tc>
        <w:tc>
          <w:tcPr>
            <w:tcW w:w="1544" w:type="dxa"/>
            <w:tcBorders>
              <w:top w:val="nil"/>
              <w:left w:val="nil"/>
              <w:bottom w:val="single" w:sz="4" w:space="0" w:color="auto"/>
              <w:right w:val="single" w:sz="4" w:space="0" w:color="auto"/>
            </w:tcBorders>
            <w:noWrap/>
            <w:vAlign w:val="bottom"/>
          </w:tcPr>
          <w:p w:rsidR="00B22874" w:rsidRPr="00583077" w:rsidRDefault="00B22874" w:rsidP="00EB7332">
            <w:pPr>
              <w:jc w:val="right"/>
              <w:rPr>
                <w:rFonts w:eastAsia="Batang"/>
                <w:b/>
                <w:bCs/>
                <w:sz w:val="20"/>
                <w:szCs w:val="20"/>
                <w:lang w:eastAsia="ko-KR"/>
              </w:rPr>
            </w:pPr>
            <w:r w:rsidRPr="00583077">
              <w:rPr>
                <w:rFonts w:eastAsia="Batang"/>
                <w:b/>
                <w:bCs/>
                <w:sz w:val="20"/>
                <w:szCs w:val="20"/>
                <w:lang w:eastAsia="ko-KR"/>
              </w:rPr>
              <w:t>429,924</w:t>
            </w:r>
          </w:p>
        </w:tc>
        <w:tc>
          <w:tcPr>
            <w:tcW w:w="636" w:type="dxa"/>
            <w:tcBorders>
              <w:top w:val="nil"/>
              <w:left w:val="nil"/>
              <w:bottom w:val="single" w:sz="4" w:space="0" w:color="auto"/>
              <w:right w:val="single" w:sz="4" w:space="0" w:color="auto"/>
            </w:tcBorders>
            <w:noWrap/>
            <w:vAlign w:val="bottom"/>
          </w:tcPr>
          <w:p w:rsidR="00B22874" w:rsidRPr="00583077" w:rsidRDefault="00B22874" w:rsidP="00EB7332">
            <w:pPr>
              <w:jc w:val="right"/>
              <w:rPr>
                <w:rFonts w:eastAsia="Batang"/>
                <w:b/>
                <w:bCs/>
                <w:sz w:val="20"/>
                <w:szCs w:val="20"/>
                <w:lang w:eastAsia="ko-KR"/>
              </w:rPr>
            </w:pPr>
            <w:r w:rsidRPr="00583077">
              <w:rPr>
                <w:rFonts w:eastAsia="Batang"/>
                <w:b/>
                <w:bCs/>
                <w:sz w:val="20"/>
                <w:szCs w:val="20"/>
                <w:lang w:eastAsia="ko-KR"/>
              </w:rPr>
              <w:t>98.03</w:t>
            </w:r>
          </w:p>
        </w:tc>
        <w:tc>
          <w:tcPr>
            <w:tcW w:w="1770" w:type="dxa"/>
            <w:tcBorders>
              <w:top w:val="nil"/>
              <w:left w:val="nil"/>
              <w:bottom w:val="single" w:sz="4" w:space="0" w:color="auto"/>
              <w:right w:val="single" w:sz="4" w:space="0" w:color="auto"/>
            </w:tcBorders>
            <w:noWrap/>
            <w:vAlign w:val="bottom"/>
          </w:tcPr>
          <w:p w:rsidR="00B22874" w:rsidRPr="00583077" w:rsidRDefault="00B22874" w:rsidP="00EB7332">
            <w:pPr>
              <w:jc w:val="right"/>
              <w:rPr>
                <w:rFonts w:eastAsia="Batang"/>
                <w:b/>
                <w:bCs/>
                <w:sz w:val="20"/>
                <w:szCs w:val="20"/>
                <w:lang w:eastAsia="ko-KR"/>
              </w:rPr>
            </w:pPr>
            <w:r w:rsidRPr="00583077">
              <w:rPr>
                <w:rFonts w:eastAsia="Batang"/>
                <w:b/>
                <w:bCs/>
                <w:sz w:val="20"/>
                <w:szCs w:val="20"/>
                <w:lang w:eastAsia="ko-KR"/>
              </w:rPr>
              <w:t>454,695</w:t>
            </w:r>
          </w:p>
        </w:tc>
        <w:tc>
          <w:tcPr>
            <w:tcW w:w="730" w:type="dxa"/>
            <w:tcBorders>
              <w:top w:val="nil"/>
              <w:left w:val="nil"/>
              <w:bottom w:val="single" w:sz="4" w:space="0" w:color="auto"/>
              <w:right w:val="single" w:sz="4" w:space="0" w:color="auto"/>
            </w:tcBorders>
            <w:noWrap/>
            <w:vAlign w:val="bottom"/>
          </w:tcPr>
          <w:p w:rsidR="00B22874" w:rsidRPr="00583077" w:rsidRDefault="00B22874" w:rsidP="00EB7332">
            <w:pPr>
              <w:jc w:val="right"/>
              <w:rPr>
                <w:rFonts w:eastAsia="Batang"/>
                <w:b/>
                <w:bCs/>
                <w:sz w:val="20"/>
                <w:szCs w:val="20"/>
                <w:lang w:eastAsia="ko-KR"/>
              </w:rPr>
            </w:pPr>
            <w:r w:rsidRPr="00583077">
              <w:rPr>
                <w:rFonts w:eastAsia="Batang"/>
                <w:b/>
                <w:bCs/>
                <w:sz w:val="20"/>
                <w:szCs w:val="20"/>
                <w:lang w:eastAsia="ko-KR"/>
              </w:rPr>
              <w:t>96.67</w:t>
            </w:r>
          </w:p>
        </w:tc>
        <w:tc>
          <w:tcPr>
            <w:tcW w:w="1558" w:type="dxa"/>
            <w:tcBorders>
              <w:top w:val="nil"/>
              <w:left w:val="nil"/>
              <w:bottom w:val="single" w:sz="4" w:space="0" w:color="auto"/>
              <w:right w:val="single" w:sz="4" w:space="0" w:color="auto"/>
            </w:tcBorders>
            <w:noWrap/>
            <w:vAlign w:val="bottom"/>
          </w:tcPr>
          <w:p w:rsidR="00B22874" w:rsidRPr="00583077" w:rsidRDefault="00B22874" w:rsidP="00EB7332">
            <w:pPr>
              <w:jc w:val="right"/>
              <w:rPr>
                <w:rFonts w:eastAsia="Batang"/>
                <w:b/>
                <w:bCs/>
                <w:sz w:val="20"/>
                <w:szCs w:val="20"/>
                <w:lang w:eastAsia="ko-KR"/>
              </w:rPr>
            </w:pPr>
            <w:r w:rsidRPr="00583077">
              <w:rPr>
                <w:rFonts w:eastAsia="Batang"/>
                <w:b/>
                <w:bCs/>
                <w:sz w:val="20"/>
                <w:szCs w:val="20"/>
                <w:lang w:eastAsia="ko-KR"/>
              </w:rPr>
              <w:t>500,868</w:t>
            </w:r>
          </w:p>
        </w:tc>
        <w:tc>
          <w:tcPr>
            <w:tcW w:w="642" w:type="dxa"/>
            <w:tcBorders>
              <w:top w:val="nil"/>
              <w:left w:val="nil"/>
              <w:bottom w:val="single" w:sz="4" w:space="0" w:color="auto"/>
              <w:right w:val="single" w:sz="4" w:space="0" w:color="auto"/>
            </w:tcBorders>
            <w:noWrap/>
            <w:vAlign w:val="bottom"/>
          </w:tcPr>
          <w:p w:rsidR="00B22874" w:rsidRPr="00583077" w:rsidRDefault="00B22874" w:rsidP="00EB7332">
            <w:pPr>
              <w:jc w:val="right"/>
              <w:rPr>
                <w:rFonts w:eastAsia="Batang"/>
                <w:b/>
                <w:bCs/>
                <w:sz w:val="20"/>
                <w:szCs w:val="20"/>
                <w:lang w:eastAsia="ko-KR"/>
              </w:rPr>
            </w:pPr>
            <w:r w:rsidRPr="00583077">
              <w:rPr>
                <w:rFonts w:eastAsia="Batang"/>
                <w:b/>
                <w:bCs/>
                <w:sz w:val="20"/>
                <w:szCs w:val="20"/>
                <w:lang w:eastAsia="ko-KR"/>
              </w:rPr>
              <w:t>96.18</w:t>
            </w:r>
          </w:p>
        </w:tc>
      </w:tr>
      <w:tr w:rsidR="00B22874" w:rsidRPr="00583077" w:rsidTr="005B3E9C">
        <w:trPr>
          <w:trHeight w:val="255"/>
        </w:trPr>
        <w:tc>
          <w:tcPr>
            <w:tcW w:w="2400" w:type="dxa"/>
            <w:tcBorders>
              <w:top w:val="nil"/>
              <w:left w:val="single" w:sz="8" w:space="0" w:color="auto"/>
              <w:bottom w:val="single" w:sz="4" w:space="0" w:color="auto"/>
              <w:right w:val="single" w:sz="4" w:space="0" w:color="auto"/>
            </w:tcBorders>
            <w:noWrap/>
            <w:vAlign w:val="bottom"/>
          </w:tcPr>
          <w:p w:rsidR="00B22874" w:rsidRPr="00583077" w:rsidRDefault="00B22874" w:rsidP="009F044E">
            <w:pPr>
              <w:jc w:val="right"/>
              <w:rPr>
                <w:rFonts w:eastAsia="Batang"/>
                <w:b/>
                <w:bCs/>
                <w:sz w:val="20"/>
                <w:szCs w:val="20"/>
                <w:lang w:eastAsia="ko-KR"/>
              </w:rPr>
            </w:pPr>
            <w:r w:rsidRPr="00583077">
              <w:rPr>
                <w:rFonts w:eastAsia="Batang"/>
                <w:b/>
                <w:bCs/>
                <w:sz w:val="20"/>
                <w:szCs w:val="20"/>
                <w:lang w:eastAsia="ko-KR"/>
              </w:rPr>
              <w:t>1.Instrumenta   afatshkurtër</w:t>
            </w:r>
          </w:p>
        </w:tc>
        <w:tc>
          <w:tcPr>
            <w:tcW w:w="1544" w:type="dxa"/>
            <w:tcBorders>
              <w:top w:val="nil"/>
              <w:left w:val="nil"/>
              <w:bottom w:val="single" w:sz="4" w:space="0" w:color="auto"/>
              <w:right w:val="single" w:sz="4" w:space="0" w:color="auto"/>
            </w:tcBorders>
            <w:noWrap/>
            <w:vAlign w:val="bottom"/>
          </w:tcPr>
          <w:p w:rsidR="00B22874" w:rsidRPr="00583077" w:rsidRDefault="00B22874" w:rsidP="00EB7332">
            <w:pPr>
              <w:jc w:val="right"/>
              <w:rPr>
                <w:rFonts w:eastAsia="Batang"/>
                <w:b/>
                <w:bCs/>
                <w:sz w:val="20"/>
                <w:szCs w:val="20"/>
                <w:lang w:eastAsia="ko-KR"/>
              </w:rPr>
            </w:pPr>
            <w:r w:rsidRPr="00583077">
              <w:rPr>
                <w:rFonts w:eastAsia="Batang"/>
                <w:b/>
                <w:bCs/>
                <w:sz w:val="20"/>
                <w:szCs w:val="20"/>
                <w:lang w:eastAsia="ko-KR"/>
              </w:rPr>
              <w:t>241,385</w:t>
            </w:r>
          </w:p>
        </w:tc>
        <w:tc>
          <w:tcPr>
            <w:tcW w:w="636" w:type="dxa"/>
            <w:tcBorders>
              <w:top w:val="nil"/>
              <w:left w:val="nil"/>
              <w:bottom w:val="single" w:sz="4" w:space="0" w:color="auto"/>
              <w:right w:val="single" w:sz="4" w:space="0" w:color="auto"/>
            </w:tcBorders>
            <w:noWrap/>
            <w:vAlign w:val="bottom"/>
          </w:tcPr>
          <w:p w:rsidR="00B22874" w:rsidRPr="00583077" w:rsidRDefault="00B22874" w:rsidP="00EB7332">
            <w:pPr>
              <w:jc w:val="right"/>
              <w:rPr>
                <w:rFonts w:eastAsia="Batang"/>
                <w:b/>
                <w:bCs/>
                <w:sz w:val="20"/>
                <w:szCs w:val="20"/>
                <w:lang w:eastAsia="ko-KR"/>
              </w:rPr>
            </w:pPr>
            <w:r w:rsidRPr="00583077">
              <w:rPr>
                <w:rFonts w:eastAsia="Batang"/>
                <w:b/>
                <w:bCs/>
                <w:sz w:val="20"/>
                <w:szCs w:val="20"/>
                <w:lang w:eastAsia="ko-KR"/>
              </w:rPr>
              <w:t>55.04</w:t>
            </w:r>
          </w:p>
        </w:tc>
        <w:tc>
          <w:tcPr>
            <w:tcW w:w="1770" w:type="dxa"/>
            <w:tcBorders>
              <w:top w:val="nil"/>
              <w:left w:val="nil"/>
              <w:bottom w:val="single" w:sz="4" w:space="0" w:color="auto"/>
              <w:right w:val="single" w:sz="4" w:space="0" w:color="auto"/>
            </w:tcBorders>
            <w:noWrap/>
            <w:vAlign w:val="bottom"/>
          </w:tcPr>
          <w:p w:rsidR="00B22874" w:rsidRPr="00583077" w:rsidRDefault="00B22874" w:rsidP="00EB7332">
            <w:pPr>
              <w:jc w:val="right"/>
              <w:rPr>
                <w:rFonts w:eastAsia="Batang"/>
                <w:b/>
                <w:bCs/>
                <w:sz w:val="20"/>
                <w:szCs w:val="20"/>
                <w:lang w:eastAsia="ko-KR"/>
              </w:rPr>
            </w:pPr>
            <w:r w:rsidRPr="00583077">
              <w:rPr>
                <w:rFonts w:eastAsia="Batang"/>
                <w:b/>
                <w:bCs/>
                <w:sz w:val="20"/>
                <w:szCs w:val="20"/>
                <w:lang w:eastAsia="ko-KR"/>
              </w:rPr>
              <w:t>250,352</w:t>
            </w:r>
          </w:p>
        </w:tc>
        <w:tc>
          <w:tcPr>
            <w:tcW w:w="730" w:type="dxa"/>
            <w:tcBorders>
              <w:top w:val="nil"/>
              <w:left w:val="nil"/>
              <w:bottom w:val="single" w:sz="4" w:space="0" w:color="auto"/>
              <w:right w:val="single" w:sz="4" w:space="0" w:color="auto"/>
            </w:tcBorders>
            <w:noWrap/>
            <w:vAlign w:val="bottom"/>
          </w:tcPr>
          <w:p w:rsidR="00B22874" w:rsidRPr="00583077" w:rsidRDefault="00B22874" w:rsidP="00EB7332">
            <w:pPr>
              <w:jc w:val="right"/>
              <w:rPr>
                <w:rFonts w:eastAsia="Batang"/>
                <w:b/>
                <w:bCs/>
                <w:sz w:val="20"/>
                <w:szCs w:val="20"/>
                <w:lang w:eastAsia="ko-KR"/>
              </w:rPr>
            </w:pPr>
            <w:r w:rsidRPr="00583077">
              <w:rPr>
                <w:rFonts w:eastAsia="Batang"/>
                <w:b/>
                <w:bCs/>
                <w:sz w:val="20"/>
                <w:szCs w:val="20"/>
                <w:lang w:eastAsia="ko-KR"/>
              </w:rPr>
              <w:t>53.23</w:t>
            </w:r>
          </w:p>
        </w:tc>
        <w:tc>
          <w:tcPr>
            <w:tcW w:w="1558" w:type="dxa"/>
            <w:tcBorders>
              <w:top w:val="nil"/>
              <w:left w:val="nil"/>
              <w:bottom w:val="single" w:sz="4" w:space="0" w:color="auto"/>
              <w:right w:val="single" w:sz="4" w:space="0" w:color="auto"/>
            </w:tcBorders>
            <w:noWrap/>
            <w:vAlign w:val="bottom"/>
          </w:tcPr>
          <w:p w:rsidR="00B22874" w:rsidRPr="00583077" w:rsidRDefault="00B22874" w:rsidP="00EB7332">
            <w:pPr>
              <w:jc w:val="right"/>
              <w:rPr>
                <w:rFonts w:eastAsia="Batang"/>
                <w:b/>
                <w:bCs/>
                <w:sz w:val="20"/>
                <w:szCs w:val="20"/>
                <w:lang w:eastAsia="ko-KR"/>
              </w:rPr>
            </w:pPr>
            <w:r w:rsidRPr="00583077">
              <w:rPr>
                <w:rFonts w:eastAsia="Batang"/>
                <w:b/>
                <w:bCs/>
                <w:sz w:val="20"/>
                <w:szCs w:val="20"/>
                <w:lang w:eastAsia="ko-KR"/>
              </w:rPr>
              <w:t>245,782</w:t>
            </w:r>
          </w:p>
        </w:tc>
        <w:tc>
          <w:tcPr>
            <w:tcW w:w="642" w:type="dxa"/>
            <w:tcBorders>
              <w:top w:val="nil"/>
              <w:left w:val="nil"/>
              <w:bottom w:val="single" w:sz="4" w:space="0" w:color="auto"/>
              <w:right w:val="single" w:sz="4" w:space="0" w:color="auto"/>
            </w:tcBorders>
            <w:noWrap/>
            <w:vAlign w:val="bottom"/>
          </w:tcPr>
          <w:p w:rsidR="00B22874" w:rsidRPr="00583077" w:rsidRDefault="00B22874" w:rsidP="00EB7332">
            <w:pPr>
              <w:jc w:val="right"/>
              <w:rPr>
                <w:rFonts w:eastAsia="Batang"/>
                <w:b/>
                <w:bCs/>
                <w:sz w:val="20"/>
                <w:szCs w:val="20"/>
                <w:lang w:eastAsia="ko-KR"/>
              </w:rPr>
            </w:pPr>
            <w:r w:rsidRPr="00583077">
              <w:rPr>
                <w:rFonts w:eastAsia="Batang"/>
                <w:b/>
                <w:bCs/>
                <w:sz w:val="20"/>
                <w:szCs w:val="20"/>
                <w:lang w:eastAsia="ko-KR"/>
              </w:rPr>
              <w:t>47.19</w:t>
            </w:r>
          </w:p>
        </w:tc>
      </w:tr>
      <w:tr w:rsidR="00B22874" w:rsidRPr="00583077" w:rsidTr="005B3E9C">
        <w:trPr>
          <w:trHeight w:val="255"/>
        </w:trPr>
        <w:tc>
          <w:tcPr>
            <w:tcW w:w="2400" w:type="dxa"/>
            <w:tcBorders>
              <w:top w:val="nil"/>
              <w:left w:val="single" w:sz="8" w:space="0" w:color="auto"/>
              <w:bottom w:val="nil"/>
              <w:right w:val="single" w:sz="4" w:space="0" w:color="auto"/>
            </w:tcBorders>
            <w:noWrap/>
            <w:vAlign w:val="bottom"/>
          </w:tcPr>
          <w:p w:rsidR="00B22874" w:rsidRPr="00583077" w:rsidRDefault="00B22874" w:rsidP="009F044E">
            <w:pPr>
              <w:jc w:val="right"/>
              <w:rPr>
                <w:rFonts w:eastAsia="Batang"/>
                <w:sz w:val="20"/>
                <w:szCs w:val="20"/>
                <w:lang w:eastAsia="ko-KR"/>
              </w:rPr>
            </w:pPr>
            <w:r w:rsidRPr="00583077">
              <w:rPr>
                <w:rFonts w:eastAsia="Batang"/>
                <w:sz w:val="20"/>
                <w:szCs w:val="20"/>
                <w:lang w:eastAsia="ko-KR"/>
              </w:rPr>
              <w:t>Bono 3/M</w:t>
            </w:r>
          </w:p>
        </w:tc>
        <w:tc>
          <w:tcPr>
            <w:tcW w:w="1544" w:type="dxa"/>
            <w:tcBorders>
              <w:top w:val="nil"/>
              <w:left w:val="nil"/>
              <w:bottom w:val="nil"/>
              <w:right w:val="single" w:sz="4" w:space="0" w:color="auto"/>
            </w:tcBorders>
            <w:noWrap/>
            <w:vAlign w:val="bottom"/>
          </w:tcPr>
          <w:p w:rsidR="00B22874" w:rsidRPr="00583077" w:rsidRDefault="00B22874" w:rsidP="00EB7332">
            <w:pPr>
              <w:jc w:val="right"/>
              <w:rPr>
                <w:rFonts w:eastAsia="Batang"/>
                <w:sz w:val="20"/>
                <w:szCs w:val="20"/>
                <w:lang w:eastAsia="ko-KR"/>
              </w:rPr>
            </w:pPr>
            <w:r w:rsidRPr="00583077">
              <w:rPr>
                <w:rFonts w:eastAsia="Batang"/>
                <w:sz w:val="20"/>
                <w:szCs w:val="20"/>
                <w:lang w:eastAsia="ko-KR"/>
              </w:rPr>
              <w:t>11,579</w:t>
            </w:r>
          </w:p>
        </w:tc>
        <w:tc>
          <w:tcPr>
            <w:tcW w:w="636" w:type="dxa"/>
            <w:tcBorders>
              <w:top w:val="nil"/>
              <w:left w:val="nil"/>
              <w:bottom w:val="nil"/>
              <w:right w:val="single" w:sz="4" w:space="0" w:color="auto"/>
            </w:tcBorders>
            <w:noWrap/>
            <w:vAlign w:val="bottom"/>
          </w:tcPr>
          <w:p w:rsidR="00B22874" w:rsidRPr="00583077" w:rsidRDefault="00B22874" w:rsidP="00EB7332">
            <w:pPr>
              <w:jc w:val="right"/>
              <w:rPr>
                <w:rFonts w:eastAsia="Batang"/>
                <w:sz w:val="20"/>
                <w:szCs w:val="20"/>
                <w:lang w:eastAsia="ko-KR"/>
              </w:rPr>
            </w:pPr>
            <w:r w:rsidRPr="00583077">
              <w:rPr>
                <w:rFonts w:eastAsia="Batang"/>
                <w:sz w:val="20"/>
                <w:szCs w:val="20"/>
                <w:lang w:eastAsia="ko-KR"/>
              </w:rPr>
              <w:t>2.64</w:t>
            </w:r>
          </w:p>
        </w:tc>
        <w:tc>
          <w:tcPr>
            <w:tcW w:w="1770" w:type="dxa"/>
            <w:tcBorders>
              <w:top w:val="nil"/>
              <w:left w:val="nil"/>
              <w:bottom w:val="nil"/>
              <w:right w:val="single" w:sz="4" w:space="0" w:color="auto"/>
            </w:tcBorders>
            <w:noWrap/>
            <w:vAlign w:val="bottom"/>
          </w:tcPr>
          <w:p w:rsidR="00B22874" w:rsidRPr="00583077" w:rsidRDefault="00B22874" w:rsidP="00EB7332">
            <w:pPr>
              <w:jc w:val="right"/>
              <w:rPr>
                <w:rFonts w:eastAsia="Batang"/>
                <w:sz w:val="20"/>
                <w:szCs w:val="20"/>
                <w:lang w:eastAsia="ko-KR"/>
              </w:rPr>
            </w:pPr>
            <w:r w:rsidRPr="00583077">
              <w:rPr>
                <w:rFonts w:eastAsia="Batang"/>
                <w:sz w:val="20"/>
                <w:szCs w:val="20"/>
                <w:lang w:eastAsia="ko-KR"/>
              </w:rPr>
              <w:t>6,998</w:t>
            </w:r>
          </w:p>
        </w:tc>
        <w:tc>
          <w:tcPr>
            <w:tcW w:w="730" w:type="dxa"/>
            <w:tcBorders>
              <w:top w:val="nil"/>
              <w:left w:val="nil"/>
              <w:bottom w:val="nil"/>
              <w:right w:val="single" w:sz="4" w:space="0" w:color="auto"/>
            </w:tcBorders>
            <w:noWrap/>
            <w:vAlign w:val="bottom"/>
          </w:tcPr>
          <w:p w:rsidR="00B22874" w:rsidRPr="00583077" w:rsidRDefault="00B22874" w:rsidP="00EB7332">
            <w:pPr>
              <w:jc w:val="right"/>
              <w:rPr>
                <w:rFonts w:eastAsia="Batang"/>
                <w:sz w:val="20"/>
                <w:szCs w:val="20"/>
                <w:lang w:eastAsia="ko-KR"/>
              </w:rPr>
            </w:pPr>
            <w:r w:rsidRPr="00583077">
              <w:rPr>
                <w:rFonts w:eastAsia="Batang"/>
                <w:sz w:val="20"/>
                <w:szCs w:val="20"/>
                <w:lang w:eastAsia="ko-KR"/>
              </w:rPr>
              <w:t>1.49</w:t>
            </w:r>
          </w:p>
        </w:tc>
        <w:tc>
          <w:tcPr>
            <w:tcW w:w="1558" w:type="dxa"/>
            <w:tcBorders>
              <w:top w:val="nil"/>
              <w:left w:val="nil"/>
              <w:bottom w:val="nil"/>
              <w:right w:val="single" w:sz="4" w:space="0" w:color="auto"/>
            </w:tcBorders>
            <w:noWrap/>
            <w:vAlign w:val="bottom"/>
          </w:tcPr>
          <w:p w:rsidR="00B22874" w:rsidRPr="00583077" w:rsidRDefault="00B22874" w:rsidP="00EB7332">
            <w:pPr>
              <w:jc w:val="right"/>
              <w:rPr>
                <w:rFonts w:eastAsia="Batang"/>
                <w:sz w:val="20"/>
                <w:szCs w:val="20"/>
                <w:lang w:eastAsia="ko-KR"/>
              </w:rPr>
            </w:pPr>
            <w:r w:rsidRPr="00583077">
              <w:rPr>
                <w:rFonts w:eastAsia="Batang"/>
                <w:sz w:val="20"/>
                <w:szCs w:val="20"/>
                <w:lang w:eastAsia="ko-KR"/>
              </w:rPr>
              <w:t>7,959</w:t>
            </w:r>
          </w:p>
        </w:tc>
        <w:tc>
          <w:tcPr>
            <w:tcW w:w="642" w:type="dxa"/>
            <w:tcBorders>
              <w:top w:val="nil"/>
              <w:left w:val="nil"/>
              <w:bottom w:val="nil"/>
              <w:right w:val="single" w:sz="4" w:space="0" w:color="auto"/>
            </w:tcBorders>
            <w:noWrap/>
            <w:vAlign w:val="bottom"/>
          </w:tcPr>
          <w:p w:rsidR="00B22874" w:rsidRPr="00583077" w:rsidRDefault="00B22874" w:rsidP="00EB7332">
            <w:pPr>
              <w:jc w:val="right"/>
              <w:rPr>
                <w:rFonts w:eastAsia="Batang"/>
                <w:sz w:val="20"/>
                <w:szCs w:val="20"/>
                <w:lang w:eastAsia="ko-KR"/>
              </w:rPr>
            </w:pPr>
            <w:r w:rsidRPr="00583077">
              <w:rPr>
                <w:rFonts w:eastAsia="Batang"/>
                <w:sz w:val="20"/>
                <w:szCs w:val="20"/>
                <w:lang w:eastAsia="ko-KR"/>
              </w:rPr>
              <w:t>1.53</w:t>
            </w:r>
          </w:p>
        </w:tc>
      </w:tr>
      <w:tr w:rsidR="00B22874" w:rsidRPr="00583077" w:rsidTr="005B3E9C">
        <w:trPr>
          <w:trHeight w:val="255"/>
        </w:trPr>
        <w:tc>
          <w:tcPr>
            <w:tcW w:w="2400" w:type="dxa"/>
            <w:tcBorders>
              <w:top w:val="nil"/>
              <w:left w:val="single" w:sz="8" w:space="0" w:color="auto"/>
              <w:bottom w:val="nil"/>
              <w:right w:val="single" w:sz="4" w:space="0" w:color="auto"/>
            </w:tcBorders>
            <w:noWrap/>
            <w:vAlign w:val="bottom"/>
          </w:tcPr>
          <w:p w:rsidR="00B22874" w:rsidRPr="00583077" w:rsidRDefault="00B22874" w:rsidP="009F044E">
            <w:pPr>
              <w:jc w:val="right"/>
              <w:rPr>
                <w:rFonts w:eastAsia="Batang"/>
                <w:sz w:val="20"/>
                <w:szCs w:val="20"/>
                <w:lang w:eastAsia="ko-KR"/>
              </w:rPr>
            </w:pPr>
            <w:r w:rsidRPr="00583077">
              <w:rPr>
                <w:rFonts w:eastAsia="Batang"/>
                <w:sz w:val="20"/>
                <w:szCs w:val="20"/>
                <w:lang w:eastAsia="ko-KR"/>
              </w:rPr>
              <w:t>Bono 6/M</w:t>
            </w:r>
          </w:p>
        </w:tc>
        <w:tc>
          <w:tcPr>
            <w:tcW w:w="1544" w:type="dxa"/>
            <w:tcBorders>
              <w:top w:val="nil"/>
              <w:left w:val="nil"/>
              <w:bottom w:val="nil"/>
              <w:right w:val="single" w:sz="4" w:space="0" w:color="auto"/>
            </w:tcBorders>
            <w:noWrap/>
            <w:vAlign w:val="bottom"/>
          </w:tcPr>
          <w:p w:rsidR="00B22874" w:rsidRPr="00583077" w:rsidRDefault="00B22874" w:rsidP="00EB7332">
            <w:pPr>
              <w:jc w:val="right"/>
              <w:rPr>
                <w:rFonts w:eastAsia="Batang"/>
                <w:sz w:val="20"/>
                <w:szCs w:val="20"/>
                <w:lang w:eastAsia="ko-KR"/>
              </w:rPr>
            </w:pPr>
            <w:r w:rsidRPr="00583077">
              <w:rPr>
                <w:rFonts w:eastAsia="Batang"/>
                <w:sz w:val="20"/>
                <w:szCs w:val="20"/>
                <w:lang w:eastAsia="ko-KR"/>
              </w:rPr>
              <w:t>42,914</w:t>
            </w:r>
          </w:p>
        </w:tc>
        <w:tc>
          <w:tcPr>
            <w:tcW w:w="636" w:type="dxa"/>
            <w:tcBorders>
              <w:top w:val="nil"/>
              <w:left w:val="nil"/>
              <w:bottom w:val="nil"/>
              <w:right w:val="single" w:sz="4" w:space="0" w:color="auto"/>
            </w:tcBorders>
            <w:noWrap/>
            <w:vAlign w:val="bottom"/>
          </w:tcPr>
          <w:p w:rsidR="00B22874" w:rsidRPr="00583077" w:rsidRDefault="00B22874" w:rsidP="00EB7332">
            <w:pPr>
              <w:jc w:val="right"/>
              <w:rPr>
                <w:rFonts w:eastAsia="Batang"/>
                <w:sz w:val="20"/>
                <w:szCs w:val="20"/>
                <w:lang w:eastAsia="ko-KR"/>
              </w:rPr>
            </w:pPr>
            <w:r w:rsidRPr="00583077">
              <w:rPr>
                <w:rFonts w:eastAsia="Batang"/>
                <w:sz w:val="20"/>
                <w:szCs w:val="20"/>
                <w:lang w:eastAsia="ko-KR"/>
              </w:rPr>
              <w:t>9.78</w:t>
            </w:r>
          </w:p>
        </w:tc>
        <w:tc>
          <w:tcPr>
            <w:tcW w:w="1770" w:type="dxa"/>
            <w:tcBorders>
              <w:top w:val="nil"/>
              <w:left w:val="nil"/>
              <w:bottom w:val="nil"/>
              <w:right w:val="single" w:sz="4" w:space="0" w:color="auto"/>
            </w:tcBorders>
            <w:noWrap/>
            <w:vAlign w:val="bottom"/>
          </w:tcPr>
          <w:p w:rsidR="00B22874" w:rsidRPr="00583077" w:rsidRDefault="00B22874" w:rsidP="00EB7332">
            <w:pPr>
              <w:jc w:val="right"/>
              <w:rPr>
                <w:rFonts w:eastAsia="Batang"/>
                <w:sz w:val="20"/>
                <w:szCs w:val="20"/>
                <w:lang w:eastAsia="ko-KR"/>
              </w:rPr>
            </w:pPr>
            <w:r w:rsidRPr="00583077">
              <w:rPr>
                <w:rFonts w:eastAsia="Batang"/>
                <w:sz w:val="20"/>
                <w:szCs w:val="20"/>
                <w:lang w:eastAsia="ko-KR"/>
              </w:rPr>
              <w:t>39,129</w:t>
            </w:r>
          </w:p>
        </w:tc>
        <w:tc>
          <w:tcPr>
            <w:tcW w:w="730" w:type="dxa"/>
            <w:tcBorders>
              <w:top w:val="nil"/>
              <w:left w:val="nil"/>
              <w:bottom w:val="nil"/>
              <w:right w:val="single" w:sz="4" w:space="0" w:color="auto"/>
            </w:tcBorders>
            <w:noWrap/>
            <w:vAlign w:val="bottom"/>
          </w:tcPr>
          <w:p w:rsidR="00B22874" w:rsidRPr="00583077" w:rsidRDefault="00B22874" w:rsidP="00EB7332">
            <w:pPr>
              <w:jc w:val="right"/>
              <w:rPr>
                <w:rFonts w:eastAsia="Batang"/>
                <w:sz w:val="20"/>
                <w:szCs w:val="20"/>
                <w:lang w:eastAsia="ko-KR"/>
              </w:rPr>
            </w:pPr>
            <w:r w:rsidRPr="00583077">
              <w:rPr>
                <w:rFonts w:eastAsia="Batang"/>
                <w:sz w:val="20"/>
                <w:szCs w:val="20"/>
                <w:lang w:eastAsia="ko-KR"/>
              </w:rPr>
              <w:t>8.32</w:t>
            </w:r>
          </w:p>
        </w:tc>
        <w:tc>
          <w:tcPr>
            <w:tcW w:w="1558" w:type="dxa"/>
            <w:tcBorders>
              <w:top w:val="nil"/>
              <w:left w:val="nil"/>
              <w:bottom w:val="nil"/>
              <w:right w:val="single" w:sz="4" w:space="0" w:color="auto"/>
            </w:tcBorders>
            <w:noWrap/>
            <w:vAlign w:val="bottom"/>
          </w:tcPr>
          <w:p w:rsidR="00B22874" w:rsidRPr="00583077" w:rsidRDefault="00B22874" w:rsidP="00EB7332">
            <w:pPr>
              <w:jc w:val="right"/>
              <w:rPr>
                <w:rFonts w:eastAsia="Batang"/>
                <w:sz w:val="20"/>
                <w:szCs w:val="20"/>
                <w:lang w:eastAsia="ko-KR"/>
              </w:rPr>
            </w:pPr>
            <w:r w:rsidRPr="00583077">
              <w:rPr>
                <w:rFonts w:eastAsia="Batang"/>
                <w:sz w:val="20"/>
                <w:szCs w:val="20"/>
                <w:lang w:eastAsia="ko-KR"/>
              </w:rPr>
              <w:t>39,242</w:t>
            </w:r>
          </w:p>
        </w:tc>
        <w:tc>
          <w:tcPr>
            <w:tcW w:w="642" w:type="dxa"/>
            <w:tcBorders>
              <w:top w:val="nil"/>
              <w:left w:val="nil"/>
              <w:bottom w:val="nil"/>
              <w:right w:val="single" w:sz="4" w:space="0" w:color="auto"/>
            </w:tcBorders>
            <w:noWrap/>
            <w:vAlign w:val="bottom"/>
          </w:tcPr>
          <w:p w:rsidR="00B22874" w:rsidRPr="00583077" w:rsidRDefault="00B22874" w:rsidP="00EB7332">
            <w:pPr>
              <w:jc w:val="right"/>
              <w:rPr>
                <w:rFonts w:eastAsia="Batang"/>
                <w:sz w:val="20"/>
                <w:szCs w:val="20"/>
                <w:lang w:eastAsia="ko-KR"/>
              </w:rPr>
            </w:pPr>
            <w:r w:rsidRPr="00583077">
              <w:rPr>
                <w:rFonts w:eastAsia="Batang"/>
                <w:sz w:val="20"/>
                <w:szCs w:val="20"/>
                <w:lang w:eastAsia="ko-KR"/>
              </w:rPr>
              <w:t>7.54</w:t>
            </w:r>
          </w:p>
        </w:tc>
      </w:tr>
      <w:tr w:rsidR="00B22874" w:rsidRPr="00583077" w:rsidTr="005B3E9C">
        <w:trPr>
          <w:trHeight w:val="255"/>
        </w:trPr>
        <w:tc>
          <w:tcPr>
            <w:tcW w:w="2400" w:type="dxa"/>
            <w:tcBorders>
              <w:top w:val="nil"/>
              <w:left w:val="single" w:sz="8" w:space="0" w:color="auto"/>
              <w:bottom w:val="nil"/>
              <w:right w:val="single" w:sz="4" w:space="0" w:color="auto"/>
            </w:tcBorders>
            <w:noWrap/>
            <w:vAlign w:val="bottom"/>
          </w:tcPr>
          <w:p w:rsidR="00B22874" w:rsidRPr="00583077" w:rsidRDefault="00B22874" w:rsidP="009F044E">
            <w:pPr>
              <w:jc w:val="right"/>
              <w:rPr>
                <w:rFonts w:eastAsia="Batang"/>
                <w:sz w:val="20"/>
                <w:szCs w:val="20"/>
                <w:lang w:eastAsia="ko-KR"/>
              </w:rPr>
            </w:pPr>
            <w:r w:rsidRPr="00583077">
              <w:rPr>
                <w:rFonts w:eastAsia="Batang"/>
                <w:sz w:val="20"/>
                <w:szCs w:val="20"/>
                <w:lang w:eastAsia="ko-KR"/>
              </w:rPr>
              <w:t>Bono 9/M</w:t>
            </w:r>
          </w:p>
        </w:tc>
        <w:tc>
          <w:tcPr>
            <w:tcW w:w="1544" w:type="dxa"/>
            <w:tcBorders>
              <w:top w:val="nil"/>
              <w:left w:val="nil"/>
              <w:bottom w:val="nil"/>
              <w:right w:val="single" w:sz="4" w:space="0" w:color="auto"/>
            </w:tcBorders>
            <w:noWrap/>
            <w:vAlign w:val="bottom"/>
          </w:tcPr>
          <w:p w:rsidR="00B22874" w:rsidRPr="00583077" w:rsidRDefault="00B22874" w:rsidP="00EB7332">
            <w:pPr>
              <w:jc w:val="right"/>
              <w:rPr>
                <w:rFonts w:eastAsia="Batang"/>
                <w:sz w:val="20"/>
                <w:szCs w:val="20"/>
                <w:lang w:eastAsia="ko-KR"/>
              </w:rPr>
            </w:pPr>
            <w:r w:rsidRPr="00583077">
              <w:rPr>
                <w:rFonts w:eastAsia="Batang"/>
                <w:sz w:val="20"/>
                <w:szCs w:val="20"/>
                <w:lang w:eastAsia="ko-KR"/>
              </w:rPr>
              <w:t>0</w:t>
            </w:r>
          </w:p>
        </w:tc>
        <w:tc>
          <w:tcPr>
            <w:tcW w:w="636" w:type="dxa"/>
            <w:tcBorders>
              <w:top w:val="nil"/>
              <w:left w:val="nil"/>
              <w:bottom w:val="nil"/>
              <w:right w:val="single" w:sz="4" w:space="0" w:color="auto"/>
            </w:tcBorders>
            <w:noWrap/>
            <w:vAlign w:val="bottom"/>
          </w:tcPr>
          <w:p w:rsidR="00B22874" w:rsidRPr="00583077" w:rsidRDefault="00B22874" w:rsidP="00EB7332">
            <w:pPr>
              <w:jc w:val="right"/>
              <w:rPr>
                <w:rFonts w:eastAsia="Batang"/>
                <w:sz w:val="20"/>
                <w:szCs w:val="20"/>
                <w:lang w:eastAsia="ko-KR"/>
              </w:rPr>
            </w:pPr>
            <w:r w:rsidRPr="00583077">
              <w:rPr>
                <w:rFonts w:eastAsia="Batang"/>
                <w:sz w:val="20"/>
                <w:szCs w:val="20"/>
                <w:lang w:eastAsia="ko-KR"/>
              </w:rPr>
              <w:t>0.00</w:t>
            </w:r>
          </w:p>
        </w:tc>
        <w:tc>
          <w:tcPr>
            <w:tcW w:w="1770" w:type="dxa"/>
            <w:tcBorders>
              <w:top w:val="nil"/>
              <w:left w:val="nil"/>
              <w:bottom w:val="nil"/>
              <w:right w:val="single" w:sz="4" w:space="0" w:color="auto"/>
            </w:tcBorders>
            <w:noWrap/>
            <w:vAlign w:val="bottom"/>
          </w:tcPr>
          <w:p w:rsidR="00B22874" w:rsidRPr="00583077" w:rsidRDefault="00B22874" w:rsidP="00EB7332">
            <w:pPr>
              <w:jc w:val="right"/>
              <w:rPr>
                <w:rFonts w:eastAsia="Batang"/>
                <w:sz w:val="20"/>
                <w:szCs w:val="20"/>
                <w:lang w:eastAsia="ko-KR"/>
              </w:rPr>
            </w:pPr>
            <w:r w:rsidRPr="00583077">
              <w:rPr>
                <w:rFonts w:eastAsia="Batang"/>
                <w:sz w:val="20"/>
                <w:szCs w:val="20"/>
                <w:lang w:eastAsia="ko-KR"/>
              </w:rPr>
              <w:t>0</w:t>
            </w:r>
          </w:p>
        </w:tc>
        <w:tc>
          <w:tcPr>
            <w:tcW w:w="730" w:type="dxa"/>
            <w:tcBorders>
              <w:top w:val="nil"/>
              <w:left w:val="nil"/>
              <w:bottom w:val="nil"/>
              <w:right w:val="single" w:sz="4" w:space="0" w:color="auto"/>
            </w:tcBorders>
            <w:noWrap/>
            <w:vAlign w:val="bottom"/>
          </w:tcPr>
          <w:p w:rsidR="00B22874" w:rsidRPr="00583077" w:rsidRDefault="00B22874" w:rsidP="00EB7332">
            <w:pPr>
              <w:jc w:val="right"/>
              <w:rPr>
                <w:rFonts w:eastAsia="Batang"/>
                <w:sz w:val="20"/>
                <w:szCs w:val="20"/>
                <w:lang w:eastAsia="ko-KR"/>
              </w:rPr>
            </w:pPr>
            <w:r w:rsidRPr="00583077">
              <w:rPr>
                <w:rFonts w:eastAsia="Batang"/>
                <w:sz w:val="20"/>
                <w:szCs w:val="20"/>
                <w:lang w:eastAsia="ko-KR"/>
              </w:rPr>
              <w:t>0.00</w:t>
            </w:r>
          </w:p>
        </w:tc>
        <w:tc>
          <w:tcPr>
            <w:tcW w:w="1558" w:type="dxa"/>
            <w:tcBorders>
              <w:top w:val="nil"/>
              <w:left w:val="nil"/>
              <w:bottom w:val="nil"/>
              <w:right w:val="single" w:sz="4" w:space="0" w:color="auto"/>
            </w:tcBorders>
            <w:noWrap/>
            <w:vAlign w:val="bottom"/>
          </w:tcPr>
          <w:p w:rsidR="00B22874" w:rsidRPr="00583077" w:rsidRDefault="00B22874" w:rsidP="00EB7332">
            <w:pPr>
              <w:jc w:val="right"/>
              <w:rPr>
                <w:rFonts w:eastAsia="Batang"/>
                <w:sz w:val="20"/>
                <w:szCs w:val="20"/>
                <w:lang w:eastAsia="ko-KR"/>
              </w:rPr>
            </w:pPr>
            <w:r w:rsidRPr="00583077">
              <w:rPr>
                <w:rFonts w:eastAsia="Batang"/>
                <w:sz w:val="20"/>
                <w:szCs w:val="20"/>
                <w:lang w:eastAsia="ko-KR"/>
              </w:rPr>
              <w:t>0</w:t>
            </w:r>
          </w:p>
        </w:tc>
        <w:tc>
          <w:tcPr>
            <w:tcW w:w="642" w:type="dxa"/>
            <w:tcBorders>
              <w:top w:val="nil"/>
              <w:left w:val="nil"/>
              <w:bottom w:val="nil"/>
              <w:right w:val="single" w:sz="4" w:space="0" w:color="auto"/>
            </w:tcBorders>
            <w:noWrap/>
            <w:vAlign w:val="bottom"/>
          </w:tcPr>
          <w:p w:rsidR="00B22874" w:rsidRPr="00583077" w:rsidRDefault="00B22874" w:rsidP="00EB7332">
            <w:pPr>
              <w:jc w:val="right"/>
              <w:rPr>
                <w:rFonts w:eastAsia="Batang"/>
                <w:sz w:val="20"/>
                <w:szCs w:val="20"/>
                <w:lang w:eastAsia="ko-KR"/>
              </w:rPr>
            </w:pPr>
            <w:r w:rsidRPr="00583077">
              <w:rPr>
                <w:rFonts w:eastAsia="Batang"/>
                <w:sz w:val="20"/>
                <w:szCs w:val="20"/>
                <w:lang w:eastAsia="ko-KR"/>
              </w:rPr>
              <w:t>0.00</w:t>
            </w:r>
          </w:p>
        </w:tc>
      </w:tr>
      <w:tr w:rsidR="00B22874" w:rsidRPr="00583077" w:rsidTr="005B3E9C">
        <w:trPr>
          <w:trHeight w:val="255"/>
        </w:trPr>
        <w:tc>
          <w:tcPr>
            <w:tcW w:w="2400" w:type="dxa"/>
            <w:tcBorders>
              <w:top w:val="nil"/>
              <w:left w:val="single" w:sz="8" w:space="0" w:color="auto"/>
              <w:bottom w:val="nil"/>
              <w:right w:val="single" w:sz="4" w:space="0" w:color="auto"/>
            </w:tcBorders>
            <w:noWrap/>
            <w:vAlign w:val="bottom"/>
          </w:tcPr>
          <w:p w:rsidR="00B22874" w:rsidRPr="00583077" w:rsidRDefault="00B22874" w:rsidP="009F044E">
            <w:pPr>
              <w:jc w:val="right"/>
              <w:rPr>
                <w:rFonts w:eastAsia="Batang"/>
                <w:sz w:val="20"/>
                <w:szCs w:val="20"/>
                <w:lang w:eastAsia="ko-KR"/>
              </w:rPr>
            </w:pPr>
            <w:r w:rsidRPr="00583077">
              <w:rPr>
                <w:rFonts w:eastAsia="Batang"/>
                <w:sz w:val="20"/>
                <w:szCs w:val="20"/>
                <w:lang w:eastAsia="ko-KR"/>
              </w:rPr>
              <w:t>Bono 12/M</w:t>
            </w:r>
          </w:p>
        </w:tc>
        <w:tc>
          <w:tcPr>
            <w:tcW w:w="1544" w:type="dxa"/>
            <w:tcBorders>
              <w:top w:val="nil"/>
              <w:left w:val="nil"/>
              <w:bottom w:val="nil"/>
              <w:right w:val="single" w:sz="4" w:space="0" w:color="auto"/>
            </w:tcBorders>
            <w:noWrap/>
            <w:vAlign w:val="bottom"/>
          </w:tcPr>
          <w:p w:rsidR="00B22874" w:rsidRPr="00583077" w:rsidRDefault="00B22874" w:rsidP="00EB7332">
            <w:pPr>
              <w:jc w:val="right"/>
              <w:rPr>
                <w:rFonts w:eastAsia="Batang"/>
                <w:sz w:val="20"/>
                <w:szCs w:val="20"/>
                <w:lang w:eastAsia="ko-KR"/>
              </w:rPr>
            </w:pPr>
            <w:r w:rsidRPr="00583077">
              <w:rPr>
                <w:rFonts w:eastAsia="Batang"/>
                <w:sz w:val="20"/>
                <w:szCs w:val="20"/>
                <w:lang w:eastAsia="ko-KR"/>
              </w:rPr>
              <w:t>186,892</w:t>
            </w:r>
          </w:p>
        </w:tc>
        <w:tc>
          <w:tcPr>
            <w:tcW w:w="636" w:type="dxa"/>
            <w:tcBorders>
              <w:top w:val="nil"/>
              <w:left w:val="nil"/>
              <w:bottom w:val="nil"/>
              <w:right w:val="single" w:sz="4" w:space="0" w:color="auto"/>
            </w:tcBorders>
            <w:noWrap/>
            <w:vAlign w:val="bottom"/>
          </w:tcPr>
          <w:p w:rsidR="00B22874" w:rsidRPr="00583077" w:rsidRDefault="00B22874" w:rsidP="00EB7332">
            <w:pPr>
              <w:jc w:val="right"/>
              <w:rPr>
                <w:rFonts w:eastAsia="Batang"/>
                <w:sz w:val="20"/>
                <w:szCs w:val="20"/>
                <w:lang w:eastAsia="ko-KR"/>
              </w:rPr>
            </w:pPr>
            <w:r w:rsidRPr="00583077">
              <w:rPr>
                <w:rFonts w:eastAsia="Batang"/>
                <w:sz w:val="20"/>
                <w:szCs w:val="20"/>
                <w:lang w:eastAsia="ko-KR"/>
              </w:rPr>
              <w:t>42.61</w:t>
            </w:r>
          </w:p>
        </w:tc>
        <w:tc>
          <w:tcPr>
            <w:tcW w:w="1770" w:type="dxa"/>
            <w:tcBorders>
              <w:top w:val="nil"/>
              <w:left w:val="nil"/>
              <w:bottom w:val="single" w:sz="4" w:space="0" w:color="auto"/>
              <w:right w:val="single" w:sz="4" w:space="0" w:color="auto"/>
            </w:tcBorders>
            <w:noWrap/>
            <w:vAlign w:val="bottom"/>
          </w:tcPr>
          <w:p w:rsidR="00B22874" w:rsidRPr="00583077" w:rsidRDefault="00B22874" w:rsidP="00EB7332">
            <w:pPr>
              <w:jc w:val="right"/>
              <w:rPr>
                <w:rFonts w:eastAsia="Batang"/>
                <w:sz w:val="20"/>
                <w:szCs w:val="20"/>
                <w:lang w:eastAsia="ko-KR"/>
              </w:rPr>
            </w:pPr>
            <w:r w:rsidRPr="00583077">
              <w:rPr>
                <w:rFonts w:eastAsia="Batang"/>
                <w:sz w:val="20"/>
                <w:szCs w:val="20"/>
                <w:lang w:eastAsia="ko-KR"/>
              </w:rPr>
              <w:t>204,225</w:t>
            </w:r>
          </w:p>
        </w:tc>
        <w:tc>
          <w:tcPr>
            <w:tcW w:w="730" w:type="dxa"/>
            <w:tcBorders>
              <w:top w:val="nil"/>
              <w:left w:val="nil"/>
              <w:bottom w:val="nil"/>
              <w:right w:val="single" w:sz="4" w:space="0" w:color="auto"/>
            </w:tcBorders>
            <w:noWrap/>
            <w:vAlign w:val="bottom"/>
          </w:tcPr>
          <w:p w:rsidR="00B22874" w:rsidRPr="00583077" w:rsidRDefault="00B22874" w:rsidP="00EB7332">
            <w:pPr>
              <w:jc w:val="right"/>
              <w:rPr>
                <w:rFonts w:eastAsia="Batang"/>
                <w:sz w:val="20"/>
                <w:szCs w:val="20"/>
                <w:lang w:eastAsia="ko-KR"/>
              </w:rPr>
            </w:pPr>
            <w:r w:rsidRPr="00583077">
              <w:rPr>
                <w:rFonts w:eastAsia="Batang"/>
                <w:sz w:val="20"/>
                <w:szCs w:val="20"/>
                <w:lang w:eastAsia="ko-KR"/>
              </w:rPr>
              <w:t>43.42</w:t>
            </w:r>
          </w:p>
        </w:tc>
        <w:tc>
          <w:tcPr>
            <w:tcW w:w="1558" w:type="dxa"/>
            <w:tcBorders>
              <w:top w:val="nil"/>
              <w:left w:val="nil"/>
              <w:bottom w:val="single" w:sz="4" w:space="0" w:color="auto"/>
              <w:right w:val="single" w:sz="4" w:space="0" w:color="auto"/>
            </w:tcBorders>
            <w:noWrap/>
            <w:vAlign w:val="bottom"/>
          </w:tcPr>
          <w:p w:rsidR="00B22874" w:rsidRPr="00583077" w:rsidRDefault="00B22874" w:rsidP="00EB7332">
            <w:pPr>
              <w:jc w:val="right"/>
              <w:rPr>
                <w:rFonts w:eastAsia="Batang"/>
                <w:sz w:val="20"/>
                <w:szCs w:val="20"/>
                <w:lang w:eastAsia="ko-KR"/>
              </w:rPr>
            </w:pPr>
            <w:r w:rsidRPr="00583077">
              <w:rPr>
                <w:rFonts w:eastAsia="Batang"/>
                <w:sz w:val="20"/>
                <w:szCs w:val="20"/>
                <w:lang w:eastAsia="ko-KR"/>
              </w:rPr>
              <w:t>198,581</w:t>
            </w:r>
          </w:p>
        </w:tc>
        <w:tc>
          <w:tcPr>
            <w:tcW w:w="642" w:type="dxa"/>
            <w:tcBorders>
              <w:top w:val="nil"/>
              <w:left w:val="nil"/>
              <w:bottom w:val="nil"/>
              <w:right w:val="single" w:sz="4" w:space="0" w:color="auto"/>
            </w:tcBorders>
            <w:noWrap/>
            <w:vAlign w:val="bottom"/>
          </w:tcPr>
          <w:p w:rsidR="00B22874" w:rsidRPr="00583077" w:rsidRDefault="00B22874" w:rsidP="00EB7332">
            <w:pPr>
              <w:jc w:val="right"/>
              <w:rPr>
                <w:rFonts w:eastAsia="Batang"/>
                <w:sz w:val="20"/>
                <w:szCs w:val="20"/>
                <w:lang w:eastAsia="ko-KR"/>
              </w:rPr>
            </w:pPr>
            <w:r w:rsidRPr="00583077">
              <w:rPr>
                <w:rFonts w:eastAsia="Batang"/>
                <w:sz w:val="20"/>
                <w:szCs w:val="20"/>
                <w:lang w:eastAsia="ko-KR"/>
              </w:rPr>
              <w:t>38.13</w:t>
            </w:r>
          </w:p>
        </w:tc>
      </w:tr>
      <w:tr w:rsidR="00B22874" w:rsidRPr="00583077" w:rsidTr="005B3E9C">
        <w:trPr>
          <w:trHeight w:val="255"/>
        </w:trPr>
        <w:tc>
          <w:tcPr>
            <w:tcW w:w="2400" w:type="dxa"/>
            <w:tcBorders>
              <w:top w:val="single" w:sz="4" w:space="0" w:color="auto"/>
              <w:left w:val="single" w:sz="8" w:space="0" w:color="auto"/>
              <w:bottom w:val="single" w:sz="4" w:space="0" w:color="auto"/>
              <w:right w:val="single" w:sz="4" w:space="0" w:color="auto"/>
            </w:tcBorders>
            <w:noWrap/>
            <w:vAlign w:val="bottom"/>
          </w:tcPr>
          <w:p w:rsidR="00B22874" w:rsidRPr="00583077" w:rsidRDefault="00B22874" w:rsidP="009F044E">
            <w:pPr>
              <w:jc w:val="right"/>
              <w:rPr>
                <w:rFonts w:eastAsia="Batang"/>
                <w:b/>
                <w:bCs/>
                <w:sz w:val="20"/>
                <w:szCs w:val="20"/>
                <w:lang w:eastAsia="ko-KR"/>
              </w:rPr>
            </w:pPr>
            <w:r w:rsidRPr="00583077">
              <w:rPr>
                <w:rFonts w:eastAsia="Batang"/>
                <w:b/>
                <w:bCs/>
                <w:sz w:val="20"/>
                <w:szCs w:val="20"/>
                <w:lang w:eastAsia="ko-KR"/>
              </w:rPr>
              <w:t>2.Instrumenta afatgjatë</w:t>
            </w:r>
          </w:p>
        </w:tc>
        <w:tc>
          <w:tcPr>
            <w:tcW w:w="1544" w:type="dxa"/>
            <w:tcBorders>
              <w:top w:val="single" w:sz="4" w:space="0" w:color="auto"/>
              <w:left w:val="nil"/>
              <w:bottom w:val="single" w:sz="4" w:space="0" w:color="auto"/>
              <w:right w:val="single" w:sz="4" w:space="0" w:color="auto"/>
            </w:tcBorders>
            <w:noWrap/>
            <w:vAlign w:val="bottom"/>
          </w:tcPr>
          <w:p w:rsidR="00B22874" w:rsidRPr="00583077" w:rsidRDefault="00B22874" w:rsidP="00EB7332">
            <w:pPr>
              <w:jc w:val="right"/>
              <w:rPr>
                <w:rFonts w:eastAsia="Batang"/>
                <w:b/>
                <w:bCs/>
                <w:sz w:val="20"/>
                <w:szCs w:val="20"/>
                <w:lang w:eastAsia="ko-KR"/>
              </w:rPr>
            </w:pPr>
            <w:r w:rsidRPr="00583077">
              <w:rPr>
                <w:rFonts w:eastAsia="Batang"/>
                <w:b/>
                <w:bCs/>
                <w:sz w:val="20"/>
                <w:szCs w:val="20"/>
                <w:lang w:eastAsia="ko-KR"/>
              </w:rPr>
              <w:t>188,539</w:t>
            </w:r>
          </w:p>
        </w:tc>
        <w:tc>
          <w:tcPr>
            <w:tcW w:w="636" w:type="dxa"/>
            <w:tcBorders>
              <w:top w:val="single" w:sz="4" w:space="0" w:color="auto"/>
              <w:left w:val="nil"/>
              <w:bottom w:val="single" w:sz="4" w:space="0" w:color="auto"/>
              <w:right w:val="single" w:sz="4" w:space="0" w:color="auto"/>
            </w:tcBorders>
            <w:noWrap/>
            <w:vAlign w:val="bottom"/>
          </w:tcPr>
          <w:p w:rsidR="00B22874" w:rsidRPr="00583077" w:rsidRDefault="00B22874" w:rsidP="00EB7332">
            <w:pPr>
              <w:jc w:val="right"/>
              <w:rPr>
                <w:rFonts w:eastAsia="Batang"/>
                <w:b/>
                <w:bCs/>
                <w:sz w:val="20"/>
                <w:szCs w:val="20"/>
                <w:lang w:eastAsia="ko-KR"/>
              </w:rPr>
            </w:pPr>
            <w:r w:rsidRPr="00583077">
              <w:rPr>
                <w:rFonts w:eastAsia="Batang"/>
                <w:b/>
                <w:bCs/>
                <w:sz w:val="20"/>
                <w:szCs w:val="20"/>
                <w:lang w:eastAsia="ko-KR"/>
              </w:rPr>
              <w:t>42.99</w:t>
            </w:r>
          </w:p>
        </w:tc>
        <w:tc>
          <w:tcPr>
            <w:tcW w:w="1770" w:type="dxa"/>
            <w:tcBorders>
              <w:top w:val="nil"/>
              <w:left w:val="nil"/>
              <w:bottom w:val="single" w:sz="4" w:space="0" w:color="auto"/>
              <w:right w:val="single" w:sz="4" w:space="0" w:color="auto"/>
            </w:tcBorders>
            <w:noWrap/>
            <w:vAlign w:val="bottom"/>
          </w:tcPr>
          <w:p w:rsidR="00B22874" w:rsidRPr="00583077" w:rsidRDefault="00B22874" w:rsidP="00EB7332">
            <w:pPr>
              <w:jc w:val="right"/>
              <w:rPr>
                <w:rFonts w:eastAsia="Batang"/>
                <w:b/>
                <w:bCs/>
                <w:sz w:val="20"/>
                <w:szCs w:val="20"/>
                <w:lang w:eastAsia="ko-KR"/>
              </w:rPr>
            </w:pPr>
            <w:r w:rsidRPr="00583077">
              <w:rPr>
                <w:rFonts w:eastAsia="Batang"/>
                <w:b/>
                <w:bCs/>
                <w:sz w:val="20"/>
                <w:szCs w:val="20"/>
                <w:lang w:eastAsia="ko-KR"/>
              </w:rPr>
              <w:t>204,343</w:t>
            </w:r>
          </w:p>
        </w:tc>
        <w:tc>
          <w:tcPr>
            <w:tcW w:w="730" w:type="dxa"/>
            <w:tcBorders>
              <w:top w:val="single" w:sz="4" w:space="0" w:color="auto"/>
              <w:left w:val="nil"/>
              <w:bottom w:val="single" w:sz="4" w:space="0" w:color="auto"/>
              <w:right w:val="single" w:sz="4" w:space="0" w:color="auto"/>
            </w:tcBorders>
            <w:noWrap/>
            <w:vAlign w:val="bottom"/>
          </w:tcPr>
          <w:p w:rsidR="00B22874" w:rsidRPr="00583077" w:rsidRDefault="00B22874" w:rsidP="00EB7332">
            <w:pPr>
              <w:jc w:val="right"/>
              <w:rPr>
                <w:rFonts w:eastAsia="Batang"/>
                <w:b/>
                <w:bCs/>
                <w:sz w:val="20"/>
                <w:szCs w:val="20"/>
                <w:lang w:eastAsia="ko-KR"/>
              </w:rPr>
            </w:pPr>
            <w:r w:rsidRPr="00583077">
              <w:rPr>
                <w:rFonts w:eastAsia="Batang"/>
                <w:b/>
                <w:bCs/>
                <w:sz w:val="20"/>
                <w:szCs w:val="20"/>
                <w:lang w:eastAsia="ko-KR"/>
              </w:rPr>
              <w:t>43.44</w:t>
            </w:r>
          </w:p>
        </w:tc>
        <w:tc>
          <w:tcPr>
            <w:tcW w:w="1558" w:type="dxa"/>
            <w:tcBorders>
              <w:top w:val="nil"/>
              <w:left w:val="nil"/>
              <w:bottom w:val="single" w:sz="4" w:space="0" w:color="auto"/>
              <w:right w:val="single" w:sz="4" w:space="0" w:color="auto"/>
            </w:tcBorders>
            <w:noWrap/>
            <w:vAlign w:val="bottom"/>
          </w:tcPr>
          <w:p w:rsidR="00B22874" w:rsidRPr="00583077" w:rsidRDefault="00B22874" w:rsidP="00EB7332">
            <w:pPr>
              <w:jc w:val="right"/>
              <w:rPr>
                <w:rFonts w:eastAsia="Batang"/>
                <w:b/>
                <w:bCs/>
                <w:sz w:val="20"/>
                <w:szCs w:val="20"/>
                <w:lang w:eastAsia="ko-KR"/>
              </w:rPr>
            </w:pPr>
            <w:r w:rsidRPr="00583077">
              <w:rPr>
                <w:rFonts w:eastAsia="Batang"/>
                <w:b/>
                <w:bCs/>
                <w:sz w:val="20"/>
                <w:szCs w:val="20"/>
                <w:lang w:eastAsia="ko-KR"/>
              </w:rPr>
              <w:t>255,086</w:t>
            </w:r>
          </w:p>
        </w:tc>
        <w:tc>
          <w:tcPr>
            <w:tcW w:w="642" w:type="dxa"/>
            <w:tcBorders>
              <w:top w:val="single" w:sz="4" w:space="0" w:color="auto"/>
              <w:left w:val="nil"/>
              <w:bottom w:val="single" w:sz="4" w:space="0" w:color="auto"/>
              <w:right w:val="single" w:sz="4" w:space="0" w:color="auto"/>
            </w:tcBorders>
            <w:noWrap/>
            <w:vAlign w:val="bottom"/>
          </w:tcPr>
          <w:p w:rsidR="00B22874" w:rsidRPr="00583077" w:rsidRDefault="00B22874" w:rsidP="00EB7332">
            <w:pPr>
              <w:jc w:val="right"/>
              <w:rPr>
                <w:rFonts w:eastAsia="Batang"/>
                <w:b/>
                <w:bCs/>
                <w:sz w:val="20"/>
                <w:szCs w:val="20"/>
                <w:lang w:eastAsia="ko-KR"/>
              </w:rPr>
            </w:pPr>
            <w:r w:rsidRPr="00583077">
              <w:rPr>
                <w:rFonts w:eastAsia="Batang"/>
                <w:b/>
                <w:bCs/>
                <w:sz w:val="20"/>
                <w:szCs w:val="20"/>
                <w:lang w:eastAsia="ko-KR"/>
              </w:rPr>
              <w:t>48.98</w:t>
            </w:r>
          </w:p>
        </w:tc>
      </w:tr>
      <w:tr w:rsidR="00B22874" w:rsidRPr="00583077" w:rsidTr="005B3E9C">
        <w:trPr>
          <w:trHeight w:val="255"/>
        </w:trPr>
        <w:tc>
          <w:tcPr>
            <w:tcW w:w="2400" w:type="dxa"/>
            <w:tcBorders>
              <w:top w:val="nil"/>
              <w:left w:val="single" w:sz="8" w:space="0" w:color="auto"/>
              <w:bottom w:val="nil"/>
              <w:right w:val="single" w:sz="4" w:space="0" w:color="auto"/>
            </w:tcBorders>
            <w:noWrap/>
            <w:vAlign w:val="bottom"/>
          </w:tcPr>
          <w:p w:rsidR="00B22874" w:rsidRPr="00583077" w:rsidRDefault="00B22874" w:rsidP="009F044E">
            <w:pPr>
              <w:jc w:val="right"/>
              <w:rPr>
                <w:rFonts w:eastAsia="Batang"/>
                <w:sz w:val="20"/>
                <w:szCs w:val="20"/>
                <w:lang w:eastAsia="ko-KR"/>
              </w:rPr>
            </w:pPr>
            <w:r w:rsidRPr="00583077">
              <w:rPr>
                <w:rFonts w:eastAsia="Batang"/>
                <w:sz w:val="20"/>
                <w:szCs w:val="20"/>
                <w:lang w:eastAsia="ko-KR"/>
              </w:rPr>
              <w:t>Oblig.2/Vj</w:t>
            </w:r>
          </w:p>
        </w:tc>
        <w:tc>
          <w:tcPr>
            <w:tcW w:w="1544" w:type="dxa"/>
            <w:tcBorders>
              <w:top w:val="nil"/>
              <w:left w:val="nil"/>
              <w:bottom w:val="nil"/>
              <w:right w:val="single" w:sz="4" w:space="0" w:color="auto"/>
            </w:tcBorders>
            <w:noWrap/>
            <w:vAlign w:val="bottom"/>
          </w:tcPr>
          <w:p w:rsidR="00B22874" w:rsidRPr="00583077" w:rsidRDefault="00B22874" w:rsidP="00EB7332">
            <w:pPr>
              <w:jc w:val="right"/>
              <w:rPr>
                <w:rFonts w:eastAsia="Batang"/>
                <w:sz w:val="20"/>
                <w:szCs w:val="20"/>
                <w:lang w:eastAsia="ko-KR"/>
              </w:rPr>
            </w:pPr>
            <w:r w:rsidRPr="00583077">
              <w:rPr>
                <w:rFonts w:eastAsia="Batang"/>
                <w:sz w:val="20"/>
                <w:szCs w:val="20"/>
                <w:lang w:eastAsia="ko-KR"/>
              </w:rPr>
              <w:t>75,141</w:t>
            </w:r>
          </w:p>
        </w:tc>
        <w:tc>
          <w:tcPr>
            <w:tcW w:w="636" w:type="dxa"/>
            <w:tcBorders>
              <w:top w:val="nil"/>
              <w:left w:val="nil"/>
              <w:bottom w:val="nil"/>
              <w:right w:val="single" w:sz="4" w:space="0" w:color="auto"/>
            </w:tcBorders>
            <w:noWrap/>
            <w:vAlign w:val="bottom"/>
          </w:tcPr>
          <w:p w:rsidR="00B22874" w:rsidRPr="00583077" w:rsidRDefault="00B22874" w:rsidP="00EB7332">
            <w:pPr>
              <w:jc w:val="right"/>
              <w:rPr>
                <w:rFonts w:eastAsia="Batang"/>
                <w:sz w:val="20"/>
                <w:szCs w:val="20"/>
                <w:lang w:eastAsia="ko-KR"/>
              </w:rPr>
            </w:pPr>
            <w:r w:rsidRPr="00583077">
              <w:rPr>
                <w:rFonts w:eastAsia="Batang"/>
                <w:sz w:val="20"/>
                <w:szCs w:val="20"/>
                <w:lang w:eastAsia="ko-KR"/>
              </w:rPr>
              <w:t>17.13</w:t>
            </w:r>
          </w:p>
        </w:tc>
        <w:tc>
          <w:tcPr>
            <w:tcW w:w="1770" w:type="dxa"/>
            <w:tcBorders>
              <w:top w:val="nil"/>
              <w:left w:val="nil"/>
              <w:bottom w:val="nil"/>
              <w:right w:val="single" w:sz="4" w:space="0" w:color="auto"/>
            </w:tcBorders>
            <w:noWrap/>
            <w:vAlign w:val="bottom"/>
          </w:tcPr>
          <w:p w:rsidR="00B22874" w:rsidRPr="00583077" w:rsidRDefault="00B22874" w:rsidP="00EB7332">
            <w:pPr>
              <w:jc w:val="right"/>
              <w:rPr>
                <w:rFonts w:eastAsia="Batang"/>
                <w:sz w:val="20"/>
                <w:szCs w:val="20"/>
                <w:lang w:eastAsia="ko-KR"/>
              </w:rPr>
            </w:pPr>
            <w:r w:rsidRPr="00583077">
              <w:rPr>
                <w:rFonts w:eastAsia="Batang"/>
                <w:sz w:val="20"/>
                <w:szCs w:val="20"/>
                <w:lang w:eastAsia="ko-KR"/>
              </w:rPr>
              <w:t>76,742</w:t>
            </w:r>
          </w:p>
        </w:tc>
        <w:tc>
          <w:tcPr>
            <w:tcW w:w="730" w:type="dxa"/>
            <w:tcBorders>
              <w:top w:val="nil"/>
              <w:left w:val="nil"/>
              <w:bottom w:val="nil"/>
              <w:right w:val="single" w:sz="4" w:space="0" w:color="auto"/>
            </w:tcBorders>
            <w:noWrap/>
            <w:vAlign w:val="bottom"/>
          </w:tcPr>
          <w:p w:rsidR="00B22874" w:rsidRPr="00583077" w:rsidRDefault="00B22874" w:rsidP="00EB7332">
            <w:pPr>
              <w:jc w:val="right"/>
              <w:rPr>
                <w:rFonts w:eastAsia="Batang"/>
                <w:sz w:val="20"/>
                <w:szCs w:val="20"/>
                <w:lang w:eastAsia="ko-KR"/>
              </w:rPr>
            </w:pPr>
            <w:r w:rsidRPr="00583077">
              <w:rPr>
                <w:rFonts w:eastAsia="Batang"/>
                <w:sz w:val="20"/>
                <w:szCs w:val="20"/>
                <w:lang w:eastAsia="ko-KR"/>
              </w:rPr>
              <w:t>16.32</w:t>
            </w:r>
          </w:p>
        </w:tc>
        <w:tc>
          <w:tcPr>
            <w:tcW w:w="1558" w:type="dxa"/>
            <w:tcBorders>
              <w:top w:val="nil"/>
              <w:left w:val="nil"/>
              <w:bottom w:val="nil"/>
              <w:right w:val="single" w:sz="4" w:space="0" w:color="auto"/>
            </w:tcBorders>
            <w:noWrap/>
            <w:vAlign w:val="bottom"/>
          </w:tcPr>
          <w:p w:rsidR="00B22874" w:rsidRPr="00583077" w:rsidRDefault="00B22874" w:rsidP="00EB7332">
            <w:pPr>
              <w:jc w:val="right"/>
              <w:rPr>
                <w:rFonts w:eastAsia="Batang"/>
                <w:sz w:val="20"/>
                <w:szCs w:val="20"/>
                <w:lang w:eastAsia="ko-KR"/>
              </w:rPr>
            </w:pPr>
            <w:r w:rsidRPr="00583077">
              <w:rPr>
                <w:rFonts w:eastAsia="Batang"/>
                <w:sz w:val="20"/>
                <w:szCs w:val="20"/>
                <w:lang w:eastAsia="ko-KR"/>
              </w:rPr>
              <w:t>81,731</w:t>
            </w:r>
          </w:p>
        </w:tc>
        <w:tc>
          <w:tcPr>
            <w:tcW w:w="642" w:type="dxa"/>
            <w:tcBorders>
              <w:top w:val="nil"/>
              <w:left w:val="nil"/>
              <w:bottom w:val="nil"/>
              <w:right w:val="single" w:sz="4" w:space="0" w:color="auto"/>
            </w:tcBorders>
            <w:noWrap/>
            <w:vAlign w:val="bottom"/>
          </w:tcPr>
          <w:p w:rsidR="00B22874" w:rsidRPr="00583077" w:rsidRDefault="00B22874" w:rsidP="00EB7332">
            <w:pPr>
              <w:jc w:val="right"/>
              <w:rPr>
                <w:rFonts w:eastAsia="Batang"/>
                <w:sz w:val="20"/>
                <w:szCs w:val="20"/>
                <w:lang w:eastAsia="ko-KR"/>
              </w:rPr>
            </w:pPr>
            <w:r w:rsidRPr="00583077">
              <w:rPr>
                <w:rFonts w:eastAsia="Batang"/>
                <w:sz w:val="20"/>
                <w:szCs w:val="20"/>
                <w:lang w:eastAsia="ko-KR"/>
              </w:rPr>
              <w:t>15.69</w:t>
            </w:r>
          </w:p>
        </w:tc>
      </w:tr>
      <w:tr w:rsidR="00B22874" w:rsidRPr="00583077" w:rsidTr="005B3E9C">
        <w:trPr>
          <w:trHeight w:val="255"/>
        </w:trPr>
        <w:tc>
          <w:tcPr>
            <w:tcW w:w="2400" w:type="dxa"/>
            <w:tcBorders>
              <w:top w:val="nil"/>
              <w:left w:val="single" w:sz="8" w:space="0" w:color="auto"/>
              <w:bottom w:val="nil"/>
              <w:right w:val="single" w:sz="4" w:space="0" w:color="auto"/>
            </w:tcBorders>
            <w:noWrap/>
            <w:vAlign w:val="bottom"/>
          </w:tcPr>
          <w:p w:rsidR="00B22874" w:rsidRPr="00583077" w:rsidRDefault="00B22874" w:rsidP="009F044E">
            <w:pPr>
              <w:jc w:val="right"/>
              <w:rPr>
                <w:rFonts w:eastAsia="Batang"/>
                <w:sz w:val="20"/>
                <w:szCs w:val="20"/>
                <w:lang w:eastAsia="ko-KR"/>
              </w:rPr>
            </w:pPr>
            <w:r w:rsidRPr="00583077">
              <w:rPr>
                <w:rFonts w:eastAsia="Batang"/>
                <w:sz w:val="20"/>
                <w:szCs w:val="20"/>
                <w:lang w:eastAsia="ko-KR"/>
              </w:rPr>
              <w:t>Oblig.3/Vj</w:t>
            </w:r>
          </w:p>
        </w:tc>
        <w:tc>
          <w:tcPr>
            <w:tcW w:w="1544" w:type="dxa"/>
            <w:tcBorders>
              <w:top w:val="nil"/>
              <w:left w:val="nil"/>
              <w:bottom w:val="nil"/>
              <w:right w:val="single" w:sz="4" w:space="0" w:color="auto"/>
            </w:tcBorders>
            <w:noWrap/>
            <w:vAlign w:val="bottom"/>
          </w:tcPr>
          <w:p w:rsidR="00B22874" w:rsidRPr="00583077" w:rsidRDefault="00B22874" w:rsidP="00EB7332">
            <w:pPr>
              <w:jc w:val="right"/>
              <w:rPr>
                <w:rFonts w:eastAsia="Batang"/>
                <w:sz w:val="20"/>
                <w:szCs w:val="20"/>
                <w:lang w:eastAsia="ko-KR"/>
              </w:rPr>
            </w:pPr>
            <w:r w:rsidRPr="00583077">
              <w:rPr>
                <w:rFonts w:eastAsia="Batang"/>
                <w:sz w:val="20"/>
                <w:szCs w:val="20"/>
                <w:lang w:eastAsia="ko-KR"/>
              </w:rPr>
              <w:t>19,387</w:t>
            </w:r>
          </w:p>
        </w:tc>
        <w:tc>
          <w:tcPr>
            <w:tcW w:w="636" w:type="dxa"/>
            <w:tcBorders>
              <w:top w:val="nil"/>
              <w:left w:val="nil"/>
              <w:bottom w:val="nil"/>
              <w:right w:val="single" w:sz="4" w:space="0" w:color="auto"/>
            </w:tcBorders>
            <w:noWrap/>
            <w:vAlign w:val="bottom"/>
          </w:tcPr>
          <w:p w:rsidR="00B22874" w:rsidRPr="00583077" w:rsidRDefault="00B22874" w:rsidP="00EB7332">
            <w:pPr>
              <w:jc w:val="right"/>
              <w:rPr>
                <w:rFonts w:eastAsia="Batang"/>
                <w:sz w:val="20"/>
                <w:szCs w:val="20"/>
                <w:lang w:eastAsia="ko-KR"/>
              </w:rPr>
            </w:pPr>
            <w:r w:rsidRPr="00583077">
              <w:rPr>
                <w:rFonts w:eastAsia="Batang"/>
                <w:sz w:val="20"/>
                <w:szCs w:val="20"/>
                <w:lang w:eastAsia="ko-KR"/>
              </w:rPr>
              <w:t>4.42</w:t>
            </w:r>
          </w:p>
        </w:tc>
        <w:tc>
          <w:tcPr>
            <w:tcW w:w="1770" w:type="dxa"/>
            <w:tcBorders>
              <w:top w:val="nil"/>
              <w:left w:val="nil"/>
              <w:bottom w:val="nil"/>
              <w:right w:val="single" w:sz="4" w:space="0" w:color="auto"/>
            </w:tcBorders>
            <w:noWrap/>
            <w:vAlign w:val="bottom"/>
          </w:tcPr>
          <w:p w:rsidR="00B22874" w:rsidRPr="00583077" w:rsidRDefault="00B22874" w:rsidP="00EB7332">
            <w:pPr>
              <w:jc w:val="right"/>
              <w:rPr>
                <w:rFonts w:eastAsia="Batang"/>
                <w:sz w:val="20"/>
                <w:szCs w:val="20"/>
                <w:lang w:eastAsia="ko-KR"/>
              </w:rPr>
            </w:pPr>
            <w:r w:rsidRPr="00583077">
              <w:rPr>
                <w:rFonts w:eastAsia="Batang"/>
                <w:sz w:val="20"/>
                <w:szCs w:val="20"/>
                <w:lang w:eastAsia="ko-KR"/>
              </w:rPr>
              <w:t>22,625</w:t>
            </w:r>
          </w:p>
        </w:tc>
        <w:tc>
          <w:tcPr>
            <w:tcW w:w="730" w:type="dxa"/>
            <w:tcBorders>
              <w:top w:val="nil"/>
              <w:left w:val="nil"/>
              <w:bottom w:val="nil"/>
              <w:right w:val="single" w:sz="4" w:space="0" w:color="auto"/>
            </w:tcBorders>
            <w:noWrap/>
            <w:vAlign w:val="bottom"/>
          </w:tcPr>
          <w:p w:rsidR="00B22874" w:rsidRPr="00583077" w:rsidRDefault="00B22874" w:rsidP="00EB7332">
            <w:pPr>
              <w:jc w:val="right"/>
              <w:rPr>
                <w:rFonts w:eastAsia="Batang"/>
                <w:sz w:val="20"/>
                <w:szCs w:val="20"/>
                <w:lang w:eastAsia="ko-KR"/>
              </w:rPr>
            </w:pPr>
            <w:r w:rsidRPr="00583077">
              <w:rPr>
                <w:rFonts w:eastAsia="Batang"/>
                <w:sz w:val="20"/>
                <w:szCs w:val="20"/>
                <w:lang w:eastAsia="ko-KR"/>
              </w:rPr>
              <w:t>4.81</w:t>
            </w:r>
          </w:p>
        </w:tc>
        <w:tc>
          <w:tcPr>
            <w:tcW w:w="1558" w:type="dxa"/>
            <w:tcBorders>
              <w:top w:val="nil"/>
              <w:left w:val="nil"/>
              <w:bottom w:val="nil"/>
              <w:right w:val="single" w:sz="4" w:space="0" w:color="auto"/>
            </w:tcBorders>
            <w:noWrap/>
            <w:vAlign w:val="bottom"/>
          </w:tcPr>
          <w:p w:rsidR="00B22874" w:rsidRPr="00583077" w:rsidRDefault="00B22874" w:rsidP="00EB7332">
            <w:pPr>
              <w:jc w:val="right"/>
              <w:rPr>
                <w:rFonts w:eastAsia="Batang"/>
                <w:sz w:val="20"/>
                <w:szCs w:val="20"/>
                <w:lang w:eastAsia="ko-KR"/>
              </w:rPr>
            </w:pPr>
            <w:r w:rsidRPr="00583077">
              <w:rPr>
                <w:rFonts w:eastAsia="Batang"/>
                <w:sz w:val="20"/>
                <w:szCs w:val="20"/>
                <w:lang w:eastAsia="ko-KR"/>
              </w:rPr>
              <w:t>32,655</w:t>
            </w:r>
          </w:p>
        </w:tc>
        <w:tc>
          <w:tcPr>
            <w:tcW w:w="642" w:type="dxa"/>
            <w:tcBorders>
              <w:top w:val="nil"/>
              <w:left w:val="nil"/>
              <w:bottom w:val="nil"/>
              <w:right w:val="single" w:sz="4" w:space="0" w:color="auto"/>
            </w:tcBorders>
            <w:noWrap/>
            <w:vAlign w:val="bottom"/>
          </w:tcPr>
          <w:p w:rsidR="00B22874" w:rsidRPr="00583077" w:rsidRDefault="00B22874" w:rsidP="00EB7332">
            <w:pPr>
              <w:jc w:val="right"/>
              <w:rPr>
                <w:rFonts w:eastAsia="Batang"/>
                <w:sz w:val="20"/>
                <w:szCs w:val="20"/>
                <w:lang w:eastAsia="ko-KR"/>
              </w:rPr>
            </w:pPr>
            <w:r w:rsidRPr="00583077">
              <w:rPr>
                <w:rFonts w:eastAsia="Batang"/>
                <w:sz w:val="20"/>
                <w:szCs w:val="20"/>
                <w:lang w:eastAsia="ko-KR"/>
              </w:rPr>
              <w:t>6.27</w:t>
            </w:r>
          </w:p>
        </w:tc>
      </w:tr>
      <w:tr w:rsidR="00B22874" w:rsidRPr="00583077" w:rsidTr="005B3E9C">
        <w:trPr>
          <w:trHeight w:val="255"/>
        </w:trPr>
        <w:tc>
          <w:tcPr>
            <w:tcW w:w="2400" w:type="dxa"/>
            <w:tcBorders>
              <w:top w:val="nil"/>
              <w:left w:val="single" w:sz="8" w:space="0" w:color="auto"/>
              <w:bottom w:val="nil"/>
              <w:right w:val="single" w:sz="4" w:space="0" w:color="auto"/>
            </w:tcBorders>
            <w:noWrap/>
            <w:vAlign w:val="bottom"/>
          </w:tcPr>
          <w:p w:rsidR="00B22874" w:rsidRPr="00583077" w:rsidRDefault="00B22874" w:rsidP="009F044E">
            <w:pPr>
              <w:jc w:val="right"/>
              <w:rPr>
                <w:rFonts w:eastAsia="Batang"/>
                <w:sz w:val="20"/>
                <w:szCs w:val="20"/>
                <w:lang w:eastAsia="ko-KR"/>
              </w:rPr>
            </w:pPr>
            <w:r w:rsidRPr="00583077">
              <w:rPr>
                <w:rFonts w:eastAsia="Batang"/>
                <w:sz w:val="20"/>
                <w:szCs w:val="20"/>
                <w:lang w:eastAsia="ko-KR"/>
              </w:rPr>
              <w:t>Oblig.5/Vj</w:t>
            </w:r>
          </w:p>
        </w:tc>
        <w:tc>
          <w:tcPr>
            <w:tcW w:w="1544" w:type="dxa"/>
            <w:tcBorders>
              <w:top w:val="nil"/>
              <w:left w:val="nil"/>
              <w:bottom w:val="nil"/>
              <w:right w:val="single" w:sz="4" w:space="0" w:color="auto"/>
            </w:tcBorders>
            <w:noWrap/>
            <w:vAlign w:val="bottom"/>
          </w:tcPr>
          <w:p w:rsidR="00B22874" w:rsidRPr="00583077" w:rsidRDefault="00B22874" w:rsidP="00EB7332">
            <w:pPr>
              <w:jc w:val="right"/>
              <w:rPr>
                <w:rFonts w:eastAsia="Batang"/>
                <w:sz w:val="20"/>
                <w:szCs w:val="20"/>
                <w:lang w:eastAsia="ko-KR"/>
              </w:rPr>
            </w:pPr>
            <w:r w:rsidRPr="00583077">
              <w:rPr>
                <w:rFonts w:eastAsia="Batang"/>
                <w:sz w:val="20"/>
                <w:szCs w:val="20"/>
                <w:lang w:eastAsia="ko-KR"/>
              </w:rPr>
              <w:t>82,012</w:t>
            </w:r>
          </w:p>
        </w:tc>
        <w:tc>
          <w:tcPr>
            <w:tcW w:w="636" w:type="dxa"/>
            <w:tcBorders>
              <w:top w:val="nil"/>
              <w:left w:val="nil"/>
              <w:bottom w:val="nil"/>
              <w:right w:val="single" w:sz="4" w:space="0" w:color="auto"/>
            </w:tcBorders>
            <w:noWrap/>
            <w:vAlign w:val="bottom"/>
          </w:tcPr>
          <w:p w:rsidR="00B22874" w:rsidRPr="00583077" w:rsidRDefault="00B22874" w:rsidP="00EB7332">
            <w:pPr>
              <w:jc w:val="right"/>
              <w:rPr>
                <w:rFonts w:eastAsia="Batang"/>
                <w:sz w:val="20"/>
                <w:szCs w:val="20"/>
                <w:lang w:eastAsia="ko-KR"/>
              </w:rPr>
            </w:pPr>
            <w:r w:rsidRPr="00583077">
              <w:rPr>
                <w:rFonts w:eastAsia="Batang"/>
                <w:sz w:val="20"/>
                <w:szCs w:val="20"/>
                <w:lang w:eastAsia="ko-KR"/>
              </w:rPr>
              <w:t>18.70</w:t>
            </w:r>
          </w:p>
        </w:tc>
        <w:tc>
          <w:tcPr>
            <w:tcW w:w="1770" w:type="dxa"/>
            <w:tcBorders>
              <w:top w:val="nil"/>
              <w:left w:val="nil"/>
              <w:bottom w:val="nil"/>
              <w:right w:val="single" w:sz="4" w:space="0" w:color="auto"/>
            </w:tcBorders>
            <w:noWrap/>
            <w:vAlign w:val="bottom"/>
          </w:tcPr>
          <w:p w:rsidR="00B22874" w:rsidRPr="00583077" w:rsidRDefault="00B22874" w:rsidP="00EB7332">
            <w:pPr>
              <w:jc w:val="right"/>
              <w:rPr>
                <w:rFonts w:eastAsia="Batang"/>
                <w:sz w:val="20"/>
                <w:szCs w:val="20"/>
                <w:lang w:eastAsia="ko-KR"/>
              </w:rPr>
            </w:pPr>
            <w:r w:rsidRPr="00583077">
              <w:rPr>
                <w:rFonts w:eastAsia="Batang"/>
                <w:sz w:val="20"/>
                <w:szCs w:val="20"/>
                <w:lang w:eastAsia="ko-KR"/>
              </w:rPr>
              <w:t>87,994</w:t>
            </w:r>
          </w:p>
        </w:tc>
        <w:tc>
          <w:tcPr>
            <w:tcW w:w="730" w:type="dxa"/>
            <w:tcBorders>
              <w:top w:val="nil"/>
              <w:left w:val="nil"/>
              <w:bottom w:val="nil"/>
              <w:right w:val="single" w:sz="4" w:space="0" w:color="auto"/>
            </w:tcBorders>
            <w:noWrap/>
            <w:vAlign w:val="bottom"/>
          </w:tcPr>
          <w:p w:rsidR="00B22874" w:rsidRPr="00583077" w:rsidRDefault="00B22874" w:rsidP="00EB7332">
            <w:pPr>
              <w:jc w:val="right"/>
              <w:rPr>
                <w:rFonts w:eastAsia="Batang"/>
                <w:sz w:val="20"/>
                <w:szCs w:val="20"/>
                <w:lang w:eastAsia="ko-KR"/>
              </w:rPr>
            </w:pPr>
            <w:r w:rsidRPr="00583077">
              <w:rPr>
                <w:rFonts w:eastAsia="Batang"/>
                <w:sz w:val="20"/>
                <w:szCs w:val="20"/>
                <w:lang w:eastAsia="ko-KR"/>
              </w:rPr>
              <w:t>18.71</w:t>
            </w:r>
          </w:p>
        </w:tc>
        <w:tc>
          <w:tcPr>
            <w:tcW w:w="1558" w:type="dxa"/>
            <w:tcBorders>
              <w:top w:val="nil"/>
              <w:left w:val="nil"/>
              <w:bottom w:val="nil"/>
              <w:right w:val="single" w:sz="4" w:space="0" w:color="auto"/>
            </w:tcBorders>
            <w:noWrap/>
            <w:vAlign w:val="bottom"/>
          </w:tcPr>
          <w:p w:rsidR="00B22874" w:rsidRPr="00583077" w:rsidRDefault="00B22874" w:rsidP="00EB7332">
            <w:pPr>
              <w:jc w:val="right"/>
              <w:rPr>
                <w:rFonts w:eastAsia="Batang"/>
                <w:sz w:val="20"/>
                <w:szCs w:val="20"/>
                <w:lang w:eastAsia="ko-KR"/>
              </w:rPr>
            </w:pPr>
            <w:r w:rsidRPr="00583077">
              <w:rPr>
                <w:rFonts w:eastAsia="Batang"/>
                <w:sz w:val="20"/>
                <w:szCs w:val="20"/>
                <w:lang w:eastAsia="ko-KR"/>
              </w:rPr>
              <w:t>93,910</w:t>
            </w:r>
          </w:p>
        </w:tc>
        <w:tc>
          <w:tcPr>
            <w:tcW w:w="642" w:type="dxa"/>
            <w:tcBorders>
              <w:top w:val="nil"/>
              <w:left w:val="nil"/>
              <w:bottom w:val="nil"/>
              <w:right w:val="single" w:sz="4" w:space="0" w:color="auto"/>
            </w:tcBorders>
            <w:noWrap/>
            <w:vAlign w:val="bottom"/>
          </w:tcPr>
          <w:p w:rsidR="00B22874" w:rsidRPr="00583077" w:rsidRDefault="00B22874" w:rsidP="00EB7332">
            <w:pPr>
              <w:jc w:val="right"/>
              <w:rPr>
                <w:rFonts w:eastAsia="Batang"/>
                <w:sz w:val="20"/>
                <w:szCs w:val="20"/>
                <w:lang w:eastAsia="ko-KR"/>
              </w:rPr>
            </w:pPr>
            <w:r w:rsidRPr="00583077">
              <w:rPr>
                <w:rFonts w:eastAsia="Batang"/>
                <w:sz w:val="20"/>
                <w:szCs w:val="20"/>
                <w:lang w:eastAsia="ko-KR"/>
              </w:rPr>
              <w:t>18.03</w:t>
            </w:r>
          </w:p>
        </w:tc>
      </w:tr>
      <w:tr w:rsidR="00B22874" w:rsidRPr="00583077" w:rsidTr="005B3E9C">
        <w:trPr>
          <w:trHeight w:val="255"/>
        </w:trPr>
        <w:tc>
          <w:tcPr>
            <w:tcW w:w="2400" w:type="dxa"/>
            <w:tcBorders>
              <w:top w:val="nil"/>
              <w:left w:val="single" w:sz="8" w:space="0" w:color="auto"/>
              <w:bottom w:val="nil"/>
              <w:right w:val="single" w:sz="4" w:space="0" w:color="auto"/>
            </w:tcBorders>
            <w:noWrap/>
            <w:vAlign w:val="bottom"/>
          </w:tcPr>
          <w:p w:rsidR="00B22874" w:rsidRPr="00583077" w:rsidRDefault="00B22874" w:rsidP="009F044E">
            <w:pPr>
              <w:jc w:val="right"/>
              <w:rPr>
                <w:rFonts w:eastAsia="Batang"/>
                <w:sz w:val="20"/>
                <w:szCs w:val="20"/>
                <w:lang w:eastAsia="ko-KR"/>
              </w:rPr>
            </w:pPr>
            <w:r w:rsidRPr="00583077">
              <w:rPr>
                <w:rFonts w:eastAsia="Batang"/>
                <w:sz w:val="20"/>
                <w:szCs w:val="20"/>
                <w:lang w:eastAsia="ko-KR"/>
              </w:rPr>
              <w:t>Oblig.7/Vj</w:t>
            </w:r>
          </w:p>
        </w:tc>
        <w:tc>
          <w:tcPr>
            <w:tcW w:w="1544" w:type="dxa"/>
            <w:tcBorders>
              <w:top w:val="nil"/>
              <w:left w:val="nil"/>
              <w:bottom w:val="nil"/>
              <w:right w:val="single" w:sz="4" w:space="0" w:color="auto"/>
            </w:tcBorders>
            <w:noWrap/>
            <w:vAlign w:val="bottom"/>
          </w:tcPr>
          <w:p w:rsidR="00B22874" w:rsidRPr="00583077" w:rsidRDefault="00B22874" w:rsidP="00EB7332">
            <w:pPr>
              <w:jc w:val="right"/>
              <w:rPr>
                <w:rFonts w:eastAsia="Batang"/>
                <w:sz w:val="20"/>
                <w:szCs w:val="20"/>
                <w:lang w:eastAsia="ko-KR"/>
              </w:rPr>
            </w:pPr>
            <w:r w:rsidRPr="00583077">
              <w:rPr>
                <w:rFonts w:eastAsia="Batang"/>
                <w:sz w:val="20"/>
                <w:szCs w:val="20"/>
                <w:lang w:eastAsia="ko-KR"/>
              </w:rPr>
              <w:t>12,000</w:t>
            </w:r>
          </w:p>
        </w:tc>
        <w:tc>
          <w:tcPr>
            <w:tcW w:w="636" w:type="dxa"/>
            <w:tcBorders>
              <w:top w:val="nil"/>
              <w:left w:val="nil"/>
              <w:bottom w:val="nil"/>
              <w:right w:val="single" w:sz="4" w:space="0" w:color="auto"/>
            </w:tcBorders>
            <w:noWrap/>
            <w:vAlign w:val="bottom"/>
          </w:tcPr>
          <w:p w:rsidR="00B22874" w:rsidRPr="00583077" w:rsidRDefault="00B22874" w:rsidP="00EB7332">
            <w:pPr>
              <w:jc w:val="right"/>
              <w:rPr>
                <w:rFonts w:eastAsia="Batang"/>
                <w:sz w:val="20"/>
                <w:szCs w:val="20"/>
                <w:lang w:eastAsia="ko-KR"/>
              </w:rPr>
            </w:pPr>
            <w:r w:rsidRPr="00583077">
              <w:rPr>
                <w:rFonts w:eastAsia="Batang"/>
                <w:sz w:val="20"/>
                <w:szCs w:val="20"/>
                <w:lang w:eastAsia="ko-KR"/>
              </w:rPr>
              <w:t>2.74</w:t>
            </w:r>
          </w:p>
        </w:tc>
        <w:tc>
          <w:tcPr>
            <w:tcW w:w="1770" w:type="dxa"/>
            <w:tcBorders>
              <w:top w:val="nil"/>
              <w:left w:val="nil"/>
              <w:bottom w:val="nil"/>
              <w:right w:val="single" w:sz="4" w:space="0" w:color="auto"/>
            </w:tcBorders>
            <w:noWrap/>
            <w:vAlign w:val="bottom"/>
          </w:tcPr>
          <w:p w:rsidR="00B22874" w:rsidRPr="00583077" w:rsidRDefault="00B22874" w:rsidP="00EB7332">
            <w:pPr>
              <w:jc w:val="right"/>
              <w:rPr>
                <w:rFonts w:eastAsia="Batang"/>
                <w:sz w:val="20"/>
                <w:szCs w:val="20"/>
                <w:lang w:eastAsia="ko-KR"/>
              </w:rPr>
            </w:pPr>
            <w:r w:rsidRPr="00583077">
              <w:rPr>
                <w:rFonts w:eastAsia="Batang"/>
                <w:sz w:val="20"/>
                <w:szCs w:val="20"/>
                <w:lang w:eastAsia="ko-KR"/>
              </w:rPr>
              <w:t>16,982</w:t>
            </w:r>
          </w:p>
        </w:tc>
        <w:tc>
          <w:tcPr>
            <w:tcW w:w="730" w:type="dxa"/>
            <w:tcBorders>
              <w:top w:val="nil"/>
              <w:left w:val="nil"/>
              <w:bottom w:val="nil"/>
              <w:right w:val="single" w:sz="4" w:space="0" w:color="auto"/>
            </w:tcBorders>
            <w:noWrap/>
            <w:vAlign w:val="bottom"/>
          </w:tcPr>
          <w:p w:rsidR="00B22874" w:rsidRPr="00583077" w:rsidRDefault="00B22874" w:rsidP="00EB7332">
            <w:pPr>
              <w:jc w:val="right"/>
              <w:rPr>
                <w:rFonts w:eastAsia="Batang"/>
                <w:sz w:val="20"/>
                <w:szCs w:val="20"/>
                <w:lang w:eastAsia="ko-KR"/>
              </w:rPr>
            </w:pPr>
            <w:r w:rsidRPr="00583077">
              <w:rPr>
                <w:rFonts w:eastAsia="Batang"/>
                <w:sz w:val="20"/>
                <w:szCs w:val="20"/>
                <w:lang w:eastAsia="ko-KR"/>
              </w:rPr>
              <w:t>3.61</w:t>
            </w:r>
          </w:p>
        </w:tc>
        <w:tc>
          <w:tcPr>
            <w:tcW w:w="1558" w:type="dxa"/>
            <w:tcBorders>
              <w:top w:val="nil"/>
              <w:left w:val="nil"/>
              <w:bottom w:val="nil"/>
              <w:right w:val="single" w:sz="4" w:space="0" w:color="auto"/>
            </w:tcBorders>
            <w:noWrap/>
            <w:vAlign w:val="bottom"/>
          </w:tcPr>
          <w:p w:rsidR="00B22874" w:rsidRPr="00583077" w:rsidRDefault="00B22874" w:rsidP="00EB7332">
            <w:pPr>
              <w:jc w:val="right"/>
              <w:rPr>
                <w:rFonts w:eastAsia="Batang"/>
                <w:sz w:val="20"/>
                <w:szCs w:val="20"/>
                <w:lang w:eastAsia="ko-KR"/>
              </w:rPr>
            </w:pPr>
            <w:r w:rsidRPr="00583077">
              <w:rPr>
                <w:rFonts w:eastAsia="Batang"/>
                <w:sz w:val="20"/>
                <w:szCs w:val="20"/>
                <w:lang w:eastAsia="ko-KR"/>
              </w:rPr>
              <w:t>38,517</w:t>
            </w:r>
          </w:p>
        </w:tc>
        <w:tc>
          <w:tcPr>
            <w:tcW w:w="642" w:type="dxa"/>
            <w:tcBorders>
              <w:top w:val="nil"/>
              <w:left w:val="nil"/>
              <w:bottom w:val="nil"/>
              <w:right w:val="single" w:sz="4" w:space="0" w:color="auto"/>
            </w:tcBorders>
            <w:noWrap/>
            <w:vAlign w:val="bottom"/>
          </w:tcPr>
          <w:p w:rsidR="00B22874" w:rsidRPr="00583077" w:rsidRDefault="00B22874" w:rsidP="00EB7332">
            <w:pPr>
              <w:jc w:val="right"/>
              <w:rPr>
                <w:rFonts w:eastAsia="Batang"/>
                <w:sz w:val="20"/>
                <w:szCs w:val="20"/>
                <w:lang w:eastAsia="ko-KR"/>
              </w:rPr>
            </w:pPr>
            <w:r w:rsidRPr="00583077">
              <w:rPr>
                <w:rFonts w:eastAsia="Batang"/>
                <w:sz w:val="20"/>
                <w:szCs w:val="20"/>
                <w:lang w:eastAsia="ko-KR"/>
              </w:rPr>
              <w:t>7.40</w:t>
            </w:r>
          </w:p>
        </w:tc>
      </w:tr>
      <w:tr w:rsidR="00B22874" w:rsidRPr="00583077" w:rsidTr="005B3E9C">
        <w:trPr>
          <w:trHeight w:val="255"/>
        </w:trPr>
        <w:tc>
          <w:tcPr>
            <w:tcW w:w="2400" w:type="dxa"/>
            <w:tcBorders>
              <w:top w:val="nil"/>
              <w:left w:val="single" w:sz="8" w:space="0" w:color="auto"/>
              <w:bottom w:val="nil"/>
              <w:right w:val="single" w:sz="4" w:space="0" w:color="auto"/>
            </w:tcBorders>
            <w:noWrap/>
            <w:vAlign w:val="bottom"/>
          </w:tcPr>
          <w:p w:rsidR="00B22874" w:rsidRPr="00583077" w:rsidRDefault="00B22874" w:rsidP="009F044E">
            <w:pPr>
              <w:jc w:val="right"/>
              <w:rPr>
                <w:rFonts w:eastAsia="Batang"/>
                <w:sz w:val="20"/>
                <w:szCs w:val="20"/>
                <w:lang w:eastAsia="ko-KR"/>
              </w:rPr>
            </w:pPr>
            <w:r w:rsidRPr="00583077">
              <w:rPr>
                <w:rFonts w:eastAsia="Batang"/>
                <w:sz w:val="20"/>
                <w:szCs w:val="20"/>
                <w:lang w:eastAsia="ko-KR"/>
              </w:rPr>
              <w:t>Oblig.10/Vj</w:t>
            </w:r>
          </w:p>
        </w:tc>
        <w:tc>
          <w:tcPr>
            <w:tcW w:w="1544" w:type="dxa"/>
            <w:tcBorders>
              <w:top w:val="nil"/>
              <w:left w:val="single" w:sz="4" w:space="0" w:color="auto"/>
              <w:bottom w:val="nil"/>
              <w:right w:val="single" w:sz="4" w:space="0" w:color="auto"/>
            </w:tcBorders>
            <w:noWrap/>
            <w:vAlign w:val="bottom"/>
          </w:tcPr>
          <w:p w:rsidR="00B22874" w:rsidRPr="00583077" w:rsidRDefault="00B22874" w:rsidP="00EB7332">
            <w:pPr>
              <w:jc w:val="right"/>
              <w:rPr>
                <w:rFonts w:eastAsia="Batang"/>
                <w:sz w:val="20"/>
                <w:szCs w:val="20"/>
                <w:lang w:eastAsia="ko-KR"/>
              </w:rPr>
            </w:pPr>
            <w:r w:rsidRPr="00583077">
              <w:rPr>
                <w:rFonts w:eastAsia="Batang"/>
                <w:sz w:val="20"/>
                <w:szCs w:val="20"/>
                <w:lang w:eastAsia="ko-KR"/>
              </w:rPr>
              <w:t> </w:t>
            </w:r>
          </w:p>
        </w:tc>
        <w:tc>
          <w:tcPr>
            <w:tcW w:w="636" w:type="dxa"/>
            <w:tcBorders>
              <w:top w:val="nil"/>
              <w:left w:val="nil"/>
              <w:bottom w:val="nil"/>
              <w:right w:val="nil"/>
            </w:tcBorders>
            <w:noWrap/>
            <w:vAlign w:val="bottom"/>
          </w:tcPr>
          <w:p w:rsidR="00B22874" w:rsidRPr="00583077" w:rsidRDefault="00B22874" w:rsidP="00EB7332">
            <w:pPr>
              <w:jc w:val="right"/>
              <w:rPr>
                <w:rFonts w:eastAsia="Batang"/>
                <w:sz w:val="20"/>
                <w:szCs w:val="20"/>
                <w:lang w:eastAsia="ko-KR"/>
              </w:rPr>
            </w:pPr>
          </w:p>
        </w:tc>
        <w:tc>
          <w:tcPr>
            <w:tcW w:w="1770" w:type="dxa"/>
            <w:tcBorders>
              <w:top w:val="nil"/>
              <w:left w:val="single" w:sz="4" w:space="0" w:color="auto"/>
              <w:bottom w:val="nil"/>
              <w:right w:val="single" w:sz="4" w:space="0" w:color="auto"/>
            </w:tcBorders>
            <w:noWrap/>
            <w:vAlign w:val="bottom"/>
          </w:tcPr>
          <w:p w:rsidR="00B22874" w:rsidRPr="00583077" w:rsidRDefault="00B22874" w:rsidP="00EB7332">
            <w:pPr>
              <w:jc w:val="right"/>
              <w:rPr>
                <w:rFonts w:eastAsia="Batang"/>
                <w:sz w:val="20"/>
                <w:szCs w:val="20"/>
                <w:lang w:eastAsia="ko-KR"/>
              </w:rPr>
            </w:pPr>
            <w:r w:rsidRPr="00583077">
              <w:rPr>
                <w:rFonts w:eastAsia="Batang"/>
                <w:sz w:val="20"/>
                <w:szCs w:val="20"/>
                <w:lang w:eastAsia="ko-KR"/>
              </w:rPr>
              <w:t> </w:t>
            </w:r>
          </w:p>
        </w:tc>
        <w:tc>
          <w:tcPr>
            <w:tcW w:w="730" w:type="dxa"/>
            <w:tcBorders>
              <w:top w:val="nil"/>
              <w:left w:val="nil"/>
              <w:bottom w:val="nil"/>
              <w:right w:val="single" w:sz="4" w:space="0" w:color="auto"/>
            </w:tcBorders>
            <w:noWrap/>
            <w:vAlign w:val="bottom"/>
          </w:tcPr>
          <w:p w:rsidR="00B22874" w:rsidRPr="00583077" w:rsidRDefault="00B22874" w:rsidP="00EB7332">
            <w:pPr>
              <w:jc w:val="right"/>
              <w:rPr>
                <w:rFonts w:eastAsia="Batang"/>
                <w:sz w:val="20"/>
                <w:szCs w:val="20"/>
                <w:lang w:eastAsia="ko-KR"/>
              </w:rPr>
            </w:pPr>
            <w:r w:rsidRPr="00583077">
              <w:rPr>
                <w:rFonts w:eastAsia="Batang"/>
                <w:sz w:val="20"/>
                <w:szCs w:val="20"/>
                <w:lang w:eastAsia="ko-KR"/>
              </w:rPr>
              <w:t> </w:t>
            </w:r>
          </w:p>
        </w:tc>
        <w:tc>
          <w:tcPr>
            <w:tcW w:w="1558" w:type="dxa"/>
            <w:tcBorders>
              <w:top w:val="nil"/>
              <w:left w:val="nil"/>
              <w:bottom w:val="nil"/>
              <w:right w:val="single" w:sz="4" w:space="0" w:color="auto"/>
            </w:tcBorders>
            <w:noWrap/>
            <w:vAlign w:val="bottom"/>
          </w:tcPr>
          <w:p w:rsidR="00B22874" w:rsidRPr="00583077" w:rsidRDefault="00B22874" w:rsidP="00EB7332">
            <w:pPr>
              <w:jc w:val="right"/>
              <w:rPr>
                <w:rFonts w:eastAsia="Batang"/>
                <w:sz w:val="20"/>
                <w:szCs w:val="20"/>
                <w:lang w:eastAsia="ko-KR"/>
              </w:rPr>
            </w:pPr>
            <w:r w:rsidRPr="00583077">
              <w:rPr>
                <w:rFonts w:eastAsia="Batang"/>
                <w:sz w:val="20"/>
                <w:szCs w:val="20"/>
                <w:lang w:eastAsia="ko-KR"/>
              </w:rPr>
              <w:t>8,274</w:t>
            </w:r>
          </w:p>
        </w:tc>
        <w:tc>
          <w:tcPr>
            <w:tcW w:w="642" w:type="dxa"/>
            <w:tcBorders>
              <w:top w:val="nil"/>
              <w:left w:val="nil"/>
              <w:bottom w:val="nil"/>
              <w:right w:val="single" w:sz="4" w:space="0" w:color="auto"/>
            </w:tcBorders>
            <w:noWrap/>
            <w:vAlign w:val="bottom"/>
          </w:tcPr>
          <w:p w:rsidR="00B22874" w:rsidRPr="00583077" w:rsidRDefault="00B22874" w:rsidP="00EB7332">
            <w:pPr>
              <w:jc w:val="right"/>
              <w:rPr>
                <w:rFonts w:eastAsia="Batang"/>
                <w:sz w:val="20"/>
                <w:szCs w:val="20"/>
                <w:lang w:eastAsia="ko-KR"/>
              </w:rPr>
            </w:pPr>
            <w:r w:rsidRPr="00583077">
              <w:rPr>
                <w:rFonts w:eastAsia="Batang"/>
                <w:sz w:val="20"/>
                <w:szCs w:val="20"/>
                <w:lang w:eastAsia="ko-KR"/>
              </w:rPr>
              <w:t>1.59</w:t>
            </w:r>
          </w:p>
        </w:tc>
      </w:tr>
      <w:tr w:rsidR="00B22874" w:rsidRPr="00583077" w:rsidTr="005B3E9C">
        <w:trPr>
          <w:trHeight w:val="255"/>
        </w:trPr>
        <w:tc>
          <w:tcPr>
            <w:tcW w:w="2400" w:type="dxa"/>
            <w:tcBorders>
              <w:top w:val="nil"/>
              <w:left w:val="single" w:sz="8" w:space="0" w:color="auto"/>
              <w:bottom w:val="single" w:sz="4" w:space="0" w:color="auto"/>
              <w:right w:val="single" w:sz="4" w:space="0" w:color="auto"/>
            </w:tcBorders>
            <w:noWrap/>
            <w:vAlign w:val="bottom"/>
          </w:tcPr>
          <w:p w:rsidR="00B22874" w:rsidRPr="00583077" w:rsidRDefault="00B22874" w:rsidP="009F044E">
            <w:pPr>
              <w:jc w:val="right"/>
              <w:rPr>
                <w:rFonts w:eastAsia="Batang"/>
                <w:b/>
                <w:bCs/>
                <w:sz w:val="20"/>
                <w:szCs w:val="20"/>
                <w:lang w:eastAsia="ko-KR"/>
              </w:rPr>
            </w:pPr>
            <w:r w:rsidRPr="00583077">
              <w:rPr>
                <w:rFonts w:eastAsia="Batang"/>
                <w:b/>
                <w:bCs/>
                <w:sz w:val="20"/>
                <w:szCs w:val="20"/>
                <w:lang w:eastAsia="ko-KR"/>
              </w:rPr>
              <w:t>3. Kredi Direkte</w:t>
            </w:r>
          </w:p>
        </w:tc>
        <w:tc>
          <w:tcPr>
            <w:tcW w:w="1544" w:type="dxa"/>
            <w:tcBorders>
              <w:top w:val="nil"/>
              <w:left w:val="nil"/>
              <w:bottom w:val="single" w:sz="4" w:space="0" w:color="auto"/>
              <w:right w:val="single" w:sz="4" w:space="0" w:color="auto"/>
            </w:tcBorders>
            <w:noWrap/>
            <w:vAlign w:val="bottom"/>
          </w:tcPr>
          <w:p w:rsidR="00B22874" w:rsidRPr="00583077" w:rsidRDefault="00B22874" w:rsidP="00EB7332">
            <w:pPr>
              <w:jc w:val="right"/>
              <w:rPr>
                <w:rFonts w:eastAsia="Batang"/>
                <w:b/>
                <w:bCs/>
                <w:sz w:val="20"/>
                <w:szCs w:val="20"/>
                <w:lang w:eastAsia="ko-KR"/>
              </w:rPr>
            </w:pPr>
            <w:r w:rsidRPr="00583077">
              <w:rPr>
                <w:rFonts w:eastAsia="Batang"/>
                <w:b/>
                <w:bCs/>
                <w:sz w:val="20"/>
                <w:szCs w:val="20"/>
                <w:lang w:eastAsia="ko-KR"/>
              </w:rPr>
              <w:t> </w:t>
            </w:r>
          </w:p>
        </w:tc>
        <w:tc>
          <w:tcPr>
            <w:tcW w:w="636" w:type="dxa"/>
            <w:tcBorders>
              <w:top w:val="nil"/>
              <w:left w:val="nil"/>
              <w:bottom w:val="single" w:sz="4" w:space="0" w:color="auto"/>
              <w:right w:val="single" w:sz="4" w:space="0" w:color="auto"/>
            </w:tcBorders>
            <w:noWrap/>
            <w:vAlign w:val="bottom"/>
          </w:tcPr>
          <w:p w:rsidR="00B22874" w:rsidRPr="00583077" w:rsidRDefault="00B22874" w:rsidP="00EB7332">
            <w:pPr>
              <w:jc w:val="right"/>
              <w:rPr>
                <w:rFonts w:eastAsia="Batang"/>
                <w:b/>
                <w:bCs/>
                <w:sz w:val="20"/>
                <w:szCs w:val="20"/>
                <w:lang w:eastAsia="ko-KR"/>
              </w:rPr>
            </w:pPr>
            <w:r w:rsidRPr="00583077">
              <w:rPr>
                <w:rFonts w:eastAsia="Batang"/>
                <w:b/>
                <w:bCs/>
                <w:sz w:val="20"/>
                <w:szCs w:val="20"/>
                <w:lang w:eastAsia="ko-KR"/>
              </w:rPr>
              <w:t>0.00</w:t>
            </w:r>
          </w:p>
        </w:tc>
        <w:tc>
          <w:tcPr>
            <w:tcW w:w="1770" w:type="dxa"/>
            <w:tcBorders>
              <w:top w:val="nil"/>
              <w:left w:val="nil"/>
              <w:bottom w:val="single" w:sz="4" w:space="0" w:color="auto"/>
              <w:right w:val="single" w:sz="4" w:space="0" w:color="auto"/>
            </w:tcBorders>
            <w:noWrap/>
            <w:vAlign w:val="bottom"/>
          </w:tcPr>
          <w:p w:rsidR="00B22874" w:rsidRPr="00583077" w:rsidRDefault="00B22874" w:rsidP="00EB7332">
            <w:pPr>
              <w:jc w:val="right"/>
              <w:rPr>
                <w:rFonts w:eastAsia="Batang"/>
                <w:b/>
                <w:bCs/>
                <w:sz w:val="20"/>
                <w:szCs w:val="20"/>
                <w:lang w:eastAsia="ko-KR"/>
              </w:rPr>
            </w:pPr>
            <w:r w:rsidRPr="00583077">
              <w:rPr>
                <w:rFonts w:eastAsia="Batang"/>
                <w:b/>
                <w:bCs/>
                <w:sz w:val="20"/>
                <w:szCs w:val="20"/>
                <w:lang w:eastAsia="ko-KR"/>
              </w:rPr>
              <w:t>0</w:t>
            </w:r>
          </w:p>
        </w:tc>
        <w:tc>
          <w:tcPr>
            <w:tcW w:w="730" w:type="dxa"/>
            <w:tcBorders>
              <w:top w:val="nil"/>
              <w:left w:val="nil"/>
              <w:bottom w:val="single" w:sz="4" w:space="0" w:color="auto"/>
              <w:right w:val="single" w:sz="4" w:space="0" w:color="auto"/>
            </w:tcBorders>
            <w:noWrap/>
            <w:vAlign w:val="bottom"/>
          </w:tcPr>
          <w:p w:rsidR="00B22874" w:rsidRPr="00583077" w:rsidRDefault="00B22874" w:rsidP="00EB7332">
            <w:pPr>
              <w:jc w:val="right"/>
              <w:rPr>
                <w:rFonts w:eastAsia="Batang"/>
                <w:b/>
                <w:bCs/>
                <w:sz w:val="20"/>
                <w:szCs w:val="20"/>
                <w:lang w:eastAsia="ko-KR"/>
              </w:rPr>
            </w:pPr>
            <w:r w:rsidRPr="00583077">
              <w:rPr>
                <w:rFonts w:eastAsia="Batang"/>
                <w:b/>
                <w:bCs/>
                <w:sz w:val="20"/>
                <w:szCs w:val="20"/>
                <w:lang w:eastAsia="ko-KR"/>
              </w:rPr>
              <w:t>0.00</w:t>
            </w:r>
          </w:p>
        </w:tc>
        <w:tc>
          <w:tcPr>
            <w:tcW w:w="1558" w:type="dxa"/>
            <w:tcBorders>
              <w:top w:val="nil"/>
              <w:left w:val="nil"/>
              <w:bottom w:val="single" w:sz="4" w:space="0" w:color="auto"/>
              <w:right w:val="single" w:sz="4" w:space="0" w:color="auto"/>
            </w:tcBorders>
            <w:noWrap/>
            <w:vAlign w:val="bottom"/>
          </w:tcPr>
          <w:p w:rsidR="00B22874" w:rsidRPr="00583077" w:rsidRDefault="00B22874" w:rsidP="00EB7332">
            <w:pPr>
              <w:jc w:val="right"/>
              <w:rPr>
                <w:rFonts w:eastAsia="Batang"/>
                <w:b/>
                <w:bCs/>
                <w:sz w:val="20"/>
                <w:szCs w:val="20"/>
                <w:lang w:eastAsia="ko-KR"/>
              </w:rPr>
            </w:pPr>
            <w:r w:rsidRPr="00583077">
              <w:rPr>
                <w:rFonts w:eastAsia="Batang"/>
                <w:b/>
                <w:bCs/>
                <w:sz w:val="20"/>
                <w:szCs w:val="20"/>
                <w:lang w:eastAsia="ko-KR"/>
              </w:rPr>
              <w:t>0</w:t>
            </w:r>
          </w:p>
        </w:tc>
        <w:tc>
          <w:tcPr>
            <w:tcW w:w="642" w:type="dxa"/>
            <w:tcBorders>
              <w:top w:val="nil"/>
              <w:left w:val="nil"/>
              <w:bottom w:val="single" w:sz="4" w:space="0" w:color="auto"/>
              <w:right w:val="single" w:sz="4" w:space="0" w:color="auto"/>
            </w:tcBorders>
            <w:noWrap/>
            <w:vAlign w:val="bottom"/>
          </w:tcPr>
          <w:p w:rsidR="00B22874" w:rsidRPr="00583077" w:rsidRDefault="00B22874" w:rsidP="00EB7332">
            <w:pPr>
              <w:jc w:val="right"/>
              <w:rPr>
                <w:rFonts w:eastAsia="Batang"/>
                <w:b/>
                <w:bCs/>
                <w:sz w:val="20"/>
                <w:szCs w:val="20"/>
                <w:lang w:eastAsia="ko-KR"/>
              </w:rPr>
            </w:pPr>
            <w:r w:rsidRPr="00583077">
              <w:rPr>
                <w:rFonts w:eastAsia="Batang"/>
                <w:b/>
                <w:bCs/>
                <w:sz w:val="20"/>
                <w:szCs w:val="20"/>
                <w:lang w:eastAsia="ko-KR"/>
              </w:rPr>
              <w:t>0.00</w:t>
            </w:r>
          </w:p>
        </w:tc>
      </w:tr>
      <w:tr w:rsidR="00B22874" w:rsidRPr="00583077" w:rsidTr="005B3E9C">
        <w:trPr>
          <w:trHeight w:val="255"/>
        </w:trPr>
        <w:tc>
          <w:tcPr>
            <w:tcW w:w="2400" w:type="dxa"/>
            <w:tcBorders>
              <w:top w:val="nil"/>
              <w:left w:val="single" w:sz="8" w:space="0" w:color="auto"/>
              <w:bottom w:val="single" w:sz="4" w:space="0" w:color="auto"/>
              <w:right w:val="single" w:sz="4" w:space="0" w:color="auto"/>
            </w:tcBorders>
            <w:noWrap/>
            <w:vAlign w:val="bottom"/>
          </w:tcPr>
          <w:p w:rsidR="00B22874" w:rsidRPr="00583077" w:rsidRDefault="00B22874" w:rsidP="009F044E">
            <w:pPr>
              <w:jc w:val="right"/>
              <w:rPr>
                <w:rFonts w:eastAsia="Batang"/>
                <w:b/>
                <w:bCs/>
                <w:color w:val="0000FF"/>
                <w:sz w:val="20"/>
                <w:szCs w:val="20"/>
                <w:lang w:eastAsia="ko-KR"/>
              </w:rPr>
            </w:pPr>
            <w:r w:rsidRPr="00583077">
              <w:rPr>
                <w:rFonts w:eastAsia="Batang"/>
                <w:b/>
                <w:bCs/>
                <w:color w:val="0000FF"/>
                <w:sz w:val="20"/>
                <w:szCs w:val="20"/>
                <w:lang w:eastAsia="ko-KR"/>
              </w:rPr>
              <w:t>II.Borxhi i Garantuar</w:t>
            </w:r>
          </w:p>
        </w:tc>
        <w:tc>
          <w:tcPr>
            <w:tcW w:w="1544" w:type="dxa"/>
            <w:tcBorders>
              <w:top w:val="nil"/>
              <w:left w:val="nil"/>
              <w:bottom w:val="nil"/>
              <w:right w:val="nil"/>
            </w:tcBorders>
            <w:noWrap/>
            <w:vAlign w:val="bottom"/>
          </w:tcPr>
          <w:p w:rsidR="00B22874" w:rsidRPr="00583077" w:rsidRDefault="00B22874" w:rsidP="00EB7332">
            <w:pPr>
              <w:jc w:val="right"/>
              <w:rPr>
                <w:rFonts w:eastAsia="Batang"/>
                <w:b/>
                <w:bCs/>
                <w:sz w:val="20"/>
                <w:szCs w:val="20"/>
                <w:lang w:eastAsia="ko-KR"/>
              </w:rPr>
            </w:pPr>
            <w:r w:rsidRPr="00583077">
              <w:rPr>
                <w:rFonts w:eastAsia="Batang"/>
                <w:b/>
                <w:bCs/>
                <w:sz w:val="20"/>
                <w:szCs w:val="20"/>
                <w:lang w:eastAsia="ko-KR"/>
              </w:rPr>
              <w:t>8,657</w:t>
            </w:r>
          </w:p>
        </w:tc>
        <w:tc>
          <w:tcPr>
            <w:tcW w:w="636" w:type="dxa"/>
            <w:tcBorders>
              <w:top w:val="nil"/>
              <w:left w:val="single" w:sz="4" w:space="0" w:color="auto"/>
              <w:bottom w:val="single" w:sz="4" w:space="0" w:color="auto"/>
              <w:right w:val="single" w:sz="4" w:space="0" w:color="auto"/>
            </w:tcBorders>
            <w:noWrap/>
            <w:vAlign w:val="bottom"/>
          </w:tcPr>
          <w:p w:rsidR="00B22874" w:rsidRPr="00583077" w:rsidRDefault="00B22874" w:rsidP="00EB7332">
            <w:pPr>
              <w:jc w:val="right"/>
              <w:rPr>
                <w:rFonts w:eastAsia="Batang"/>
                <w:b/>
                <w:bCs/>
                <w:sz w:val="20"/>
                <w:szCs w:val="20"/>
                <w:lang w:eastAsia="ko-KR"/>
              </w:rPr>
            </w:pPr>
            <w:r w:rsidRPr="00583077">
              <w:rPr>
                <w:rFonts w:eastAsia="Batang"/>
                <w:b/>
                <w:bCs/>
                <w:sz w:val="20"/>
                <w:szCs w:val="20"/>
                <w:lang w:eastAsia="ko-KR"/>
              </w:rPr>
              <w:t>1.97</w:t>
            </w:r>
          </w:p>
        </w:tc>
        <w:tc>
          <w:tcPr>
            <w:tcW w:w="1770" w:type="dxa"/>
            <w:tcBorders>
              <w:top w:val="nil"/>
              <w:left w:val="nil"/>
              <w:bottom w:val="nil"/>
              <w:right w:val="nil"/>
            </w:tcBorders>
            <w:noWrap/>
            <w:vAlign w:val="bottom"/>
          </w:tcPr>
          <w:p w:rsidR="00B22874" w:rsidRPr="00583077" w:rsidRDefault="00B22874" w:rsidP="00EB7332">
            <w:pPr>
              <w:jc w:val="right"/>
              <w:rPr>
                <w:rFonts w:eastAsia="Batang"/>
                <w:b/>
                <w:bCs/>
                <w:sz w:val="20"/>
                <w:szCs w:val="20"/>
                <w:lang w:eastAsia="ko-KR"/>
              </w:rPr>
            </w:pPr>
            <w:r w:rsidRPr="00583077">
              <w:rPr>
                <w:rFonts w:eastAsia="Batang"/>
                <w:b/>
                <w:bCs/>
                <w:sz w:val="20"/>
                <w:szCs w:val="20"/>
                <w:lang w:eastAsia="ko-KR"/>
              </w:rPr>
              <w:t>15,663</w:t>
            </w:r>
          </w:p>
        </w:tc>
        <w:tc>
          <w:tcPr>
            <w:tcW w:w="730" w:type="dxa"/>
            <w:tcBorders>
              <w:top w:val="nil"/>
              <w:left w:val="single" w:sz="4" w:space="0" w:color="auto"/>
              <w:bottom w:val="single" w:sz="4" w:space="0" w:color="auto"/>
              <w:right w:val="single" w:sz="4" w:space="0" w:color="auto"/>
            </w:tcBorders>
            <w:noWrap/>
            <w:vAlign w:val="bottom"/>
          </w:tcPr>
          <w:p w:rsidR="00B22874" w:rsidRPr="00583077" w:rsidRDefault="00B22874" w:rsidP="00EB7332">
            <w:pPr>
              <w:jc w:val="right"/>
              <w:rPr>
                <w:rFonts w:eastAsia="Batang"/>
                <w:b/>
                <w:bCs/>
                <w:sz w:val="20"/>
                <w:szCs w:val="20"/>
                <w:lang w:eastAsia="ko-KR"/>
              </w:rPr>
            </w:pPr>
            <w:r w:rsidRPr="00583077">
              <w:rPr>
                <w:rFonts w:eastAsia="Batang"/>
                <w:b/>
                <w:bCs/>
                <w:sz w:val="20"/>
                <w:szCs w:val="20"/>
                <w:lang w:eastAsia="ko-KR"/>
              </w:rPr>
              <w:t>3.33</w:t>
            </w:r>
          </w:p>
        </w:tc>
        <w:tc>
          <w:tcPr>
            <w:tcW w:w="1558" w:type="dxa"/>
            <w:tcBorders>
              <w:top w:val="nil"/>
              <w:left w:val="nil"/>
              <w:bottom w:val="nil"/>
              <w:right w:val="nil"/>
            </w:tcBorders>
            <w:noWrap/>
            <w:vAlign w:val="bottom"/>
          </w:tcPr>
          <w:p w:rsidR="00B22874" w:rsidRPr="00583077" w:rsidRDefault="00B22874" w:rsidP="00EB7332">
            <w:pPr>
              <w:jc w:val="right"/>
              <w:rPr>
                <w:rFonts w:eastAsia="Batang"/>
                <w:b/>
                <w:bCs/>
                <w:sz w:val="20"/>
                <w:szCs w:val="20"/>
                <w:lang w:eastAsia="ko-KR"/>
              </w:rPr>
            </w:pPr>
            <w:r w:rsidRPr="00583077">
              <w:rPr>
                <w:rFonts w:eastAsia="Batang"/>
                <w:b/>
                <w:bCs/>
                <w:sz w:val="20"/>
                <w:szCs w:val="20"/>
                <w:lang w:eastAsia="ko-KR"/>
              </w:rPr>
              <w:t>19,918</w:t>
            </w:r>
          </w:p>
        </w:tc>
        <w:tc>
          <w:tcPr>
            <w:tcW w:w="642" w:type="dxa"/>
            <w:tcBorders>
              <w:top w:val="nil"/>
              <w:left w:val="single" w:sz="4" w:space="0" w:color="auto"/>
              <w:bottom w:val="single" w:sz="4" w:space="0" w:color="auto"/>
              <w:right w:val="single" w:sz="4" w:space="0" w:color="auto"/>
            </w:tcBorders>
            <w:noWrap/>
            <w:vAlign w:val="bottom"/>
          </w:tcPr>
          <w:p w:rsidR="00B22874" w:rsidRPr="00583077" w:rsidRDefault="00B22874" w:rsidP="00EB7332">
            <w:pPr>
              <w:jc w:val="right"/>
              <w:rPr>
                <w:rFonts w:eastAsia="Batang"/>
                <w:b/>
                <w:bCs/>
                <w:sz w:val="20"/>
                <w:szCs w:val="20"/>
                <w:lang w:eastAsia="ko-KR"/>
              </w:rPr>
            </w:pPr>
            <w:r w:rsidRPr="00583077">
              <w:rPr>
                <w:rFonts w:eastAsia="Batang"/>
                <w:b/>
                <w:bCs/>
                <w:sz w:val="20"/>
                <w:szCs w:val="20"/>
                <w:lang w:eastAsia="ko-KR"/>
              </w:rPr>
              <w:t>3.82</w:t>
            </w:r>
          </w:p>
        </w:tc>
      </w:tr>
      <w:tr w:rsidR="00B22874" w:rsidRPr="00583077" w:rsidTr="005B3E9C">
        <w:trPr>
          <w:trHeight w:val="270"/>
        </w:trPr>
        <w:tc>
          <w:tcPr>
            <w:tcW w:w="2400" w:type="dxa"/>
            <w:tcBorders>
              <w:top w:val="nil"/>
              <w:left w:val="single" w:sz="8" w:space="0" w:color="auto"/>
              <w:bottom w:val="single" w:sz="8" w:space="0" w:color="auto"/>
              <w:right w:val="single" w:sz="4" w:space="0" w:color="auto"/>
            </w:tcBorders>
            <w:noWrap/>
            <w:vAlign w:val="bottom"/>
          </w:tcPr>
          <w:p w:rsidR="00B22874" w:rsidRPr="00583077" w:rsidRDefault="00B22874" w:rsidP="009F044E">
            <w:pPr>
              <w:jc w:val="right"/>
              <w:rPr>
                <w:rFonts w:eastAsia="Batang"/>
                <w:sz w:val="20"/>
                <w:szCs w:val="20"/>
                <w:lang w:eastAsia="ko-KR"/>
              </w:rPr>
            </w:pPr>
            <w:r w:rsidRPr="00583077">
              <w:rPr>
                <w:rFonts w:eastAsia="Batang"/>
                <w:sz w:val="20"/>
                <w:szCs w:val="20"/>
                <w:lang w:eastAsia="ko-KR"/>
              </w:rPr>
              <w:t>1. Garanci Treg.Brënd.</w:t>
            </w:r>
          </w:p>
        </w:tc>
        <w:tc>
          <w:tcPr>
            <w:tcW w:w="1544" w:type="dxa"/>
            <w:tcBorders>
              <w:top w:val="single" w:sz="4" w:space="0" w:color="auto"/>
              <w:left w:val="nil"/>
              <w:bottom w:val="single" w:sz="8" w:space="0" w:color="auto"/>
              <w:right w:val="single" w:sz="4" w:space="0" w:color="auto"/>
            </w:tcBorders>
            <w:noWrap/>
            <w:vAlign w:val="bottom"/>
          </w:tcPr>
          <w:p w:rsidR="00B22874" w:rsidRPr="00583077" w:rsidRDefault="00B22874" w:rsidP="00EB7332">
            <w:pPr>
              <w:jc w:val="right"/>
              <w:rPr>
                <w:rFonts w:eastAsia="Batang"/>
                <w:sz w:val="20"/>
                <w:szCs w:val="20"/>
                <w:lang w:eastAsia="ko-KR"/>
              </w:rPr>
            </w:pPr>
            <w:r w:rsidRPr="00583077">
              <w:rPr>
                <w:rFonts w:eastAsia="Batang"/>
                <w:sz w:val="20"/>
                <w:szCs w:val="20"/>
                <w:lang w:eastAsia="ko-KR"/>
              </w:rPr>
              <w:t>8,657</w:t>
            </w:r>
          </w:p>
        </w:tc>
        <w:tc>
          <w:tcPr>
            <w:tcW w:w="636" w:type="dxa"/>
            <w:tcBorders>
              <w:top w:val="nil"/>
              <w:left w:val="nil"/>
              <w:bottom w:val="single" w:sz="8" w:space="0" w:color="auto"/>
              <w:right w:val="single" w:sz="4" w:space="0" w:color="auto"/>
            </w:tcBorders>
            <w:noWrap/>
            <w:vAlign w:val="bottom"/>
          </w:tcPr>
          <w:p w:rsidR="00B22874" w:rsidRPr="00583077" w:rsidRDefault="00B22874" w:rsidP="00EB7332">
            <w:pPr>
              <w:jc w:val="right"/>
              <w:rPr>
                <w:rFonts w:eastAsia="Batang"/>
                <w:sz w:val="20"/>
                <w:szCs w:val="20"/>
                <w:lang w:eastAsia="ko-KR"/>
              </w:rPr>
            </w:pPr>
            <w:r w:rsidRPr="00583077">
              <w:rPr>
                <w:rFonts w:eastAsia="Batang"/>
                <w:sz w:val="20"/>
                <w:szCs w:val="20"/>
                <w:lang w:eastAsia="ko-KR"/>
              </w:rPr>
              <w:t>1.97</w:t>
            </w:r>
          </w:p>
        </w:tc>
        <w:tc>
          <w:tcPr>
            <w:tcW w:w="1770" w:type="dxa"/>
            <w:tcBorders>
              <w:top w:val="single" w:sz="4" w:space="0" w:color="auto"/>
              <w:left w:val="nil"/>
              <w:bottom w:val="single" w:sz="8" w:space="0" w:color="auto"/>
              <w:right w:val="single" w:sz="4" w:space="0" w:color="auto"/>
            </w:tcBorders>
            <w:noWrap/>
            <w:vAlign w:val="bottom"/>
          </w:tcPr>
          <w:p w:rsidR="00B22874" w:rsidRPr="00583077" w:rsidRDefault="00B22874" w:rsidP="00EB7332">
            <w:pPr>
              <w:jc w:val="right"/>
              <w:rPr>
                <w:rFonts w:eastAsia="Batang"/>
                <w:sz w:val="20"/>
                <w:szCs w:val="20"/>
                <w:lang w:eastAsia="ko-KR"/>
              </w:rPr>
            </w:pPr>
            <w:r w:rsidRPr="00583077">
              <w:rPr>
                <w:rFonts w:eastAsia="Batang"/>
                <w:sz w:val="20"/>
                <w:szCs w:val="20"/>
                <w:lang w:eastAsia="ko-KR"/>
              </w:rPr>
              <w:t>15,663</w:t>
            </w:r>
          </w:p>
        </w:tc>
        <w:tc>
          <w:tcPr>
            <w:tcW w:w="730" w:type="dxa"/>
            <w:tcBorders>
              <w:top w:val="nil"/>
              <w:left w:val="nil"/>
              <w:bottom w:val="single" w:sz="8" w:space="0" w:color="auto"/>
              <w:right w:val="single" w:sz="4" w:space="0" w:color="auto"/>
            </w:tcBorders>
            <w:noWrap/>
            <w:vAlign w:val="bottom"/>
          </w:tcPr>
          <w:p w:rsidR="00B22874" w:rsidRPr="00583077" w:rsidRDefault="00B22874" w:rsidP="00EB7332">
            <w:pPr>
              <w:jc w:val="right"/>
              <w:rPr>
                <w:rFonts w:eastAsia="Batang"/>
                <w:sz w:val="20"/>
                <w:szCs w:val="20"/>
                <w:lang w:eastAsia="ko-KR"/>
              </w:rPr>
            </w:pPr>
            <w:r w:rsidRPr="00583077">
              <w:rPr>
                <w:rFonts w:eastAsia="Batang"/>
                <w:sz w:val="20"/>
                <w:szCs w:val="20"/>
                <w:lang w:eastAsia="ko-KR"/>
              </w:rPr>
              <w:t>3.33</w:t>
            </w:r>
          </w:p>
        </w:tc>
        <w:tc>
          <w:tcPr>
            <w:tcW w:w="1558" w:type="dxa"/>
            <w:tcBorders>
              <w:top w:val="single" w:sz="4" w:space="0" w:color="auto"/>
              <w:left w:val="nil"/>
              <w:bottom w:val="single" w:sz="8" w:space="0" w:color="auto"/>
              <w:right w:val="single" w:sz="4" w:space="0" w:color="auto"/>
            </w:tcBorders>
            <w:noWrap/>
            <w:vAlign w:val="bottom"/>
          </w:tcPr>
          <w:p w:rsidR="00B22874" w:rsidRPr="00583077" w:rsidRDefault="00B22874" w:rsidP="00EB7332">
            <w:pPr>
              <w:jc w:val="right"/>
              <w:rPr>
                <w:rFonts w:eastAsia="Batang"/>
                <w:sz w:val="20"/>
                <w:szCs w:val="20"/>
                <w:lang w:eastAsia="ko-KR"/>
              </w:rPr>
            </w:pPr>
            <w:r w:rsidRPr="00583077">
              <w:rPr>
                <w:rFonts w:eastAsia="Batang"/>
                <w:sz w:val="20"/>
                <w:szCs w:val="20"/>
                <w:lang w:eastAsia="ko-KR"/>
              </w:rPr>
              <w:t>19,918</w:t>
            </w:r>
          </w:p>
        </w:tc>
        <w:tc>
          <w:tcPr>
            <w:tcW w:w="642" w:type="dxa"/>
            <w:tcBorders>
              <w:top w:val="nil"/>
              <w:left w:val="nil"/>
              <w:bottom w:val="single" w:sz="8" w:space="0" w:color="auto"/>
              <w:right w:val="single" w:sz="4" w:space="0" w:color="auto"/>
            </w:tcBorders>
            <w:noWrap/>
            <w:vAlign w:val="bottom"/>
          </w:tcPr>
          <w:p w:rsidR="00B22874" w:rsidRPr="00583077" w:rsidRDefault="00B22874" w:rsidP="00EB7332">
            <w:pPr>
              <w:jc w:val="right"/>
              <w:rPr>
                <w:rFonts w:eastAsia="Batang"/>
                <w:sz w:val="20"/>
                <w:szCs w:val="20"/>
                <w:lang w:eastAsia="ko-KR"/>
              </w:rPr>
            </w:pPr>
            <w:r w:rsidRPr="00583077">
              <w:rPr>
                <w:rFonts w:eastAsia="Batang"/>
                <w:sz w:val="20"/>
                <w:szCs w:val="20"/>
                <w:lang w:eastAsia="ko-KR"/>
              </w:rPr>
              <w:t>3.82</w:t>
            </w:r>
          </w:p>
        </w:tc>
      </w:tr>
    </w:tbl>
    <w:p w:rsidR="00B22874" w:rsidRPr="00583077" w:rsidRDefault="00B22874" w:rsidP="001E1D64">
      <w:pPr>
        <w:jc w:val="both"/>
        <w:rPr>
          <w:b/>
          <w:lang w:val="sq-AL"/>
        </w:rPr>
      </w:pPr>
    </w:p>
    <w:p w:rsidR="00B22874" w:rsidRDefault="00B22874" w:rsidP="001E1D64">
      <w:pPr>
        <w:jc w:val="both"/>
        <w:rPr>
          <w:lang w:val="sq-AL"/>
        </w:rPr>
      </w:pPr>
      <w:r w:rsidRPr="00583077">
        <w:rPr>
          <w:lang w:val="sq-AL"/>
        </w:rPr>
        <w:t>Viti 2013 ka qënë një vit mjaft i favorshëm përsa i pëerket rikompozimit të portofolit të borxhit të brendshëm në kuadër të realizimit të objektivave për uljen e instrumentave me afat të shkurtër maturimi. Që në tremujorin e parë të vitit 2013 financimi i deficitit është realizuar me rreth 80% me instrumenta afatgjata duke u rritur në vazhdim deri në maturim të instrumentave afatshkurtra.</w:t>
      </w:r>
    </w:p>
    <w:p w:rsidR="00B22874" w:rsidRDefault="00B22874" w:rsidP="000E0752">
      <w:pPr>
        <w:jc w:val="both"/>
        <w:rPr>
          <w:lang w:val="de-DE"/>
        </w:rPr>
      </w:pPr>
    </w:p>
    <w:p w:rsidR="00B22874" w:rsidRPr="00583077" w:rsidRDefault="00B22874" w:rsidP="000E0752">
      <w:pPr>
        <w:jc w:val="both"/>
        <w:rPr>
          <w:lang w:val="sq-AL"/>
        </w:rPr>
      </w:pPr>
    </w:p>
    <w:p w:rsidR="00B22874" w:rsidRDefault="00B22874" w:rsidP="001E1D64">
      <w:pPr>
        <w:jc w:val="both"/>
        <w:rPr>
          <w:b/>
          <w:lang w:val="sq-AL"/>
        </w:rPr>
      </w:pPr>
    </w:p>
    <w:p w:rsidR="00B22874" w:rsidRDefault="00B22874" w:rsidP="001E1D64">
      <w:pPr>
        <w:jc w:val="both"/>
        <w:rPr>
          <w:b/>
          <w:lang w:val="sq-AL"/>
        </w:rPr>
      </w:pPr>
    </w:p>
    <w:p w:rsidR="00B22874" w:rsidRDefault="00B22874" w:rsidP="001E1D64">
      <w:pPr>
        <w:jc w:val="both"/>
        <w:rPr>
          <w:b/>
          <w:lang w:val="sq-AL"/>
        </w:rPr>
      </w:pPr>
    </w:p>
    <w:p w:rsidR="00B22874" w:rsidRPr="00583077" w:rsidRDefault="00B22874" w:rsidP="001E1D64">
      <w:pPr>
        <w:jc w:val="both"/>
        <w:rPr>
          <w:b/>
          <w:lang w:val="sq-AL"/>
        </w:rPr>
      </w:pPr>
    </w:p>
    <w:p w:rsidR="00B22874" w:rsidRPr="00583077" w:rsidRDefault="00B22874" w:rsidP="00CA0CBE">
      <w:pPr>
        <w:ind w:firstLine="720"/>
        <w:jc w:val="both"/>
        <w:rPr>
          <w:b/>
          <w:lang w:val="sq-AL"/>
        </w:rPr>
      </w:pPr>
      <w:r>
        <w:rPr>
          <w:b/>
          <w:lang w:val="sq-AL"/>
        </w:rPr>
        <w:lastRenderedPageBreak/>
        <w:t>ii-a.</w:t>
      </w:r>
      <w:r w:rsidRPr="00583077">
        <w:rPr>
          <w:b/>
          <w:lang w:val="sq-AL"/>
        </w:rPr>
        <w:t xml:space="preserve"> Mbajtësit e borxhit</w:t>
      </w:r>
    </w:p>
    <w:p w:rsidR="00B22874" w:rsidRPr="00583077" w:rsidRDefault="00B22874" w:rsidP="001206AF">
      <w:pPr>
        <w:jc w:val="both"/>
        <w:rPr>
          <w:b/>
          <w:bCs/>
          <w:lang w:val="sq-AL"/>
        </w:rPr>
      </w:pPr>
    </w:p>
    <w:p w:rsidR="00B22874" w:rsidRPr="00583077" w:rsidRDefault="00B22874" w:rsidP="001206AF">
      <w:pPr>
        <w:pStyle w:val="BodyText"/>
        <w:rPr>
          <w:rFonts w:ascii="Times New Roman" w:hAnsi="Times New Roman"/>
          <w:i/>
          <w:iCs/>
          <w:lang w:val="sq-AL"/>
        </w:rPr>
      </w:pPr>
      <w:r w:rsidRPr="00583077">
        <w:rPr>
          <w:rFonts w:ascii="Times New Roman" w:hAnsi="Times New Roman"/>
          <w:lang w:val="sq-AL"/>
        </w:rPr>
        <w:t xml:space="preserve">Edhe gjatë vitit 2013 ka vazhduar tendenca pozitive e rritjes së numrit të pjesëmarrësve në tregun primar të letrave me vlerë të Qeverisë, duke sjellë një thellim të diversifikimit të portofolit nga pikëpamja e mbajtësve të tij. Gjatë periudhes janar – dhjetor të vitit 2013 vihet re një tendencë në rritje e peshës së institucioneve jobanka me 650 pikë bazë. Ndërkohë ndryshe nga tendenca e viteve të fundit gjatë vitit 2013 shohim një rënie me 198 pikë përqindje të pjesëmarrjes së individëve. Ulja e normave të interesit të letrave me vlerë gjatë këtij viti </w:t>
      </w:r>
      <w:r>
        <w:rPr>
          <w:rFonts w:ascii="Times New Roman" w:hAnsi="Times New Roman"/>
          <w:lang w:val="sq-AL"/>
        </w:rPr>
        <w:t>ka qenë</w:t>
      </w:r>
      <w:r w:rsidRPr="00583077">
        <w:rPr>
          <w:rFonts w:ascii="Times New Roman" w:hAnsi="Times New Roman"/>
          <w:lang w:val="sq-AL"/>
        </w:rPr>
        <w:t xml:space="preserve"> faktor i cili ka bërë më pak tërheqëse pjesëmarrjen e individeve. Bankat e nivelit të dytë kanë njohur një rritje të portofoleve të tyre në përberjen e stokut të borxhit të brendshëm përgjatë këtij</w:t>
      </w:r>
      <w:r>
        <w:rPr>
          <w:rFonts w:ascii="Times New Roman" w:hAnsi="Times New Roman"/>
          <w:lang w:val="sq-AL"/>
        </w:rPr>
        <w:t>viti, me përjashtim të Ra</w:t>
      </w:r>
      <w:r w:rsidRPr="00583077">
        <w:rPr>
          <w:rFonts w:ascii="Times New Roman" w:hAnsi="Times New Roman"/>
          <w:lang w:val="sq-AL"/>
        </w:rPr>
        <w:t xml:space="preserve">ifeissen Bank e cila ka pësuar një ulje të konsiderueshme gjatë vitit 2013. </w:t>
      </w:r>
    </w:p>
    <w:p w:rsidR="00B22874" w:rsidRDefault="00B22874" w:rsidP="001E1D64">
      <w:pPr>
        <w:jc w:val="both"/>
        <w:rPr>
          <w:b/>
          <w:lang w:val="sq-AL"/>
        </w:rPr>
      </w:pPr>
    </w:p>
    <w:p w:rsidR="00B22874" w:rsidRPr="00583077" w:rsidRDefault="00B22874" w:rsidP="001E1D64">
      <w:pPr>
        <w:jc w:val="both"/>
        <w:rPr>
          <w:b/>
          <w:lang w:val="sq-AL"/>
        </w:rPr>
      </w:pPr>
    </w:p>
    <w:p w:rsidR="00B22874" w:rsidRPr="009F044E" w:rsidRDefault="00B22874" w:rsidP="001E1D64">
      <w:pPr>
        <w:jc w:val="both"/>
        <w:rPr>
          <w:b/>
          <w:sz w:val="20"/>
          <w:szCs w:val="20"/>
          <w:lang w:val="sq-AL"/>
        </w:rPr>
      </w:pPr>
      <w:r w:rsidRPr="009F044E">
        <w:rPr>
          <w:b/>
          <w:sz w:val="20"/>
          <w:szCs w:val="20"/>
          <w:lang w:val="sq-AL"/>
        </w:rPr>
        <w:t>Grafik 2.</w:t>
      </w:r>
    </w:p>
    <w:p w:rsidR="00B22874" w:rsidRPr="00583077" w:rsidRDefault="00B22874" w:rsidP="00CC6CEC">
      <w:pPr>
        <w:jc w:val="both"/>
        <w:rPr>
          <w:sz w:val="20"/>
          <w:szCs w:val="20"/>
          <w:lang w:val="sq-AL"/>
        </w:rPr>
      </w:pPr>
      <w:r w:rsidRPr="00583077">
        <w:rPr>
          <w:sz w:val="20"/>
          <w:szCs w:val="20"/>
          <w:lang w:val="sq-AL"/>
        </w:rPr>
        <w:t>*Mbajtësit e borxhit (viti 2012, 2013)</w:t>
      </w:r>
    </w:p>
    <w:p w:rsidR="00B22874" w:rsidRPr="00583077" w:rsidRDefault="00512804" w:rsidP="00CC6CEC">
      <w:pPr>
        <w:jc w:val="both"/>
        <w:rPr>
          <w:sz w:val="20"/>
          <w:szCs w:val="20"/>
          <w:lang w:val="sq-AL"/>
        </w:rPr>
      </w:pPr>
      <w:r>
        <w:rPr>
          <w:noProof/>
          <w:lang w:val="en-GB" w:eastAsia="en-GB"/>
        </w:rPr>
        <w:drawing>
          <wp:inline distT="0" distB="0" distL="0" distR="0">
            <wp:extent cx="2933700" cy="25146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2933700" cy="2514600"/>
                    </a:xfrm>
                    <a:prstGeom prst="rect">
                      <a:avLst/>
                    </a:prstGeom>
                    <a:noFill/>
                    <a:ln w="9525">
                      <a:noFill/>
                      <a:miter lim="800000"/>
                      <a:headEnd/>
                      <a:tailEnd/>
                    </a:ln>
                  </pic:spPr>
                </pic:pic>
              </a:graphicData>
            </a:graphic>
          </wp:inline>
        </w:drawing>
      </w:r>
      <w:r>
        <w:rPr>
          <w:noProof/>
          <w:lang w:val="en-GB" w:eastAsia="en-GB"/>
        </w:rPr>
        <w:drawing>
          <wp:inline distT="0" distB="0" distL="0" distR="0">
            <wp:extent cx="2819400" cy="24574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2819400" cy="2457450"/>
                    </a:xfrm>
                    <a:prstGeom prst="rect">
                      <a:avLst/>
                    </a:prstGeom>
                    <a:noFill/>
                    <a:ln w="9525">
                      <a:noFill/>
                      <a:miter lim="800000"/>
                      <a:headEnd/>
                      <a:tailEnd/>
                    </a:ln>
                  </pic:spPr>
                </pic:pic>
              </a:graphicData>
            </a:graphic>
          </wp:inline>
        </w:drawing>
      </w:r>
    </w:p>
    <w:p w:rsidR="00B22874" w:rsidRDefault="00B22874" w:rsidP="00CC6CEC">
      <w:pPr>
        <w:jc w:val="both"/>
        <w:rPr>
          <w:sz w:val="20"/>
          <w:szCs w:val="20"/>
          <w:lang w:val="sq-AL"/>
        </w:rPr>
      </w:pPr>
    </w:p>
    <w:p w:rsidR="00B22874" w:rsidRPr="00583077" w:rsidRDefault="00B22874" w:rsidP="00CC6CEC">
      <w:pPr>
        <w:jc w:val="both"/>
        <w:rPr>
          <w:sz w:val="20"/>
          <w:szCs w:val="20"/>
          <w:lang w:val="sq-AL"/>
        </w:rPr>
      </w:pPr>
    </w:p>
    <w:p w:rsidR="00B22874" w:rsidRPr="00583077" w:rsidRDefault="00B22874" w:rsidP="00CC6CEC">
      <w:pPr>
        <w:jc w:val="both"/>
        <w:rPr>
          <w:b/>
          <w:lang w:val="sq-AL"/>
        </w:rPr>
      </w:pPr>
      <w:r w:rsidRPr="005B3E9C">
        <w:rPr>
          <w:b/>
          <w:sz w:val="20"/>
          <w:szCs w:val="20"/>
          <w:lang w:val="sq-AL"/>
        </w:rPr>
        <w:t>Tabela 5</w:t>
      </w:r>
      <w:r w:rsidRPr="00583077">
        <w:rPr>
          <w:b/>
          <w:lang w:val="sq-AL"/>
        </w:rPr>
        <w:t>.</w:t>
      </w:r>
    </w:p>
    <w:p w:rsidR="00B22874" w:rsidRPr="00583077" w:rsidRDefault="00B22874" w:rsidP="00CC6CEC">
      <w:pPr>
        <w:jc w:val="both"/>
        <w:rPr>
          <w:sz w:val="20"/>
          <w:szCs w:val="20"/>
          <w:lang w:val="sq-AL"/>
        </w:rPr>
      </w:pPr>
      <w:r w:rsidRPr="00583077">
        <w:rPr>
          <w:sz w:val="20"/>
          <w:szCs w:val="20"/>
          <w:lang w:val="sq-AL"/>
        </w:rPr>
        <w:t>*Mbajtësit e borxhit të brendshëm ndër vite</w:t>
      </w:r>
    </w:p>
    <w:tbl>
      <w:tblPr>
        <w:tblW w:w="8470" w:type="dxa"/>
        <w:tblInd w:w="98" w:type="dxa"/>
        <w:tblLook w:val="0000"/>
      </w:tblPr>
      <w:tblGrid>
        <w:gridCol w:w="1820"/>
        <w:gridCol w:w="1320"/>
        <w:gridCol w:w="1430"/>
        <w:gridCol w:w="1260"/>
        <w:gridCol w:w="1270"/>
        <w:gridCol w:w="1370"/>
      </w:tblGrid>
      <w:tr w:rsidR="00B22874" w:rsidRPr="00583077" w:rsidTr="005B3E9C">
        <w:trPr>
          <w:trHeight w:val="270"/>
        </w:trPr>
        <w:tc>
          <w:tcPr>
            <w:tcW w:w="1820" w:type="dxa"/>
            <w:tcBorders>
              <w:top w:val="single" w:sz="8" w:space="0" w:color="auto"/>
              <w:left w:val="single" w:sz="8" w:space="0" w:color="auto"/>
              <w:bottom w:val="single" w:sz="8" w:space="0" w:color="auto"/>
              <w:right w:val="nil"/>
            </w:tcBorders>
            <w:shd w:val="clear" w:color="auto" w:fill="99CCFF"/>
            <w:noWrap/>
            <w:vAlign w:val="bottom"/>
          </w:tcPr>
          <w:p w:rsidR="00B22874" w:rsidRPr="00583077" w:rsidRDefault="00B22874" w:rsidP="00CC6CEC">
            <w:pPr>
              <w:rPr>
                <w:rFonts w:eastAsia="Batang"/>
                <w:color w:val="FF0000"/>
                <w:sz w:val="20"/>
                <w:szCs w:val="20"/>
                <w:lang w:eastAsia="ko-KR"/>
              </w:rPr>
            </w:pPr>
            <w:r w:rsidRPr="00583077">
              <w:rPr>
                <w:rFonts w:eastAsia="Batang"/>
                <w:color w:val="FF0000"/>
                <w:sz w:val="20"/>
                <w:szCs w:val="20"/>
                <w:lang w:eastAsia="ko-KR"/>
              </w:rPr>
              <w:t> </w:t>
            </w:r>
          </w:p>
        </w:tc>
        <w:tc>
          <w:tcPr>
            <w:tcW w:w="1320" w:type="dxa"/>
            <w:tcBorders>
              <w:top w:val="single" w:sz="8" w:space="0" w:color="auto"/>
              <w:left w:val="single" w:sz="4" w:space="0" w:color="auto"/>
              <w:bottom w:val="single" w:sz="8" w:space="0" w:color="auto"/>
              <w:right w:val="single" w:sz="4" w:space="0" w:color="auto"/>
            </w:tcBorders>
            <w:shd w:val="clear" w:color="auto" w:fill="99CCFF"/>
            <w:vAlign w:val="bottom"/>
          </w:tcPr>
          <w:p w:rsidR="00B22874" w:rsidRPr="00583077" w:rsidRDefault="00B22874" w:rsidP="009A46EC">
            <w:pPr>
              <w:jc w:val="center"/>
              <w:rPr>
                <w:rFonts w:eastAsia="Batang"/>
                <w:b/>
                <w:bCs/>
                <w:sz w:val="20"/>
                <w:szCs w:val="20"/>
                <w:lang w:eastAsia="ko-KR"/>
              </w:rPr>
            </w:pPr>
            <w:r w:rsidRPr="00583077">
              <w:rPr>
                <w:rFonts w:eastAsia="Batang"/>
                <w:b/>
                <w:bCs/>
                <w:sz w:val="20"/>
                <w:szCs w:val="20"/>
                <w:lang w:eastAsia="ko-KR"/>
              </w:rPr>
              <w:t>31.12.2009</w:t>
            </w:r>
          </w:p>
        </w:tc>
        <w:tc>
          <w:tcPr>
            <w:tcW w:w="1430" w:type="dxa"/>
            <w:tcBorders>
              <w:top w:val="single" w:sz="8" w:space="0" w:color="auto"/>
              <w:left w:val="single" w:sz="4" w:space="0" w:color="auto"/>
              <w:bottom w:val="single" w:sz="8" w:space="0" w:color="auto"/>
              <w:right w:val="single" w:sz="4" w:space="0" w:color="auto"/>
            </w:tcBorders>
            <w:shd w:val="clear" w:color="auto" w:fill="99CCFF"/>
            <w:noWrap/>
            <w:vAlign w:val="bottom"/>
          </w:tcPr>
          <w:p w:rsidR="00B22874" w:rsidRPr="00583077" w:rsidRDefault="00B22874" w:rsidP="00CC6CEC">
            <w:pPr>
              <w:rPr>
                <w:rFonts w:eastAsia="Batang"/>
                <w:b/>
                <w:bCs/>
                <w:sz w:val="20"/>
                <w:szCs w:val="20"/>
                <w:lang w:eastAsia="ko-KR"/>
              </w:rPr>
            </w:pPr>
            <w:r w:rsidRPr="00583077">
              <w:rPr>
                <w:rFonts w:eastAsia="Batang"/>
                <w:b/>
                <w:bCs/>
                <w:sz w:val="20"/>
                <w:szCs w:val="20"/>
                <w:lang w:eastAsia="ko-KR"/>
              </w:rPr>
              <w:t xml:space="preserve"> 31.12.2010 </w:t>
            </w:r>
          </w:p>
        </w:tc>
        <w:tc>
          <w:tcPr>
            <w:tcW w:w="1260" w:type="dxa"/>
            <w:tcBorders>
              <w:top w:val="single" w:sz="8" w:space="0" w:color="auto"/>
              <w:left w:val="nil"/>
              <w:bottom w:val="single" w:sz="8" w:space="0" w:color="auto"/>
              <w:right w:val="single" w:sz="4" w:space="0" w:color="auto"/>
            </w:tcBorders>
            <w:shd w:val="clear" w:color="auto" w:fill="99CCFF"/>
            <w:noWrap/>
            <w:vAlign w:val="bottom"/>
          </w:tcPr>
          <w:p w:rsidR="00B22874" w:rsidRPr="00583077" w:rsidRDefault="00B22874" w:rsidP="00CC6CEC">
            <w:pPr>
              <w:rPr>
                <w:rFonts w:eastAsia="Batang"/>
                <w:b/>
                <w:bCs/>
                <w:sz w:val="20"/>
                <w:szCs w:val="20"/>
                <w:lang w:eastAsia="ko-KR"/>
              </w:rPr>
            </w:pPr>
            <w:r w:rsidRPr="00583077">
              <w:rPr>
                <w:rFonts w:eastAsia="Batang"/>
                <w:b/>
                <w:bCs/>
                <w:sz w:val="20"/>
                <w:szCs w:val="20"/>
                <w:lang w:eastAsia="ko-KR"/>
              </w:rPr>
              <w:t xml:space="preserve"> 31.12.2011 </w:t>
            </w:r>
          </w:p>
        </w:tc>
        <w:tc>
          <w:tcPr>
            <w:tcW w:w="1270" w:type="dxa"/>
            <w:tcBorders>
              <w:top w:val="single" w:sz="8" w:space="0" w:color="auto"/>
              <w:left w:val="nil"/>
              <w:bottom w:val="single" w:sz="8" w:space="0" w:color="auto"/>
              <w:right w:val="single" w:sz="4" w:space="0" w:color="auto"/>
            </w:tcBorders>
            <w:shd w:val="clear" w:color="auto" w:fill="99CCFF"/>
            <w:noWrap/>
            <w:vAlign w:val="bottom"/>
          </w:tcPr>
          <w:p w:rsidR="00B22874" w:rsidRPr="00583077" w:rsidRDefault="00B22874" w:rsidP="00CC6CEC">
            <w:pPr>
              <w:rPr>
                <w:rFonts w:eastAsia="Batang"/>
                <w:b/>
                <w:bCs/>
                <w:sz w:val="20"/>
                <w:szCs w:val="20"/>
                <w:lang w:eastAsia="ko-KR"/>
              </w:rPr>
            </w:pPr>
            <w:r w:rsidRPr="00583077">
              <w:rPr>
                <w:rFonts w:eastAsia="Batang"/>
                <w:b/>
                <w:bCs/>
                <w:sz w:val="20"/>
                <w:szCs w:val="20"/>
                <w:lang w:eastAsia="ko-KR"/>
              </w:rPr>
              <w:t>31.12.2012</w:t>
            </w:r>
          </w:p>
        </w:tc>
        <w:tc>
          <w:tcPr>
            <w:tcW w:w="1370" w:type="dxa"/>
            <w:tcBorders>
              <w:top w:val="single" w:sz="8" w:space="0" w:color="auto"/>
              <w:left w:val="nil"/>
              <w:bottom w:val="single" w:sz="8" w:space="0" w:color="auto"/>
              <w:right w:val="single" w:sz="4" w:space="0" w:color="auto"/>
            </w:tcBorders>
            <w:shd w:val="clear" w:color="auto" w:fill="99CCFF"/>
            <w:noWrap/>
            <w:vAlign w:val="bottom"/>
          </w:tcPr>
          <w:p w:rsidR="00B22874" w:rsidRPr="00583077" w:rsidRDefault="00B22874" w:rsidP="00CC6CEC">
            <w:pPr>
              <w:rPr>
                <w:rFonts w:eastAsia="Batang"/>
                <w:b/>
                <w:bCs/>
                <w:sz w:val="20"/>
                <w:szCs w:val="20"/>
                <w:lang w:eastAsia="ko-KR"/>
              </w:rPr>
            </w:pPr>
            <w:r w:rsidRPr="00583077">
              <w:rPr>
                <w:rFonts w:eastAsia="Batang"/>
                <w:b/>
                <w:bCs/>
                <w:sz w:val="20"/>
                <w:szCs w:val="20"/>
                <w:lang w:eastAsia="ko-KR"/>
              </w:rPr>
              <w:t>31.12.2013</w:t>
            </w:r>
          </w:p>
        </w:tc>
      </w:tr>
      <w:tr w:rsidR="00B22874" w:rsidRPr="00583077" w:rsidTr="005B3E9C">
        <w:trPr>
          <w:trHeight w:val="255"/>
        </w:trPr>
        <w:tc>
          <w:tcPr>
            <w:tcW w:w="1820" w:type="dxa"/>
            <w:tcBorders>
              <w:top w:val="single" w:sz="8" w:space="0" w:color="auto"/>
              <w:left w:val="single" w:sz="8" w:space="0" w:color="auto"/>
              <w:bottom w:val="nil"/>
              <w:right w:val="single" w:sz="8" w:space="0" w:color="auto"/>
            </w:tcBorders>
            <w:noWrap/>
            <w:vAlign w:val="bottom"/>
          </w:tcPr>
          <w:p w:rsidR="00B22874" w:rsidRPr="00583077" w:rsidRDefault="00B22874" w:rsidP="00CC6CEC">
            <w:pPr>
              <w:jc w:val="right"/>
              <w:rPr>
                <w:rFonts w:eastAsia="Batang"/>
                <w:b/>
                <w:bCs/>
                <w:sz w:val="20"/>
                <w:szCs w:val="20"/>
                <w:lang w:eastAsia="ko-KR"/>
              </w:rPr>
            </w:pPr>
            <w:r w:rsidRPr="00583077">
              <w:rPr>
                <w:rFonts w:eastAsia="Batang"/>
                <w:b/>
                <w:bCs/>
                <w:sz w:val="20"/>
                <w:szCs w:val="20"/>
                <w:lang w:eastAsia="ko-KR"/>
              </w:rPr>
              <w:t>BOA</w:t>
            </w:r>
          </w:p>
        </w:tc>
        <w:tc>
          <w:tcPr>
            <w:tcW w:w="1320" w:type="dxa"/>
            <w:tcBorders>
              <w:top w:val="single" w:sz="8" w:space="0" w:color="auto"/>
              <w:left w:val="single" w:sz="8" w:space="0" w:color="auto"/>
              <w:bottom w:val="nil"/>
              <w:right w:val="single" w:sz="8" w:space="0" w:color="auto"/>
            </w:tcBorders>
            <w:vAlign w:val="bottom"/>
          </w:tcPr>
          <w:p w:rsidR="00B22874" w:rsidRPr="00583077" w:rsidRDefault="00B22874" w:rsidP="00843C7E">
            <w:pPr>
              <w:jc w:val="right"/>
              <w:rPr>
                <w:sz w:val="20"/>
                <w:szCs w:val="20"/>
              </w:rPr>
            </w:pPr>
            <w:r w:rsidRPr="00583077">
              <w:rPr>
                <w:sz w:val="20"/>
                <w:szCs w:val="20"/>
              </w:rPr>
              <w:t>17.66%</w:t>
            </w:r>
          </w:p>
        </w:tc>
        <w:tc>
          <w:tcPr>
            <w:tcW w:w="1430" w:type="dxa"/>
            <w:tcBorders>
              <w:top w:val="nil"/>
              <w:left w:val="single" w:sz="8" w:space="0" w:color="auto"/>
              <w:bottom w:val="nil"/>
              <w:right w:val="single" w:sz="4" w:space="0" w:color="auto"/>
            </w:tcBorders>
            <w:noWrap/>
            <w:vAlign w:val="bottom"/>
          </w:tcPr>
          <w:p w:rsidR="00B22874" w:rsidRPr="00583077" w:rsidRDefault="00B22874" w:rsidP="00CC6CEC">
            <w:pPr>
              <w:jc w:val="right"/>
              <w:rPr>
                <w:rFonts w:eastAsia="Batang"/>
                <w:sz w:val="20"/>
                <w:szCs w:val="20"/>
                <w:lang w:eastAsia="ko-KR"/>
              </w:rPr>
            </w:pPr>
            <w:r w:rsidRPr="00583077">
              <w:rPr>
                <w:rFonts w:eastAsia="Batang"/>
                <w:sz w:val="20"/>
                <w:szCs w:val="20"/>
                <w:lang w:eastAsia="ko-KR"/>
              </w:rPr>
              <w:t>15.41%</w:t>
            </w:r>
          </w:p>
        </w:tc>
        <w:tc>
          <w:tcPr>
            <w:tcW w:w="1260" w:type="dxa"/>
            <w:tcBorders>
              <w:top w:val="nil"/>
              <w:left w:val="nil"/>
              <w:bottom w:val="nil"/>
              <w:right w:val="single" w:sz="4" w:space="0" w:color="auto"/>
            </w:tcBorders>
            <w:noWrap/>
            <w:vAlign w:val="bottom"/>
          </w:tcPr>
          <w:p w:rsidR="00B22874" w:rsidRPr="00583077" w:rsidRDefault="00B22874" w:rsidP="00CC6CEC">
            <w:pPr>
              <w:jc w:val="right"/>
              <w:rPr>
                <w:rFonts w:eastAsia="Batang"/>
                <w:sz w:val="20"/>
                <w:szCs w:val="20"/>
                <w:lang w:eastAsia="ko-KR"/>
              </w:rPr>
            </w:pPr>
            <w:r w:rsidRPr="00583077">
              <w:rPr>
                <w:rFonts w:eastAsia="Batang"/>
                <w:sz w:val="20"/>
                <w:szCs w:val="20"/>
                <w:lang w:eastAsia="ko-KR"/>
              </w:rPr>
              <w:t>14.30%</w:t>
            </w:r>
          </w:p>
        </w:tc>
        <w:tc>
          <w:tcPr>
            <w:tcW w:w="1270" w:type="dxa"/>
            <w:tcBorders>
              <w:top w:val="nil"/>
              <w:left w:val="nil"/>
              <w:bottom w:val="nil"/>
              <w:right w:val="single" w:sz="4" w:space="0" w:color="auto"/>
            </w:tcBorders>
            <w:noWrap/>
            <w:vAlign w:val="bottom"/>
          </w:tcPr>
          <w:p w:rsidR="00B22874" w:rsidRPr="00583077" w:rsidRDefault="00B22874" w:rsidP="00CC6CEC">
            <w:pPr>
              <w:jc w:val="right"/>
              <w:rPr>
                <w:rFonts w:eastAsia="Batang"/>
                <w:sz w:val="20"/>
                <w:szCs w:val="20"/>
                <w:lang w:eastAsia="ko-KR"/>
              </w:rPr>
            </w:pPr>
            <w:r w:rsidRPr="00583077">
              <w:rPr>
                <w:rFonts w:eastAsia="Batang"/>
                <w:sz w:val="20"/>
                <w:szCs w:val="20"/>
                <w:lang w:eastAsia="ko-KR"/>
              </w:rPr>
              <w:t>12.48%</w:t>
            </w:r>
          </w:p>
        </w:tc>
        <w:tc>
          <w:tcPr>
            <w:tcW w:w="1370" w:type="dxa"/>
            <w:tcBorders>
              <w:top w:val="nil"/>
              <w:left w:val="nil"/>
              <w:bottom w:val="nil"/>
              <w:right w:val="single" w:sz="4" w:space="0" w:color="auto"/>
            </w:tcBorders>
            <w:noWrap/>
            <w:vAlign w:val="bottom"/>
          </w:tcPr>
          <w:p w:rsidR="00B22874" w:rsidRPr="00583077" w:rsidRDefault="00B22874" w:rsidP="00CC6CEC">
            <w:pPr>
              <w:jc w:val="right"/>
              <w:rPr>
                <w:rFonts w:eastAsia="Batang"/>
                <w:sz w:val="20"/>
                <w:szCs w:val="20"/>
                <w:lang w:eastAsia="ko-KR"/>
              </w:rPr>
            </w:pPr>
            <w:r w:rsidRPr="00583077">
              <w:rPr>
                <w:rFonts w:eastAsia="Batang"/>
                <w:sz w:val="20"/>
                <w:szCs w:val="20"/>
                <w:lang w:eastAsia="ko-KR"/>
              </w:rPr>
              <w:t>12.27%</w:t>
            </w:r>
          </w:p>
        </w:tc>
      </w:tr>
      <w:tr w:rsidR="00B22874" w:rsidRPr="00583077" w:rsidTr="005B3E9C">
        <w:trPr>
          <w:trHeight w:val="255"/>
        </w:trPr>
        <w:tc>
          <w:tcPr>
            <w:tcW w:w="1820" w:type="dxa"/>
            <w:tcBorders>
              <w:top w:val="nil"/>
              <w:left w:val="single" w:sz="8" w:space="0" w:color="auto"/>
              <w:bottom w:val="nil"/>
              <w:right w:val="single" w:sz="8" w:space="0" w:color="auto"/>
            </w:tcBorders>
            <w:noWrap/>
            <w:vAlign w:val="bottom"/>
          </w:tcPr>
          <w:p w:rsidR="00B22874" w:rsidRPr="00583077" w:rsidRDefault="00B22874" w:rsidP="00CC6CEC">
            <w:pPr>
              <w:jc w:val="right"/>
              <w:rPr>
                <w:rFonts w:eastAsia="Batang"/>
                <w:b/>
                <w:bCs/>
                <w:sz w:val="20"/>
                <w:szCs w:val="20"/>
                <w:lang w:eastAsia="ko-KR"/>
              </w:rPr>
            </w:pPr>
            <w:r w:rsidRPr="00583077">
              <w:rPr>
                <w:rFonts w:eastAsia="Batang"/>
                <w:b/>
                <w:bCs/>
                <w:sz w:val="20"/>
                <w:szCs w:val="20"/>
                <w:lang w:eastAsia="ko-KR"/>
              </w:rPr>
              <w:t>Banka Raiffeisen</w:t>
            </w:r>
          </w:p>
        </w:tc>
        <w:tc>
          <w:tcPr>
            <w:tcW w:w="1320" w:type="dxa"/>
            <w:tcBorders>
              <w:top w:val="nil"/>
              <w:left w:val="single" w:sz="8" w:space="0" w:color="auto"/>
              <w:bottom w:val="nil"/>
              <w:right w:val="single" w:sz="8" w:space="0" w:color="auto"/>
            </w:tcBorders>
            <w:vAlign w:val="bottom"/>
          </w:tcPr>
          <w:p w:rsidR="00B22874" w:rsidRPr="00583077" w:rsidRDefault="00B22874" w:rsidP="00843C7E">
            <w:pPr>
              <w:jc w:val="right"/>
              <w:rPr>
                <w:sz w:val="20"/>
                <w:szCs w:val="20"/>
              </w:rPr>
            </w:pPr>
            <w:r w:rsidRPr="00583077">
              <w:rPr>
                <w:sz w:val="20"/>
                <w:szCs w:val="20"/>
              </w:rPr>
              <w:t>34.57%</w:t>
            </w:r>
          </w:p>
        </w:tc>
        <w:tc>
          <w:tcPr>
            <w:tcW w:w="1430" w:type="dxa"/>
            <w:tcBorders>
              <w:top w:val="nil"/>
              <w:left w:val="single" w:sz="8" w:space="0" w:color="auto"/>
              <w:bottom w:val="nil"/>
              <w:right w:val="single" w:sz="4" w:space="0" w:color="auto"/>
            </w:tcBorders>
            <w:noWrap/>
            <w:vAlign w:val="bottom"/>
          </w:tcPr>
          <w:p w:rsidR="00B22874" w:rsidRPr="00583077" w:rsidRDefault="00B22874" w:rsidP="00CC6CEC">
            <w:pPr>
              <w:jc w:val="right"/>
              <w:rPr>
                <w:rFonts w:eastAsia="Batang"/>
                <w:sz w:val="20"/>
                <w:szCs w:val="20"/>
                <w:lang w:eastAsia="ko-KR"/>
              </w:rPr>
            </w:pPr>
            <w:r w:rsidRPr="00583077">
              <w:rPr>
                <w:rFonts w:eastAsia="Batang"/>
                <w:sz w:val="20"/>
                <w:szCs w:val="20"/>
                <w:lang w:eastAsia="ko-KR"/>
              </w:rPr>
              <w:t>34.90%</w:t>
            </w:r>
          </w:p>
        </w:tc>
        <w:tc>
          <w:tcPr>
            <w:tcW w:w="1260" w:type="dxa"/>
            <w:tcBorders>
              <w:top w:val="nil"/>
              <w:left w:val="nil"/>
              <w:bottom w:val="nil"/>
              <w:right w:val="single" w:sz="4" w:space="0" w:color="auto"/>
            </w:tcBorders>
            <w:noWrap/>
            <w:vAlign w:val="bottom"/>
          </w:tcPr>
          <w:p w:rsidR="00B22874" w:rsidRPr="00583077" w:rsidRDefault="00B22874" w:rsidP="00CC6CEC">
            <w:pPr>
              <w:jc w:val="right"/>
              <w:rPr>
                <w:rFonts w:eastAsia="Batang"/>
                <w:sz w:val="20"/>
                <w:szCs w:val="20"/>
                <w:lang w:eastAsia="ko-KR"/>
              </w:rPr>
            </w:pPr>
            <w:r w:rsidRPr="00583077">
              <w:rPr>
                <w:rFonts w:eastAsia="Batang"/>
                <w:sz w:val="20"/>
                <w:szCs w:val="20"/>
                <w:lang w:eastAsia="ko-KR"/>
              </w:rPr>
              <w:t>34.20%</w:t>
            </w:r>
          </w:p>
        </w:tc>
        <w:tc>
          <w:tcPr>
            <w:tcW w:w="1270" w:type="dxa"/>
            <w:tcBorders>
              <w:top w:val="nil"/>
              <w:left w:val="nil"/>
              <w:bottom w:val="nil"/>
              <w:right w:val="single" w:sz="4" w:space="0" w:color="auto"/>
            </w:tcBorders>
            <w:noWrap/>
            <w:vAlign w:val="bottom"/>
          </w:tcPr>
          <w:p w:rsidR="00B22874" w:rsidRPr="00583077" w:rsidRDefault="00B22874" w:rsidP="00CC6CEC">
            <w:pPr>
              <w:jc w:val="right"/>
              <w:rPr>
                <w:rFonts w:eastAsia="Batang"/>
                <w:sz w:val="20"/>
                <w:szCs w:val="20"/>
                <w:lang w:eastAsia="ko-KR"/>
              </w:rPr>
            </w:pPr>
            <w:r w:rsidRPr="00583077">
              <w:rPr>
                <w:rFonts w:eastAsia="Batang"/>
                <w:sz w:val="20"/>
                <w:szCs w:val="20"/>
                <w:lang w:eastAsia="ko-KR"/>
              </w:rPr>
              <w:t>29.43%</w:t>
            </w:r>
          </w:p>
        </w:tc>
        <w:tc>
          <w:tcPr>
            <w:tcW w:w="1370" w:type="dxa"/>
            <w:tcBorders>
              <w:top w:val="nil"/>
              <w:left w:val="nil"/>
              <w:bottom w:val="nil"/>
              <w:right w:val="single" w:sz="4" w:space="0" w:color="auto"/>
            </w:tcBorders>
            <w:noWrap/>
            <w:vAlign w:val="bottom"/>
          </w:tcPr>
          <w:p w:rsidR="00B22874" w:rsidRPr="00583077" w:rsidRDefault="00B22874" w:rsidP="00CC6CEC">
            <w:pPr>
              <w:jc w:val="right"/>
              <w:rPr>
                <w:rFonts w:eastAsia="Batang"/>
                <w:sz w:val="20"/>
                <w:szCs w:val="20"/>
                <w:lang w:eastAsia="ko-KR"/>
              </w:rPr>
            </w:pPr>
            <w:r w:rsidRPr="00583077">
              <w:rPr>
                <w:rFonts w:eastAsia="Batang"/>
                <w:sz w:val="20"/>
                <w:szCs w:val="20"/>
                <w:lang w:eastAsia="ko-KR"/>
              </w:rPr>
              <w:t>22.55%</w:t>
            </w:r>
          </w:p>
        </w:tc>
      </w:tr>
      <w:tr w:rsidR="00B22874" w:rsidRPr="00583077" w:rsidTr="005B3E9C">
        <w:trPr>
          <w:trHeight w:val="255"/>
        </w:trPr>
        <w:tc>
          <w:tcPr>
            <w:tcW w:w="1820" w:type="dxa"/>
            <w:tcBorders>
              <w:top w:val="nil"/>
              <w:left w:val="single" w:sz="8" w:space="0" w:color="auto"/>
              <w:bottom w:val="nil"/>
              <w:right w:val="single" w:sz="8" w:space="0" w:color="auto"/>
            </w:tcBorders>
            <w:noWrap/>
            <w:vAlign w:val="bottom"/>
          </w:tcPr>
          <w:p w:rsidR="00B22874" w:rsidRPr="00583077" w:rsidRDefault="00B22874" w:rsidP="00CC6CEC">
            <w:pPr>
              <w:jc w:val="right"/>
              <w:rPr>
                <w:rFonts w:eastAsia="Batang"/>
                <w:b/>
                <w:bCs/>
                <w:sz w:val="20"/>
                <w:szCs w:val="20"/>
                <w:lang w:eastAsia="ko-KR"/>
              </w:rPr>
            </w:pPr>
            <w:r w:rsidRPr="00583077">
              <w:rPr>
                <w:rFonts w:eastAsia="Batang"/>
                <w:b/>
                <w:bCs/>
                <w:sz w:val="20"/>
                <w:szCs w:val="20"/>
                <w:lang w:eastAsia="ko-KR"/>
              </w:rPr>
              <w:t>Bankat e tjera</w:t>
            </w:r>
          </w:p>
        </w:tc>
        <w:tc>
          <w:tcPr>
            <w:tcW w:w="1320" w:type="dxa"/>
            <w:tcBorders>
              <w:top w:val="nil"/>
              <w:left w:val="single" w:sz="8" w:space="0" w:color="auto"/>
              <w:bottom w:val="nil"/>
              <w:right w:val="single" w:sz="8" w:space="0" w:color="auto"/>
            </w:tcBorders>
            <w:vAlign w:val="bottom"/>
          </w:tcPr>
          <w:p w:rsidR="00B22874" w:rsidRPr="00583077" w:rsidRDefault="00B22874" w:rsidP="00843C7E">
            <w:pPr>
              <w:jc w:val="right"/>
              <w:rPr>
                <w:sz w:val="20"/>
                <w:szCs w:val="20"/>
              </w:rPr>
            </w:pPr>
            <w:r w:rsidRPr="00583077">
              <w:rPr>
                <w:sz w:val="20"/>
                <w:szCs w:val="20"/>
              </w:rPr>
              <w:t>34.33%</w:t>
            </w:r>
          </w:p>
        </w:tc>
        <w:tc>
          <w:tcPr>
            <w:tcW w:w="1430" w:type="dxa"/>
            <w:tcBorders>
              <w:top w:val="nil"/>
              <w:left w:val="single" w:sz="8" w:space="0" w:color="auto"/>
              <w:bottom w:val="nil"/>
              <w:right w:val="single" w:sz="4" w:space="0" w:color="auto"/>
            </w:tcBorders>
            <w:noWrap/>
            <w:vAlign w:val="bottom"/>
          </w:tcPr>
          <w:p w:rsidR="00B22874" w:rsidRPr="00583077" w:rsidRDefault="00B22874" w:rsidP="00CC6CEC">
            <w:pPr>
              <w:jc w:val="right"/>
              <w:rPr>
                <w:rFonts w:eastAsia="Batang"/>
                <w:sz w:val="20"/>
                <w:szCs w:val="20"/>
                <w:lang w:eastAsia="ko-KR"/>
              </w:rPr>
            </w:pPr>
            <w:r w:rsidRPr="00583077">
              <w:rPr>
                <w:rFonts w:eastAsia="Batang"/>
                <w:sz w:val="20"/>
                <w:szCs w:val="20"/>
                <w:lang w:eastAsia="ko-KR"/>
              </w:rPr>
              <w:t>34.40%</w:t>
            </w:r>
          </w:p>
        </w:tc>
        <w:tc>
          <w:tcPr>
            <w:tcW w:w="1260" w:type="dxa"/>
            <w:tcBorders>
              <w:top w:val="nil"/>
              <w:left w:val="nil"/>
              <w:bottom w:val="nil"/>
              <w:right w:val="single" w:sz="4" w:space="0" w:color="auto"/>
            </w:tcBorders>
            <w:noWrap/>
            <w:vAlign w:val="bottom"/>
          </w:tcPr>
          <w:p w:rsidR="00B22874" w:rsidRPr="00583077" w:rsidRDefault="00B22874" w:rsidP="00CC6CEC">
            <w:pPr>
              <w:jc w:val="right"/>
              <w:rPr>
                <w:rFonts w:eastAsia="Batang"/>
                <w:sz w:val="20"/>
                <w:szCs w:val="20"/>
                <w:lang w:eastAsia="ko-KR"/>
              </w:rPr>
            </w:pPr>
            <w:r w:rsidRPr="00583077">
              <w:rPr>
                <w:rFonts w:eastAsia="Batang"/>
                <w:sz w:val="20"/>
                <w:szCs w:val="20"/>
                <w:lang w:eastAsia="ko-KR"/>
              </w:rPr>
              <w:t>34.85%</w:t>
            </w:r>
          </w:p>
        </w:tc>
        <w:tc>
          <w:tcPr>
            <w:tcW w:w="1270" w:type="dxa"/>
            <w:tcBorders>
              <w:top w:val="nil"/>
              <w:left w:val="nil"/>
              <w:bottom w:val="nil"/>
              <w:right w:val="single" w:sz="4" w:space="0" w:color="auto"/>
            </w:tcBorders>
            <w:noWrap/>
            <w:vAlign w:val="bottom"/>
          </w:tcPr>
          <w:p w:rsidR="00B22874" w:rsidRPr="00583077" w:rsidRDefault="00B22874" w:rsidP="00CC6CEC">
            <w:pPr>
              <w:jc w:val="right"/>
              <w:rPr>
                <w:rFonts w:eastAsia="Batang"/>
                <w:sz w:val="20"/>
                <w:szCs w:val="20"/>
                <w:lang w:eastAsia="ko-KR"/>
              </w:rPr>
            </w:pPr>
            <w:r w:rsidRPr="00583077">
              <w:rPr>
                <w:rFonts w:eastAsia="Batang"/>
                <w:sz w:val="20"/>
                <w:szCs w:val="20"/>
                <w:lang w:eastAsia="ko-KR"/>
              </w:rPr>
              <w:t>37.45%</w:t>
            </w:r>
          </w:p>
        </w:tc>
        <w:tc>
          <w:tcPr>
            <w:tcW w:w="1370" w:type="dxa"/>
            <w:tcBorders>
              <w:top w:val="nil"/>
              <w:left w:val="nil"/>
              <w:bottom w:val="nil"/>
              <w:right w:val="single" w:sz="4" w:space="0" w:color="auto"/>
            </w:tcBorders>
            <w:noWrap/>
            <w:vAlign w:val="bottom"/>
          </w:tcPr>
          <w:p w:rsidR="00B22874" w:rsidRPr="00583077" w:rsidRDefault="00B22874" w:rsidP="00CC6CEC">
            <w:pPr>
              <w:jc w:val="right"/>
              <w:rPr>
                <w:rFonts w:eastAsia="Batang"/>
                <w:sz w:val="20"/>
                <w:szCs w:val="20"/>
                <w:lang w:eastAsia="ko-KR"/>
              </w:rPr>
            </w:pPr>
            <w:r w:rsidRPr="00583077">
              <w:rPr>
                <w:rFonts w:eastAsia="Batang"/>
                <w:sz w:val="20"/>
                <w:szCs w:val="20"/>
                <w:lang w:eastAsia="ko-KR"/>
              </w:rPr>
              <w:t>40.02%</w:t>
            </w:r>
          </w:p>
        </w:tc>
      </w:tr>
      <w:tr w:rsidR="00B22874" w:rsidRPr="00583077" w:rsidTr="005B3E9C">
        <w:trPr>
          <w:trHeight w:val="255"/>
        </w:trPr>
        <w:tc>
          <w:tcPr>
            <w:tcW w:w="1820" w:type="dxa"/>
            <w:tcBorders>
              <w:top w:val="nil"/>
              <w:left w:val="single" w:sz="8" w:space="0" w:color="auto"/>
              <w:bottom w:val="nil"/>
              <w:right w:val="single" w:sz="8" w:space="0" w:color="auto"/>
            </w:tcBorders>
            <w:noWrap/>
            <w:vAlign w:val="bottom"/>
          </w:tcPr>
          <w:p w:rsidR="00B22874" w:rsidRPr="00583077" w:rsidRDefault="00B22874" w:rsidP="00CC6CEC">
            <w:pPr>
              <w:jc w:val="right"/>
              <w:rPr>
                <w:rFonts w:eastAsia="Batang"/>
                <w:b/>
                <w:bCs/>
                <w:sz w:val="20"/>
                <w:szCs w:val="20"/>
                <w:lang w:eastAsia="ko-KR"/>
              </w:rPr>
            </w:pPr>
            <w:r w:rsidRPr="00583077">
              <w:rPr>
                <w:rFonts w:eastAsia="Batang"/>
                <w:b/>
                <w:bCs/>
                <w:sz w:val="20"/>
                <w:szCs w:val="20"/>
                <w:lang w:eastAsia="ko-KR"/>
              </w:rPr>
              <w:t>Jo Banka</w:t>
            </w:r>
          </w:p>
        </w:tc>
        <w:tc>
          <w:tcPr>
            <w:tcW w:w="1320" w:type="dxa"/>
            <w:tcBorders>
              <w:top w:val="nil"/>
              <w:left w:val="single" w:sz="8" w:space="0" w:color="auto"/>
              <w:bottom w:val="nil"/>
              <w:right w:val="single" w:sz="8" w:space="0" w:color="auto"/>
            </w:tcBorders>
            <w:vAlign w:val="bottom"/>
          </w:tcPr>
          <w:p w:rsidR="00B22874" w:rsidRPr="00583077" w:rsidRDefault="00B22874" w:rsidP="00843C7E">
            <w:pPr>
              <w:jc w:val="right"/>
              <w:rPr>
                <w:sz w:val="20"/>
                <w:szCs w:val="20"/>
              </w:rPr>
            </w:pPr>
            <w:r w:rsidRPr="00583077">
              <w:rPr>
                <w:sz w:val="20"/>
                <w:szCs w:val="20"/>
              </w:rPr>
              <w:t>2.68%</w:t>
            </w:r>
          </w:p>
        </w:tc>
        <w:tc>
          <w:tcPr>
            <w:tcW w:w="1430" w:type="dxa"/>
            <w:tcBorders>
              <w:top w:val="nil"/>
              <w:left w:val="single" w:sz="8" w:space="0" w:color="auto"/>
              <w:bottom w:val="nil"/>
              <w:right w:val="single" w:sz="4" w:space="0" w:color="auto"/>
            </w:tcBorders>
            <w:noWrap/>
            <w:vAlign w:val="bottom"/>
          </w:tcPr>
          <w:p w:rsidR="00B22874" w:rsidRPr="00583077" w:rsidRDefault="00B22874" w:rsidP="00CC6CEC">
            <w:pPr>
              <w:jc w:val="right"/>
              <w:rPr>
                <w:rFonts w:eastAsia="Batang"/>
                <w:sz w:val="20"/>
                <w:szCs w:val="20"/>
                <w:lang w:eastAsia="ko-KR"/>
              </w:rPr>
            </w:pPr>
            <w:r w:rsidRPr="00583077">
              <w:rPr>
                <w:rFonts w:eastAsia="Batang"/>
                <w:sz w:val="20"/>
                <w:szCs w:val="20"/>
                <w:lang w:eastAsia="ko-KR"/>
              </w:rPr>
              <w:t>3.21%</w:t>
            </w:r>
          </w:p>
        </w:tc>
        <w:tc>
          <w:tcPr>
            <w:tcW w:w="1260" w:type="dxa"/>
            <w:tcBorders>
              <w:top w:val="nil"/>
              <w:left w:val="nil"/>
              <w:bottom w:val="nil"/>
              <w:right w:val="single" w:sz="4" w:space="0" w:color="auto"/>
            </w:tcBorders>
            <w:noWrap/>
            <w:vAlign w:val="bottom"/>
          </w:tcPr>
          <w:p w:rsidR="00B22874" w:rsidRPr="00583077" w:rsidRDefault="00B22874" w:rsidP="00CC6CEC">
            <w:pPr>
              <w:jc w:val="right"/>
              <w:rPr>
                <w:rFonts w:eastAsia="Batang"/>
                <w:sz w:val="20"/>
                <w:szCs w:val="20"/>
                <w:lang w:eastAsia="ko-KR"/>
              </w:rPr>
            </w:pPr>
            <w:r w:rsidRPr="00583077">
              <w:rPr>
                <w:rFonts w:eastAsia="Batang"/>
                <w:sz w:val="20"/>
                <w:szCs w:val="20"/>
                <w:lang w:eastAsia="ko-KR"/>
              </w:rPr>
              <w:t>3.73%</w:t>
            </w:r>
          </w:p>
        </w:tc>
        <w:tc>
          <w:tcPr>
            <w:tcW w:w="1270" w:type="dxa"/>
            <w:tcBorders>
              <w:top w:val="nil"/>
              <w:left w:val="nil"/>
              <w:bottom w:val="nil"/>
              <w:right w:val="single" w:sz="4" w:space="0" w:color="auto"/>
            </w:tcBorders>
            <w:noWrap/>
            <w:vAlign w:val="bottom"/>
          </w:tcPr>
          <w:p w:rsidR="00B22874" w:rsidRPr="00583077" w:rsidRDefault="00B22874" w:rsidP="00CC6CEC">
            <w:pPr>
              <w:jc w:val="right"/>
              <w:rPr>
                <w:rFonts w:eastAsia="Batang"/>
                <w:sz w:val="20"/>
                <w:szCs w:val="20"/>
                <w:lang w:eastAsia="ko-KR"/>
              </w:rPr>
            </w:pPr>
            <w:r w:rsidRPr="00583077">
              <w:rPr>
                <w:rFonts w:eastAsia="Batang"/>
                <w:sz w:val="20"/>
                <w:szCs w:val="20"/>
                <w:lang w:eastAsia="ko-KR"/>
              </w:rPr>
              <w:t>6.16%</w:t>
            </w:r>
          </w:p>
        </w:tc>
        <w:tc>
          <w:tcPr>
            <w:tcW w:w="1370" w:type="dxa"/>
            <w:tcBorders>
              <w:top w:val="nil"/>
              <w:left w:val="nil"/>
              <w:bottom w:val="nil"/>
              <w:right w:val="single" w:sz="4" w:space="0" w:color="auto"/>
            </w:tcBorders>
            <w:noWrap/>
            <w:vAlign w:val="bottom"/>
          </w:tcPr>
          <w:p w:rsidR="00B22874" w:rsidRPr="00583077" w:rsidRDefault="00B22874" w:rsidP="00CC6CEC">
            <w:pPr>
              <w:jc w:val="right"/>
              <w:rPr>
                <w:rFonts w:eastAsia="Batang"/>
                <w:sz w:val="20"/>
                <w:szCs w:val="20"/>
                <w:lang w:eastAsia="ko-KR"/>
              </w:rPr>
            </w:pPr>
            <w:r w:rsidRPr="00583077">
              <w:rPr>
                <w:rFonts w:eastAsia="Batang"/>
                <w:sz w:val="20"/>
                <w:szCs w:val="20"/>
                <w:lang w:eastAsia="ko-KR"/>
              </w:rPr>
              <w:t>12.66%</w:t>
            </w:r>
          </w:p>
        </w:tc>
      </w:tr>
      <w:tr w:rsidR="00B22874" w:rsidRPr="00583077" w:rsidTr="005B3E9C">
        <w:trPr>
          <w:trHeight w:val="270"/>
        </w:trPr>
        <w:tc>
          <w:tcPr>
            <w:tcW w:w="1820" w:type="dxa"/>
            <w:tcBorders>
              <w:top w:val="nil"/>
              <w:left w:val="single" w:sz="8" w:space="0" w:color="auto"/>
              <w:bottom w:val="single" w:sz="8" w:space="0" w:color="auto"/>
              <w:right w:val="single" w:sz="8" w:space="0" w:color="auto"/>
            </w:tcBorders>
            <w:noWrap/>
            <w:vAlign w:val="bottom"/>
          </w:tcPr>
          <w:p w:rsidR="00B22874" w:rsidRPr="00583077" w:rsidRDefault="00B22874" w:rsidP="00CC6CEC">
            <w:pPr>
              <w:jc w:val="right"/>
              <w:rPr>
                <w:rFonts w:eastAsia="Batang"/>
                <w:b/>
                <w:bCs/>
                <w:sz w:val="20"/>
                <w:szCs w:val="20"/>
                <w:lang w:eastAsia="ko-KR"/>
              </w:rPr>
            </w:pPr>
            <w:r w:rsidRPr="00583077">
              <w:rPr>
                <w:rFonts w:eastAsia="Batang"/>
                <w:b/>
                <w:bCs/>
                <w:sz w:val="20"/>
                <w:szCs w:val="20"/>
                <w:lang w:eastAsia="ko-KR"/>
              </w:rPr>
              <w:t>Individët</w:t>
            </w:r>
          </w:p>
        </w:tc>
        <w:tc>
          <w:tcPr>
            <w:tcW w:w="1320" w:type="dxa"/>
            <w:tcBorders>
              <w:top w:val="nil"/>
              <w:left w:val="single" w:sz="8" w:space="0" w:color="auto"/>
              <w:bottom w:val="single" w:sz="8" w:space="0" w:color="auto"/>
              <w:right w:val="single" w:sz="8" w:space="0" w:color="auto"/>
            </w:tcBorders>
          </w:tcPr>
          <w:p w:rsidR="00B22874" w:rsidRPr="00583077" w:rsidRDefault="00B22874" w:rsidP="00CC6CEC">
            <w:pPr>
              <w:jc w:val="right"/>
              <w:rPr>
                <w:rFonts w:eastAsia="Batang"/>
                <w:sz w:val="20"/>
                <w:szCs w:val="20"/>
                <w:lang w:eastAsia="ko-KR"/>
              </w:rPr>
            </w:pPr>
            <w:r w:rsidRPr="00583077">
              <w:rPr>
                <w:sz w:val="20"/>
                <w:szCs w:val="20"/>
                <w:lang w:val="it-IT"/>
              </w:rPr>
              <w:t>10.76%</w:t>
            </w:r>
          </w:p>
        </w:tc>
        <w:tc>
          <w:tcPr>
            <w:tcW w:w="1430" w:type="dxa"/>
            <w:tcBorders>
              <w:top w:val="nil"/>
              <w:left w:val="single" w:sz="8" w:space="0" w:color="auto"/>
              <w:bottom w:val="single" w:sz="8" w:space="0" w:color="auto"/>
              <w:right w:val="single" w:sz="4" w:space="0" w:color="auto"/>
            </w:tcBorders>
            <w:noWrap/>
            <w:vAlign w:val="bottom"/>
          </w:tcPr>
          <w:p w:rsidR="00B22874" w:rsidRPr="00583077" w:rsidRDefault="00B22874" w:rsidP="00CC6CEC">
            <w:pPr>
              <w:jc w:val="right"/>
              <w:rPr>
                <w:rFonts w:eastAsia="Batang"/>
                <w:sz w:val="20"/>
                <w:szCs w:val="20"/>
                <w:lang w:eastAsia="ko-KR"/>
              </w:rPr>
            </w:pPr>
            <w:r w:rsidRPr="00583077">
              <w:rPr>
                <w:rFonts w:eastAsia="Batang"/>
                <w:sz w:val="20"/>
                <w:szCs w:val="20"/>
                <w:lang w:eastAsia="ko-KR"/>
              </w:rPr>
              <w:t>12.08%</w:t>
            </w:r>
          </w:p>
        </w:tc>
        <w:tc>
          <w:tcPr>
            <w:tcW w:w="1260" w:type="dxa"/>
            <w:tcBorders>
              <w:top w:val="nil"/>
              <w:left w:val="nil"/>
              <w:bottom w:val="single" w:sz="8" w:space="0" w:color="auto"/>
              <w:right w:val="single" w:sz="4" w:space="0" w:color="auto"/>
            </w:tcBorders>
            <w:noWrap/>
            <w:vAlign w:val="bottom"/>
          </w:tcPr>
          <w:p w:rsidR="00B22874" w:rsidRPr="00583077" w:rsidRDefault="00B22874" w:rsidP="00CC6CEC">
            <w:pPr>
              <w:jc w:val="right"/>
              <w:rPr>
                <w:rFonts w:eastAsia="Batang"/>
                <w:sz w:val="20"/>
                <w:szCs w:val="20"/>
                <w:lang w:eastAsia="ko-KR"/>
              </w:rPr>
            </w:pPr>
            <w:r w:rsidRPr="00583077">
              <w:rPr>
                <w:rFonts w:eastAsia="Batang"/>
                <w:sz w:val="20"/>
                <w:szCs w:val="20"/>
                <w:lang w:eastAsia="ko-KR"/>
              </w:rPr>
              <w:t>12.92%</w:t>
            </w:r>
          </w:p>
        </w:tc>
        <w:tc>
          <w:tcPr>
            <w:tcW w:w="1270" w:type="dxa"/>
            <w:tcBorders>
              <w:top w:val="nil"/>
              <w:left w:val="nil"/>
              <w:bottom w:val="single" w:sz="8" w:space="0" w:color="auto"/>
              <w:right w:val="single" w:sz="4" w:space="0" w:color="auto"/>
            </w:tcBorders>
            <w:noWrap/>
            <w:vAlign w:val="bottom"/>
          </w:tcPr>
          <w:p w:rsidR="00B22874" w:rsidRPr="00583077" w:rsidRDefault="00B22874" w:rsidP="00CC6CEC">
            <w:pPr>
              <w:jc w:val="right"/>
              <w:rPr>
                <w:rFonts w:eastAsia="Batang"/>
                <w:sz w:val="20"/>
                <w:szCs w:val="20"/>
                <w:lang w:eastAsia="ko-KR"/>
              </w:rPr>
            </w:pPr>
            <w:r w:rsidRPr="00583077">
              <w:rPr>
                <w:rFonts w:eastAsia="Batang"/>
                <w:sz w:val="20"/>
                <w:szCs w:val="20"/>
                <w:lang w:eastAsia="ko-KR"/>
              </w:rPr>
              <w:t>14.48%</w:t>
            </w:r>
          </w:p>
        </w:tc>
        <w:tc>
          <w:tcPr>
            <w:tcW w:w="1370" w:type="dxa"/>
            <w:tcBorders>
              <w:top w:val="nil"/>
              <w:left w:val="nil"/>
              <w:bottom w:val="single" w:sz="8" w:space="0" w:color="auto"/>
              <w:right w:val="single" w:sz="4" w:space="0" w:color="auto"/>
            </w:tcBorders>
            <w:noWrap/>
            <w:vAlign w:val="bottom"/>
          </w:tcPr>
          <w:p w:rsidR="00B22874" w:rsidRPr="00583077" w:rsidRDefault="00B22874" w:rsidP="00CC6CEC">
            <w:pPr>
              <w:jc w:val="right"/>
              <w:rPr>
                <w:rFonts w:eastAsia="Batang"/>
                <w:sz w:val="20"/>
                <w:szCs w:val="20"/>
                <w:lang w:eastAsia="ko-KR"/>
              </w:rPr>
            </w:pPr>
            <w:r w:rsidRPr="00583077">
              <w:rPr>
                <w:rFonts w:eastAsia="Batang"/>
                <w:sz w:val="20"/>
                <w:szCs w:val="20"/>
                <w:lang w:eastAsia="ko-KR"/>
              </w:rPr>
              <w:t>12.50%</w:t>
            </w:r>
          </w:p>
        </w:tc>
      </w:tr>
    </w:tbl>
    <w:p w:rsidR="00B22874" w:rsidRPr="00583077" w:rsidRDefault="00B22874" w:rsidP="00CC6CEC">
      <w:pPr>
        <w:jc w:val="both"/>
        <w:rPr>
          <w:sz w:val="20"/>
          <w:szCs w:val="20"/>
          <w:lang w:val="sq-AL"/>
        </w:rPr>
      </w:pPr>
    </w:p>
    <w:p w:rsidR="00B22874" w:rsidRPr="00583077" w:rsidRDefault="00B22874" w:rsidP="00CC6CEC">
      <w:pPr>
        <w:jc w:val="both"/>
        <w:rPr>
          <w:sz w:val="20"/>
          <w:szCs w:val="20"/>
          <w:lang w:val="sq-AL"/>
        </w:rPr>
      </w:pPr>
    </w:p>
    <w:p w:rsidR="00B22874" w:rsidRPr="00583077" w:rsidRDefault="00B22874" w:rsidP="00CA0CBE">
      <w:pPr>
        <w:ind w:firstLine="720"/>
        <w:jc w:val="both"/>
        <w:rPr>
          <w:b/>
          <w:lang w:val="sq-AL"/>
        </w:rPr>
      </w:pPr>
      <w:r>
        <w:rPr>
          <w:b/>
          <w:lang w:val="sq-AL"/>
        </w:rPr>
        <w:t>iii-a.</w:t>
      </w:r>
      <w:r w:rsidRPr="00583077">
        <w:rPr>
          <w:b/>
          <w:lang w:val="sq-AL"/>
        </w:rPr>
        <w:t xml:space="preserve"> Ecuria e stokut të borxhit të brendshëm sipas tipit të interesit </w:t>
      </w:r>
    </w:p>
    <w:p w:rsidR="00B22874" w:rsidRPr="00583077" w:rsidRDefault="00B22874" w:rsidP="00CC6CEC">
      <w:pPr>
        <w:jc w:val="both"/>
        <w:rPr>
          <w:sz w:val="20"/>
          <w:szCs w:val="20"/>
          <w:lang w:val="sq-AL"/>
        </w:rPr>
      </w:pPr>
    </w:p>
    <w:p w:rsidR="00B22874" w:rsidRPr="00583077" w:rsidRDefault="00B22874" w:rsidP="006907A1">
      <w:pPr>
        <w:pStyle w:val="BodyText"/>
        <w:rPr>
          <w:rFonts w:ascii="Times New Roman" w:hAnsi="Times New Roman"/>
          <w:lang w:val="sq-AL"/>
        </w:rPr>
      </w:pPr>
      <w:r w:rsidRPr="00583077">
        <w:rPr>
          <w:rFonts w:ascii="Times New Roman" w:hAnsi="Times New Roman"/>
          <w:lang w:val="sq-AL"/>
        </w:rPr>
        <w:t xml:space="preserve">Përsa i përket strukturës së borxhit të brendshëm i klasifikuar sipas llojit të interesit (fiks/variabël), ndryshe nga vitet e tjera ku kemi pasur një trend në ulje të stokut me interesa fikse, gjatë vitit 2013 megjithëse në vlera modeste kemi një trend </w:t>
      </w:r>
      <w:r>
        <w:rPr>
          <w:rFonts w:ascii="Times New Roman" w:hAnsi="Times New Roman"/>
          <w:lang w:val="sq-AL"/>
        </w:rPr>
        <w:t>r</w:t>
      </w:r>
      <w:r w:rsidRPr="00583077">
        <w:rPr>
          <w:rFonts w:ascii="Times New Roman" w:hAnsi="Times New Roman"/>
          <w:lang w:val="sq-AL"/>
        </w:rPr>
        <w:t xml:space="preserve">ritës të instrumentave të emetuara me norma interesi fikse. Pesha e instrumentave me norma interesi fikse në fund të vitit 2013 vlerësohet në 83.62% të stokut ose 22 pikë bazë më shumë se fundi i vitit të kaluar. Kjo </w:t>
      </w:r>
      <w:r w:rsidRPr="00583077">
        <w:rPr>
          <w:rFonts w:ascii="Times New Roman" w:hAnsi="Times New Roman"/>
          <w:lang w:val="sq-AL"/>
        </w:rPr>
        <w:lastRenderedPageBreak/>
        <w:t xml:space="preserve">rritje në peshën e instrumentave me norma fikse i atribuohet uljes së stokut të obligacioneve 5 vjecare me interesa variabël me 154 pikë bazë. </w:t>
      </w:r>
    </w:p>
    <w:p w:rsidR="00B22874" w:rsidRPr="00583077" w:rsidRDefault="00B22874" w:rsidP="006907A1">
      <w:pPr>
        <w:pStyle w:val="BodyText"/>
        <w:rPr>
          <w:rFonts w:ascii="Times New Roman" w:hAnsi="Times New Roman"/>
          <w:lang w:val="sq-AL"/>
        </w:rPr>
      </w:pPr>
      <w:r w:rsidRPr="00583077">
        <w:rPr>
          <w:rFonts w:ascii="Times New Roman" w:hAnsi="Times New Roman"/>
          <w:lang w:val="sq-AL"/>
        </w:rPr>
        <w:t>Ndërkohë, obligacionet 7 vjecare me norma interesi variabël kanë pësuar rritje të peshës me 92 pikë bazë. Gjithashtu, instrumentave me norma interesi varibël u janë shtuar dhe obligacionet 10 vjecare por pesha e këtyre instrumentave (0.41%) është relativisht e ulët.</w:t>
      </w:r>
    </w:p>
    <w:p w:rsidR="00B22874" w:rsidRPr="00583077" w:rsidRDefault="00B22874" w:rsidP="006907A1">
      <w:pPr>
        <w:pStyle w:val="BodyText"/>
        <w:rPr>
          <w:rFonts w:ascii="Times New Roman" w:hAnsi="Times New Roman"/>
          <w:lang w:val="sq-AL"/>
        </w:rPr>
      </w:pPr>
      <w:r w:rsidRPr="00583077">
        <w:rPr>
          <w:rFonts w:ascii="Times New Roman" w:hAnsi="Times New Roman"/>
          <w:lang w:val="sq-AL"/>
        </w:rPr>
        <w:t xml:space="preserve">Këto instrumenta (5,7 dhe 10 vjecare variabël) përmirësojnë ndjeshëm profilin e shlyerjes duke ulur riskun e rifinancimit, por nga ana tjetër ekspozojnë në mënyrë të ndjeshme portofolin ndaj luhatjeve të normave të interesit. </w:t>
      </w:r>
    </w:p>
    <w:p w:rsidR="00B22874" w:rsidRPr="00583077" w:rsidRDefault="00B22874" w:rsidP="00CC6CEC">
      <w:pPr>
        <w:jc w:val="both"/>
        <w:rPr>
          <w:sz w:val="20"/>
          <w:szCs w:val="20"/>
          <w:lang w:val="sq-AL"/>
        </w:rPr>
      </w:pPr>
    </w:p>
    <w:p w:rsidR="00B22874" w:rsidRPr="00583077" w:rsidRDefault="00B22874" w:rsidP="00CC6CEC">
      <w:pPr>
        <w:jc w:val="both"/>
        <w:rPr>
          <w:sz w:val="20"/>
          <w:szCs w:val="20"/>
          <w:lang w:val="sq-AL"/>
        </w:rPr>
      </w:pPr>
    </w:p>
    <w:p w:rsidR="00B22874" w:rsidRPr="009F044E" w:rsidRDefault="00B22874" w:rsidP="005F2B55">
      <w:pPr>
        <w:jc w:val="both"/>
        <w:rPr>
          <w:b/>
          <w:sz w:val="20"/>
          <w:szCs w:val="20"/>
          <w:lang w:val="sq-AL"/>
        </w:rPr>
      </w:pPr>
      <w:r w:rsidRPr="009F044E">
        <w:rPr>
          <w:b/>
          <w:sz w:val="20"/>
          <w:szCs w:val="20"/>
          <w:lang w:val="sq-AL"/>
        </w:rPr>
        <w:t>Grafik 3.</w:t>
      </w:r>
    </w:p>
    <w:p w:rsidR="00B22874" w:rsidRPr="00583077" w:rsidRDefault="00B22874" w:rsidP="00CC6CEC">
      <w:pPr>
        <w:jc w:val="both"/>
        <w:rPr>
          <w:sz w:val="20"/>
          <w:szCs w:val="20"/>
          <w:lang w:val="sq-AL"/>
        </w:rPr>
      </w:pPr>
      <w:r w:rsidRPr="00583077">
        <w:rPr>
          <w:sz w:val="20"/>
          <w:szCs w:val="20"/>
          <w:lang w:val="sq-AL"/>
        </w:rPr>
        <w:t>* Ecuria e strukturës së borxhit të brendshëm sipas llojit të interesit</w:t>
      </w:r>
    </w:p>
    <w:p w:rsidR="00B22874" w:rsidRPr="00583077" w:rsidRDefault="00512804" w:rsidP="00CC6CEC">
      <w:pPr>
        <w:jc w:val="both"/>
        <w:rPr>
          <w:sz w:val="20"/>
          <w:szCs w:val="20"/>
          <w:lang w:val="sq-AL"/>
        </w:rPr>
      </w:pPr>
      <w:r>
        <w:rPr>
          <w:noProof/>
          <w:lang w:val="en-GB" w:eastAsia="en-GB"/>
        </w:rPr>
        <w:drawing>
          <wp:inline distT="0" distB="0" distL="0" distR="0">
            <wp:extent cx="5257800" cy="28289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5257800" cy="2828925"/>
                    </a:xfrm>
                    <a:prstGeom prst="rect">
                      <a:avLst/>
                    </a:prstGeom>
                    <a:noFill/>
                    <a:ln w="9525">
                      <a:noFill/>
                      <a:miter lim="800000"/>
                      <a:headEnd/>
                      <a:tailEnd/>
                    </a:ln>
                  </pic:spPr>
                </pic:pic>
              </a:graphicData>
            </a:graphic>
          </wp:inline>
        </w:drawing>
      </w:r>
    </w:p>
    <w:p w:rsidR="00B22874" w:rsidRPr="00583077" w:rsidRDefault="00B22874" w:rsidP="00CC6CEC">
      <w:pPr>
        <w:jc w:val="both"/>
        <w:rPr>
          <w:sz w:val="20"/>
          <w:szCs w:val="20"/>
          <w:lang w:val="sq-AL"/>
        </w:rPr>
      </w:pPr>
    </w:p>
    <w:p w:rsidR="00B22874" w:rsidRPr="00583077" w:rsidRDefault="00B22874" w:rsidP="00CC6CEC">
      <w:pPr>
        <w:jc w:val="both"/>
        <w:rPr>
          <w:sz w:val="20"/>
          <w:szCs w:val="20"/>
          <w:lang w:val="sq-AL"/>
        </w:rPr>
      </w:pPr>
    </w:p>
    <w:p w:rsidR="00B22874" w:rsidRPr="00583077" w:rsidRDefault="00B22874" w:rsidP="00CA0CBE">
      <w:pPr>
        <w:ind w:firstLine="720"/>
        <w:jc w:val="both"/>
        <w:rPr>
          <w:b/>
          <w:lang w:val="sq-AL"/>
        </w:rPr>
      </w:pPr>
      <w:r>
        <w:rPr>
          <w:b/>
          <w:lang w:val="sq-AL"/>
        </w:rPr>
        <w:t>iv-a.</w:t>
      </w:r>
      <w:r w:rsidRPr="00583077">
        <w:rPr>
          <w:b/>
          <w:lang w:val="sq-AL"/>
        </w:rPr>
        <w:t xml:space="preserve"> Ecuria e normave të interesit në tregun e brendshëm</w:t>
      </w:r>
    </w:p>
    <w:p w:rsidR="00B22874" w:rsidRPr="00583077" w:rsidRDefault="00B22874" w:rsidP="00A874AB">
      <w:pPr>
        <w:jc w:val="both"/>
        <w:rPr>
          <w:b/>
          <w:bCs/>
          <w:sz w:val="20"/>
          <w:szCs w:val="20"/>
          <w:lang w:val="it-IT"/>
        </w:rPr>
      </w:pPr>
    </w:p>
    <w:p w:rsidR="00B22874" w:rsidRPr="009F044E" w:rsidRDefault="00B22874" w:rsidP="00A874AB">
      <w:pPr>
        <w:jc w:val="both"/>
        <w:rPr>
          <w:b/>
          <w:bCs/>
          <w:sz w:val="20"/>
          <w:szCs w:val="20"/>
          <w:lang w:val="it-IT"/>
        </w:rPr>
      </w:pPr>
      <w:r w:rsidRPr="009F044E">
        <w:rPr>
          <w:b/>
          <w:bCs/>
          <w:sz w:val="20"/>
          <w:szCs w:val="20"/>
          <w:lang w:val="it-IT"/>
        </w:rPr>
        <w:t>Grafik 4.</w:t>
      </w:r>
    </w:p>
    <w:p w:rsidR="00B22874" w:rsidRPr="00583077" w:rsidRDefault="00B22874" w:rsidP="00A874AB">
      <w:pPr>
        <w:autoSpaceDE w:val="0"/>
        <w:autoSpaceDN w:val="0"/>
        <w:adjustRightInd w:val="0"/>
        <w:spacing w:line="300" w:lineRule="exact"/>
        <w:jc w:val="both"/>
        <w:rPr>
          <w:sz w:val="20"/>
          <w:szCs w:val="20"/>
          <w:lang w:val="it-IT"/>
        </w:rPr>
      </w:pPr>
      <w:r w:rsidRPr="00583077">
        <w:rPr>
          <w:lang w:val="it-IT"/>
        </w:rPr>
        <w:t xml:space="preserve">* </w:t>
      </w:r>
      <w:r w:rsidRPr="00583077">
        <w:rPr>
          <w:sz w:val="20"/>
          <w:szCs w:val="20"/>
          <w:lang w:val="it-IT"/>
        </w:rPr>
        <w:t>Kurba e Yield-it për vitin 2013</w:t>
      </w:r>
    </w:p>
    <w:p w:rsidR="00B22874" w:rsidRPr="00E6569B" w:rsidRDefault="00512804" w:rsidP="00A874AB">
      <w:pPr>
        <w:jc w:val="both"/>
      </w:pPr>
      <w:r>
        <w:rPr>
          <w:noProof/>
          <w:lang w:val="en-GB" w:eastAsia="en-GB"/>
        </w:rPr>
        <w:drawing>
          <wp:inline distT="0" distB="0" distL="0" distR="0">
            <wp:extent cx="5953125" cy="24384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a:stretch>
                      <a:fillRect/>
                    </a:stretch>
                  </pic:blipFill>
                  <pic:spPr bwMode="auto">
                    <a:xfrm>
                      <a:off x="0" y="0"/>
                      <a:ext cx="5953125" cy="2438400"/>
                    </a:xfrm>
                    <a:prstGeom prst="rect">
                      <a:avLst/>
                    </a:prstGeom>
                    <a:noFill/>
                    <a:ln w="9525">
                      <a:noFill/>
                      <a:miter lim="800000"/>
                      <a:headEnd/>
                      <a:tailEnd/>
                    </a:ln>
                  </pic:spPr>
                </pic:pic>
              </a:graphicData>
            </a:graphic>
          </wp:inline>
        </w:drawing>
      </w:r>
    </w:p>
    <w:p w:rsidR="00B22874" w:rsidRPr="00583077" w:rsidRDefault="00B22874" w:rsidP="00A874AB">
      <w:pPr>
        <w:jc w:val="both"/>
        <w:rPr>
          <w:lang w:val="it-IT"/>
        </w:rPr>
      </w:pPr>
      <w:r w:rsidRPr="00583077">
        <w:rPr>
          <w:lang w:val="it-IT"/>
        </w:rPr>
        <w:lastRenderedPageBreak/>
        <w:t xml:space="preserve">Për sa i përket yieldeve të bonove të thesarit 12 mujore përgjatë vitit 2013 ato kanë vazhduar të bien në mënyrë të konsiderueshme, rënie e cila ka filluar që në gjashtëmujorin e dytë të vitit paraardhës. Normat e interesit gjatë vitit 2013 janë krahasimisht më të ulta se normat për të njejtën periudhë një viti më parë. </w:t>
      </w:r>
    </w:p>
    <w:p w:rsidR="00B22874" w:rsidRPr="00583077" w:rsidRDefault="00B22874" w:rsidP="00A874AB">
      <w:pPr>
        <w:jc w:val="both"/>
        <w:rPr>
          <w:lang w:val="it-IT"/>
        </w:rPr>
      </w:pPr>
      <w:r w:rsidRPr="00583077">
        <w:rPr>
          <w:lang w:val="it-IT"/>
        </w:rPr>
        <w:t xml:space="preserve">Ndërkohë, interesat e obligacioneve 2 vjeçare gjatë periudhës janar-dhjetor të vitit 2013 kanë pasur tendenca rënëse krahasuar jo vetëm me fundin e vitit 2012 por edhe me të njejtën periudhë të një viti më parë. Interesat e obligacioneve 3 vjeçare kanë pasur </w:t>
      </w:r>
      <w:r>
        <w:rPr>
          <w:lang w:val="it-IT"/>
        </w:rPr>
        <w:t xml:space="preserve">gjithashtu </w:t>
      </w:r>
      <w:r w:rsidRPr="00583077">
        <w:rPr>
          <w:lang w:val="it-IT"/>
        </w:rPr>
        <w:t xml:space="preserve">një </w:t>
      </w:r>
      <w:r>
        <w:rPr>
          <w:lang w:val="it-IT"/>
        </w:rPr>
        <w:t>ulje</w:t>
      </w:r>
      <w:r w:rsidRPr="00583077">
        <w:rPr>
          <w:lang w:val="it-IT"/>
        </w:rPr>
        <w:t xml:space="preserve"> gjatë  periudhë</w:t>
      </w:r>
      <w:r>
        <w:rPr>
          <w:lang w:val="it-IT"/>
        </w:rPr>
        <w:t>s qershor-dhjetor 2013</w:t>
      </w:r>
      <w:r w:rsidRPr="00583077">
        <w:rPr>
          <w:lang w:val="it-IT"/>
        </w:rPr>
        <w:t xml:space="preserve">, </w:t>
      </w:r>
      <w:r>
        <w:rPr>
          <w:lang w:val="it-IT"/>
        </w:rPr>
        <w:t xml:space="preserve">si edhe </w:t>
      </w:r>
      <w:r w:rsidRPr="00583077">
        <w:rPr>
          <w:lang w:val="it-IT"/>
        </w:rPr>
        <w:t xml:space="preserve">po të krahasohen me të njejtën periudhë të një viti më parë. Përsa i përket interesave të obligacioneve 5 vjeçare ato janë në nivele më të ulta krahasuar me gjithë vitin 2012. Kështu norma e interesit për obligacionet 5 vjeçare për muajin nëntor 2013 ka rënë në 6.54% krahasuar me 9.17% të nëntorit të një viti më parë. Normat e interesit për obligacionet 5 vjeçare kanë pasur një rritje të konsiderueshme në ankandet Maj-Shtator 2012 dhe më pas kanë rënë edhe  përgjatë 12 muajve të vitit 2013.  Yieldet e obligacioneve 7 vjeçare pas muajit qershor të vitit 2012 janë ulur në mënyrë të konsiderueshme. Nëse krahasojmë muajin shtator të vitit 2013 me shtatorin e vitit 2012 kemi një rënie me 342 pikë përqindje. </w:t>
      </w:r>
    </w:p>
    <w:p w:rsidR="00B22874" w:rsidRPr="00583077" w:rsidRDefault="00B22874" w:rsidP="00A874AB">
      <w:pPr>
        <w:jc w:val="both"/>
        <w:rPr>
          <w:lang w:val="sq-AL"/>
        </w:rPr>
      </w:pPr>
      <w:r w:rsidRPr="00583077">
        <w:rPr>
          <w:lang w:val="it-IT"/>
        </w:rPr>
        <w:t xml:space="preserve">Obligacionet 10 vjeçare u emetuan </w:t>
      </w:r>
      <w:r w:rsidRPr="00583077">
        <w:rPr>
          <w:lang w:val="sq-AL"/>
        </w:rPr>
        <w:t xml:space="preserve">për herë të parë në muajin tetor  me </w:t>
      </w:r>
      <w:r>
        <w:rPr>
          <w:lang w:val="sq-AL"/>
        </w:rPr>
        <w:t>norme interesi</w:t>
      </w:r>
      <w:r w:rsidRPr="00583077">
        <w:rPr>
          <w:lang w:val="sq-AL"/>
        </w:rPr>
        <w:t xml:space="preserve"> 9.25%.</w:t>
      </w:r>
    </w:p>
    <w:p w:rsidR="00B22874" w:rsidRPr="00583077" w:rsidRDefault="00B22874" w:rsidP="00A874AB">
      <w:pPr>
        <w:jc w:val="both"/>
        <w:rPr>
          <w:color w:val="FF0000"/>
          <w:lang w:val="it-IT"/>
        </w:rPr>
      </w:pPr>
      <w:r w:rsidRPr="00583077">
        <w:rPr>
          <w:lang w:val="it-IT"/>
        </w:rPr>
        <w:t>Normat e interesit të bonove të thesarit janë ulur për shkak se huamarrja e re është përqendruar më tepër tek kerkesa për instrumenta afatgjatë. Arsyet e uljes së yieldeve të instrumentave financiare shtetërore gjatë ketij fillim viti dhe në vazhdim janë të lidhura me uljen e normës bazë të interesit nga Banka Qendrore si pjesë e politikave të saj monetare, ngurtësimin e kredive të sektorit privat për shkak të rritjes së kredive që nuk performojnë mire, likuiditet i lartë në sektorin bankar, etj.</w:t>
      </w:r>
    </w:p>
    <w:p w:rsidR="00B22874" w:rsidRPr="00583077" w:rsidRDefault="00B22874" w:rsidP="00A874AB">
      <w:pPr>
        <w:jc w:val="both"/>
        <w:rPr>
          <w:color w:val="FF0000"/>
          <w:lang w:val="it-IT"/>
        </w:rPr>
      </w:pPr>
    </w:p>
    <w:p w:rsidR="00B22874" w:rsidRPr="00583077" w:rsidRDefault="00B22874" w:rsidP="004C3C4A">
      <w:pPr>
        <w:ind w:firstLine="720"/>
        <w:jc w:val="both"/>
        <w:rPr>
          <w:b/>
          <w:lang w:val="sq-AL"/>
        </w:rPr>
      </w:pPr>
      <w:r>
        <w:rPr>
          <w:b/>
          <w:lang w:val="sq-AL"/>
        </w:rPr>
        <w:t>v-a.</w:t>
      </w:r>
      <w:r w:rsidRPr="00583077">
        <w:rPr>
          <w:b/>
          <w:lang w:val="sq-AL"/>
        </w:rPr>
        <w:t xml:space="preserve"> Shërbimi i borxhit të brendshëm</w:t>
      </w:r>
    </w:p>
    <w:p w:rsidR="00B22874" w:rsidRPr="00583077" w:rsidRDefault="00B22874" w:rsidP="00E1078B">
      <w:pPr>
        <w:jc w:val="both"/>
        <w:rPr>
          <w:b/>
          <w:bCs/>
          <w:sz w:val="20"/>
          <w:szCs w:val="20"/>
          <w:lang w:val="it-IT"/>
        </w:rPr>
      </w:pPr>
    </w:p>
    <w:p w:rsidR="00B22874" w:rsidRPr="009F044E" w:rsidRDefault="00B22874" w:rsidP="00E1078B">
      <w:pPr>
        <w:jc w:val="both"/>
        <w:rPr>
          <w:b/>
          <w:bCs/>
          <w:sz w:val="20"/>
          <w:szCs w:val="20"/>
          <w:lang w:val="it-IT"/>
        </w:rPr>
      </w:pPr>
      <w:r w:rsidRPr="009F044E">
        <w:rPr>
          <w:b/>
          <w:bCs/>
          <w:sz w:val="20"/>
          <w:szCs w:val="20"/>
          <w:lang w:val="it-IT"/>
        </w:rPr>
        <w:t>Grafik 5.</w:t>
      </w:r>
    </w:p>
    <w:p w:rsidR="00B22874" w:rsidRPr="00583077" w:rsidRDefault="00B22874" w:rsidP="00E1078B">
      <w:pPr>
        <w:autoSpaceDE w:val="0"/>
        <w:autoSpaceDN w:val="0"/>
        <w:adjustRightInd w:val="0"/>
        <w:spacing w:line="300" w:lineRule="exact"/>
        <w:jc w:val="both"/>
        <w:rPr>
          <w:sz w:val="20"/>
          <w:szCs w:val="20"/>
          <w:lang w:val="it-IT"/>
        </w:rPr>
      </w:pPr>
      <w:r w:rsidRPr="00583077">
        <w:rPr>
          <w:lang w:val="it-IT"/>
        </w:rPr>
        <w:t xml:space="preserve">* </w:t>
      </w:r>
      <w:r w:rsidRPr="00583077">
        <w:rPr>
          <w:sz w:val="20"/>
          <w:szCs w:val="20"/>
          <w:lang w:val="it-IT"/>
        </w:rPr>
        <w:t>Shërbimi i borxhit të brendshëm dhe kostua mesatare e ponderuar në emetim</w:t>
      </w:r>
    </w:p>
    <w:p w:rsidR="00B22874" w:rsidRPr="005B3E9C" w:rsidRDefault="00512804" w:rsidP="001E1D64">
      <w:pPr>
        <w:jc w:val="both"/>
      </w:pPr>
      <w:r>
        <w:rPr>
          <w:noProof/>
          <w:lang w:val="en-GB" w:eastAsia="en-GB"/>
        </w:rPr>
        <w:drawing>
          <wp:inline distT="0" distB="0" distL="0" distR="0">
            <wp:extent cx="5772150" cy="3028950"/>
            <wp:effectExtent l="19050" t="19050" r="19050" b="190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5772150" cy="3028950"/>
                    </a:xfrm>
                    <a:prstGeom prst="rect">
                      <a:avLst/>
                    </a:prstGeom>
                    <a:noFill/>
                    <a:ln w="12700" cmpd="sng">
                      <a:solidFill>
                        <a:srgbClr val="000000"/>
                      </a:solidFill>
                      <a:miter lim="800000"/>
                      <a:headEnd/>
                      <a:tailEnd/>
                    </a:ln>
                    <a:effectLst/>
                  </pic:spPr>
                </pic:pic>
              </a:graphicData>
            </a:graphic>
          </wp:inline>
        </w:drawing>
      </w:r>
    </w:p>
    <w:p w:rsidR="00B22874" w:rsidRDefault="00B22874" w:rsidP="001E1D64">
      <w:pPr>
        <w:jc w:val="both"/>
        <w:rPr>
          <w:lang w:val="sq-AL"/>
        </w:rPr>
      </w:pPr>
    </w:p>
    <w:p w:rsidR="00B22874" w:rsidRDefault="00B22874" w:rsidP="001E1D64">
      <w:pPr>
        <w:jc w:val="both"/>
        <w:rPr>
          <w:lang w:val="sq-AL"/>
        </w:rPr>
      </w:pPr>
    </w:p>
    <w:p w:rsidR="00B22874" w:rsidRPr="00583077" w:rsidRDefault="00B22874" w:rsidP="001E1D64">
      <w:pPr>
        <w:jc w:val="both"/>
        <w:rPr>
          <w:lang w:val="sq-AL"/>
        </w:rPr>
      </w:pPr>
      <w:r w:rsidRPr="00583077">
        <w:rPr>
          <w:lang w:val="sq-AL"/>
        </w:rPr>
        <w:lastRenderedPageBreak/>
        <w:t>Nga grafiku vërehet që prej vitit 2010 deri në fundin e vitit 2012 kemi një rënie të shërbimit të borxhit të brendshëm, ndërkohë që shërbimi është rritur me 8 pikë bazë gjatë vitit 2013. Kjo rritje në shërbimin e borxhit të brendshëm ka ardhur si rezultat i shtimit të huamarrjes së brendshme gjatë vitit 2013 edhe për vetë faktin se një pjesë e mirë e instrumentave t</w:t>
      </w:r>
      <w:r>
        <w:rPr>
          <w:lang w:val="sq-AL"/>
        </w:rPr>
        <w:t>ë emetuara gjatë vitit të mëparshëm</w:t>
      </w:r>
      <w:r w:rsidRPr="00583077">
        <w:rPr>
          <w:lang w:val="sq-AL"/>
        </w:rPr>
        <w:t xml:space="preserve"> me norma interesi relativisht më të larta maturohen në vitin 2013.</w:t>
      </w:r>
    </w:p>
    <w:p w:rsidR="00B22874" w:rsidRPr="00583077" w:rsidRDefault="00B22874" w:rsidP="00183507">
      <w:pPr>
        <w:jc w:val="both"/>
        <w:rPr>
          <w:b/>
          <w:bCs/>
          <w:lang w:val="it-IT"/>
        </w:rPr>
      </w:pPr>
    </w:p>
    <w:p w:rsidR="00B22874" w:rsidRPr="00583077" w:rsidRDefault="00B22874" w:rsidP="004C3C4A">
      <w:pPr>
        <w:ind w:firstLine="720"/>
        <w:jc w:val="both"/>
        <w:rPr>
          <w:b/>
          <w:bCs/>
          <w:lang w:val="it-IT"/>
        </w:rPr>
      </w:pPr>
      <w:r>
        <w:rPr>
          <w:b/>
          <w:bCs/>
          <w:lang w:val="it-IT"/>
        </w:rPr>
        <w:t>vi-a.</w:t>
      </w:r>
      <w:r w:rsidRPr="00583077">
        <w:rPr>
          <w:b/>
          <w:bCs/>
          <w:lang w:val="it-IT"/>
        </w:rPr>
        <w:t xml:space="preserve"> Analiza e treguesve të riskut</w:t>
      </w:r>
    </w:p>
    <w:p w:rsidR="00B22874" w:rsidRPr="00583077" w:rsidRDefault="00B22874" w:rsidP="00183507">
      <w:pPr>
        <w:jc w:val="both"/>
        <w:rPr>
          <w:lang w:val="it-IT"/>
        </w:rPr>
      </w:pPr>
    </w:p>
    <w:p w:rsidR="00B22874" w:rsidRPr="00583077" w:rsidRDefault="00B22874" w:rsidP="00183507">
      <w:pPr>
        <w:jc w:val="both"/>
        <w:rPr>
          <w:lang w:val="it-IT"/>
        </w:rPr>
      </w:pPr>
      <w:r w:rsidRPr="00583077">
        <w:rPr>
          <w:lang w:val="it-IT"/>
        </w:rPr>
        <w:t xml:space="preserve">Përsa i përket treguesve të riskut ato kanë pasur një trend pozitiv gjatë vitit 2013, kryesisht si rezultat i emetimit të instrumentave afatgjata dhe i rënies drastike në normat e interesit. </w:t>
      </w:r>
    </w:p>
    <w:p w:rsidR="00B22874" w:rsidRPr="00583077" w:rsidRDefault="00B22874" w:rsidP="00183507">
      <w:pPr>
        <w:jc w:val="both"/>
        <w:rPr>
          <w:lang w:val="sq-AL"/>
        </w:rPr>
      </w:pPr>
      <w:r w:rsidRPr="00583077">
        <w:rPr>
          <w:lang w:val="sq-AL"/>
        </w:rPr>
        <w:t>Në tabelën dhe grafikun e mëposhtëm ilustrohet ecuria e treguesve të riskut.</w:t>
      </w:r>
    </w:p>
    <w:p w:rsidR="00B22874" w:rsidRPr="00583077" w:rsidRDefault="00B22874" w:rsidP="00183507">
      <w:pPr>
        <w:jc w:val="both"/>
        <w:rPr>
          <w:lang w:val="sq-AL"/>
        </w:rPr>
      </w:pPr>
    </w:p>
    <w:p w:rsidR="00B22874" w:rsidRPr="00583077" w:rsidRDefault="00B22874" w:rsidP="00183507">
      <w:pPr>
        <w:jc w:val="both"/>
        <w:rPr>
          <w:b/>
          <w:bCs/>
          <w:sz w:val="20"/>
          <w:szCs w:val="20"/>
          <w:lang w:val="fr-FR"/>
        </w:rPr>
      </w:pPr>
      <w:r w:rsidRPr="00583077">
        <w:rPr>
          <w:b/>
          <w:bCs/>
          <w:sz w:val="20"/>
          <w:szCs w:val="20"/>
          <w:lang w:val="fr-FR"/>
        </w:rPr>
        <w:t xml:space="preserve">      Tabela 6.</w:t>
      </w:r>
    </w:p>
    <w:p w:rsidR="00B22874" w:rsidRPr="00583077" w:rsidRDefault="00B22874" w:rsidP="00183507">
      <w:pPr>
        <w:autoSpaceDE w:val="0"/>
        <w:autoSpaceDN w:val="0"/>
        <w:adjustRightInd w:val="0"/>
        <w:spacing w:line="300" w:lineRule="exact"/>
        <w:jc w:val="both"/>
        <w:rPr>
          <w:sz w:val="20"/>
          <w:szCs w:val="20"/>
          <w:lang w:val="it-IT"/>
        </w:rPr>
      </w:pPr>
      <w:r w:rsidRPr="00583077">
        <w:rPr>
          <w:sz w:val="20"/>
          <w:szCs w:val="20"/>
          <w:lang w:val="it-IT"/>
        </w:rPr>
        <w:t xml:space="preserve">      * Treguesit e riskut për vitin 2013</w:t>
      </w:r>
    </w:p>
    <w:tbl>
      <w:tblPr>
        <w:tblW w:w="8655" w:type="dxa"/>
        <w:jc w:val="center"/>
        <w:tblInd w:w="93" w:type="dxa"/>
        <w:tblLook w:val="0000"/>
      </w:tblPr>
      <w:tblGrid>
        <w:gridCol w:w="1640"/>
        <w:gridCol w:w="1795"/>
        <w:gridCol w:w="1620"/>
        <w:gridCol w:w="1260"/>
        <w:gridCol w:w="1080"/>
        <w:gridCol w:w="1260"/>
      </w:tblGrid>
      <w:tr w:rsidR="00B22874" w:rsidRPr="00583077" w:rsidTr="005B3E9C">
        <w:trPr>
          <w:trHeight w:val="300"/>
          <w:jc w:val="center"/>
        </w:trPr>
        <w:tc>
          <w:tcPr>
            <w:tcW w:w="1640" w:type="dxa"/>
            <w:tcBorders>
              <w:top w:val="single" w:sz="8" w:space="0" w:color="auto"/>
              <w:left w:val="single" w:sz="8" w:space="0" w:color="auto"/>
              <w:bottom w:val="single" w:sz="8" w:space="0" w:color="auto"/>
              <w:right w:val="single" w:sz="4" w:space="0" w:color="auto"/>
            </w:tcBorders>
            <w:shd w:val="clear" w:color="auto" w:fill="99CCFF"/>
            <w:noWrap/>
            <w:vAlign w:val="bottom"/>
          </w:tcPr>
          <w:p w:rsidR="00B22874" w:rsidRPr="00583077" w:rsidRDefault="00B22874" w:rsidP="00583077">
            <w:pPr>
              <w:jc w:val="center"/>
              <w:rPr>
                <w:rFonts w:eastAsia="Batang"/>
                <w:b/>
                <w:bCs/>
                <w:lang w:eastAsia="ko-KR"/>
              </w:rPr>
            </w:pPr>
            <w:r w:rsidRPr="00583077">
              <w:rPr>
                <w:rFonts w:eastAsia="Batang"/>
                <w:b/>
                <w:bCs/>
                <w:sz w:val="22"/>
                <w:szCs w:val="22"/>
                <w:lang w:eastAsia="ko-KR"/>
              </w:rPr>
              <w:t> </w:t>
            </w:r>
          </w:p>
        </w:tc>
        <w:tc>
          <w:tcPr>
            <w:tcW w:w="1795" w:type="dxa"/>
            <w:tcBorders>
              <w:top w:val="single" w:sz="8" w:space="0" w:color="auto"/>
              <w:left w:val="nil"/>
              <w:bottom w:val="single" w:sz="8" w:space="0" w:color="auto"/>
              <w:right w:val="single" w:sz="4" w:space="0" w:color="auto"/>
            </w:tcBorders>
            <w:shd w:val="clear" w:color="auto" w:fill="99CCFF"/>
            <w:noWrap/>
            <w:vAlign w:val="bottom"/>
          </w:tcPr>
          <w:p w:rsidR="00B22874" w:rsidRPr="00583077" w:rsidRDefault="00B22874" w:rsidP="00583077">
            <w:pPr>
              <w:jc w:val="center"/>
              <w:rPr>
                <w:rFonts w:eastAsia="Batang"/>
                <w:b/>
                <w:bCs/>
                <w:lang w:eastAsia="ko-KR"/>
              </w:rPr>
            </w:pPr>
            <w:r w:rsidRPr="00583077">
              <w:rPr>
                <w:rFonts w:eastAsia="Batang"/>
                <w:b/>
                <w:bCs/>
                <w:sz w:val="22"/>
                <w:szCs w:val="22"/>
                <w:lang w:eastAsia="ko-KR"/>
              </w:rPr>
              <w:t>Mac.Duration</w:t>
            </w:r>
          </w:p>
        </w:tc>
        <w:tc>
          <w:tcPr>
            <w:tcW w:w="1620" w:type="dxa"/>
            <w:tcBorders>
              <w:top w:val="single" w:sz="8" w:space="0" w:color="auto"/>
              <w:left w:val="nil"/>
              <w:bottom w:val="single" w:sz="8" w:space="0" w:color="auto"/>
              <w:right w:val="single" w:sz="4" w:space="0" w:color="auto"/>
            </w:tcBorders>
            <w:shd w:val="clear" w:color="auto" w:fill="99CCFF"/>
            <w:noWrap/>
            <w:vAlign w:val="bottom"/>
          </w:tcPr>
          <w:p w:rsidR="00B22874" w:rsidRPr="00583077" w:rsidRDefault="00B22874" w:rsidP="00583077">
            <w:pPr>
              <w:jc w:val="center"/>
              <w:rPr>
                <w:rFonts w:eastAsia="Batang"/>
                <w:b/>
                <w:bCs/>
                <w:lang w:eastAsia="ko-KR"/>
              </w:rPr>
            </w:pPr>
            <w:r w:rsidRPr="00583077">
              <w:rPr>
                <w:rFonts w:eastAsia="Batang"/>
                <w:b/>
                <w:bCs/>
                <w:sz w:val="22"/>
                <w:szCs w:val="22"/>
                <w:lang w:eastAsia="ko-KR"/>
              </w:rPr>
              <w:t>YMP</w:t>
            </w:r>
          </w:p>
        </w:tc>
        <w:tc>
          <w:tcPr>
            <w:tcW w:w="1260" w:type="dxa"/>
            <w:tcBorders>
              <w:top w:val="single" w:sz="8" w:space="0" w:color="auto"/>
              <w:left w:val="nil"/>
              <w:bottom w:val="single" w:sz="8" w:space="0" w:color="auto"/>
              <w:right w:val="single" w:sz="4" w:space="0" w:color="auto"/>
            </w:tcBorders>
            <w:shd w:val="clear" w:color="auto" w:fill="99CCFF"/>
            <w:noWrap/>
            <w:vAlign w:val="bottom"/>
          </w:tcPr>
          <w:p w:rsidR="00B22874" w:rsidRPr="00583077" w:rsidRDefault="00B22874" w:rsidP="00583077">
            <w:pPr>
              <w:jc w:val="center"/>
              <w:rPr>
                <w:rFonts w:eastAsia="Batang"/>
                <w:b/>
                <w:bCs/>
                <w:sz w:val="20"/>
                <w:szCs w:val="20"/>
                <w:lang w:eastAsia="ko-KR"/>
              </w:rPr>
            </w:pPr>
            <w:r w:rsidRPr="00583077">
              <w:rPr>
                <w:rFonts w:eastAsia="Batang"/>
                <w:b/>
                <w:bCs/>
                <w:sz w:val="20"/>
                <w:szCs w:val="20"/>
                <w:lang w:eastAsia="ko-KR"/>
              </w:rPr>
              <w:t>DMM (Ditë)</w:t>
            </w:r>
          </w:p>
        </w:tc>
        <w:tc>
          <w:tcPr>
            <w:tcW w:w="1080" w:type="dxa"/>
            <w:tcBorders>
              <w:top w:val="single" w:sz="8" w:space="0" w:color="auto"/>
              <w:left w:val="nil"/>
              <w:bottom w:val="single" w:sz="8" w:space="0" w:color="auto"/>
              <w:right w:val="single" w:sz="4" w:space="0" w:color="auto"/>
            </w:tcBorders>
            <w:shd w:val="clear" w:color="auto" w:fill="99CCFF"/>
            <w:noWrap/>
            <w:vAlign w:val="bottom"/>
          </w:tcPr>
          <w:p w:rsidR="00B22874" w:rsidRPr="00583077" w:rsidRDefault="00B22874" w:rsidP="00583077">
            <w:pPr>
              <w:jc w:val="center"/>
              <w:rPr>
                <w:rFonts w:eastAsia="Batang"/>
                <w:b/>
                <w:bCs/>
                <w:sz w:val="20"/>
                <w:szCs w:val="20"/>
                <w:lang w:eastAsia="ko-KR"/>
              </w:rPr>
            </w:pPr>
            <w:r w:rsidRPr="00583077">
              <w:rPr>
                <w:rFonts w:eastAsia="Batang"/>
                <w:b/>
                <w:bCs/>
                <w:sz w:val="20"/>
                <w:szCs w:val="20"/>
                <w:lang w:eastAsia="ko-KR"/>
              </w:rPr>
              <w:t>DMM  (Vite)</w:t>
            </w:r>
          </w:p>
        </w:tc>
        <w:tc>
          <w:tcPr>
            <w:tcW w:w="1260" w:type="dxa"/>
            <w:tcBorders>
              <w:top w:val="single" w:sz="8" w:space="0" w:color="auto"/>
              <w:left w:val="nil"/>
              <w:bottom w:val="single" w:sz="8" w:space="0" w:color="auto"/>
              <w:right w:val="single" w:sz="8" w:space="0" w:color="auto"/>
            </w:tcBorders>
            <w:shd w:val="clear" w:color="auto" w:fill="99CCFF"/>
            <w:noWrap/>
            <w:vAlign w:val="bottom"/>
          </w:tcPr>
          <w:p w:rsidR="00B22874" w:rsidRPr="00583077" w:rsidRDefault="00B22874" w:rsidP="00583077">
            <w:pPr>
              <w:jc w:val="center"/>
              <w:rPr>
                <w:rFonts w:eastAsia="Batang"/>
                <w:b/>
                <w:bCs/>
                <w:sz w:val="20"/>
                <w:szCs w:val="20"/>
                <w:lang w:eastAsia="ko-KR"/>
              </w:rPr>
            </w:pPr>
            <w:r w:rsidRPr="00583077">
              <w:rPr>
                <w:rFonts w:eastAsia="Batang"/>
                <w:b/>
                <w:bCs/>
                <w:sz w:val="20"/>
                <w:szCs w:val="20"/>
                <w:lang w:eastAsia="ko-KR"/>
              </w:rPr>
              <w:t>ATR</w:t>
            </w:r>
          </w:p>
        </w:tc>
      </w:tr>
      <w:tr w:rsidR="00B22874" w:rsidRPr="00583077" w:rsidTr="005B3E9C">
        <w:trPr>
          <w:trHeight w:val="255"/>
          <w:jc w:val="center"/>
        </w:trPr>
        <w:tc>
          <w:tcPr>
            <w:tcW w:w="1640" w:type="dxa"/>
            <w:tcBorders>
              <w:top w:val="single" w:sz="8" w:space="0" w:color="auto"/>
              <w:left w:val="single" w:sz="8" w:space="0" w:color="auto"/>
              <w:bottom w:val="single" w:sz="4" w:space="0" w:color="auto"/>
              <w:right w:val="single" w:sz="8" w:space="0" w:color="auto"/>
            </w:tcBorders>
            <w:noWrap/>
            <w:vAlign w:val="bottom"/>
          </w:tcPr>
          <w:p w:rsidR="00B22874" w:rsidRPr="00583077" w:rsidRDefault="00B22874" w:rsidP="00583077">
            <w:pPr>
              <w:jc w:val="center"/>
              <w:rPr>
                <w:rFonts w:eastAsia="Batang"/>
                <w:b/>
                <w:bCs/>
                <w:color w:val="FF0000"/>
                <w:sz w:val="20"/>
                <w:szCs w:val="20"/>
                <w:lang w:eastAsia="ko-KR"/>
              </w:rPr>
            </w:pPr>
            <w:r w:rsidRPr="00583077">
              <w:rPr>
                <w:rFonts w:eastAsia="Batang"/>
                <w:b/>
                <w:bCs/>
                <w:color w:val="FF0000"/>
                <w:sz w:val="20"/>
                <w:szCs w:val="20"/>
                <w:lang w:eastAsia="ko-KR"/>
              </w:rPr>
              <w:t>Dec-12</w:t>
            </w:r>
          </w:p>
        </w:tc>
        <w:tc>
          <w:tcPr>
            <w:tcW w:w="1795" w:type="dxa"/>
            <w:tcBorders>
              <w:top w:val="single" w:sz="8" w:space="0" w:color="auto"/>
              <w:left w:val="nil"/>
              <w:bottom w:val="single" w:sz="4" w:space="0" w:color="auto"/>
              <w:right w:val="single" w:sz="4" w:space="0" w:color="auto"/>
            </w:tcBorders>
            <w:noWrap/>
            <w:vAlign w:val="bottom"/>
          </w:tcPr>
          <w:p w:rsidR="00B22874" w:rsidRPr="00583077" w:rsidRDefault="00B22874" w:rsidP="00583077">
            <w:pPr>
              <w:jc w:val="center"/>
              <w:rPr>
                <w:rFonts w:eastAsia="Batang"/>
                <w:color w:val="FF0000"/>
                <w:sz w:val="20"/>
                <w:szCs w:val="20"/>
                <w:lang w:eastAsia="ko-KR"/>
              </w:rPr>
            </w:pPr>
            <w:r w:rsidRPr="00583077">
              <w:rPr>
                <w:rFonts w:eastAsia="Batang"/>
                <w:color w:val="FF0000"/>
                <w:sz w:val="20"/>
                <w:szCs w:val="20"/>
                <w:lang w:eastAsia="ko-KR"/>
              </w:rPr>
              <w:t>0.67</w:t>
            </w:r>
          </w:p>
        </w:tc>
        <w:tc>
          <w:tcPr>
            <w:tcW w:w="1620" w:type="dxa"/>
            <w:tcBorders>
              <w:top w:val="single" w:sz="8" w:space="0" w:color="auto"/>
              <w:left w:val="nil"/>
              <w:bottom w:val="single" w:sz="4" w:space="0" w:color="auto"/>
              <w:right w:val="single" w:sz="4" w:space="0" w:color="auto"/>
            </w:tcBorders>
            <w:noWrap/>
            <w:vAlign w:val="bottom"/>
          </w:tcPr>
          <w:p w:rsidR="00B22874" w:rsidRPr="00583077" w:rsidRDefault="00B22874" w:rsidP="00583077">
            <w:pPr>
              <w:jc w:val="center"/>
              <w:rPr>
                <w:rFonts w:eastAsia="Batang"/>
                <w:color w:val="FF0000"/>
                <w:sz w:val="20"/>
                <w:szCs w:val="20"/>
                <w:lang w:eastAsia="ko-KR"/>
              </w:rPr>
            </w:pPr>
            <w:r w:rsidRPr="00583077">
              <w:rPr>
                <w:rFonts w:eastAsia="Batang"/>
                <w:color w:val="FF0000"/>
                <w:sz w:val="20"/>
                <w:szCs w:val="20"/>
                <w:lang w:eastAsia="ko-KR"/>
              </w:rPr>
              <w:t>7.84%</w:t>
            </w:r>
          </w:p>
        </w:tc>
        <w:tc>
          <w:tcPr>
            <w:tcW w:w="1260" w:type="dxa"/>
            <w:tcBorders>
              <w:top w:val="single" w:sz="8" w:space="0" w:color="auto"/>
              <w:left w:val="nil"/>
              <w:bottom w:val="single" w:sz="4" w:space="0" w:color="auto"/>
              <w:right w:val="single" w:sz="4" w:space="0" w:color="auto"/>
            </w:tcBorders>
            <w:noWrap/>
            <w:vAlign w:val="bottom"/>
          </w:tcPr>
          <w:p w:rsidR="00B22874" w:rsidRPr="00583077" w:rsidRDefault="00B22874" w:rsidP="00583077">
            <w:pPr>
              <w:jc w:val="center"/>
              <w:rPr>
                <w:rFonts w:eastAsia="Batang"/>
                <w:color w:val="FF0000"/>
                <w:sz w:val="20"/>
                <w:szCs w:val="20"/>
                <w:lang w:eastAsia="ko-KR"/>
              </w:rPr>
            </w:pPr>
            <w:r w:rsidRPr="00583077">
              <w:rPr>
                <w:rFonts w:eastAsia="Batang"/>
                <w:color w:val="FF0000"/>
                <w:sz w:val="20"/>
                <w:szCs w:val="20"/>
                <w:lang w:eastAsia="ko-KR"/>
              </w:rPr>
              <w:t>386</w:t>
            </w:r>
          </w:p>
        </w:tc>
        <w:tc>
          <w:tcPr>
            <w:tcW w:w="1080" w:type="dxa"/>
            <w:tcBorders>
              <w:top w:val="single" w:sz="8" w:space="0" w:color="auto"/>
              <w:left w:val="nil"/>
              <w:bottom w:val="single" w:sz="4" w:space="0" w:color="auto"/>
              <w:right w:val="single" w:sz="4" w:space="0" w:color="auto"/>
            </w:tcBorders>
            <w:noWrap/>
            <w:vAlign w:val="bottom"/>
          </w:tcPr>
          <w:p w:rsidR="00B22874" w:rsidRPr="00583077" w:rsidRDefault="00B22874" w:rsidP="00583077">
            <w:pPr>
              <w:jc w:val="center"/>
              <w:rPr>
                <w:rFonts w:eastAsia="Batang"/>
                <w:color w:val="FF0000"/>
                <w:sz w:val="20"/>
                <w:szCs w:val="20"/>
                <w:lang w:eastAsia="ko-KR"/>
              </w:rPr>
            </w:pPr>
            <w:r w:rsidRPr="00583077">
              <w:rPr>
                <w:rFonts w:eastAsia="Batang"/>
                <w:color w:val="FF0000"/>
                <w:sz w:val="20"/>
                <w:szCs w:val="20"/>
                <w:lang w:eastAsia="ko-KR"/>
              </w:rPr>
              <w:t>1.07</w:t>
            </w:r>
          </w:p>
        </w:tc>
        <w:tc>
          <w:tcPr>
            <w:tcW w:w="1260" w:type="dxa"/>
            <w:tcBorders>
              <w:top w:val="single" w:sz="8" w:space="0" w:color="auto"/>
              <w:left w:val="nil"/>
              <w:bottom w:val="single" w:sz="4" w:space="0" w:color="auto"/>
              <w:right w:val="single" w:sz="8" w:space="0" w:color="auto"/>
            </w:tcBorders>
            <w:noWrap/>
            <w:vAlign w:val="bottom"/>
          </w:tcPr>
          <w:p w:rsidR="00B22874" w:rsidRPr="00583077" w:rsidRDefault="00B22874" w:rsidP="00583077">
            <w:pPr>
              <w:jc w:val="center"/>
              <w:rPr>
                <w:rFonts w:eastAsia="Batang"/>
                <w:color w:val="FF0000"/>
                <w:sz w:val="20"/>
                <w:szCs w:val="20"/>
                <w:lang w:eastAsia="ko-KR"/>
              </w:rPr>
            </w:pPr>
            <w:r w:rsidRPr="00583077">
              <w:rPr>
                <w:rFonts w:eastAsia="Batang"/>
                <w:color w:val="FF0000"/>
                <w:sz w:val="20"/>
                <w:szCs w:val="20"/>
                <w:lang w:eastAsia="ko-KR"/>
              </w:rPr>
              <w:t>0.93</w:t>
            </w:r>
          </w:p>
        </w:tc>
      </w:tr>
      <w:tr w:rsidR="00B22874" w:rsidRPr="00583077" w:rsidTr="005B3E9C">
        <w:trPr>
          <w:trHeight w:val="255"/>
          <w:jc w:val="center"/>
        </w:trPr>
        <w:tc>
          <w:tcPr>
            <w:tcW w:w="1640" w:type="dxa"/>
            <w:tcBorders>
              <w:top w:val="single" w:sz="4" w:space="0" w:color="auto"/>
              <w:left w:val="single" w:sz="8" w:space="0" w:color="auto"/>
              <w:bottom w:val="single" w:sz="4" w:space="0" w:color="auto"/>
              <w:right w:val="single" w:sz="8" w:space="0" w:color="auto"/>
            </w:tcBorders>
            <w:noWrap/>
            <w:vAlign w:val="bottom"/>
          </w:tcPr>
          <w:p w:rsidR="00B22874" w:rsidRPr="00583077" w:rsidRDefault="00B22874" w:rsidP="00583077">
            <w:pPr>
              <w:jc w:val="center"/>
              <w:rPr>
                <w:rFonts w:eastAsia="Batang"/>
                <w:b/>
                <w:bCs/>
                <w:sz w:val="20"/>
                <w:szCs w:val="20"/>
                <w:lang w:eastAsia="ko-KR"/>
              </w:rPr>
            </w:pPr>
            <w:r w:rsidRPr="00583077">
              <w:rPr>
                <w:rFonts w:eastAsia="Batang"/>
                <w:b/>
                <w:bCs/>
                <w:sz w:val="20"/>
                <w:szCs w:val="20"/>
                <w:lang w:eastAsia="ko-KR"/>
              </w:rPr>
              <w:t>Jan-13</w:t>
            </w:r>
          </w:p>
        </w:tc>
        <w:tc>
          <w:tcPr>
            <w:tcW w:w="1795" w:type="dxa"/>
            <w:tcBorders>
              <w:top w:val="nil"/>
              <w:left w:val="nil"/>
              <w:bottom w:val="single" w:sz="4" w:space="0" w:color="auto"/>
              <w:right w:val="single" w:sz="4" w:space="0" w:color="auto"/>
            </w:tcBorders>
            <w:noWrap/>
            <w:vAlign w:val="bottom"/>
          </w:tcPr>
          <w:p w:rsidR="00B22874" w:rsidRPr="00583077" w:rsidRDefault="00B22874" w:rsidP="00583077">
            <w:pPr>
              <w:jc w:val="center"/>
              <w:rPr>
                <w:rFonts w:eastAsia="Batang"/>
                <w:sz w:val="20"/>
                <w:szCs w:val="20"/>
                <w:lang w:eastAsia="ko-KR"/>
              </w:rPr>
            </w:pPr>
            <w:r w:rsidRPr="00583077">
              <w:rPr>
                <w:rFonts w:eastAsia="Batang"/>
                <w:sz w:val="20"/>
                <w:szCs w:val="20"/>
                <w:lang w:eastAsia="ko-KR"/>
              </w:rPr>
              <w:t>0.70</w:t>
            </w:r>
          </w:p>
        </w:tc>
        <w:tc>
          <w:tcPr>
            <w:tcW w:w="1620" w:type="dxa"/>
            <w:tcBorders>
              <w:top w:val="nil"/>
              <w:left w:val="nil"/>
              <w:bottom w:val="single" w:sz="4" w:space="0" w:color="auto"/>
              <w:right w:val="single" w:sz="4" w:space="0" w:color="auto"/>
            </w:tcBorders>
            <w:noWrap/>
            <w:vAlign w:val="bottom"/>
          </w:tcPr>
          <w:p w:rsidR="00B22874" w:rsidRPr="00583077" w:rsidRDefault="00B22874" w:rsidP="00583077">
            <w:pPr>
              <w:jc w:val="center"/>
              <w:rPr>
                <w:rFonts w:eastAsia="Batang"/>
                <w:sz w:val="20"/>
                <w:szCs w:val="20"/>
                <w:lang w:eastAsia="ko-KR"/>
              </w:rPr>
            </w:pPr>
            <w:r w:rsidRPr="00583077">
              <w:rPr>
                <w:rFonts w:eastAsia="Batang"/>
                <w:sz w:val="20"/>
                <w:szCs w:val="20"/>
                <w:lang w:eastAsia="ko-KR"/>
              </w:rPr>
              <w:t>7.81%</w:t>
            </w:r>
          </w:p>
        </w:tc>
        <w:tc>
          <w:tcPr>
            <w:tcW w:w="1260" w:type="dxa"/>
            <w:tcBorders>
              <w:top w:val="nil"/>
              <w:left w:val="nil"/>
              <w:bottom w:val="single" w:sz="4" w:space="0" w:color="auto"/>
              <w:right w:val="single" w:sz="4" w:space="0" w:color="auto"/>
            </w:tcBorders>
            <w:noWrap/>
            <w:vAlign w:val="bottom"/>
          </w:tcPr>
          <w:p w:rsidR="00B22874" w:rsidRPr="00583077" w:rsidRDefault="00B22874" w:rsidP="00583077">
            <w:pPr>
              <w:jc w:val="center"/>
              <w:rPr>
                <w:rFonts w:eastAsia="Batang"/>
                <w:sz w:val="20"/>
                <w:szCs w:val="20"/>
                <w:lang w:eastAsia="ko-KR"/>
              </w:rPr>
            </w:pPr>
            <w:r w:rsidRPr="00583077">
              <w:rPr>
                <w:rFonts w:eastAsia="Batang"/>
                <w:sz w:val="20"/>
                <w:szCs w:val="20"/>
                <w:lang w:eastAsia="ko-KR"/>
              </w:rPr>
              <w:t>398</w:t>
            </w:r>
          </w:p>
        </w:tc>
        <w:tc>
          <w:tcPr>
            <w:tcW w:w="1080" w:type="dxa"/>
            <w:tcBorders>
              <w:top w:val="nil"/>
              <w:left w:val="nil"/>
              <w:bottom w:val="single" w:sz="4" w:space="0" w:color="auto"/>
              <w:right w:val="single" w:sz="4" w:space="0" w:color="auto"/>
            </w:tcBorders>
            <w:noWrap/>
            <w:vAlign w:val="bottom"/>
          </w:tcPr>
          <w:p w:rsidR="00B22874" w:rsidRPr="00583077" w:rsidRDefault="00B22874" w:rsidP="00583077">
            <w:pPr>
              <w:jc w:val="center"/>
              <w:rPr>
                <w:rFonts w:eastAsia="Batang"/>
                <w:sz w:val="20"/>
                <w:szCs w:val="20"/>
                <w:lang w:eastAsia="ko-KR"/>
              </w:rPr>
            </w:pPr>
            <w:r w:rsidRPr="00583077">
              <w:rPr>
                <w:rFonts w:eastAsia="Batang"/>
                <w:sz w:val="20"/>
                <w:szCs w:val="20"/>
                <w:lang w:eastAsia="ko-KR"/>
              </w:rPr>
              <w:t>1.11</w:t>
            </w:r>
          </w:p>
        </w:tc>
        <w:tc>
          <w:tcPr>
            <w:tcW w:w="1260" w:type="dxa"/>
            <w:tcBorders>
              <w:top w:val="nil"/>
              <w:left w:val="nil"/>
              <w:bottom w:val="single" w:sz="4" w:space="0" w:color="auto"/>
              <w:right w:val="single" w:sz="8" w:space="0" w:color="auto"/>
            </w:tcBorders>
            <w:noWrap/>
            <w:vAlign w:val="bottom"/>
          </w:tcPr>
          <w:p w:rsidR="00B22874" w:rsidRPr="00583077" w:rsidRDefault="00B22874" w:rsidP="00583077">
            <w:pPr>
              <w:jc w:val="center"/>
              <w:rPr>
                <w:rFonts w:eastAsia="Batang"/>
                <w:sz w:val="20"/>
                <w:szCs w:val="20"/>
                <w:lang w:eastAsia="ko-KR"/>
              </w:rPr>
            </w:pPr>
            <w:r w:rsidRPr="00583077">
              <w:rPr>
                <w:rFonts w:eastAsia="Batang"/>
                <w:sz w:val="20"/>
                <w:szCs w:val="20"/>
                <w:lang w:eastAsia="ko-KR"/>
              </w:rPr>
              <w:t>1.05</w:t>
            </w:r>
          </w:p>
        </w:tc>
      </w:tr>
      <w:tr w:rsidR="00B22874" w:rsidRPr="00583077" w:rsidTr="005B3E9C">
        <w:trPr>
          <w:trHeight w:val="255"/>
          <w:jc w:val="center"/>
        </w:trPr>
        <w:tc>
          <w:tcPr>
            <w:tcW w:w="1640" w:type="dxa"/>
            <w:tcBorders>
              <w:top w:val="single" w:sz="4" w:space="0" w:color="auto"/>
              <w:left w:val="single" w:sz="8" w:space="0" w:color="auto"/>
              <w:bottom w:val="single" w:sz="4" w:space="0" w:color="auto"/>
              <w:right w:val="single" w:sz="8" w:space="0" w:color="auto"/>
            </w:tcBorders>
            <w:noWrap/>
            <w:vAlign w:val="bottom"/>
          </w:tcPr>
          <w:p w:rsidR="00B22874" w:rsidRPr="00583077" w:rsidRDefault="00B22874" w:rsidP="00583077">
            <w:pPr>
              <w:jc w:val="center"/>
              <w:rPr>
                <w:rFonts w:eastAsia="Batang"/>
                <w:b/>
                <w:bCs/>
                <w:sz w:val="20"/>
                <w:szCs w:val="20"/>
                <w:lang w:eastAsia="ko-KR"/>
              </w:rPr>
            </w:pPr>
            <w:r w:rsidRPr="00583077">
              <w:rPr>
                <w:rFonts w:eastAsia="Batang"/>
                <w:b/>
                <w:bCs/>
                <w:sz w:val="20"/>
                <w:szCs w:val="20"/>
                <w:lang w:eastAsia="ko-KR"/>
              </w:rPr>
              <w:t>Feb-13</w:t>
            </w:r>
          </w:p>
        </w:tc>
        <w:tc>
          <w:tcPr>
            <w:tcW w:w="1795" w:type="dxa"/>
            <w:tcBorders>
              <w:top w:val="nil"/>
              <w:left w:val="nil"/>
              <w:bottom w:val="single" w:sz="4" w:space="0" w:color="auto"/>
              <w:right w:val="single" w:sz="4" w:space="0" w:color="auto"/>
            </w:tcBorders>
            <w:noWrap/>
            <w:vAlign w:val="bottom"/>
          </w:tcPr>
          <w:p w:rsidR="00B22874" w:rsidRPr="00583077" w:rsidRDefault="00B22874" w:rsidP="00583077">
            <w:pPr>
              <w:jc w:val="center"/>
              <w:rPr>
                <w:rFonts w:eastAsia="Batang"/>
                <w:sz w:val="20"/>
                <w:szCs w:val="20"/>
                <w:lang w:eastAsia="ko-KR"/>
              </w:rPr>
            </w:pPr>
            <w:r w:rsidRPr="00583077">
              <w:rPr>
                <w:rFonts w:eastAsia="Batang"/>
                <w:sz w:val="20"/>
                <w:szCs w:val="20"/>
                <w:lang w:eastAsia="ko-KR"/>
              </w:rPr>
              <w:t>0.78</w:t>
            </w:r>
          </w:p>
        </w:tc>
        <w:tc>
          <w:tcPr>
            <w:tcW w:w="1620" w:type="dxa"/>
            <w:tcBorders>
              <w:top w:val="nil"/>
              <w:left w:val="nil"/>
              <w:bottom w:val="single" w:sz="4" w:space="0" w:color="auto"/>
              <w:right w:val="single" w:sz="4" w:space="0" w:color="auto"/>
            </w:tcBorders>
            <w:noWrap/>
            <w:vAlign w:val="bottom"/>
          </w:tcPr>
          <w:p w:rsidR="00B22874" w:rsidRPr="00583077" w:rsidRDefault="00B22874" w:rsidP="00583077">
            <w:pPr>
              <w:jc w:val="center"/>
              <w:rPr>
                <w:rFonts w:eastAsia="Batang"/>
                <w:sz w:val="20"/>
                <w:szCs w:val="20"/>
                <w:lang w:eastAsia="ko-KR"/>
              </w:rPr>
            </w:pPr>
            <w:r w:rsidRPr="00583077">
              <w:rPr>
                <w:rFonts w:eastAsia="Batang"/>
                <w:sz w:val="20"/>
                <w:szCs w:val="20"/>
                <w:lang w:eastAsia="ko-KR"/>
              </w:rPr>
              <w:t>7.76%</w:t>
            </w:r>
          </w:p>
        </w:tc>
        <w:tc>
          <w:tcPr>
            <w:tcW w:w="1260" w:type="dxa"/>
            <w:tcBorders>
              <w:top w:val="nil"/>
              <w:left w:val="nil"/>
              <w:bottom w:val="single" w:sz="4" w:space="0" w:color="auto"/>
              <w:right w:val="single" w:sz="4" w:space="0" w:color="auto"/>
            </w:tcBorders>
            <w:noWrap/>
            <w:vAlign w:val="bottom"/>
          </w:tcPr>
          <w:p w:rsidR="00B22874" w:rsidRPr="00583077" w:rsidRDefault="00B22874" w:rsidP="00583077">
            <w:pPr>
              <w:jc w:val="center"/>
              <w:rPr>
                <w:rFonts w:eastAsia="Batang"/>
                <w:sz w:val="20"/>
                <w:szCs w:val="20"/>
                <w:lang w:eastAsia="ko-KR"/>
              </w:rPr>
            </w:pPr>
            <w:r w:rsidRPr="00583077">
              <w:rPr>
                <w:rFonts w:eastAsia="Batang"/>
                <w:sz w:val="20"/>
                <w:szCs w:val="20"/>
                <w:lang w:eastAsia="ko-KR"/>
              </w:rPr>
              <w:t>425</w:t>
            </w:r>
          </w:p>
        </w:tc>
        <w:tc>
          <w:tcPr>
            <w:tcW w:w="1080" w:type="dxa"/>
            <w:tcBorders>
              <w:top w:val="nil"/>
              <w:left w:val="nil"/>
              <w:bottom w:val="single" w:sz="4" w:space="0" w:color="auto"/>
              <w:right w:val="single" w:sz="4" w:space="0" w:color="auto"/>
            </w:tcBorders>
            <w:noWrap/>
            <w:vAlign w:val="bottom"/>
          </w:tcPr>
          <w:p w:rsidR="00B22874" w:rsidRPr="00583077" w:rsidRDefault="00B22874" w:rsidP="00583077">
            <w:pPr>
              <w:jc w:val="center"/>
              <w:rPr>
                <w:rFonts w:eastAsia="Batang"/>
                <w:sz w:val="20"/>
                <w:szCs w:val="20"/>
                <w:lang w:eastAsia="ko-KR"/>
              </w:rPr>
            </w:pPr>
            <w:r w:rsidRPr="00583077">
              <w:rPr>
                <w:rFonts w:eastAsia="Batang"/>
                <w:sz w:val="20"/>
                <w:szCs w:val="20"/>
                <w:lang w:eastAsia="ko-KR"/>
              </w:rPr>
              <w:t>1.18</w:t>
            </w:r>
          </w:p>
        </w:tc>
        <w:tc>
          <w:tcPr>
            <w:tcW w:w="1260" w:type="dxa"/>
            <w:tcBorders>
              <w:top w:val="nil"/>
              <w:left w:val="nil"/>
              <w:bottom w:val="single" w:sz="4" w:space="0" w:color="auto"/>
              <w:right w:val="single" w:sz="8" w:space="0" w:color="auto"/>
            </w:tcBorders>
            <w:noWrap/>
            <w:vAlign w:val="bottom"/>
          </w:tcPr>
          <w:p w:rsidR="00B22874" w:rsidRPr="00583077" w:rsidRDefault="00B22874" w:rsidP="00583077">
            <w:pPr>
              <w:jc w:val="center"/>
              <w:rPr>
                <w:rFonts w:eastAsia="Batang"/>
                <w:sz w:val="20"/>
                <w:szCs w:val="20"/>
                <w:lang w:eastAsia="ko-KR"/>
              </w:rPr>
            </w:pPr>
            <w:r w:rsidRPr="00583077">
              <w:rPr>
                <w:rFonts w:eastAsia="Batang"/>
                <w:sz w:val="20"/>
                <w:szCs w:val="20"/>
                <w:lang w:eastAsia="ko-KR"/>
              </w:rPr>
              <w:t>1.21</w:t>
            </w:r>
          </w:p>
        </w:tc>
      </w:tr>
      <w:tr w:rsidR="00B22874" w:rsidRPr="00583077" w:rsidTr="005B3E9C">
        <w:trPr>
          <w:trHeight w:val="255"/>
          <w:jc w:val="center"/>
        </w:trPr>
        <w:tc>
          <w:tcPr>
            <w:tcW w:w="1640" w:type="dxa"/>
            <w:tcBorders>
              <w:top w:val="single" w:sz="4" w:space="0" w:color="auto"/>
              <w:left w:val="single" w:sz="8" w:space="0" w:color="auto"/>
              <w:bottom w:val="single" w:sz="4" w:space="0" w:color="auto"/>
              <w:right w:val="single" w:sz="8" w:space="0" w:color="auto"/>
            </w:tcBorders>
            <w:noWrap/>
            <w:vAlign w:val="bottom"/>
          </w:tcPr>
          <w:p w:rsidR="00B22874" w:rsidRPr="00583077" w:rsidRDefault="00B22874" w:rsidP="00583077">
            <w:pPr>
              <w:jc w:val="center"/>
              <w:rPr>
                <w:rFonts w:eastAsia="Batang"/>
                <w:b/>
                <w:bCs/>
                <w:sz w:val="20"/>
                <w:szCs w:val="20"/>
                <w:lang w:eastAsia="ko-KR"/>
              </w:rPr>
            </w:pPr>
            <w:r w:rsidRPr="00583077">
              <w:rPr>
                <w:rFonts w:eastAsia="Batang"/>
                <w:b/>
                <w:bCs/>
                <w:sz w:val="20"/>
                <w:szCs w:val="20"/>
                <w:lang w:eastAsia="ko-KR"/>
              </w:rPr>
              <w:t>Mar-13</w:t>
            </w:r>
          </w:p>
        </w:tc>
        <w:tc>
          <w:tcPr>
            <w:tcW w:w="1795" w:type="dxa"/>
            <w:tcBorders>
              <w:top w:val="nil"/>
              <w:left w:val="nil"/>
              <w:bottom w:val="single" w:sz="4" w:space="0" w:color="auto"/>
              <w:right w:val="single" w:sz="4" w:space="0" w:color="auto"/>
            </w:tcBorders>
            <w:noWrap/>
            <w:vAlign w:val="bottom"/>
          </w:tcPr>
          <w:p w:rsidR="00B22874" w:rsidRPr="00583077" w:rsidRDefault="00B22874" w:rsidP="00583077">
            <w:pPr>
              <w:jc w:val="center"/>
              <w:rPr>
                <w:rFonts w:eastAsia="Batang"/>
                <w:sz w:val="20"/>
                <w:szCs w:val="20"/>
                <w:lang w:eastAsia="ko-KR"/>
              </w:rPr>
            </w:pPr>
            <w:r w:rsidRPr="00583077">
              <w:rPr>
                <w:rFonts w:eastAsia="Batang"/>
                <w:sz w:val="20"/>
                <w:szCs w:val="20"/>
                <w:lang w:eastAsia="ko-KR"/>
              </w:rPr>
              <w:t>0.78</w:t>
            </w:r>
          </w:p>
        </w:tc>
        <w:tc>
          <w:tcPr>
            <w:tcW w:w="1620" w:type="dxa"/>
            <w:tcBorders>
              <w:top w:val="nil"/>
              <w:left w:val="nil"/>
              <w:bottom w:val="single" w:sz="4" w:space="0" w:color="auto"/>
              <w:right w:val="single" w:sz="4" w:space="0" w:color="auto"/>
            </w:tcBorders>
            <w:noWrap/>
            <w:vAlign w:val="bottom"/>
          </w:tcPr>
          <w:p w:rsidR="00B22874" w:rsidRPr="00583077" w:rsidRDefault="00B22874" w:rsidP="00583077">
            <w:pPr>
              <w:jc w:val="center"/>
              <w:rPr>
                <w:rFonts w:eastAsia="Batang"/>
                <w:sz w:val="20"/>
                <w:szCs w:val="20"/>
                <w:lang w:eastAsia="ko-KR"/>
              </w:rPr>
            </w:pPr>
            <w:r w:rsidRPr="00583077">
              <w:rPr>
                <w:rFonts w:eastAsia="Batang"/>
                <w:sz w:val="20"/>
                <w:szCs w:val="20"/>
                <w:lang w:eastAsia="ko-KR"/>
              </w:rPr>
              <w:t>7.72%</w:t>
            </w:r>
          </w:p>
        </w:tc>
        <w:tc>
          <w:tcPr>
            <w:tcW w:w="1260" w:type="dxa"/>
            <w:tcBorders>
              <w:top w:val="nil"/>
              <w:left w:val="nil"/>
              <w:bottom w:val="single" w:sz="4" w:space="0" w:color="auto"/>
              <w:right w:val="single" w:sz="4" w:space="0" w:color="auto"/>
            </w:tcBorders>
            <w:noWrap/>
            <w:vAlign w:val="bottom"/>
          </w:tcPr>
          <w:p w:rsidR="00B22874" w:rsidRPr="00583077" w:rsidRDefault="00B22874" w:rsidP="00583077">
            <w:pPr>
              <w:jc w:val="center"/>
              <w:rPr>
                <w:rFonts w:eastAsia="Batang"/>
                <w:sz w:val="20"/>
                <w:szCs w:val="20"/>
                <w:lang w:eastAsia="ko-KR"/>
              </w:rPr>
            </w:pPr>
            <w:r w:rsidRPr="00583077">
              <w:rPr>
                <w:rFonts w:eastAsia="Batang"/>
                <w:sz w:val="20"/>
                <w:szCs w:val="20"/>
                <w:lang w:eastAsia="ko-KR"/>
              </w:rPr>
              <w:t>446</w:t>
            </w:r>
          </w:p>
        </w:tc>
        <w:tc>
          <w:tcPr>
            <w:tcW w:w="1080" w:type="dxa"/>
            <w:tcBorders>
              <w:top w:val="nil"/>
              <w:left w:val="nil"/>
              <w:bottom w:val="single" w:sz="4" w:space="0" w:color="auto"/>
              <w:right w:val="single" w:sz="4" w:space="0" w:color="auto"/>
            </w:tcBorders>
            <w:noWrap/>
            <w:vAlign w:val="bottom"/>
          </w:tcPr>
          <w:p w:rsidR="00B22874" w:rsidRPr="00583077" w:rsidRDefault="00B22874" w:rsidP="00583077">
            <w:pPr>
              <w:jc w:val="center"/>
              <w:rPr>
                <w:rFonts w:eastAsia="Batang"/>
                <w:sz w:val="20"/>
                <w:szCs w:val="20"/>
                <w:lang w:eastAsia="ko-KR"/>
              </w:rPr>
            </w:pPr>
            <w:r w:rsidRPr="00583077">
              <w:rPr>
                <w:rFonts w:eastAsia="Batang"/>
                <w:sz w:val="20"/>
                <w:szCs w:val="20"/>
                <w:lang w:eastAsia="ko-KR"/>
              </w:rPr>
              <w:t>1.24</w:t>
            </w:r>
          </w:p>
        </w:tc>
        <w:tc>
          <w:tcPr>
            <w:tcW w:w="1260" w:type="dxa"/>
            <w:tcBorders>
              <w:top w:val="nil"/>
              <w:left w:val="nil"/>
              <w:bottom w:val="single" w:sz="4" w:space="0" w:color="auto"/>
              <w:right w:val="single" w:sz="8" w:space="0" w:color="auto"/>
            </w:tcBorders>
            <w:noWrap/>
            <w:vAlign w:val="bottom"/>
          </w:tcPr>
          <w:p w:rsidR="00B22874" w:rsidRPr="00583077" w:rsidRDefault="00B22874" w:rsidP="00583077">
            <w:pPr>
              <w:jc w:val="center"/>
              <w:rPr>
                <w:rFonts w:eastAsia="Batang"/>
                <w:sz w:val="20"/>
                <w:szCs w:val="20"/>
                <w:lang w:eastAsia="ko-KR"/>
              </w:rPr>
            </w:pPr>
            <w:r w:rsidRPr="00583077">
              <w:rPr>
                <w:rFonts w:eastAsia="Batang"/>
                <w:sz w:val="20"/>
                <w:szCs w:val="20"/>
                <w:lang w:eastAsia="ko-KR"/>
              </w:rPr>
              <w:t>1.35</w:t>
            </w:r>
          </w:p>
        </w:tc>
      </w:tr>
      <w:tr w:rsidR="00B22874" w:rsidRPr="00583077" w:rsidTr="005B3E9C">
        <w:trPr>
          <w:trHeight w:val="255"/>
          <w:jc w:val="center"/>
        </w:trPr>
        <w:tc>
          <w:tcPr>
            <w:tcW w:w="1640" w:type="dxa"/>
            <w:tcBorders>
              <w:top w:val="single" w:sz="4" w:space="0" w:color="auto"/>
              <w:left w:val="single" w:sz="8" w:space="0" w:color="auto"/>
              <w:bottom w:val="single" w:sz="4" w:space="0" w:color="auto"/>
              <w:right w:val="single" w:sz="8" w:space="0" w:color="auto"/>
            </w:tcBorders>
            <w:noWrap/>
            <w:vAlign w:val="bottom"/>
          </w:tcPr>
          <w:p w:rsidR="00B22874" w:rsidRPr="00583077" w:rsidRDefault="00B22874" w:rsidP="00583077">
            <w:pPr>
              <w:jc w:val="center"/>
              <w:rPr>
                <w:rFonts w:eastAsia="Batang"/>
                <w:b/>
                <w:bCs/>
                <w:sz w:val="20"/>
                <w:szCs w:val="20"/>
                <w:lang w:eastAsia="ko-KR"/>
              </w:rPr>
            </w:pPr>
            <w:r w:rsidRPr="00583077">
              <w:rPr>
                <w:rFonts w:eastAsia="Batang"/>
                <w:b/>
                <w:bCs/>
                <w:sz w:val="20"/>
                <w:szCs w:val="20"/>
                <w:lang w:eastAsia="ko-KR"/>
              </w:rPr>
              <w:t>Apr-13</w:t>
            </w:r>
          </w:p>
        </w:tc>
        <w:tc>
          <w:tcPr>
            <w:tcW w:w="1795" w:type="dxa"/>
            <w:tcBorders>
              <w:top w:val="nil"/>
              <w:left w:val="nil"/>
              <w:bottom w:val="single" w:sz="4" w:space="0" w:color="auto"/>
              <w:right w:val="single" w:sz="4" w:space="0" w:color="auto"/>
            </w:tcBorders>
            <w:noWrap/>
            <w:vAlign w:val="bottom"/>
          </w:tcPr>
          <w:p w:rsidR="00B22874" w:rsidRPr="00583077" w:rsidRDefault="00B22874" w:rsidP="00583077">
            <w:pPr>
              <w:jc w:val="center"/>
              <w:rPr>
                <w:rFonts w:eastAsia="Batang"/>
                <w:sz w:val="20"/>
                <w:szCs w:val="20"/>
                <w:lang w:eastAsia="ko-KR"/>
              </w:rPr>
            </w:pPr>
            <w:r w:rsidRPr="00583077">
              <w:rPr>
                <w:rFonts w:eastAsia="Batang"/>
                <w:sz w:val="20"/>
                <w:szCs w:val="20"/>
                <w:lang w:eastAsia="ko-KR"/>
              </w:rPr>
              <w:t>0.75</w:t>
            </w:r>
          </w:p>
        </w:tc>
        <w:tc>
          <w:tcPr>
            <w:tcW w:w="1620" w:type="dxa"/>
            <w:tcBorders>
              <w:top w:val="nil"/>
              <w:left w:val="nil"/>
              <w:bottom w:val="single" w:sz="4" w:space="0" w:color="auto"/>
              <w:right w:val="single" w:sz="4" w:space="0" w:color="auto"/>
            </w:tcBorders>
            <w:noWrap/>
            <w:vAlign w:val="bottom"/>
          </w:tcPr>
          <w:p w:rsidR="00B22874" w:rsidRPr="00583077" w:rsidRDefault="00B22874" w:rsidP="00583077">
            <w:pPr>
              <w:jc w:val="center"/>
              <w:rPr>
                <w:rFonts w:eastAsia="Batang"/>
                <w:sz w:val="20"/>
                <w:szCs w:val="20"/>
                <w:lang w:eastAsia="ko-KR"/>
              </w:rPr>
            </w:pPr>
            <w:r w:rsidRPr="00583077">
              <w:rPr>
                <w:rFonts w:eastAsia="Batang"/>
                <w:sz w:val="20"/>
                <w:szCs w:val="20"/>
                <w:lang w:eastAsia="ko-KR"/>
              </w:rPr>
              <w:t>7.69%</w:t>
            </w:r>
          </w:p>
        </w:tc>
        <w:tc>
          <w:tcPr>
            <w:tcW w:w="1260" w:type="dxa"/>
            <w:tcBorders>
              <w:top w:val="nil"/>
              <w:left w:val="nil"/>
              <w:bottom w:val="single" w:sz="4" w:space="0" w:color="auto"/>
              <w:right w:val="single" w:sz="4" w:space="0" w:color="auto"/>
            </w:tcBorders>
            <w:noWrap/>
            <w:vAlign w:val="bottom"/>
          </w:tcPr>
          <w:p w:rsidR="00B22874" w:rsidRPr="00583077" w:rsidRDefault="00B22874" w:rsidP="00583077">
            <w:pPr>
              <w:jc w:val="center"/>
              <w:rPr>
                <w:rFonts w:eastAsia="Batang"/>
                <w:sz w:val="20"/>
                <w:szCs w:val="20"/>
                <w:lang w:eastAsia="ko-KR"/>
              </w:rPr>
            </w:pPr>
            <w:r w:rsidRPr="00583077">
              <w:rPr>
                <w:rFonts w:eastAsia="Batang"/>
                <w:sz w:val="20"/>
                <w:szCs w:val="20"/>
                <w:lang w:eastAsia="ko-KR"/>
              </w:rPr>
              <w:t>435</w:t>
            </w:r>
          </w:p>
        </w:tc>
        <w:tc>
          <w:tcPr>
            <w:tcW w:w="1080" w:type="dxa"/>
            <w:tcBorders>
              <w:top w:val="nil"/>
              <w:left w:val="nil"/>
              <w:bottom w:val="single" w:sz="4" w:space="0" w:color="auto"/>
              <w:right w:val="single" w:sz="4" w:space="0" w:color="auto"/>
            </w:tcBorders>
            <w:noWrap/>
            <w:vAlign w:val="bottom"/>
          </w:tcPr>
          <w:p w:rsidR="00B22874" w:rsidRPr="00583077" w:rsidRDefault="00B22874" w:rsidP="00583077">
            <w:pPr>
              <w:jc w:val="center"/>
              <w:rPr>
                <w:rFonts w:eastAsia="Batang"/>
                <w:sz w:val="20"/>
                <w:szCs w:val="20"/>
                <w:lang w:eastAsia="ko-KR"/>
              </w:rPr>
            </w:pPr>
            <w:r w:rsidRPr="00583077">
              <w:rPr>
                <w:rFonts w:eastAsia="Batang"/>
                <w:sz w:val="20"/>
                <w:szCs w:val="20"/>
                <w:lang w:eastAsia="ko-KR"/>
              </w:rPr>
              <w:t>1.21</w:t>
            </w:r>
          </w:p>
        </w:tc>
        <w:tc>
          <w:tcPr>
            <w:tcW w:w="1260" w:type="dxa"/>
            <w:tcBorders>
              <w:top w:val="nil"/>
              <w:left w:val="nil"/>
              <w:bottom w:val="single" w:sz="4" w:space="0" w:color="auto"/>
              <w:right w:val="single" w:sz="8" w:space="0" w:color="auto"/>
            </w:tcBorders>
            <w:noWrap/>
            <w:vAlign w:val="bottom"/>
          </w:tcPr>
          <w:p w:rsidR="00B22874" w:rsidRPr="00583077" w:rsidRDefault="00B22874" w:rsidP="00583077">
            <w:pPr>
              <w:jc w:val="center"/>
              <w:rPr>
                <w:rFonts w:eastAsia="Batang"/>
                <w:sz w:val="20"/>
                <w:szCs w:val="20"/>
                <w:lang w:eastAsia="ko-KR"/>
              </w:rPr>
            </w:pPr>
            <w:r w:rsidRPr="00583077">
              <w:rPr>
                <w:rFonts w:eastAsia="Batang"/>
                <w:sz w:val="20"/>
                <w:szCs w:val="20"/>
                <w:lang w:eastAsia="ko-KR"/>
              </w:rPr>
              <w:t>1.39</w:t>
            </w:r>
          </w:p>
        </w:tc>
      </w:tr>
      <w:tr w:rsidR="00B22874" w:rsidRPr="00583077" w:rsidTr="005B3E9C">
        <w:trPr>
          <w:trHeight w:val="255"/>
          <w:jc w:val="center"/>
        </w:trPr>
        <w:tc>
          <w:tcPr>
            <w:tcW w:w="1640" w:type="dxa"/>
            <w:tcBorders>
              <w:top w:val="single" w:sz="4" w:space="0" w:color="auto"/>
              <w:left w:val="single" w:sz="8" w:space="0" w:color="auto"/>
              <w:bottom w:val="single" w:sz="4" w:space="0" w:color="auto"/>
              <w:right w:val="single" w:sz="8" w:space="0" w:color="auto"/>
            </w:tcBorders>
            <w:noWrap/>
            <w:vAlign w:val="bottom"/>
          </w:tcPr>
          <w:p w:rsidR="00B22874" w:rsidRPr="00583077" w:rsidRDefault="00B22874" w:rsidP="00583077">
            <w:pPr>
              <w:jc w:val="center"/>
              <w:rPr>
                <w:rFonts w:eastAsia="Batang"/>
                <w:b/>
                <w:bCs/>
                <w:sz w:val="20"/>
                <w:szCs w:val="20"/>
                <w:lang w:eastAsia="ko-KR"/>
              </w:rPr>
            </w:pPr>
            <w:r w:rsidRPr="00583077">
              <w:rPr>
                <w:rFonts w:eastAsia="Batang"/>
                <w:b/>
                <w:bCs/>
                <w:sz w:val="20"/>
                <w:szCs w:val="20"/>
                <w:lang w:eastAsia="ko-KR"/>
              </w:rPr>
              <w:t>May-13</w:t>
            </w:r>
          </w:p>
        </w:tc>
        <w:tc>
          <w:tcPr>
            <w:tcW w:w="1795" w:type="dxa"/>
            <w:tcBorders>
              <w:top w:val="nil"/>
              <w:left w:val="nil"/>
              <w:bottom w:val="single" w:sz="4" w:space="0" w:color="auto"/>
              <w:right w:val="single" w:sz="4" w:space="0" w:color="auto"/>
            </w:tcBorders>
            <w:noWrap/>
            <w:vAlign w:val="bottom"/>
          </w:tcPr>
          <w:p w:rsidR="00B22874" w:rsidRPr="00583077" w:rsidRDefault="00B22874" w:rsidP="00583077">
            <w:pPr>
              <w:jc w:val="center"/>
              <w:rPr>
                <w:rFonts w:eastAsia="Batang"/>
                <w:sz w:val="20"/>
                <w:szCs w:val="20"/>
                <w:lang w:eastAsia="ko-KR"/>
              </w:rPr>
            </w:pPr>
            <w:r w:rsidRPr="00583077">
              <w:rPr>
                <w:rFonts w:eastAsia="Batang"/>
                <w:sz w:val="20"/>
                <w:szCs w:val="20"/>
                <w:lang w:eastAsia="ko-KR"/>
              </w:rPr>
              <w:t>0.81</w:t>
            </w:r>
          </w:p>
        </w:tc>
        <w:tc>
          <w:tcPr>
            <w:tcW w:w="1620" w:type="dxa"/>
            <w:tcBorders>
              <w:top w:val="nil"/>
              <w:left w:val="nil"/>
              <w:bottom w:val="single" w:sz="4" w:space="0" w:color="auto"/>
              <w:right w:val="single" w:sz="4" w:space="0" w:color="auto"/>
            </w:tcBorders>
            <w:noWrap/>
            <w:vAlign w:val="bottom"/>
          </w:tcPr>
          <w:p w:rsidR="00B22874" w:rsidRPr="00583077" w:rsidRDefault="00B22874" w:rsidP="00583077">
            <w:pPr>
              <w:jc w:val="center"/>
              <w:rPr>
                <w:rFonts w:eastAsia="Batang"/>
                <w:sz w:val="20"/>
                <w:szCs w:val="20"/>
                <w:lang w:eastAsia="ko-KR"/>
              </w:rPr>
            </w:pPr>
            <w:r w:rsidRPr="00583077">
              <w:rPr>
                <w:rFonts w:eastAsia="Batang"/>
                <w:sz w:val="20"/>
                <w:szCs w:val="20"/>
                <w:lang w:eastAsia="ko-KR"/>
              </w:rPr>
              <w:t>7.58%</w:t>
            </w:r>
          </w:p>
        </w:tc>
        <w:tc>
          <w:tcPr>
            <w:tcW w:w="1260" w:type="dxa"/>
            <w:tcBorders>
              <w:top w:val="nil"/>
              <w:left w:val="nil"/>
              <w:bottom w:val="single" w:sz="4" w:space="0" w:color="auto"/>
              <w:right w:val="single" w:sz="4" w:space="0" w:color="auto"/>
            </w:tcBorders>
            <w:noWrap/>
            <w:vAlign w:val="bottom"/>
          </w:tcPr>
          <w:p w:rsidR="00B22874" w:rsidRPr="00583077" w:rsidRDefault="00B22874" w:rsidP="00583077">
            <w:pPr>
              <w:jc w:val="center"/>
              <w:rPr>
                <w:rFonts w:eastAsia="Batang"/>
                <w:sz w:val="20"/>
                <w:szCs w:val="20"/>
                <w:lang w:eastAsia="ko-KR"/>
              </w:rPr>
            </w:pPr>
            <w:r w:rsidRPr="00583077">
              <w:rPr>
                <w:rFonts w:eastAsia="Batang"/>
                <w:sz w:val="20"/>
                <w:szCs w:val="20"/>
                <w:lang w:eastAsia="ko-KR"/>
              </w:rPr>
              <w:t>452</w:t>
            </w:r>
          </w:p>
        </w:tc>
        <w:tc>
          <w:tcPr>
            <w:tcW w:w="1080" w:type="dxa"/>
            <w:tcBorders>
              <w:top w:val="nil"/>
              <w:left w:val="nil"/>
              <w:bottom w:val="single" w:sz="4" w:space="0" w:color="auto"/>
              <w:right w:val="single" w:sz="4" w:space="0" w:color="auto"/>
            </w:tcBorders>
            <w:noWrap/>
            <w:vAlign w:val="bottom"/>
          </w:tcPr>
          <w:p w:rsidR="00B22874" w:rsidRPr="00583077" w:rsidRDefault="00B22874" w:rsidP="00583077">
            <w:pPr>
              <w:jc w:val="center"/>
              <w:rPr>
                <w:rFonts w:eastAsia="Batang"/>
                <w:sz w:val="20"/>
                <w:szCs w:val="20"/>
                <w:lang w:eastAsia="ko-KR"/>
              </w:rPr>
            </w:pPr>
            <w:r w:rsidRPr="00583077">
              <w:rPr>
                <w:rFonts w:eastAsia="Batang"/>
                <w:sz w:val="20"/>
                <w:szCs w:val="20"/>
                <w:lang w:eastAsia="ko-KR"/>
              </w:rPr>
              <w:t>1.26</w:t>
            </w:r>
          </w:p>
        </w:tc>
        <w:tc>
          <w:tcPr>
            <w:tcW w:w="1260" w:type="dxa"/>
            <w:tcBorders>
              <w:top w:val="nil"/>
              <w:left w:val="nil"/>
              <w:bottom w:val="single" w:sz="4" w:space="0" w:color="auto"/>
              <w:right w:val="single" w:sz="8" w:space="0" w:color="auto"/>
            </w:tcBorders>
            <w:noWrap/>
            <w:vAlign w:val="bottom"/>
          </w:tcPr>
          <w:p w:rsidR="00B22874" w:rsidRPr="00583077" w:rsidRDefault="00B22874" w:rsidP="00583077">
            <w:pPr>
              <w:jc w:val="center"/>
              <w:rPr>
                <w:rFonts w:eastAsia="Batang"/>
                <w:sz w:val="20"/>
                <w:szCs w:val="20"/>
                <w:lang w:eastAsia="ko-KR"/>
              </w:rPr>
            </w:pPr>
            <w:r w:rsidRPr="00583077">
              <w:rPr>
                <w:rFonts w:eastAsia="Batang"/>
                <w:sz w:val="20"/>
                <w:szCs w:val="20"/>
                <w:lang w:eastAsia="ko-KR"/>
              </w:rPr>
              <w:t>1.53</w:t>
            </w:r>
          </w:p>
        </w:tc>
      </w:tr>
      <w:tr w:rsidR="00B22874" w:rsidRPr="00583077" w:rsidTr="005B3E9C">
        <w:trPr>
          <w:trHeight w:val="255"/>
          <w:jc w:val="center"/>
        </w:trPr>
        <w:tc>
          <w:tcPr>
            <w:tcW w:w="1640" w:type="dxa"/>
            <w:tcBorders>
              <w:top w:val="single" w:sz="4" w:space="0" w:color="auto"/>
              <w:left w:val="single" w:sz="8" w:space="0" w:color="auto"/>
              <w:bottom w:val="single" w:sz="4" w:space="0" w:color="auto"/>
              <w:right w:val="single" w:sz="8" w:space="0" w:color="auto"/>
            </w:tcBorders>
            <w:noWrap/>
            <w:vAlign w:val="bottom"/>
          </w:tcPr>
          <w:p w:rsidR="00B22874" w:rsidRPr="00583077" w:rsidRDefault="00B22874" w:rsidP="00583077">
            <w:pPr>
              <w:jc w:val="center"/>
              <w:rPr>
                <w:rFonts w:eastAsia="Batang"/>
                <w:b/>
                <w:bCs/>
                <w:sz w:val="20"/>
                <w:szCs w:val="20"/>
                <w:lang w:eastAsia="ko-KR"/>
              </w:rPr>
            </w:pPr>
            <w:r w:rsidRPr="00583077">
              <w:rPr>
                <w:rFonts w:eastAsia="Batang"/>
                <w:b/>
                <w:bCs/>
                <w:sz w:val="20"/>
                <w:szCs w:val="20"/>
                <w:lang w:eastAsia="ko-KR"/>
              </w:rPr>
              <w:t>Jun-13</w:t>
            </w:r>
          </w:p>
        </w:tc>
        <w:tc>
          <w:tcPr>
            <w:tcW w:w="1795" w:type="dxa"/>
            <w:tcBorders>
              <w:top w:val="nil"/>
              <w:left w:val="nil"/>
              <w:bottom w:val="single" w:sz="4" w:space="0" w:color="auto"/>
              <w:right w:val="single" w:sz="4" w:space="0" w:color="auto"/>
            </w:tcBorders>
            <w:noWrap/>
            <w:vAlign w:val="bottom"/>
          </w:tcPr>
          <w:p w:rsidR="00B22874" w:rsidRPr="00583077" w:rsidRDefault="00B22874" w:rsidP="00583077">
            <w:pPr>
              <w:jc w:val="center"/>
              <w:rPr>
                <w:rFonts w:eastAsia="Batang"/>
                <w:sz w:val="20"/>
                <w:szCs w:val="20"/>
                <w:lang w:eastAsia="ko-KR"/>
              </w:rPr>
            </w:pPr>
            <w:r w:rsidRPr="00583077">
              <w:rPr>
                <w:rFonts w:eastAsia="Batang"/>
                <w:sz w:val="20"/>
                <w:szCs w:val="20"/>
                <w:lang w:eastAsia="ko-KR"/>
              </w:rPr>
              <w:t>0.79</w:t>
            </w:r>
          </w:p>
        </w:tc>
        <w:tc>
          <w:tcPr>
            <w:tcW w:w="1620" w:type="dxa"/>
            <w:tcBorders>
              <w:top w:val="nil"/>
              <w:left w:val="nil"/>
              <w:bottom w:val="single" w:sz="4" w:space="0" w:color="auto"/>
              <w:right w:val="single" w:sz="4" w:space="0" w:color="auto"/>
            </w:tcBorders>
            <w:noWrap/>
            <w:vAlign w:val="bottom"/>
          </w:tcPr>
          <w:p w:rsidR="00B22874" w:rsidRPr="00583077" w:rsidRDefault="00B22874" w:rsidP="00583077">
            <w:pPr>
              <w:jc w:val="center"/>
              <w:rPr>
                <w:rFonts w:eastAsia="Batang"/>
                <w:sz w:val="20"/>
                <w:szCs w:val="20"/>
                <w:lang w:eastAsia="ko-KR"/>
              </w:rPr>
            </w:pPr>
            <w:r w:rsidRPr="00583077">
              <w:rPr>
                <w:rFonts w:eastAsia="Batang"/>
                <w:sz w:val="20"/>
                <w:szCs w:val="20"/>
                <w:lang w:eastAsia="ko-KR"/>
              </w:rPr>
              <w:t>7.50%</w:t>
            </w:r>
          </w:p>
        </w:tc>
        <w:tc>
          <w:tcPr>
            <w:tcW w:w="1260" w:type="dxa"/>
            <w:tcBorders>
              <w:top w:val="nil"/>
              <w:left w:val="nil"/>
              <w:bottom w:val="single" w:sz="4" w:space="0" w:color="auto"/>
              <w:right w:val="single" w:sz="4" w:space="0" w:color="auto"/>
            </w:tcBorders>
            <w:noWrap/>
            <w:vAlign w:val="bottom"/>
          </w:tcPr>
          <w:p w:rsidR="00B22874" w:rsidRPr="00583077" w:rsidRDefault="00B22874" w:rsidP="00583077">
            <w:pPr>
              <w:jc w:val="center"/>
              <w:rPr>
                <w:rFonts w:eastAsia="Batang"/>
                <w:sz w:val="20"/>
                <w:szCs w:val="20"/>
                <w:lang w:eastAsia="ko-KR"/>
              </w:rPr>
            </w:pPr>
            <w:r w:rsidRPr="00583077">
              <w:rPr>
                <w:rFonts w:eastAsia="Batang"/>
                <w:sz w:val="20"/>
                <w:szCs w:val="20"/>
                <w:lang w:eastAsia="ko-KR"/>
              </w:rPr>
              <w:t>457</w:t>
            </w:r>
          </w:p>
        </w:tc>
        <w:tc>
          <w:tcPr>
            <w:tcW w:w="1080" w:type="dxa"/>
            <w:tcBorders>
              <w:top w:val="nil"/>
              <w:left w:val="nil"/>
              <w:bottom w:val="single" w:sz="4" w:space="0" w:color="auto"/>
              <w:right w:val="single" w:sz="4" w:space="0" w:color="auto"/>
            </w:tcBorders>
            <w:noWrap/>
            <w:vAlign w:val="bottom"/>
          </w:tcPr>
          <w:p w:rsidR="00B22874" w:rsidRPr="00583077" w:rsidRDefault="00B22874" w:rsidP="00583077">
            <w:pPr>
              <w:jc w:val="center"/>
              <w:rPr>
                <w:rFonts w:eastAsia="Batang"/>
                <w:sz w:val="20"/>
                <w:szCs w:val="20"/>
                <w:lang w:eastAsia="ko-KR"/>
              </w:rPr>
            </w:pPr>
            <w:r w:rsidRPr="00583077">
              <w:rPr>
                <w:rFonts w:eastAsia="Batang"/>
                <w:sz w:val="20"/>
                <w:szCs w:val="20"/>
                <w:lang w:eastAsia="ko-KR"/>
              </w:rPr>
              <w:t>1.27</w:t>
            </w:r>
          </w:p>
        </w:tc>
        <w:tc>
          <w:tcPr>
            <w:tcW w:w="1260" w:type="dxa"/>
            <w:tcBorders>
              <w:top w:val="nil"/>
              <w:left w:val="nil"/>
              <w:bottom w:val="single" w:sz="4" w:space="0" w:color="auto"/>
              <w:right w:val="single" w:sz="8" w:space="0" w:color="auto"/>
            </w:tcBorders>
            <w:noWrap/>
            <w:vAlign w:val="bottom"/>
          </w:tcPr>
          <w:p w:rsidR="00B22874" w:rsidRPr="00583077" w:rsidRDefault="00B22874" w:rsidP="00583077">
            <w:pPr>
              <w:jc w:val="center"/>
              <w:rPr>
                <w:rFonts w:eastAsia="Batang"/>
                <w:sz w:val="20"/>
                <w:szCs w:val="20"/>
                <w:lang w:eastAsia="ko-KR"/>
              </w:rPr>
            </w:pPr>
            <w:r w:rsidRPr="00583077">
              <w:rPr>
                <w:rFonts w:eastAsia="Batang"/>
                <w:sz w:val="20"/>
                <w:szCs w:val="20"/>
                <w:lang w:eastAsia="ko-KR"/>
              </w:rPr>
              <w:t>1.13</w:t>
            </w:r>
          </w:p>
        </w:tc>
      </w:tr>
      <w:tr w:rsidR="00B22874" w:rsidRPr="00583077" w:rsidTr="005B3E9C">
        <w:trPr>
          <w:trHeight w:val="255"/>
          <w:jc w:val="center"/>
        </w:trPr>
        <w:tc>
          <w:tcPr>
            <w:tcW w:w="1640" w:type="dxa"/>
            <w:tcBorders>
              <w:top w:val="single" w:sz="4" w:space="0" w:color="auto"/>
              <w:left w:val="single" w:sz="8" w:space="0" w:color="auto"/>
              <w:bottom w:val="single" w:sz="4" w:space="0" w:color="auto"/>
              <w:right w:val="single" w:sz="8" w:space="0" w:color="auto"/>
            </w:tcBorders>
            <w:noWrap/>
            <w:vAlign w:val="bottom"/>
          </w:tcPr>
          <w:p w:rsidR="00B22874" w:rsidRPr="00583077" w:rsidRDefault="00B22874" w:rsidP="00583077">
            <w:pPr>
              <w:jc w:val="center"/>
              <w:rPr>
                <w:rFonts w:eastAsia="Batang"/>
                <w:b/>
                <w:bCs/>
                <w:sz w:val="20"/>
                <w:szCs w:val="20"/>
                <w:lang w:eastAsia="ko-KR"/>
              </w:rPr>
            </w:pPr>
            <w:r w:rsidRPr="00583077">
              <w:rPr>
                <w:rFonts w:eastAsia="Batang"/>
                <w:b/>
                <w:bCs/>
                <w:sz w:val="20"/>
                <w:szCs w:val="20"/>
                <w:lang w:eastAsia="ko-KR"/>
              </w:rPr>
              <w:t>Jul-13</w:t>
            </w:r>
          </w:p>
        </w:tc>
        <w:tc>
          <w:tcPr>
            <w:tcW w:w="1795" w:type="dxa"/>
            <w:tcBorders>
              <w:top w:val="nil"/>
              <w:left w:val="nil"/>
              <w:bottom w:val="single" w:sz="4" w:space="0" w:color="auto"/>
              <w:right w:val="single" w:sz="4" w:space="0" w:color="auto"/>
            </w:tcBorders>
            <w:noWrap/>
            <w:vAlign w:val="bottom"/>
          </w:tcPr>
          <w:p w:rsidR="00B22874" w:rsidRPr="00583077" w:rsidRDefault="00B22874" w:rsidP="00583077">
            <w:pPr>
              <w:jc w:val="center"/>
              <w:rPr>
                <w:rFonts w:eastAsia="Batang"/>
                <w:sz w:val="20"/>
                <w:szCs w:val="20"/>
                <w:lang w:eastAsia="ko-KR"/>
              </w:rPr>
            </w:pPr>
            <w:r w:rsidRPr="00583077">
              <w:rPr>
                <w:rFonts w:eastAsia="Batang"/>
                <w:sz w:val="20"/>
                <w:szCs w:val="20"/>
                <w:lang w:eastAsia="ko-KR"/>
              </w:rPr>
              <w:t>0.79</w:t>
            </w:r>
          </w:p>
        </w:tc>
        <w:tc>
          <w:tcPr>
            <w:tcW w:w="1620" w:type="dxa"/>
            <w:tcBorders>
              <w:top w:val="nil"/>
              <w:left w:val="nil"/>
              <w:bottom w:val="single" w:sz="4" w:space="0" w:color="auto"/>
              <w:right w:val="single" w:sz="4" w:space="0" w:color="auto"/>
            </w:tcBorders>
            <w:noWrap/>
            <w:vAlign w:val="bottom"/>
          </w:tcPr>
          <w:p w:rsidR="00B22874" w:rsidRPr="00583077" w:rsidRDefault="00B22874" w:rsidP="00583077">
            <w:pPr>
              <w:jc w:val="center"/>
              <w:rPr>
                <w:rFonts w:eastAsia="Batang"/>
                <w:sz w:val="20"/>
                <w:szCs w:val="20"/>
                <w:lang w:eastAsia="ko-KR"/>
              </w:rPr>
            </w:pPr>
            <w:r w:rsidRPr="00583077">
              <w:rPr>
                <w:rFonts w:eastAsia="Batang"/>
                <w:sz w:val="20"/>
                <w:szCs w:val="20"/>
                <w:lang w:eastAsia="ko-KR"/>
              </w:rPr>
              <w:t>7.41%</w:t>
            </w:r>
          </w:p>
        </w:tc>
        <w:tc>
          <w:tcPr>
            <w:tcW w:w="1260" w:type="dxa"/>
            <w:tcBorders>
              <w:top w:val="nil"/>
              <w:left w:val="nil"/>
              <w:bottom w:val="single" w:sz="4" w:space="0" w:color="auto"/>
              <w:right w:val="single" w:sz="4" w:space="0" w:color="auto"/>
            </w:tcBorders>
            <w:noWrap/>
            <w:vAlign w:val="bottom"/>
          </w:tcPr>
          <w:p w:rsidR="00B22874" w:rsidRPr="00583077" w:rsidRDefault="00B22874" w:rsidP="00583077">
            <w:pPr>
              <w:jc w:val="center"/>
              <w:rPr>
                <w:rFonts w:eastAsia="Batang"/>
                <w:sz w:val="20"/>
                <w:szCs w:val="20"/>
                <w:lang w:eastAsia="ko-KR"/>
              </w:rPr>
            </w:pPr>
            <w:r w:rsidRPr="00583077">
              <w:rPr>
                <w:rFonts w:eastAsia="Batang"/>
                <w:sz w:val="20"/>
                <w:szCs w:val="20"/>
                <w:lang w:eastAsia="ko-KR"/>
              </w:rPr>
              <w:t>457</w:t>
            </w:r>
          </w:p>
        </w:tc>
        <w:tc>
          <w:tcPr>
            <w:tcW w:w="1080" w:type="dxa"/>
            <w:tcBorders>
              <w:top w:val="nil"/>
              <w:left w:val="nil"/>
              <w:bottom w:val="single" w:sz="4" w:space="0" w:color="auto"/>
              <w:right w:val="single" w:sz="4" w:space="0" w:color="auto"/>
            </w:tcBorders>
            <w:noWrap/>
            <w:vAlign w:val="bottom"/>
          </w:tcPr>
          <w:p w:rsidR="00B22874" w:rsidRPr="00583077" w:rsidRDefault="00B22874" w:rsidP="00583077">
            <w:pPr>
              <w:jc w:val="center"/>
              <w:rPr>
                <w:rFonts w:eastAsia="Batang"/>
                <w:sz w:val="20"/>
                <w:szCs w:val="20"/>
                <w:lang w:eastAsia="ko-KR"/>
              </w:rPr>
            </w:pPr>
            <w:r w:rsidRPr="00583077">
              <w:rPr>
                <w:rFonts w:eastAsia="Batang"/>
                <w:sz w:val="20"/>
                <w:szCs w:val="20"/>
                <w:lang w:eastAsia="ko-KR"/>
              </w:rPr>
              <w:t>1.27</w:t>
            </w:r>
          </w:p>
        </w:tc>
        <w:tc>
          <w:tcPr>
            <w:tcW w:w="1260" w:type="dxa"/>
            <w:tcBorders>
              <w:top w:val="nil"/>
              <w:left w:val="nil"/>
              <w:bottom w:val="single" w:sz="4" w:space="0" w:color="auto"/>
              <w:right w:val="single" w:sz="8" w:space="0" w:color="auto"/>
            </w:tcBorders>
            <w:noWrap/>
            <w:vAlign w:val="bottom"/>
          </w:tcPr>
          <w:p w:rsidR="00B22874" w:rsidRPr="00583077" w:rsidRDefault="00B22874" w:rsidP="00583077">
            <w:pPr>
              <w:jc w:val="center"/>
              <w:rPr>
                <w:rFonts w:eastAsia="Batang"/>
                <w:sz w:val="20"/>
                <w:szCs w:val="20"/>
                <w:lang w:eastAsia="ko-KR"/>
              </w:rPr>
            </w:pPr>
            <w:r w:rsidRPr="00583077">
              <w:rPr>
                <w:rFonts w:eastAsia="Batang"/>
                <w:sz w:val="20"/>
                <w:szCs w:val="20"/>
                <w:lang w:eastAsia="ko-KR"/>
              </w:rPr>
              <w:t>1.21</w:t>
            </w:r>
          </w:p>
        </w:tc>
      </w:tr>
      <w:tr w:rsidR="00B22874" w:rsidRPr="00583077" w:rsidTr="005B3E9C">
        <w:trPr>
          <w:trHeight w:val="255"/>
          <w:jc w:val="center"/>
        </w:trPr>
        <w:tc>
          <w:tcPr>
            <w:tcW w:w="1640" w:type="dxa"/>
            <w:tcBorders>
              <w:top w:val="single" w:sz="4" w:space="0" w:color="auto"/>
              <w:left w:val="single" w:sz="8" w:space="0" w:color="auto"/>
              <w:bottom w:val="single" w:sz="4" w:space="0" w:color="auto"/>
              <w:right w:val="single" w:sz="8" w:space="0" w:color="auto"/>
            </w:tcBorders>
            <w:noWrap/>
            <w:vAlign w:val="bottom"/>
          </w:tcPr>
          <w:p w:rsidR="00B22874" w:rsidRPr="00583077" w:rsidRDefault="00B22874" w:rsidP="00583077">
            <w:pPr>
              <w:jc w:val="center"/>
              <w:rPr>
                <w:rFonts w:eastAsia="Batang"/>
                <w:b/>
                <w:bCs/>
                <w:sz w:val="20"/>
                <w:szCs w:val="20"/>
                <w:lang w:eastAsia="ko-KR"/>
              </w:rPr>
            </w:pPr>
            <w:r w:rsidRPr="00583077">
              <w:rPr>
                <w:rFonts w:eastAsia="Batang"/>
                <w:b/>
                <w:bCs/>
                <w:sz w:val="20"/>
                <w:szCs w:val="20"/>
                <w:lang w:eastAsia="ko-KR"/>
              </w:rPr>
              <w:t>Aug-13</w:t>
            </w:r>
          </w:p>
        </w:tc>
        <w:tc>
          <w:tcPr>
            <w:tcW w:w="1795" w:type="dxa"/>
            <w:tcBorders>
              <w:top w:val="nil"/>
              <w:left w:val="nil"/>
              <w:bottom w:val="single" w:sz="4" w:space="0" w:color="auto"/>
              <w:right w:val="single" w:sz="4" w:space="0" w:color="auto"/>
            </w:tcBorders>
            <w:noWrap/>
            <w:vAlign w:val="bottom"/>
          </w:tcPr>
          <w:p w:rsidR="00B22874" w:rsidRPr="00583077" w:rsidRDefault="00B22874" w:rsidP="00583077">
            <w:pPr>
              <w:jc w:val="center"/>
              <w:rPr>
                <w:rFonts w:eastAsia="Batang"/>
                <w:sz w:val="20"/>
                <w:szCs w:val="20"/>
                <w:lang w:eastAsia="ko-KR"/>
              </w:rPr>
            </w:pPr>
            <w:r w:rsidRPr="00583077">
              <w:rPr>
                <w:rFonts w:eastAsia="Batang"/>
                <w:sz w:val="20"/>
                <w:szCs w:val="20"/>
                <w:lang w:eastAsia="ko-KR"/>
              </w:rPr>
              <w:t>0.82</w:t>
            </w:r>
          </w:p>
        </w:tc>
        <w:tc>
          <w:tcPr>
            <w:tcW w:w="1620" w:type="dxa"/>
            <w:tcBorders>
              <w:top w:val="nil"/>
              <w:left w:val="nil"/>
              <w:bottom w:val="single" w:sz="4" w:space="0" w:color="auto"/>
              <w:right w:val="single" w:sz="4" w:space="0" w:color="auto"/>
            </w:tcBorders>
            <w:noWrap/>
            <w:vAlign w:val="bottom"/>
          </w:tcPr>
          <w:p w:rsidR="00B22874" w:rsidRPr="00583077" w:rsidRDefault="00B22874" w:rsidP="00583077">
            <w:pPr>
              <w:jc w:val="center"/>
              <w:rPr>
                <w:rFonts w:eastAsia="Batang"/>
                <w:sz w:val="20"/>
                <w:szCs w:val="20"/>
                <w:lang w:eastAsia="ko-KR"/>
              </w:rPr>
            </w:pPr>
            <w:r w:rsidRPr="00583077">
              <w:rPr>
                <w:rFonts w:eastAsia="Batang"/>
                <w:sz w:val="20"/>
                <w:szCs w:val="20"/>
                <w:lang w:eastAsia="ko-KR"/>
              </w:rPr>
              <w:t>7.26%</w:t>
            </w:r>
          </w:p>
        </w:tc>
        <w:tc>
          <w:tcPr>
            <w:tcW w:w="1260" w:type="dxa"/>
            <w:tcBorders>
              <w:top w:val="nil"/>
              <w:left w:val="nil"/>
              <w:bottom w:val="single" w:sz="4" w:space="0" w:color="auto"/>
              <w:right w:val="single" w:sz="4" w:space="0" w:color="auto"/>
            </w:tcBorders>
            <w:noWrap/>
            <w:vAlign w:val="bottom"/>
          </w:tcPr>
          <w:p w:rsidR="00B22874" w:rsidRPr="00583077" w:rsidRDefault="00B22874" w:rsidP="00583077">
            <w:pPr>
              <w:jc w:val="center"/>
              <w:rPr>
                <w:rFonts w:eastAsia="Batang"/>
                <w:sz w:val="20"/>
                <w:szCs w:val="20"/>
                <w:lang w:eastAsia="ko-KR"/>
              </w:rPr>
            </w:pPr>
            <w:r w:rsidRPr="00583077">
              <w:rPr>
                <w:rFonts w:eastAsia="Batang"/>
                <w:sz w:val="20"/>
                <w:szCs w:val="20"/>
                <w:lang w:eastAsia="ko-KR"/>
              </w:rPr>
              <w:t>463</w:t>
            </w:r>
          </w:p>
        </w:tc>
        <w:tc>
          <w:tcPr>
            <w:tcW w:w="1080" w:type="dxa"/>
            <w:tcBorders>
              <w:top w:val="nil"/>
              <w:left w:val="nil"/>
              <w:bottom w:val="single" w:sz="4" w:space="0" w:color="auto"/>
              <w:right w:val="single" w:sz="4" w:space="0" w:color="auto"/>
            </w:tcBorders>
            <w:noWrap/>
            <w:vAlign w:val="bottom"/>
          </w:tcPr>
          <w:p w:rsidR="00B22874" w:rsidRPr="00583077" w:rsidRDefault="00B22874" w:rsidP="00583077">
            <w:pPr>
              <w:jc w:val="center"/>
              <w:rPr>
                <w:rFonts w:eastAsia="Batang"/>
                <w:sz w:val="20"/>
                <w:szCs w:val="20"/>
                <w:lang w:eastAsia="ko-KR"/>
              </w:rPr>
            </w:pPr>
            <w:r w:rsidRPr="00583077">
              <w:rPr>
                <w:rFonts w:eastAsia="Batang"/>
                <w:sz w:val="20"/>
                <w:szCs w:val="20"/>
                <w:lang w:eastAsia="ko-KR"/>
              </w:rPr>
              <w:t>1.29</w:t>
            </w:r>
          </w:p>
        </w:tc>
        <w:tc>
          <w:tcPr>
            <w:tcW w:w="1260" w:type="dxa"/>
            <w:tcBorders>
              <w:top w:val="nil"/>
              <w:left w:val="nil"/>
              <w:bottom w:val="single" w:sz="4" w:space="0" w:color="auto"/>
              <w:right w:val="single" w:sz="8" w:space="0" w:color="auto"/>
            </w:tcBorders>
            <w:noWrap/>
            <w:vAlign w:val="bottom"/>
          </w:tcPr>
          <w:p w:rsidR="00B22874" w:rsidRPr="00583077" w:rsidRDefault="00B22874" w:rsidP="00583077">
            <w:pPr>
              <w:jc w:val="center"/>
              <w:rPr>
                <w:rFonts w:eastAsia="Batang"/>
                <w:sz w:val="20"/>
                <w:szCs w:val="20"/>
                <w:lang w:eastAsia="ko-KR"/>
              </w:rPr>
            </w:pPr>
            <w:r w:rsidRPr="00583077">
              <w:rPr>
                <w:rFonts w:eastAsia="Batang"/>
                <w:sz w:val="20"/>
                <w:szCs w:val="20"/>
                <w:lang w:eastAsia="ko-KR"/>
              </w:rPr>
              <w:t>1.32</w:t>
            </w:r>
          </w:p>
        </w:tc>
      </w:tr>
      <w:tr w:rsidR="00B22874" w:rsidRPr="00583077" w:rsidTr="005B3E9C">
        <w:trPr>
          <w:trHeight w:val="255"/>
          <w:jc w:val="center"/>
        </w:trPr>
        <w:tc>
          <w:tcPr>
            <w:tcW w:w="1640" w:type="dxa"/>
            <w:tcBorders>
              <w:top w:val="single" w:sz="4" w:space="0" w:color="auto"/>
              <w:left w:val="single" w:sz="8" w:space="0" w:color="auto"/>
              <w:bottom w:val="single" w:sz="4" w:space="0" w:color="auto"/>
              <w:right w:val="single" w:sz="8" w:space="0" w:color="auto"/>
            </w:tcBorders>
            <w:noWrap/>
            <w:vAlign w:val="bottom"/>
          </w:tcPr>
          <w:p w:rsidR="00B22874" w:rsidRPr="00583077" w:rsidRDefault="00B22874" w:rsidP="00583077">
            <w:pPr>
              <w:jc w:val="center"/>
              <w:rPr>
                <w:rFonts w:eastAsia="Batang"/>
                <w:b/>
                <w:bCs/>
                <w:sz w:val="20"/>
                <w:szCs w:val="20"/>
                <w:lang w:eastAsia="ko-KR"/>
              </w:rPr>
            </w:pPr>
            <w:r w:rsidRPr="00583077">
              <w:rPr>
                <w:rFonts w:eastAsia="Batang"/>
                <w:b/>
                <w:bCs/>
                <w:sz w:val="20"/>
                <w:szCs w:val="20"/>
                <w:lang w:eastAsia="ko-KR"/>
              </w:rPr>
              <w:t>Sep-13</w:t>
            </w:r>
          </w:p>
        </w:tc>
        <w:tc>
          <w:tcPr>
            <w:tcW w:w="1795" w:type="dxa"/>
            <w:tcBorders>
              <w:top w:val="nil"/>
              <w:left w:val="nil"/>
              <w:bottom w:val="single" w:sz="4" w:space="0" w:color="auto"/>
              <w:right w:val="single" w:sz="4" w:space="0" w:color="auto"/>
            </w:tcBorders>
            <w:noWrap/>
            <w:vAlign w:val="bottom"/>
          </w:tcPr>
          <w:p w:rsidR="00B22874" w:rsidRPr="00583077" w:rsidRDefault="00B22874" w:rsidP="00583077">
            <w:pPr>
              <w:jc w:val="center"/>
              <w:rPr>
                <w:rFonts w:eastAsia="Batang"/>
                <w:sz w:val="20"/>
                <w:szCs w:val="20"/>
                <w:lang w:eastAsia="ko-KR"/>
              </w:rPr>
            </w:pPr>
            <w:r w:rsidRPr="00583077">
              <w:rPr>
                <w:rFonts w:eastAsia="Batang"/>
                <w:sz w:val="20"/>
                <w:szCs w:val="20"/>
                <w:lang w:eastAsia="ko-KR"/>
              </w:rPr>
              <w:t>0.80</w:t>
            </w:r>
          </w:p>
        </w:tc>
        <w:tc>
          <w:tcPr>
            <w:tcW w:w="1620" w:type="dxa"/>
            <w:tcBorders>
              <w:top w:val="nil"/>
              <w:left w:val="nil"/>
              <w:bottom w:val="single" w:sz="4" w:space="0" w:color="auto"/>
              <w:right w:val="single" w:sz="4" w:space="0" w:color="auto"/>
            </w:tcBorders>
            <w:noWrap/>
            <w:vAlign w:val="bottom"/>
          </w:tcPr>
          <w:p w:rsidR="00B22874" w:rsidRPr="00583077" w:rsidRDefault="00B22874" w:rsidP="00583077">
            <w:pPr>
              <w:jc w:val="center"/>
              <w:rPr>
                <w:rFonts w:eastAsia="Batang"/>
                <w:sz w:val="20"/>
                <w:szCs w:val="20"/>
                <w:lang w:eastAsia="ko-KR"/>
              </w:rPr>
            </w:pPr>
            <w:r w:rsidRPr="00583077">
              <w:rPr>
                <w:rFonts w:eastAsia="Batang"/>
                <w:sz w:val="20"/>
                <w:szCs w:val="20"/>
                <w:lang w:eastAsia="ko-KR"/>
              </w:rPr>
              <w:t>7.15%</w:t>
            </w:r>
          </w:p>
        </w:tc>
        <w:tc>
          <w:tcPr>
            <w:tcW w:w="1260" w:type="dxa"/>
            <w:tcBorders>
              <w:top w:val="nil"/>
              <w:left w:val="nil"/>
              <w:bottom w:val="single" w:sz="4" w:space="0" w:color="auto"/>
              <w:right w:val="single" w:sz="4" w:space="0" w:color="auto"/>
            </w:tcBorders>
            <w:noWrap/>
            <w:vAlign w:val="bottom"/>
          </w:tcPr>
          <w:p w:rsidR="00B22874" w:rsidRPr="00583077" w:rsidRDefault="00B22874" w:rsidP="00583077">
            <w:pPr>
              <w:jc w:val="center"/>
              <w:rPr>
                <w:rFonts w:eastAsia="Batang"/>
                <w:sz w:val="20"/>
                <w:szCs w:val="20"/>
                <w:lang w:eastAsia="ko-KR"/>
              </w:rPr>
            </w:pPr>
            <w:r w:rsidRPr="00583077">
              <w:rPr>
                <w:rFonts w:eastAsia="Batang"/>
                <w:sz w:val="20"/>
                <w:szCs w:val="20"/>
                <w:lang w:eastAsia="ko-KR"/>
              </w:rPr>
              <w:t>466</w:t>
            </w:r>
          </w:p>
        </w:tc>
        <w:tc>
          <w:tcPr>
            <w:tcW w:w="1080" w:type="dxa"/>
            <w:tcBorders>
              <w:top w:val="nil"/>
              <w:left w:val="nil"/>
              <w:bottom w:val="single" w:sz="4" w:space="0" w:color="auto"/>
              <w:right w:val="single" w:sz="4" w:space="0" w:color="auto"/>
            </w:tcBorders>
            <w:noWrap/>
            <w:vAlign w:val="bottom"/>
          </w:tcPr>
          <w:p w:rsidR="00B22874" w:rsidRPr="00583077" w:rsidRDefault="00B22874" w:rsidP="00583077">
            <w:pPr>
              <w:jc w:val="center"/>
              <w:rPr>
                <w:rFonts w:eastAsia="Batang"/>
                <w:sz w:val="20"/>
                <w:szCs w:val="20"/>
                <w:lang w:eastAsia="ko-KR"/>
              </w:rPr>
            </w:pPr>
            <w:r w:rsidRPr="00583077">
              <w:rPr>
                <w:rFonts w:eastAsia="Batang"/>
                <w:sz w:val="20"/>
                <w:szCs w:val="20"/>
                <w:lang w:eastAsia="ko-KR"/>
              </w:rPr>
              <w:t>1.29</w:t>
            </w:r>
          </w:p>
        </w:tc>
        <w:tc>
          <w:tcPr>
            <w:tcW w:w="1260" w:type="dxa"/>
            <w:tcBorders>
              <w:top w:val="nil"/>
              <w:left w:val="nil"/>
              <w:bottom w:val="single" w:sz="4" w:space="0" w:color="auto"/>
              <w:right w:val="single" w:sz="8" w:space="0" w:color="auto"/>
            </w:tcBorders>
            <w:noWrap/>
            <w:vAlign w:val="bottom"/>
          </w:tcPr>
          <w:p w:rsidR="00B22874" w:rsidRPr="00583077" w:rsidRDefault="00B22874" w:rsidP="00583077">
            <w:pPr>
              <w:jc w:val="center"/>
              <w:rPr>
                <w:rFonts w:eastAsia="Batang"/>
                <w:sz w:val="20"/>
                <w:szCs w:val="20"/>
                <w:lang w:eastAsia="ko-KR"/>
              </w:rPr>
            </w:pPr>
            <w:r w:rsidRPr="00583077">
              <w:rPr>
                <w:rFonts w:eastAsia="Batang"/>
                <w:sz w:val="20"/>
                <w:szCs w:val="20"/>
                <w:lang w:eastAsia="ko-KR"/>
              </w:rPr>
              <w:t>1.40</w:t>
            </w:r>
          </w:p>
        </w:tc>
      </w:tr>
      <w:tr w:rsidR="00B22874" w:rsidRPr="00583077" w:rsidTr="005B3E9C">
        <w:trPr>
          <w:trHeight w:val="270"/>
          <w:jc w:val="center"/>
        </w:trPr>
        <w:tc>
          <w:tcPr>
            <w:tcW w:w="1640" w:type="dxa"/>
            <w:tcBorders>
              <w:top w:val="single" w:sz="4" w:space="0" w:color="auto"/>
              <w:left w:val="single" w:sz="8" w:space="0" w:color="auto"/>
              <w:bottom w:val="single" w:sz="8" w:space="0" w:color="auto"/>
              <w:right w:val="single" w:sz="8" w:space="0" w:color="auto"/>
            </w:tcBorders>
            <w:noWrap/>
            <w:vAlign w:val="bottom"/>
          </w:tcPr>
          <w:p w:rsidR="00B22874" w:rsidRPr="00583077" w:rsidRDefault="00B22874" w:rsidP="00583077">
            <w:pPr>
              <w:jc w:val="center"/>
              <w:rPr>
                <w:rFonts w:eastAsia="Batang"/>
                <w:b/>
                <w:bCs/>
                <w:sz w:val="20"/>
                <w:szCs w:val="20"/>
                <w:lang w:eastAsia="ko-KR"/>
              </w:rPr>
            </w:pPr>
            <w:r w:rsidRPr="00583077">
              <w:rPr>
                <w:rFonts w:eastAsia="Batang"/>
                <w:b/>
                <w:bCs/>
                <w:sz w:val="20"/>
                <w:szCs w:val="20"/>
                <w:lang w:eastAsia="ko-KR"/>
              </w:rPr>
              <w:t>Dhj-13</w:t>
            </w:r>
          </w:p>
        </w:tc>
        <w:tc>
          <w:tcPr>
            <w:tcW w:w="1795" w:type="dxa"/>
            <w:tcBorders>
              <w:top w:val="nil"/>
              <w:left w:val="nil"/>
              <w:bottom w:val="single" w:sz="8" w:space="0" w:color="auto"/>
              <w:right w:val="single" w:sz="4" w:space="0" w:color="auto"/>
            </w:tcBorders>
            <w:noWrap/>
            <w:vAlign w:val="bottom"/>
          </w:tcPr>
          <w:p w:rsidR="00B22874" w:rsidRPr="00583077" w:rsidRDefault="00B22874" w:rsidP="00583077">
            <w:pPr>
              <w:jc w:val="center"/>
              <w:rPr>
                <w:rFonts w:eastAsia="Batang"/>
                <w:sz w:val="20"/>
                <w:szCs w:val="20"/>
                <w:lang w:eastAsia="ko-KR"/>
              </w:rPr>
            </w:pPr>
            <w:r w:rsidRPr="00583077">
              <w:rPr>
                <w:rFonts w:eastAsia="Batang"/>
                <w:sz w:val="20"/>
                <w:szCs w:val="20"/>
                <w:lang w:eastAsia="ko-KR"/>
              </w:rPr>
              <w:t>1.13</w:t>
            </w:r>
          </w:p>
        </w:tc>
        <w:tc>
          <w:tcPr>
            <w:tcW w:w="1620" w:type="dxa"/>
            <w:tcBorders>
              <w:top w:val="nil"/>
              <w:left w:val="nil"/>
              <w:bottom w:val="single" w:sz="8" w:space="0" w:color="auto"/>
              <w:right w:val="single" w:sz="4" w:space="0" w:color="auto"/>
            </w:tcBorders>
            <w:noWrap/>
            <w:vAlign w:val="bottom"/>
          </w:tcPr>
          <w:p w:rsidR="00B22874" w:rsidRPr="00583077" w:rsidRDefault="00B22874" w:rsidP="00583077">
            <w:pPr>
              <w:jc w:val="center"/>
              <w:rPr>
                <w:rFonts w:eastAsia="Batang"/>
                <w:sz w:val="20"/>
                <w:szCs w:val="20"/>
                <w:lang w:eastAsia="ko-KR"/>
              </w:rPr>
            </w:pPr>
            <w:r w:rsidRPr="00583077">
              <w:rPr>
                <w:rFonts w:eastAsia="Batang"/>
                <w:sz w:val="20"/>
                <w:szCs w:val="20"/>
                <w:lang w:eastAsia="ko-KR"/>
              </w:rPr>
              <w:t>6.72%</w:t>
            </w:r>
          </w:p>
        </w:tc>
        <w:tc>
          <w:tcPr>
            <w:tcW w:w="1260" w:type="dxa"/>
            <w:tcBorders>
              <w:top w:val="nil"/>
              <w:left w:val="nil"/>
              <w:bottom w:val="single" w:sz="8" w:space="0" w:color="auto"/>
              <w:right w:val="single" w:sz="4" w:space="0" w:color="auto"/>
            </w:tcBorders>
            <w:noWrap/>
            <w:vAlign w:val="bottom"/>
          </w:tcPr>
          <w:p w:rsidR="00B22874" w:rsidRPr="00583077" w:rsidRDefault="00B22874" w:rsidP="00583077">
            <w:pPr>
              <w:jc w:val="center"/>
              <w:rPr>
                <w:rFonts w:eastAsia="Batang"/>
                <w:sz w:val="20"/>
                <w:szCs w:val="20"/>
                <w:lang w:eastAsia="ko-KR"/>
              </w:rPr>
            </w:pPr>
            <w:r w:rsidRPr="00583077">
              <w:rPr>
                <w:rFonts w:eastAsia="Batang"/>
                <w:sz w:val="20"/>
                <w:szCs w:val="20"/>
                <w:lang w:eastAsia="ko-KR"/>
              </w:rPr>
              <w:t>559</w:t>
            </w:r>
          </w:p>
        </w:tc>
        <w:tc>
          <w:tcPr>
            <w:tcW w:w="1080" w:type="dxa"/>
            <w:tcBorders>
              <w:top w:val="nil"/>
              <w:left w:val="nil"/>
              <w:bottom w:val="single" w:sz="8" w:space="0" w:color="auto"/>
              <w:right w:val="single" w:sz="4" w:space="0" w:color="auto"/>
            </w:tcBorders>
            <w:noWrap/>
            <w:vAlign w:val="bottom"/>
          </w:tcPr>
          <w:p w:rsidR="00B22874" w:rsidRPr="00583077" w:rsidRDefault="00B22874" w:rsidP="00583077">
            <w:pPr>
              <w:jc w:val="center"/>
              <w:rPr>
                <w:rFonts w:eastAsia="Batang"/>
                <w:sz w:val="20"/>
                <w:szCs w:val="20"/>
                <w:lang w:eastAsia="ko-KR"/>
              </w:rPr>
            </w:pPr>
            <w:r w:rsidRPr="00583077">
              <w:rPr>
                <w:rFonts w:eastAsia="Batang"/>
                <w:sz w:val="20"/>
                <w:szCs w:val="20"/>
                <w:lang w:eastAsia="ko-KR"/>
              </w:rPr>
              <w:t>1.55</w:t>
            </w:r>
          </w:p>
        </w:tc>
        <w:tc>
          <w:tcPr>
            <w:tcW w:w="1260" w:type="dxa"/>
            <w:tcBorders>
              <w:top w:val="nil"/>
              <w:left w:val="nil"/>
              <w:bottom w:val="single" w:sz="8" w:space="0" w:color="auto"/>
              <w:right w:val="single" w:sz="8" w:space="0" w:color="auto"/>
            </w:tcBorders>
            <w:noWrap/>
            <w:vAlign w:val="bottom"/>
          </w:tcPr>
          <w:p w:rsidR="00B22874" w:rsidRPr="00583077" w:rsidRDefault="00B22874" w:rsidP="00583077">
            <w:pPr>
              <w:jc w:val="center"/>
              <w:rPr>
                <w:rFonts w:eastAsia="Batang"/>
                <w:sz w:val="20"/>
                <w:szCs w:val="20"/>
                <w:lang w:eastAsia="ko-KR"/>
              </w:rPr>
            </w:pPr>
            <w:r w:rsidRPr="00583077">
              <w:rPr>
                <w:rFonts w:eastAsia="Batang"/>
                <w:sz w:val="20"/>
                <w:szCs w:val="20"/>
                <w:lang w:eastAsia="ko-KR"/>
              </w:rPr>
              <w:t>1.38</w:t>
            </w:r>
          </w:p>
        </w:tc>
      </w:tr>
    </w:tbl>
    <w:p w:rsidR="00B22874" w:rsidRPr="00583077" w:rsidRDefault="00B22874" w:rsidP="00183507">
      <w:pPr>
        <w:jc w:val="both"/>
        <w:rPr>
          <w:lang w:val="sq-AL"/>
        </w:rPr>
      </w:pPr>
    </w:p>
    <w:p w:rsidR="00B22874" w:rsidRPr="00583077" w:rsidRDefault="00B22874" w:rsidP="00183507">
      <w:pPr>
        <w:jc w:val="both"/>
        <w:rPr>
          <w:lang w:val="sq-AL"/>
        </w:rPr>
      </w:pPr>
    </w:p>
    <w:p w:rsidR="00B22874" w:rsidRDefault="00B22874" w:rsidP="00183507">
      <w:pPr>
        <w:jc w:val="both"/>
        <w:rPr>
          <w:sz w:val="20"/>
          <w:szCs w:val="20"/>
          <w:lang w:val="it-IT"/>
        </w:rPr>
      </w:pPr>
      <w:r w:rsidRPr="00583077">
        <w:rPr>
          <w:b/>
          <w:bCs/>
          <w:sz w:val="20"/>
          <w:szCs w:val="20"/>
          <w:lang w:val="it-IT"/>
        </w:rPr>
        <w:t xml:space="preserve">     Grafik 6</w:t>
      </w:r>
      <w:r w:rsidRPr="00583077">
        <w:rPr>
          <w:sz w:val="20"/>
          <w:szCs w:val="20"/>
          <w:lang w:val="it-IT"/>
        </w:rPr>
        <w:t xml:space="preserve">. </w:t>
      </w:r>
    </w:p>
    <w:p w:rsidR="00B22874" w:rsidRPr="00583077" w:rsidRDefault="00B22874" w:rsidP="009F044E">
      <w:pPr>
        <w:autoSpaceDE w:val="0"/>
        <w:autoSpaceDN w:val="0"/>
        <w:adjustRightInd w:val="0"/>
        <w:spacing w:line="300" w:lineRule="exact"/>
        <w:jc w:val="both"/>
        <w:rPr>
          <w:sz w:val="20"/>
          <w:szCs w:val="20"/>
          <w:lang w:val="it-IT"/>
        </w:rPr>
      </w:pPr>
      <w:r>
        <w:rPr>
          <w:lang w:val="it-IT"/>
        </w:rPr>
        <w:t xml:space="preserve">   </w:t>
      </w:r>
      <w:r w:rsidRPr="00583077">
        <w:rPr>
          <w:lang w:val="it-IT"/>
        </w:rPr>
        <w:t xml:space="preserve">* </w:t>
      </w:r>
      <w:r>
        <w:rPr>
          <w:sz w:val="20"/>
          <w:szCs w:val="20"/>
          <w:lang w:val="it-IT"/>
        </w:rPr>
        <w:t>Yieldi mesatar i ponderuar &amp; ditët mesatare në maturim</w:t>
      </w:r>
    </w:p>
    <w:p w:rsidR="00B22874" w:rsidRPr="00583077" w:rsidRDefault="00512804" w:rsidP="00183507">
      <w:pPr>
        <w:jc w:val="center"/>
        <w:rPr>
          <w:sz w:val="20"/>
          <w:szCs w:val="20"/>
          <w:lang w:val="it-IT"/>
        </w:rPr>
      </w:pPr>
      <w:r>
        <w:rPr>
          <w:noProof/>
          <w:lang w:val="en-GB" w:eastAsia="en-GB"/>
        </w:rPr>
        <w:drawing>
          <wp:inline distT="0" distB="0" distL="0" distR="0">
            <wp:extent cx="5581650" cy="2800350"/>
            <wp:effectExtent l="19050" t="19050" r="19050" b="190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srcRect/>
                    <a:stretch>
                      <a:fillRect/>
                    </a:stretch>
                  </pic:blipFill>
                  <pic:spPr bwMode="auto">
                    <a:xfrm>
                      <a:off x="0" y="0"/>
                      <a:ext cx="5581650" cy="2800350"/>
                    </a:xfrm>
                    <a:prstGeom prst="rect">
                      <a:avLst/>
                    </a:prstGeom>
                    <a:noFill/>
                    <a:ln w="12700" cmpd="sng">
                      <a:solidFill>
                        <a:srgbClr val="000000"/>
                      </a:solidFill>
                      <a:miter lim="800000"/>
                      <a:headEnd/>
                      <a:tailEnd/>
                    </a:ln>
                    <a:effectLst/>
                  </pic:spPr>
                </pic:pic>
              </a:graphicData>
            </a:graphic>
          </wp:inline>
        </w:drawing>
      </w:r>
    </w:p>
    <w:p w:rsidR="00B22874" w:rsidRPr="00583077" w:rsidRDefault="00B22874" w:rsidP="00183507">
      <w:pPr>
        <w:jc w:val="both"/>
      </w:pPr>
      <w:r w:rsidRPr="00583077">
        <w:lastRenderedPageBreak/>
        <w:t xml:space="preserve">Ditët mesatare në maturim (DMM, jetëgjatësia mesatare e portofolit të borxhit të brendshëm) kanë pasur një përmirësim të theksuar përgjatë këtij viti krahasuar me fundin e vitit 2012, me 173 ditë. Treguesi i ditëve mesatare në maturim rezulton në nivelin më të lartë në 559 ditë në dhjetor të vitit 2013, niveli maksimal duke e krahasuar me historikun e gjithë viteve të mëparshme si dhe me të njëjtën periudhë të një viti më parë. Kjo rritje vjen kryesisht nga emetimi konsistent i instrumentave me afat të gjatë maturimi (nga emetimi i obligacioneve 5, 7 dhe 10 vjeçare) </w:t>
      </w:r>
    </w:p>
    <w:p w:rsidR="00B22874" w:rsidRPr="00583077" w:rsidRDefault="00B22874" w:rsidP="00183507">
      <w:pPr>
        <w:jc w:val="both"/>
      </w:pPr>
    </w:p>
    <w:p w:rsidR="00B22874" w:rsidRPr="00583077" w:rsidRDefault="00B22874" w:rsidP="00183507">
      <w:pPr>
        <w:jc w:val="both"/>
        <w:rPr>
          <w:i/>
          <w:iCs/>
        </w:rPr>
      </w:pPr>
      <w:r w:rsidRPr="00583077">
        <w:t xml:space="preserve">Yieldi mesatar i ponderuar (YMP, kosto mesatare e portofolit të borxhit të brendshëm) gjithashtu ka pasur një përmirësim gjatë vitit 2013 krahasuar me po të njëjtën periudhë të vitit 2012. Ky tregues ka ardhur duke u ulur nga 7.84 % në fundin e vitit 2012 në 6.72% në fundin e vitit  2013, duke përmirësuar në këtë mënyrë koston mesatare të portofolit të borxhit në tregun vendas. Gjithsesi, </w:t>
      </w:r>
      <w:r w:rsidRPr="00583077">
        <w:rPr>
          <w:i/>
          <w:iCs/>
        </w:rPr>
        <w:t>portofoli vazhdon të jetë i ndjeshëm ndaj luhatjeve të  normave të interesit, pasi kjo ulje e yieldit mesatar të ponderuar i atribuohet uljes së përkohshme të normave të interesit në ankandet e letrave me vlerë.</w:t>
      </w:r>
    </w:p>
    <w:p w:rsidR="00B22874" w:rsidRPr="00583077" w:rsidRDefault="00B22874" w:rsidP="00183507">
      <w:pPr>
        <w:jc w:val="both"/>
      </w:pPr>
    </w:p>
    <w:p w:rsidR="00B22874" w:rsidRPr="00583077" w:rsidRDefault="00B22874" w:rsidP="00183507">
      <w:pPr>
        <w:jc w:val="both"/>
      </w:pPr>
      <w:r w:rsidRPr="00583077">
        <w:t xml:space="preserve">Duration (ndjeshmëria e portofolit ndaj luhatjes së normave të interesit) gjatë vitit 2013 ka prekur nivelet maksimale (1.13, dhjetort 2013), jo vetëm krahasuar me një vit më parë por edhe duke e krahasuar me të dhënat historike për dy vitet e mëparshme. Kjo rritje e këtij treguesi gjatë muajve janar-shtator ka ardhur si rezultat i emetimit në një pjesë të konsiderueshme të instrumentave me afat të gjatë maturimi (obligacionet 5 vjeçare të muajit shkurt, maj, gusht dhe rihapja e shtatorit; obligacionet 7 vjeçare të muajit mars, qershor dhe shtator si edhe emetimi për herë të parë i obligacioneve 10 vjecare në muajin nëntor). Përmirësimi i këtij treguesi tregon një përmirësim të ndjeshëm ndaj riskut të rifinancimit. </w:t>
      </w:r>
    </w:p>
    <w:p w:rsidR="00B22874" w:rsidRPr="00583077" w:rsidRDefault="00B22874" w:rsidP="00183507">
      <w:pPr>
        <w:jc w:val="both"/>
      </w:pPr>
      <w:r w:rsidRPr="00583077">
        <w:t>Gjithsesi, vlen të theksohet se pavarësisht ecurisë positive të treguesve, qëndrueshmëria në aspe</w:t>
      </w:r>
      <w:r>
        <w:t>ktin afatgjatë dhe përmirësimi i</w:t>
      </w:r>
      <w:r w:rsidRPr="00583077">
        <w:t xml:space="preserve"> mëtejshëm i treguesve mbetet ende një sfidë në tregun e brendshëm dhe zhvillimet e tij.</w:t>
      </w:r>
    </w:p>
    <w:p w:rsidR="00B22874" w:rsidRPr="00583077" w:rsidRDefault="00B22874" w:rsidP="00183507">
      <w:pPr>
        <w:jc w:val="both"/>
        <w:rPr>
          <w:b/>
          <w:lang w:val="sq-AL"/>
        </w:rPr>
      </w:pPr>
    </w:p>
    <w:p w:rsidR="00B22874" w:rsidRPr="00583077" w:rsidRDefault="00B22874" w:rsidP="001E1D64">
      <w:pPr>
        <w:jc w:val="both"/>
        <w:rPr>
          <w:b/>
          <w:lang w:val="sq-AL"/>
        </w:rPr>
      </w:pPr>
      <w:r>
        <w:rPr>
          <w:b/>
          <w:lang w:val="sq-AL"/>
        </w:rPr>
        <w:t>II-b</w:t>
      </w:r>
      <w:r w:rsidRPr="00583077">
        <w:rPr>
          <w:b/>
          <w:lang w:val="sq-AL"/>
        </w:rPr>
        <w:t>. Analiza e borxhit të jashtëm</w:t>
      </w:r>
    </w:p>
    <w:p w:rsidR="00B22874" w:rsidRPr="00583077" w:rsidRDefault="00B22874" w:rsidP="001E1D64">
      <w:pPr>
        <w:jc w:val="both"/>
        <w:rPr>
          <w:b/>
          <w:lang w:val="sq-AL"/>
        </w:rPr>
      </w:pPr>
    </w:p>
    <w:p w:rsidR="00B22874" w:rsidRPr="00583077" w:rsidRDefault="00B22874" w:rsidP="007747A3">
      <w:pPr>
        <w:ind w:firstLine="720"/>
        <w:jc w:val="both"/>
        <w:rPr>
          <w:b/>
          <w:lang w:val="sq-AL"/>
        </w:rPr>
      </w:pPr>
      <w:r>
        <w:rPr>
          <w:b/>
          <w:lang w:val="sq-AL"/>
        </w:rPr>
        <w:t>i-b.</w:t>
      </w:r>
      <w:r w:rsidRPr="00583077">
        <w:rPr>
          <w:b/>
          <w:lang w:val="sq-AL"/>
        </w:rPr>
        <w:t xml:space="preserve"> Kompozimi i borxhit të jashtëm </w:t>
      </w:r>
    </w:p>
    <w:p w:rsidR="00B22874" w:rsidRPr="00583077" w:rsidRDefault="00B22874" w:rsidP="007747A3">
      <w:pPr>
        <w:ind w:firstLine="720"/>
        <w:jc w:val="both"/>
        <w:rPr>
          <w:b/>
          <w:lang w:val="sq-AL"/>
        </w:rPr>
      </w:pPr>
    </w:p>
    <w:p w:rsidR="00B22874" w:rsidRPr="00583077" w:rsidRDefault="00B22874" w:rsidP="007747A3">
      <w:pPr>
        <w:spacing w:line="276" w:lineRule="auto"/>
        <w:jc w:val="both"/>
        <w:rPr>
          <w:lang w:val="sq-AL"/>
        </w:rPr>
      </w:pPr>
      <w:r w:rsidRPr="00583077">
        <w:rPr>
          <w:lang w:val="sq-AL"/>
        </w:rPr>
        <w:t xml:space="preserve">Në fund të vitit 2013 portofoli i borxhit të jashtëm është i kompozuar nga tre monedha kryesore (EURO, USD, YEN), ku peshën më të madhe e mban monedha EURO me 68.19% të portofolit. Krahasuar me fundin e vitit të kaluar kemi një ulje të peshës së monedhës EURO dhe YEN-it në portofol, përkatësisht me rreth 33 dhe 0.59 pikë bazë. Ndërkohë, që kemi një rritje të peshës së monedhës USD me 38 pikë bazë dhe të monedhave të tjera me 53 pikë bazë. Përqindja e lartë e stokut të borxhit në EURO bën që portofoli të jetë i ekspozuar ndaj riskut të kursit të këmbimit në një periudhë afat shkurtër, por nga ana tjetër në periudhën afatgjatë kjo përqindje e lartë e stokut në Euro është në përputhje me aspiratat e vendit për tu integruar në Bashkimin Europian. </w:t>
      </w:r>
    </w:p>
    <w:p w:rsidR="00B22874" w:rsidRPr="00583077" w:rsidRDefault="00B22874" w:rsidP="007747A3">
      <w:pPr>
        <w:ind w:firstLine="720"/>
        <w:jc w:val="both"/>
        <w:rPr>
          <w:b/>
          <w:lang w:val="sq-AL"/>
        </w:rPr>
      </w:pPr>
    </w:p>
    <w:p w:rsidR="00B22874" w:rsidRPr="00583077" w:rsidRDefault="00B22874" w:rsidP="007747A3">
      <w:pPr>
        <w:ind w:firstLine="720"/>
        <w:jc w:val="both"/>
        <w:rPr>
          <w:b/>
          <w:lang w:val="sq-AL"/>
        </w:rPr>
      </w:pPr>
    </w:p>
    <w:p w:rsidR="00B22874" w:rsidRPr="00583077" w:rsidRDefault="00B22874" w:rsidP="007747A3">
      <w:pPr>
        <w:ind w:firstLine="720"/>
        <w:jc w:val="both"/>
        <w:rPr>
          <w:b/>
          <w:lang w:val="sq-AL"/>
        </w:rPr>
      </w:pPr>
    </w:p>
    <w:p w:rsidR="00B22874" w:rsidRPr="00583077" w:rsidRDefault="00B22874" w:rsidP="007747A3">
      <w:pPr>
        <w:ind w:firstLine="720"/>
        <w:jc w:val="both"/>
        <w:rPr>
          <w:b/>
          <w:lang w:val="sq-AL"/>
        </w:rPr>
      </w:pPr>
    </w:p>
    <w:p w:rsidR="00B22874" w:rsidRPr="00583077" w:rsidRDefault="00B22874" w:rsidP="00F555ED">
      <w:pPr>
        <w:jc w:val="both"/>
        <w:rPr>
          <w:b/>
          <w:lang w:val="sq-AL"/>
        </w:rPr>
      </w:pPr>
    </w:p>
    <w:p w:rsidR="00B22874" w:rsidRPr="005B3E9C" w:rsidRDefault="00B22874" w:rsidP="00E1078B">
      <w:pPr>
        <w:jc w:val="both"/>
        <w:rPr>
          <w:b/>
          <w:bCs/>
          <w:sz w:val="20"/>
          <w:szCs w:val="20"/>
          <w:lang w:val="it-IT"/>
        </w:rPr>
      </w:pPr>
      <w:r w:rsidRPr="005B3E9C">
        <w:rPr>
          <w:b/>
          <w:bCs/>
          <w:sz w:val="20"/>
          <w:szCs w:val="20"/>
          <w:lang w:val="it-IT"/>
        </w:rPr>
        <w:lastRenderedPageBreak/>
        <w:t xml:space="preserve">Grafik </w:t>
      </w:r>
      <w:r>
        <w:rPr>
          <w:b/>
          <w:bCs/>
          <w:sz w:val="20"/>
          <w:szCs w:val="20"/>
          <w:lang w:val="it-IT"/>
        </w:rPr>
        <w:t>7</w:t>
      </w:r>
      <w:r w:rsidRPr="005B3E9C">
        <w:rPr>
          <w:b/>
          <w:bCs/>
          <w:sz w:val="20"/>
          <w:szCs w:val="20"/>
          <w:lang w:val="it-IT"/>
        </w:rPr>
        <w:t>.</w:t>
      </w:r>
    </w:p>
    <w:p w:rsidR="00B22874" w:rsidRPr="00583077" w:rsidRDefault="00B22874" w:rsidP="00E1078B">
      <w:pPr>
        <w:autoSpaceDE w:val="0"/>
        <w:autoSpaceDN w:val="0"/>
        <w:adjustRightInd w:val="0"/>
        <w:spacing w:line="300" w:lineRule="exact"/>
        <w:jc w:val="both"/>
        <w:rPr>
          <w:sz w:val="20"/>
          <w:szCs w:val="20"/>
          <w:lang w:val="it-IT"/>
        </w:rPr>
      </w:pPr>
      <w:r w:rsidRPr="00583077">
        <w:rPr>
          <w:lang w:val="it-IT"/>
        </w:rPr>
        <w:t xml:space="preserve">* </w:t>
      </w:r>
      <w:r w:rsidRPr="00583077">
        <w:rPr>
          <w:sz w:val="20"/>
          <w:szCs w:val="20"/>
          <w:lang w:val="it-IT"/>
        </w:rPr>
        <w:t>Kompozimi i borxhit të jashtëm sipas monedhave</w:t>
      </w:r>
    </w:p>
    <w:p w:rsidR="00B22874" w:rsidRPr="00583077" w:rsidRDefault="00512804" w:rsidP="001E1D64">
      <w:pPr>
        <w:jc w:val="both"/>
        <w:rPr>
          <w:b/>
          <w:lang w:val="sq-AL"/>
        </w:rPr>
      </w:pPr>
      <w:r>
        <w:rPr>
          <w:noProof/>
          <w:lang w:val="en-GB" w:eastAsia="en-GB"/>
        </w:rPr>
        <w:drawing>
          <wp:inline distT="0" distB="0" distL="0" distR="0">
            <wp:extent cx="5924550" cy="2781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srcRect/>
                    <a:stretch>
                      <a:fillRect/>
                    </a:stretch>
                  </pic:blipFill>
                  <pic:spPr bwMode="auto">
                    <a:xfrm>
                      <a:off x="0" y="0"/>
                      <a:ext cx="5924550" cy="2781300"/>
                    </a:xfrm>
                    <a:prstGeom prst="rect">
                      <a:avLst/>
                    </a:prstGeom>
                    <a:noFill/>
                    <a:ln w="9525">
                      <a:noFill/>
                      <a:miter lim="800000"/>
                      <a:headEnd/>
                      <a:tailEnd/>
                    </a:ln>
                  </pic:spPr>
                </pic:pic>
              </a:graphicData>
            </a:graphic>
          </wp:inline>
        </w:drawing>
      </w:r>
    </w:p>
    <w:p w:rsidR="00B22874" w:rsidRPr="00583077" w:rsidRDefault="00B22874" w:rsidP="001E1D64">
      <w:pPr>
        <w:jc w:val="both"/>
        <w:rPr>
          <w:b/>
          <w:lang w:val="sq-AL"/>
        </w:rPr>
      </w:pPr>
    </w:p>
    <w:p w:rsidR="00B22874" w:rsidRPr="00583077" w:rsidRDefault="00B22874" w:rsidP="001E1D64">
      <w:pPr>
        <w:jc w:val="both"/>
        <w:rPr>
          <w:lang w:val="sq-AL"/>
        </w:rPr>
      </w:pPr>
      <w:r w:rsidRPr="00583077">
        <w:rPr>
          <w:lang w:val="sq-AL"/>
        </w:rPr>
        <w:t>Përsa i përket stokut të borxhit me sipas koncesionalitetit, stoku me terma jokoncesionale (tregtare) vazhdon të rritet në raport me atë me interesa koncesionale.</w:t>
      </w:r>
    </w:p>
    <w:p w:rsidR="00B22874" w:rsidRPr="00583077" w:rsidRDefault="00B22874" w:rsidP="001E1D64">
      <w:pPr>
        <w:jc w:val="both"/>
        <w:rPr>
          <w:lang w:val="sq-AL"/>
        </w:rPr>
      </w:pPr>
      <w:r w:rsidRPr="00583077">
        <w:rPr>
          <w:lang w:val="sq-AL"/>
        </w:rPr>
        <w:t>Kontraktimi i financimit të huaj gjithmonë e më shumë më interesa tregtare shpjegohet me faktin se Shqipëria nuk kategorizohet më si një vend me të ardhura të ulta.</w:t>
      </w:r>
    </w:p>
    <w:p w:rsidR="00B22874" w:rsidRPr="00583077" w:rsidRDefault="00B22874" w:rsidP="001E1D64">
      <w:pPr>
        <w:jc w:val="both"/>
        <w:rPr>
          <w:lang w:val="sq-AL"/>
        </w:rPr>
      </w:pPr>
      <w:r w:rsidRPr="00583077">
        <w:rPr>
          <w:lang w:val="sq-AL"/>
        </w:rPr>
        <w:t>Kështu në fund të vitit 2013 raporti i stokut koncesional/jo koncesional vlerësohet në 46.75% me 53.25%, nga ku borxhi me interesa koncesionale ka pësuar një rënie  me 156 pikë bazë krahasuar me fundin e vitit të mëparshëm.</w:t>
      </w:r>
    </w:p>
    <w:p w:rsidR="00B22874" w:rsidRPr="00583077" w:rsidRDefault="00B22874" w:rsidP="001E1D64">
      <w:pPr>
        <w:jc w:val="both"/>
        <w:rPr>
          <w:lang w:val="sq-AL"/>
        </w:rPr>
      </w:pPr>
    </w:p>
    <w:p w:rsidR="00B22874" w:rsidRPr="00583077" w:rsidRDefault="00B22874" w:rsidP="00A01A6E">
      <w:pPr>
        <w:jc w:val="both"/>
        <w:rPr>
          <w:lang w:val="sq-AL"/>
        </w:rPr>
      </w:pPr>
      <w:r w:rsidRPr="00583077">
        <w:rPr>
          <w:lang w:val="sq-AL"/>
        </w:rPr>
        <w:t xml:space="preserve">Ndërkohë përsa i përket stokut sipas tipit të interesit, në fund të vitit 2013 raporti borxh me interesa fikse/borxh me interesa variabël vlerësohet në 55.48% me 44.42%. Përgjatë vitit 2013 vihet re një dominim prej afro 11% i kredive të nënshkruara me interesa fikse. Gjithsesi, vlen të theksohet fakti që raporti ndërmjet stokut të kontraktuar me interesa fikse dhe atij me interesa variable ndër </w:t>
      </w:r>
      <w:r>
        <w:rPr>
          <w:lang w:val="sq-AL"/>
        </w:rPr>
        <w:t>vite ka ardhur duke u ngushtuar</w:t>
      </w:r>
      <w:r w:rsidRPr="00583077">
        <w:rPr>
          <w:lang w:val="sq-AL"/>
        </w:rPr>
        <w:t xml:space="preserve"> </w:t>
      </w:r>
      <w:r>
        <w:rPr>
          <w:lang w:val="sq-AL"/>
        </w:rPr>
        <w:t>dhe</w:t>
      </w:r>
      <w:r w:rsidRPr="00583077">
        <w:rPr>
          <w:lang w:val="sq-AL"/>
        </w:rPr>
        <w:t xml:space="preserve"> gjatë harkut kohor të një viti (2012-2013) stoku i borxhit me interesa variable është rritur si rezultat i kalimit të disa kredive të Bankës Botërore nga norma interesi fikse në norma interesi vari</w:t>
      </w:r>
      <w:r>
        <w:rPr>
          <w:lang w:val="sq-AL"/>
        </w:rPr>
        <w:t>ab</w:t>
      </w:r>
      <w:r w:rsidRPr="00583077">
        <w:rPr>
          <w:lang w:val="sq-AL"/>
        </w:rPr>
        <w:t>le</w:t>
      </w:r>
      <w:r>
        <w:rPr>
          <w:lang w:val="sq-AL"/>
        </w:rPr>
        <w:t>.</w:t>
      </w:r>
    </w:p>
    <w:p w:rsidR="00B22874" w:rsidRPr="00583077" w:rsidRDefault="00B22874" w:rsidP="00A01A6E">
      <w:pPr>
        <w:jc w:val="both"/>
        <w:rPr>
          <w:lang w:val="sq-AL"/>
        </w:rPr>
      </w:pPr>
    </w:p>
    <w:p w:rsidR="00B22874" w:rsidRPr="00583077" w:rsidRDefault="00B22874" w:rsidP="00A01A6E">
      <w:pPr>
        <w:jc w:val="both"/>
        <w:rPr>
          <w:lang w:val="sq-AL"/>
        </w:rPr>
      </w:pPr>
    </w:p>
    <w:p w:rsidR="00B22874" w:rsidRPr="00583077" w:rsidRDefault="00B22874" w:rsidP="00A01A6E">
      <w:pPr>
        <w:jc w:val="both"/>
        <w:rPr>
          <w:lang w:val="sq-AL"/>
        </w:rPr>
      </w:pPr>
    </w:p>
    <w:p w:rsidR="00B22874" w:rsidRPr="00583077" w:rsidRDefault="00B22874" w:rsidP="00A01A6E">
      <w:pPr>
        <w:jc w:val="both"/>
        <w:rPr>
          <w:lang w:val="sq-AL"/>
        </w:rPr>
      </w:pPr>
    </w:p>
    <w:p w:rsidR="00B22874" w:rsidRPr="00583077" w:rsidRDefault="00B22874" w:rsidP="00A01A6E">
      <w:pPr>
        <w:jc w:val="both"/>
        <w:rPr>
          <w:lang w:val="sq-AL"/>
        </w:rPr>
      </w:pPr>
    </w:p>
    <w:p w:rsidR="00B22874" w:rsidRPr="00583077" w:rsidRDefault="00B22874" w:rsidP="00A01A6E">
      <w:pPr>
        <w:jc w:val="both"/>
        <w:rPr>
          <w:lang w:val="sq-AL"/>
        </w:rPr>
      </w:pPr>
    </w:p>
    <w:p w:rsidR="00B22874" w:rsidRPr="00583077" w:rsidRDefault="00B22874" w:rsidP="00A01A6E">
      <w:pPr>
        <w:jc w:val="both"/>
        <w:rPr>
          <w:lang w:val="sq-AL"/>
        </w:rPr>
      </w:pPr>
    </w:p>
    <w:p w:rsidR="00B22874" w:rsidRPr="00583077" w:rsidRDefault="00B22874" w:rsidP="00A01A6E">
      <w:pPr>
        <w:jc w:val="both"/>
        <w:rPr>
          <w:lang w:val="sq-AL"/>
        </w:rPr>
      </w:pPr>
    </w:p>
    <w:p w:rsidR="00B22874" w:rsidRDefault="00B22874" w:rsidP="00A01A6E">
      <w:pPr>
        <w:jc w:val="both"/>
        <w:rPr>
          <w:lang w:val="sq-AL"/>
        </w:rPr>
      </w:pPr>
    </w:p>
    <w:p w:rsidR="00B22874" w:rsidRDefault="00B22874" w:rsidP="00A01A6E">
      <w:pPr>
        <w:jc w:val="both"/>
        <w:rPr>
          <w:lang w:val="sq-AL"/>
        </w:rPr>
      </w:pPr>
    </w:p>
    <w:p w:rsidR="00B22874" w:rsidRDefault="00B22874" w:rsidP="00A01A6E">
      <w:pPr>
        <w:jc w:val="both"/>
        <w:rPr>
          <w:lang w:val="sq-AL"/>
        </w:rPr>
      </w:pPr>
    </w:p>
    <w:p w:rsidR="00B22874" w:rsidRDefault="00B22874" w:rsidP="00A01A6E">
      <w:pPr>
        <w:jc w:val="both"/>
        <w:rPr>
          <w:lang w:val="sq-AL"/>
        </w:rPr>
      </w:pPr>
    </w:p>
    <w:p w:rsidR="00B22874" w:rsidRPr="00583077" w:rsidRDefault="00B22874" w:rsidP="00A01A6E">
      <w:pPr>
        <w:jc w:val="both"/>
        <w:rPr>
          <w:lang w:val="sq-AL"/>
        </w:rPr>
      </w:pPr>
    </w:p>
    <w:p w:rsidR="00B22874" w:rsidRPr="005B3E9C" w:rsidRDefault="00B22874" w:rsidP="008775F8">
      <w:pPr>
        <w:jc w:val="both"/>
        <w:rPr>
          <w:b/>
          <w:bCs/>
          <w:sz w:val="20"/>
          <w:szCs w:val="20"/>
          <w:lang w:val="it-IT"/>
        </w:rPr>
      </w:pPr>
      <w:r w:rsidRPr="005B3E9C">
        <w:rPr>
          <w:b/>
          <w:bCs/>
          <w:sz w:val="20"/>
          <w:szCs w:val="20"/>
          <w:lang w:val="it-IT"/>
        </w:rPr>
        <w:lastRenderedPageBreak/>
        <w:t xml:space="preserve">Grafik </w:t>
      </w:r>
      <w:r>
        <w:rPr>
          <w:b/>
          <w:bCs/>
          <w:sz w:val="20"/>
          <w:szCs w:val="20"/>
          <w:lang w:val="it-IT"/>
        </w:rPr>
        <w:t>8</w:t>
      </w:r>
      <w:r w:rsidRPr="005B3E9C">
        <w:rPr>
          <w:b/>
          <w:bCs/>
          <w:sz w:val="20"/>
          <w:szCs w:val="20"/>
          <w:lang w:val="it-IT"/>
        </w:rPr>
        <w:t>.</w:t>
      </w:r>
    </w:p>
    <w:p w:rsidR="00B22874" w:rsidRPr="00583077" w:rsidRDefault="00B22874" w:rsidP="008775F8">
      <w:pPr>
        <w:autoSpaceDE w:val="0"/>
        <w:autoSpaceDN w:val="0"/>
        <w:adjustRightInd w:val="0"/>
        <w:spacing w:line="300" w:lineRule="exact"/>
        <w:jc w:val="both"/>
        <w:rPr>
          <w:sz w:val="20"/>
          <w:szCs w:val="20"/>
          <w:lang w:val="it-IT"/>
        </w:rPr>
      </w:pPr>
      <w:r w:rsidRPr="00583077">
        <w:rPr>
          <w:lang w:val="it-IT"/>
        </w:rPr>
        <w:t xml:space="preserve">* </w:t>
      </w:r>
      <w:r w:rsidRPr="00583077">
        <w:rPr>
          <w:sz w:val="20"/>
          <w:szCs w:val="20"/>
          <w:lang w:val="it-IT"/>
        </w:rPr>
        <w:t>Kompozimi i borxhit të jashtëm sipas koncesionalitetit dhe tipit të interesit</w:t>
      </w:r>
    </w:p>
    <w:p w:rsidR="00B22874" w:rsidRPr="003D4252" w:rsidRDefault="00512804" w:rsidP="001E1D64">
      <w:pPr>
        <w:jc w:val="both"/>
        <w:rPr>
          <w:lang w:val="sq-AL"/>
        </w:rPr>
      </w:pPr>
      <w:r>
        <w:rPr>
          <w:noProof/>
          <w:lang w:val="en-GB" w:eastAsia="en-GB"/>
        </w:rPr>
        <w:drawing>
          <wp:inline distT="0" distB="0" distL="0" distR="0">
            <wp:extent cx="5819775" cy="31146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srcRect/>
                    <a:stretch>
                      <a:fillRect/>
                    </a:stretch>
                  </pic:blipFill>
                  <pic:spPr bwMode="auto">
                    <a:xfrm>
                      <a:off x="0" y="0"/>
                      <a:ext cx="5819775" cy="3114675"/>
                    </a:xfrm>
                    <a:prstGeom prst="rect">
                      <a:avLst/>
                    </a:prstGeom>
                    <a:noFill/>
                    <a:ln w="9525">
                      <a:noFill/>
                      <a:miter lim="800000"/>
                      <a:headEnd/>
                      <a:tailEnd/>
                    </a:ln>
                  </pic:spPr>
                </pic:pic>
              </a:graphicData>
            </a:graphic>
          </wp:inline>
        </w:drawing>
      </w:r>
    </w:p>
    <w:p w:rsidR="00B22874" w:rsidRDefault="00B22874" w:rsidP="001E1D64">
      <w:pPr>
        <w:jc w:val="both"/>
        <w:rPr>
          <w:b/>
          <w:lang w:val="sq-AL"/>
        </w:rPr>
      </w:pPr>
    </w:p>
    <w:p w:rsidR="00B22874" w:rsidRPr="00583077" w:rsidRDefault="00B22874" w:rsidP="001E1D64">
      <w:pPr>
        <w:jc w:val="both"/>
        <w:rPr>
          <w:b/>
          <w:lang w:val="sq-AL"/>
        </w:rPr>
      </w:pPr>
    </w:p>
    <w:p w:rsidR="00B22874" w:rsidRPr="00583077" w:rsidRDefault="00B22874" w:rsidP="00186082">
      <w:pPr>
        <w:jc w:val="both"/>
        <w:rPr>
          <w:lang w:val="sq-AL"/>
        </w:rPr>
      </w:pPr>
      <w:r w:rsidRPr="00583077">
        <w:rPr>
          <w:lang w:val="sq-AL"/>
        </w:rPr>
        <w:t xml:space="preserve">Përsa i përket kompozimit të stokut të borxhit sipas kreditorëve, vërehet  një rritje e përqindjes ndaj totalit të kredive të nënshkruara me kreditorë shumëpalësh gjatë viteve 2011-2013. Kreditë e nënshkruara me kreditorë dypalësh mbeten në të njëjtin nivel gjatë periudhës 2009-2012, ndërkohë që gjatë vitit 2013 rriten me 50 pikë bazë. </w:t>
      </w:r>
    </w:p>
    <w:p w:rsidR="00B22874" w:rsidRPr="00583077" w:rsidRDefault="00B22874" w:rsidP="00186082">
      <w:pPr>
        <w:jc w:val="both"/>
        <w:rPr>
          <w:lang w:val="sq-AL"/>
        </w:rPr>
      </w:pPr>
      <w:r w:rsidRPr="00583077">
        <w:rPr>
          <w:lang w:val="sq-AL"/>
        </w:rPr>
        <w:t>Borxhi me kreditorë privatë ka pasur ulje të vazhdueshme si përqindje ndaj stokut duke filluar nga viti 2010 për arsye se nuk ka pasur nënshkrime të reja me kreditorë privatë, ndërkohë që ruan të njëjtin trend edhe gjatë vitit 2013. Gjithsesi, duke filluar që nga viti 2008 ky borxh ka zënë një pjesë të konsiderueshme ndaj totalit te stokut te borxhit te jashtëm, ku aktualisht vlerësohet në rreth 20% të stokut të borxhit të jashtëm.</w:t>
      </w:r>
    </w:p>
    <w:p w:rsidR="00B22874" w:rsidRDefault="00B22874" w:rsidP="00186082">
      <w:pPr>
        <w:jc w:val="both"/>
        <w:rPr>
          <w:lang w:val="sq-AL"/>
        </w:rPr>
      </w:pPr>
    </w:p>
    <w:p w:rsidR="00B22874" w:rsidRPr="00583077" w:rsidRDefault="00B22874" w:rsidP="00186082">
      <w:pPr>
        <w:jc w:val="both"/>
        <w:rPr>
          <w:lang w:val="sq-AL"/>
        </w:rPr>
      </w:pPr>
    </w:p>
    <w:p w:rsidR="00B22874" w:rsidRPr="005B3E9C" w:rsidRDefault="00B22874" w:rsidP="00DE14DF">
      <w:pPr>
        <w:jc w:val="both"/>
        <w:rPr>
          <w:b/>
          <w:sz w:val="20"/>
          <w:szCs w:val="20"/>
          <w:lang w:val="sq-AL"/>
        </w:rPr>
      </w:pPr>
      <w:r w:rsidRPr="005B3E9C">
        <w:rPr>
          <w:b/>
          <w:sz w:val="20"/>
          <w:szCs w:val="20"/>
          <w:lang w:val="sq-AL"/>
        </w:rPr>
        <w:t>Tabela 7.</w:t>
      </w:r>
    </w:p>
    <w:p w:rsidR="00B22874" w:rsidRPr="00583077" w:rsidRDefault="00B22874" w:rsidP="00186082">
      <w:pPr>
        <w:jc w:val="both"/>
        <w:rPr>
          <w:sz w:val="20"/>
          <w:szCs w:val="20"/>
          <w:lang w:val="sq-AL"/>
        </w:rPr>
      </w:pPr>
      <w:r w:rsidRPr="00583077">
        <w:rPr>
          <w:sz w:val="20"/>
          <w:szCs w:val="20"/>
          <w:lang w:val="sq-AL"/>
        </w:rPr>
        <w:t xml:space="preserve">*Kompozimi i borxhit të jashtëm sipas kreditorëve </w:t>
      </w:r>
      <w:r w:rsidRPr="00583077">
        <w:rPr>
          <w:color w:val="FF0000"/>
          <w:sz w:val="20"/>
          <w:szCs w:val="20"/>
          <w:lang w:val="sq-AL"/>
        </w:rPr>
        <w:t>(në terma realativë)</w:t>
      </w:r>
    </w:p>
    <w:tbl>
      <w:tblPr>
        <w:tblW w:w="9236" w:type="dxa"/>
        <w:tblInd w:w="98" w:type="dxa"/>
        <w:tblLook w:val="0000"/>
      </w:tblPr>
      <w:tblGrid>
        <w:gridCol w:w="3200"/>
        <w:gridCol w:w="1006"/>
        <w:gridCol w:w="1006"/>
        <w:gridCol w:w="1006"/>
        <w:gridCol w:w="1006"/>
        <w:gridCol w:w="1006"/>
        <w:gridCol w:w="1006"/>
      </w:tblGrid>
      <w:tr w:rsidR="00B22874" w:rsidRPr="00583077" w:rsidTr="005B3E9C">
        <w:trPr>
          <w:trHeight w:val="270"/>
        </w:trPr>
        <w:tc>
          <w:tcPr>
            <w:tcW w:w="3200" w:type="dxa"/>
            <w:tcBorders>
              <w:top w:val="single" w:sz="8" w:space="0" w:color="auto"/>
              <w:left w:val="single" w:sz="8" w:space="0" w:color="auto"/>
              <w:bottom w:val="single" w:sz="8" w:space="0" w:color="auto"/>
              <w:right w:val="single" w:sz="8" w:space="0" w:color="auto"/>
            </w:tcBorders>
            <w:shd w:val="clear" w:color="auto" w:fill="99CCFF"/>
            <w:noWrap/>
            <w:vAlign w:val="bottom"/>
          </w:tcPr>
          <w:p w:rsidR="00B22874" w:rsidRPr="00583077" w:rsidRDefault="00B22874" w:rsidP="00DE14DF">
            <w:pPr>
              <w:rPr>
                <w:rFonts w:ascii="Arial" w:eastAsia="Batang" w:hAnsi="Arial" w:cs="Arial"/>
                <w:sz w:val="20"/>
                <w:szCs w:val="20"/>
                <w:lang w:eastAsia="ko-KR"/>
              </w:rPr>
            </w:pPr>
            <w:r w:rsidRPr="00583077">
              <w:rPr>
                <w:rFonts w:ascii="Arial" w:eastAsia="Batang" w:hAnsi="Arial" w:cs="Arial"/>
                <w:sz w:val="20"/>
                <w:szCs w:val="20"/>
                <w:lang w:eastAsia="ko-KR"/>
              </w:rPr>
              <w:t> </w:t>
            </w:r>
          </w:p>
        </w:tc>
        <w:tc>
          <w:tcPr>
            <w:tcW w:w="1006" w:type="dxa"/>
            <w:tcBorders>
              <w:top w:val="single" w:sz="8" w:space="0" w:color="auto"/>
              <w:left w:val="nil"/>
              <w:bottom w:val="single" w:sz="8" w:space="0" w:color="auto"/>
              <w:right w:val="nil"/>
            </w:tcBorders>
            <w:shd w:val="clear" w:color="auto" w:fill="99CCFF"/>
            <w:noWrap/>
            <w:vAlign w:val="bottom"/>
          </w:tcPr>
          <w:p w:rsidR="00B22874" w:rsidRPr="009F044E" w:rsidRDefault="00B22874" w:rsidP="00DE14DF">
            <w:pPr>
              <w:jc w:val="center"/>
              <w:rPr>
                <w:rFonts w:eastAsia="Batang"/>
                <w:b/>
                <w:bCs/>
                <w:iCs/>
                <w:sz w:val="20"/>
                <w:szCs w:val="20"/>
                <w:lang w:eastAsia="ko-KR"/>
              </w:rPr>
            </w:pPr>
            <w:r w:rsidRPr="009F044E">
              <w:rPr>
                <w:rFonts w:eastAsia="Batang"/>
                <w:b/>
                <w:bCs/>
                <w:iCs/>
                <w:sz w:val="20"/>
                <w:szCs w:val="20"/>
                <w:lang w:eastAsia="ko-KR"/>
              </w:rPr>
              <w:t>2008</w:t>
            </w:r>
          </w:p>
        </w:tc>
        <w:tc>
          <w:tcPr>
            <w:tcW w:w="1006" w:type="dxa"/>
            <w:tcBorders>
              <w:top w:val="single" w:sz="8" w:space="0" w:color="auto"/>
              <w:left w:val="single" w:sz="4" w:space="0" w:color="auto"/>
              <w:bottom w:val="single" w:sz="8" w:space="0" w:color="auto"/>
              <w:right w:val="single" w:sz="4" w:space="0" w:color="auto"/>
            </w:tcBorders>
            <w:shd w:val="clear" w:color="auto" w:fill="99CCFF"/>
            <w:noWrap/>
            <w:vAlign w:val="bottom"/>
          </w:tcPr>
          <w:p w:rsidR="00B22874" w:rsidRPr="009F044E" w:rsidRDefault="00B22874" w:rsidP="00DE14DF">
            <w:pPr>
              <w:jc w:val="center"/>
              <w:rPr>
                <w:rFonts w:eastAsia="Batang"/>
                <w:b/>
                <w:bCs/>
                <w:iCs/>
                <w:sz w:val="20"/>
                <w:szCs w:val="20"/>
                <w:lang w:eastAsia="ko-KR"/>
              </w:rPr>
            </w:pPr>
            <w:r w:rsidRPr="009F044E">
              <w:rPr>
                <w:rFonts w:eastAsia="Batang"/>
                <w:b/>
                <w:bCs/>
                <w:iCs/>
                <w:sz w:val="20"/>
                <w:szCs w:val="20"/>
                <w:lang w:eastAsia="ko-KR"/>
              </w:rPr>
              <w:t>2009</w:t>
            </w:r>
          </w:p>
        </w:tc>
        <w:tc>
          <w:tcPr>
            <w:tcW w:w="1006" w:type="dxa"/>
            <w:tcBorders>
              <w:top w:val="single" w:sz="8" w:space="0" w:color="auto"/>
              <w:left w:val="nil"/>
              <w:bottom w:val="single" w:sz="8" w:space="0" w:color="auto"/>
              <w:right w:val="single" w:sz="4" w:space="0" w:color="auto"/>
            </w:tcBorders>
            <w:shd w:val="clear" w:color="auto" w:fill="99CCFF"/>
            <w:noWrap/>
            <w:vAlign w:val="bottom"/>
          </w:tcPr>
          <w:p w:rsidR="00B22874" w:rsidRPr="009F044E" w:rsidRDefault="00B22874" w:rsidP="00DE14DF">
            <w:pPr>
              <w:jc w:val="center"/>
              <w:rPr>
                <w:rFonts w:eastAsia="Batang"/>
                <w:b/>
                <w:bCs/>
                <w:iCs/>
                <w:sz w:val="20"/>
                <w:szCs w:val="20"/>
                <w:lang w:eastAsia="ko-KR"/>
              </w:rPr>
            </w:pPr>
            <w:r w:rsidRPr="009F044E">
              <w:rPr>
                <w:rFonts w:eastAsia="Batang"/>
                <w:b/>
                <w:bCs/>
                <w:iCs/>
                <w:sz w:val="20"/>
                <w:szCs w:val="20"/>
                <w:lang w:eastAsia="ko-KR"/>
              </w:rPr>
              <w:t>2010</w:t>
            </w:r>
          </w:p>
        </w:tc>
        <w:tc>
          <w:tcPr>
            <w:tcW w:w="1006" w:type="dxa"/>
            <w:tcBorders>
              <w:top w:val="single" w:sz="8" w:space="0" w:color="auto"/>
              <w:left w:val="nil"/>
              <w:bottom w:val="single" w:sz="8" w:space="0" w:color="auto"/>
              <w:right w:val="single" w:sz="4" w:space="0" w:color="auto"/>
            </w:tcBorders>
            <w:shd w:val="clear" w:color="auto" w:fill="99CCFF"/>
            <w:noWrap/>
            <w:vAlign w:val="bottom"/>
          </w:tcPr>
          <w:p w:rsidR="00B22874" w:rsidRPr="009F044E" w:rsidRDefault="00B22874" w:rsidP="00DE14DF">
            <w:pPr>
              <w:jc w:val="center"/>
              <w:rPr>
                <w:rFonts w:eastAsia="Batang"/>
                <w:b/>
                <w:bCs/>
                <w:iCs/>
                <w:sz w:val="20"/>
                <w:szCs w:val="20"/>
                <w:lang w:eastAsia="ko-KR"/>
              </w:rPr>
            </w:pPr>
            <w:r w:rsidRPr="009F044E">
              <w:rPr>
                <w:rFonts w:eastAsia="Batang"/>
                <w:b/>
                <w:bCs/>
                <w:iCs/>
                <w:sz w:val="20"/>
                <w:szCs w:val="20"/>
                <w:lang w:eastAsia="ko-KR"/>
              </w:rPr>
              <w:t>2011</w:t>
            </w:r>
          </w:p>
        </w:tc>
        <w:tc>
          <w:tcPr>
            <w:tcW w:w="1006" w:type="dxa"/>
            <w:tcBorders>
              <w:top w:val="single" w:sz="8" w:space="0" w:color="auto"/>
              <w:left w:val="nil"/>
              <w:bottom w:val="single" w:sz="8" w:space="0" w:color="auto"/>
              <w:right w:val="single" w:sz="4" w:space="0" w:color="auto"/>
            </w:tcBorders>
            <w:shd w:val="clear" w:color="auto" w:fill="99CCFF"/>
            <w:noWrap/>
            <w:vAlign w:val="bottom"/>
          </w:tcPr>
          <w:p w:rsidR="00B22874" w:rsidRPr="009F044E" w:rsidRDefault="00B22874" w:rsidP="00DE14DF">
            <w:pPr>
              <w:jc w:val="center"/>
              <w:rPr>
                <w:rFonts w:eastAsia="Batang"/>
                <w:b/>
                <w:bCs/>
                <w:iCs/>
                <w:sz w:val="20"/>
                <w:szCs w:val="20"/>
                <w:lang w:eastAsia="ko-KR"/>
              </w:rPr>
            </w:pPr>
            <w:r w:rsidRPr="009F044E">
              <w:rPr>
                <w:rFonts w:eastAsia="Batang"/>
                <w:b/>
                <w:bCs/>
                <w:iCs/>
                <w:sz w:val="20"/>
                <w:szCs w:val="20"/>
                <w:lang w:eastAsia="ko-KR"/>
              </w:rPr>
              <w:t>2012</w:t>
            </w:r>
          </w:p>
        </w:tc>
        <w:tc>
          <w:tcPr>
            <w:tcW w:w="1006" w:type="dxa"/>
            <w:tcBorders>
              <w:top w:val="single" w:sz="8" w:space="0" w:color="auto"/>
              <w:left w:val="nil"/>
              <w:bottom w:val="single" w:sz="8" w:space="0" w:color="auto"/>
              <w:right w:val="single" w:sz="8" w:space="0" w:color="auto"/>
            </w:tcBorders>
            <w:shd w:val="clear" w:color="auto" w:fill="99CCFF"/>
            <w:noWrap/>
            <w:vAlign w:val="bottom"/>
          </w:tcPr>
          <w:p w:rsidR="00B22874" w:rsidRPr="009F044E" w:rsidRDefault="00B22874" w:rsidP="00DE14DF">
            <w:pPr>
              <w:jc w:val="center"/>
              <w:rPr>
                <w:rFonts w:eastAsia="Batang"/>
                <w:b/>
                <w:bCs/>
                <w:iCs/>
                <w:sz w:val="20"/>
                <w:szCs w:val="20"/>
                <w:lang w:eastAsia="ko-KR"/>
              </w:rPr>
            </w:pPr>
            <w:r w:rsidRPr="009F044E">
              <w:rPr>
                <w:rFonts w:eastAsia="Batang"/>
                <w:b/>
                <w:bCs/>
                <w:iCs/>
                <w:sz w:val="20"/>
                <w:szCs w:val="20"/>
                <w:lang w:eastAsia="ko-KR"/>
              </w:rPr>
              <w:t>2013</w:t>
            </w:r>
          </w:p>
        </w:tc>
      </w:tr>
      <w:tr w:rsidR="00B22874" w:rsidRPr="00583077" w:rsidTr="005B3E9C">
        <w:trPr>
          <w:trHeight w:val="255"/>
        </w:trPr>
        <w:tc>
          <w:tcPr>
            <w:tcW w:w="3200" w:type="dxa"/>
            <w:tcBorders>
              <w:top w:val="single" w:sz="8" w:space="0" w:color="auto"/>
              <w:left w:val="single" w:sz="8" w:space="0" w:color="auto"/>
              <w:bottom w:val="nil"/>
              <w:right w:val="single" w:sz="8" w:space="0" w:color="auto"/>
            </w:tcBorders>
            <w:noWrap/>
            <w:vAlign w:val="bottom"/>
          </w:tcPr>
          <w:p w:rsidR="00B22874" w:rsidRPr="009F044E" w:rsidRDefault="00B22874" w:rsidP="00DE14DF">
            <w:pPr>
              <w:ind w:firstLineChars="400" w:firstLine="800"/>
              <w:rPr>
                <w:rFonts w:eastAsia="Batang"/>
                <w:sz w:val="20"/>
                <w:szCs w:val="20"/>
                <w:lang w:eastAsia="ko-KR"/>
              </w:rPr>
            </w:pPr>
            <w:r w:rsidRPr="009F044E">
              <w:rPr>
                <w:rFonts w:eastAsia="Batang"/>
                <w:sz w:val="20"/>
                <w:szCs w:val="20"/>
                <w:lang w:eastAsia="ko-KR"/>
              </w:rPr>
              <w:t>-Shumëpalësh (I)</w:t>
            </w:r>
          </w:p>
        </w:tc>
        <w:tc>
          <w:tcPr>
            <w:tcW w:w="1006" w:type="dxa"/>
            <w:tcBorders>
              <w:top w:val="nil"/>
              <w:left w:val="single" w:sz="4" w:space="0" w:color="auto"/>
              <w:bottom w:val="nil"/>
              <w:right w:val="nil"/>
            </w:tcBorders>
            <w:noWrap/>
            <w:vAlign w:val="bottom"/>
          </w:tcPr>
          <w:p w:rsidR="00B22874" w:rsidRPr="00583077" w:rsidRDefault="00B22874" w:rsidP="00DE14DF">
            <w:pPr>
              <w:jc w:val="right"/>
              <w:rPr>
                <w:rFonts w:ascii="Arial" w:eastAsia="Batang" w:hAnsi="Arial" w:cs="Arial"/>
                <w:sz w:val="20"/>
                <w:szCs w:val="20"/>
                <w:lang w:eastAsia="ko-KR"/>
              </w:rPr>
            </w:pPr>
            <w:r w:rsidRPr="00583077">
              <w:rPr>
                <w:rFonts w:ascii="Arial" w:eastAsia="Batang" w:hAnsi="Arial" w:cs="Arial"/>
                <w:sz w:val="20"/>
                <w:szCs w:val="20"/>
                <w:lang w:eastAsia="ko-KR"/>
              </w:rPr>
              <w:t>58.29%</w:t>
            </w:r>
          </w:p>
        </w:tc>
        <w:tc>
          <w:tcPr>
            <w:tcW w:w="1006" w:type="dxa"/>
            <w:tcBorders>
              <w:top w:val="nil"/>
              <w:left w:val="single" w:sz="4" w:space="0" w:color="auto"/>
              <w:bottom w:val="nil"/>
              <w:right w:val="nil"/>
            </w:tcBorders>
            <w:noWrap/>
            <w:vAlign w:val="bottom"/>
          </w:tcPr>
          <w:p w:rsidR="00B22874" w:rsidRPr="00583077" w:rsidRDefault="00B22874" w:rsidP="00DE14DF">
            <w:pPr>
              <w:jc w:val="right"/>
              <w:rPr>
                <w:rFonts w:ascii="Arial" w:eastAsia="Batang" w:hAnsi="Arial" w:cs="Arial"/>
                <w:sz w:val="20"/>
                <w:szCs w:val="20"/>
                <w:lang w:eastAsia="ko-KR"/>
              </w:rPr>
            </w:pPr>
            <w:r w:rsidRPr="00583077">
              <w:rPr>
                <w:rFonts w:ascii="Arial" w:eastAsia="Batang" w:hAnsi="Arial" w:cs="Arial"/>
                <w:sz w:val="20"/>
                <w:szCs w:val="20"/>
                <w:lang w:eastAsia="ko-KR"/>
              </w:rPr>
              <w:t>52.54%</w:t>
            </w:r>
          </w:p>
        </w:tc>
        <w:tc>
          <w:tcPr>
            <w:tcW w:w="1006" w:type="dxa"/>
            <w:tcBorders>
              <w:top w:val="nil"/>
              <w:left w:val="single" w:sz="4" w:space="0" w:color="auto"/>
              <w:bottom w:val="nil"/>
              <w:right w:val="nil"/>
            </w:tcBorders>
            <w:noWrap/>
            <w:vAlign w:val="bottom"/>
          </w:tcPr>
          <w:p w:rsidR="00B22874" w:rsidRPr="00583077" w:rsidRDefault="00B22874" w:rsidP="00DE14DF">
            <w:pPr>
              <w:jc w:val="right"/>
              <w:rPr>
                <w:rFonts w:ascii="Arial" w:eastAsia="Batang" w:hAnsi="Arial" w:cs="Arial"/>
                <w:sz w:val="20"/>
                <w:szCs w:val="20"/>
                <w:lang w:eastAsia="ko-KR"/>
              </w:rPr>
            </w:pPr>
            <w:r w:rsidRPr="00583077">
              <w:rPr>
                <w:rFonts w:ascii="Arial" w:eastAsia="Batang" w:hAnsi="Arial" w:cs="Arial"/>
                <w:sz w:val="20"/>
                <w:szCs w:val="20"/>
                <w:lang w:eastAsia="ko-KR"/>
              </w:rPr>
              <w:t>51.36%</w:t>
            </w:r>
          </w:p>
        </w:tc>
        <w:tc>
          <w:tcPr>
            <w:tcW w:w="1006" w:type="dxa"/>
            <w:tcBorders>
              <w:top w:val="nil"/>
              <w:left w:val="single" w:sz="4" w:space="0" w:color="auto"/>
              <w:bottom w:val="nil"/>
              <w:right w:val="nil"/>
            </w:tcBorders>
            <w:noWrap/>
            <w:vAlign w:val="bottom"/>
          </w:tcPr>
          <w:p w:rsidR="00B22874" w:rsidRPr="00583077" w:rsidRDefault="00B22874" w:rsidP="00DE14DF">
            <w:pPr>
              <w:jc w:val="right"/>
              <w:rPr>
                <w:rFonts w:ascii="Arial" w:eastAsia="Batang" w:hAnsi="Arial" w:cs="Arial"/>
                <w:sz w:val="20"/>
                <w:szCs w:val="20"/>
                <w:lang w:eastAsia="ko-KR"/>
              </w:rPr>
            </w:pPr>
            <w:r w:rsidRPr="00583077">
              <w:rPr>
                <w:rFonts w:ascii="Arial" w:eastAsia="Batang" w:hAnsi="Arial" w:cs="Arial"/>
                <w:sz w:val="20"/>
                <w:szCs w:val="20"/>
                <w:lang w:eastAsia="ko-KR"/>
              </w:rPr>
              <w:t>53.56%</w:t>
            </w:r>
          </w:p>
        </w:tc>
        <w:tc>
          <w:tcPr>
            <w:tcW w:w="1006" w:type="dxa"/>
            <w:tcBorders>
              <w:top w:val="nil"/>
              <w:left w:val="single" w:sz="4" w:space="0" w:color="auto"/>
              <w:bottom w:val="nil"/>
              <w:right w:val="nil"/>
            </w:tcBorders>
            <w:noWrap/>
            <w:vAlign w:val="bottom"/>
          </w:tcPr>
          <w:p w:rsidR="00B22874" w:rsidRPr="00583077" w:rsidRDefault="00B22874" w:rsidP="00DE14DF">
            <w:pPr>
              <w:jc w:val="right"/>
              <w:rPr>
                <w:rFonts w:ascii="Arial" w:eastAsia="Batang" w:hAnsi="Arial" w:cs="Arial"/>
                <w:sz w:val="20"/>
                <w:szCs w:val="20"/>
                <w:lang w:eastAsia="ko-KR"/>
              </w:rPr>
            </w:pPr>
            <w:r w:rsidRPr="00583077">
              <w:rPr>
                <w:rFonts w:ascii="Arial" w:eastAsia="Batang" w:hAnsi="Arial" w:cs="Arial"/>
                <w:sz w:val="20"/>
                <w:szCs w:val="20"/>
                <w:lang w:eastAsia="ko-KR"/>
              </w:rPr>
              <w:t>55.43%</w:t>
            </w:r>
          </w:p>
        </w:tc>
        <w:tc>
          <w:tcPr>
            <w:tcW w:w="1006" w:type="dxa"/>
            <w:tcBorders>
              <w:top w:val="nil"/>
              <w:left w:val="single" w:sz="4" w:space="0" w:color="auto"/>
              <w:bottom w:val="nil"/>
              <w:right w:val="single" w:sz="8" w:space="0" w:color="auto"/>
            </w:tcBorders>
            <w:noWrap/>
            <w:vAlign w:val="bottom"/>
          </w:tcPr>
          <w:p w:rsidR="00B22874" w:rsidRPr="00583077" w:rsidRDefault="00B22874" w:rsidP="00DE14DF">
            <w:pPr>
              <w:jc w:val="right"/>
              <w:rPr>
                <w:rFonts w:ascii="Arial" w:eastAsia="Batang" w:hAnsi="Arial" w:cs="Arial"/>
                <w:sz w:val="20"/>
                <w:szCs w:val="20"/>
                <w:lang w:eastAsia="ko-KR"/>
              </w:rPr>
            </w:pPr>
            <w:r w:rsidRPr="00583077">
              <w:rPr>
                <w:rFonts w:ascii="Arial" w:eastAsia="Batang" w:hAnsi="Arial" w:cs="Arial"/>
                <w:sz w:val="20"/>
                <w:szCs w:val="20"/>
                <w:lang w:eastAsia="ko-KR"/>
              </w:rPr>
              <w:t>56.08%</w:t>
            </w:r>
          </w:p>
        </w:tc>
      </w:tr>
      <w:tr w:rsidR="00B22874" w:rsidRPr="00583077" w:rsidTr="005B3E9C">
        <w:trPr>
          <w:trHeight w:val="255"/>
        </w:trPr>
        <w:tc>
          <w:tcPr>
            <w:tcW w:w="3200" w:type="dxa"/>
            <w:tcBorders>
              <w:top w:val="nil"/>
              <w:left w:val="single" w:sz="8" w:space="0" w:color="auto"/>
              <w:bottom w:val="nil"/>
              <w:right w:val="single" w:sz="8" w:space="0" w:color="auto"/>
            </w:tcBorders>
            <w:noWrap/>
            <w:vAlign w:val="bottom"/>
          </w:tcPr>
          <w:p w:rsidR="00B22874" w:rsidRPr="009F044E" w:rsidRDefault="00B22874" w:rsidP="00DE14DF">
            <w:pPr>
              <w:ind w:firstLineChars="400" w:firstLine="800"/>
              <w:rPr>
                <w:rFonts w:eastAsia="Batang"/>
                <w:sz w:val="20"/>
                <w:szCs w:val="20"/>
                <w:lang w:eastAsia="ko-KR"/>
              </w:rPr>
            </w:pPr>
            <w:r w:rsidRPr="009F044E">
              <w:rPr>
                <w:rFonts w:eastAsia="Batang"/>
                <w:sz w:val="20"/>
                <w:szCs w:val="20"/>
                <w:lang w:eastAsia="ko-KR"/>
              </w:rPr>
              <w:t>-Dypalësh (II)</w:t>
            </w:r>
          </w:p>
        </w:tc>
        <w:tc>
          <w:tcPr>
            <w:tcW w:w="1006" w:type="dxa"/>
            <w:tcBorders>
              <w:top w:val="single" w:sz="4" w:space="0" w:color="auto"/>
              <w:left w:val="single" w:sz="4" w:space="0" w:color="auto"/>
              <w:bottom w:val="nil"/>
              <w:right w:val="nil"/>
            </w:tcBorders>
            <w:noWrap/>
            <w:vAlign w:val="bottom"/>
          </w:tcPr>
          <w:p w:rsidR="00B22874" w:rsidRPr="00583077" w:rsidRDefault="00B22874" w:rsidP="00DE14DF">
            <w:pPr>
              <w:jc w:val="right"/>
              <w:rPr>
                <w:rFonts w:ascii="Arial" w:eastAsia="Batang" w:hAnsi="Arial" w:cs="Arial"/>
                <w:sz w:val="20"/>
                <w:szCs w:val="20"/>
                <w:lang w:eastAsia="ko-KR"/>
              </w:rPr>
            </w:pPr>
            <w:r w:rsidRPr="00583077">
              <w:rPr>
                <w:rFonts w:ascii="Arial" w:eastAsia="Batang" w:hAnsi="Arial" w:cs="Arial"/>
                <w:sz w:val="20"/>
                <w:szCs w:val="20"/>
                <w:lang w:eastAsia="ko-KR"/>
              </w:rPr>
              <w:t>22.66%</w:t>
            </w:r>
          </w:p>
        </w:tc>
        <w:tc>
          <w:tcPr>
            <w:tcW w:w="1006" w:type="dxa"/>
            <w:tcBorders>
              <w:top w:val="single" w:sz="4" w:space="0" w:color="auto"/>
              <w:left w:val="single" w:sz="4" w:space="0" w:color="auto"/>
              <w:bottom w:val="nil"/>
              <w:right w:val="nil"/>
            </w:tcBorders>
            <w:noWrap/>
            <w:vAlign w:val="bottom"/>
          </w:tcPr>
          <w:p w:rsidR="00B22874" w:rsidRPr="00583077" w:rsidRDefault="00B22874" w:rsidP="00DE14DF">
            <w:pPr>
              <w:jc w:val="right"/>
              <w:rPr>
                <w:rFonts w:ascii="Arial" w:eastAsia="Batang" w:hAnsi="Arial" w:cs="Arial"/>
                <w:sz w:val="20"/>
                <w:szCs w:val="20"/>
                <w:lang w:eastAsia="ko-KR"/>
              </w:rPr>
            </w:pPr>
            <w:r w:rsidRPr="00583077">
              <w:rPr>
                <w:rFonts w:ascii="Arial" w:eastAsia="Batang" w:hAnsi="Arial" w:cs="Arial"/>
                <w:sz w:val="20"/>
                <w:szCs w:val="20"/>
                <w:lang w:eastAsia="ko-KR"/>
              </w:rPr>
              <w:t>21.08%</w:t>
            </w:r>
          </w:p>
        </w:tc>
        <w:tc>
          <w:tcPr>
            <w:tcW w:w="1006" w:type="dxa"/>
            <w:tcBorders>
              <w:top w:val="single" w:sz="4" w:space="0" w:color="auto"/>
              <w:left w:val="single" w:sz="4" w:space="0" w:color="auto"/>
              <w:bottom w:val="nil"/>
              <w:right w:val="nil"/>
            </w:tcBorders>
            <w:noWrap/>
            <w:vAlign w:val="bottom"/>
          </w:tcPr>
          <w:p w:rsidR="00B22874" w:rsidRPr="00583077" w:rsidRDefault="00B22874" w:rsidP="00DE14DF">
            <w:pPr>
              <w:jc w:val="right"/>
              <w:rPr>
                <w:rFonts w:ascii="Arial" w:eastAsia="Batang" w:hAnsi="Arial" w:cs="Arial"/>
                <w:sz w:val="20"/>
                <w:szCs w:val="20"/>
                <w:lang w:eastAsia="ko-KR"/>
              </w:rPr>
            </w:pPr>
            <w:r w:rsidRPr="00583077">
              <w:rPr>
                <w:rFonts w:ascii="Arial" w:eastAsia="Batang" w:hAnsi="Arial" w:cs="Arial"/>
                <w:sz w:val="20"/>
                <w:szCs w:val="20"/>
                <w:lang w:eastAsia="ko-KR"/>
              </w:rPr>
              <w:t>21.01%</w:t>
            </w:r>
          </w:p>
        </w:tc>
        <w:tc>
          <w:tcPr>
            <w:tcW w:w="1006" w:type="dxa"/>
            <w:tcBorders>
              <w:top w:val="single" w:sz="4" w:space="0" w:color="auto"/>
              <w:left w:val="single" w:sz="4" w:space="0" w:color="auto"/>
              <w:bottom w:val="nil"/>
              <w:right w:val="nil"/>
            </w:tcBorders>
            <w:noWrap/>
            <w:vAlign w:val="bottom"/>
          </w:tcPr>
          <w:p w:rsidR="00B22874" w:rsidRPr="00583077" w:rsidRDefault="00B22874" w:rsidP="00DE14DF">
            <w:pPr>
              <w:jc w:val="right"/>
              <w:rPr>
                <w:rFonts w:ascii="Arial" w:eastAsia="Batang" w:hAnsi="Arial" w:cs="Arial"/>
                <w:sz w:val="20"/>
                <w:szCs w:val="20"/>
                <w:lang w:eastAsia="ko-KR"/>
              </w:rPr>
            </w:pPr>
            <w:r w:rsidRPr="00583077">
              <w:rPr>
                <w:rFonts w:ascii="Arial" w:eastAsia="Batang" w:hAnsi="Arial" w:cs="Arial"/>
                <w:sz w:val="20"/>
                <w:szCs w:val="20"/>
                <w:lang w:eastAsia="ko-KR"/>
              </w:rPr>
              <w:t>21.08%</w:t>
            </w:r>
          </w:p>
        </w:tc>
        <w:tc>
          <w:tcPr>
            <w:tcW w:w="1006" w:type="dxa"/>
            <w:tcBorders>
              <w:top w:val="single" w:sz="4" w:space="0" w:color="auto"/>
              <w:left w:val="single" w:sz="4" w:space="0" w:color="auto"/>
              <w:bottom w:val="nil"/>
              <w:right w:val="nil"/>
            </w:tcBorders>
            <w:noWrap/>
            <w:vAlign w:val="bottom"/>
          </w:tcPr>
          <w:p w:rsidR="00B22874" w:rsidRPr="00583077" w:rsidRDefault="00B22874" w:rsidP="00DE14DF">
            <w:pPr>
              <w:jc w:val="right"/>
              <w:rPr>
                <w:rFonts w:ascii="Arial" w:eastAsia="Batang" w:hAnsi="Arial" w:cs="Arial"/>
                <w:sz w:val="20"/>
                <w:szCs w:val="20"/>
                <w:lang w:eastAsia="ko-KR"/>
              </w:rPr>
            </w:pPr>
            <w:r w:rsidRPr="00583077">
              <w:rPr>
                <w:rFonts w:ascii="Arial" w:eastAsia="Batang" w:hAnsi="Arial" w:cs="Arial"/>
                <w:sz w:val="20"/>
                <w:szCs w:val="20"/>
                <w:lang w:eastAsia="ko-KR"/>
              </w:rPr>
              <w:t>21.03%</w:t>
            </w:r>
          </w:p>
        </w:tc>
        <w:tc>
          <w:tcPr>
            <w:tcW w:w="1006" w:type="dxa"/>
            <w:tcBorders>
              <w:top w:val="single" w:sz="4" w:space="0" w:color="auto"/>
              <w:left w:val="single" w:sz="4" w:space="0" w:color="auto"/>
              <w:bottom w:val="nil"/>
              <w:right w:val="single" w:sz="8" w:space="0" w:color="auto"/>
            </w:tcBorders>
            <w:noWrap/>
            <w:vAlign w:val="bottom"/>
          </w:tcPr>
          <w:p w:rsidR="00B22874" w:rsidRPr="00583077" w:rsidRDefault="00B22874" w:rsidP="00DE14DF">
            <w:pPr>
              <w:jc w:val="right"/>
              <w:rPr>
                <w:rFonts w:ascii="Arial" w:eastAsia="Batang" w:hAnsi="Arial" w:cs="Arial"/>
                <w:sz w:val="20"/>
                <w:szCs w:val="20"/>
                <w:lang w:eastAsia="ko-KR"/>
              </w:rPr>
            </w:pPr>
            <w:r w:rsidRPr="00583077">
              <w:rPr>
                <w:rFonts w:ascii="Arial" w:eastAsia="Batang" w:hAnsi="Arial" w:cs="Arial"/>
                <w:sz w:val="20"/>
                <w:szCs w:val="20"/>
                <w:lang w:eastAsia="ko-KR"/>
              </w:rPr>
              <w:t>21.53%</w:t>
            </w:r>
          </w:p>
        </w:tc>
      </w:tr>
      <w:tr w:rsidR="00B22874" w:rsidRPr="00583077" w:rsidTr="005B3E9C">
        <w:trPr>
          <w:trHeight w:val="255"/>
        </w:trPr>
        <w:tc>
          <w:tcPr>
            <w:tcW w:w="3200" w:type="dxa"/>
            <w:tcBorders>
              <w:top w:val="nil"/>
              <w:left w:val="single" w:sz="8" w:space="0" w:color="auto"/>
              <w:bottom w:val="nil"/>
              <w:right w:val="single" w:sz="8" w:space="0" w:color="auto"/>
            </w:tcBorders>
            <w:noWrap/>
            <w:vAlign w:val="bottom"/>
          </w:tcPr>
          <w:p w:rsidR="00B22874" w:rsidRPr="009F044E" w:rsidRDefault="00B22874" w:rsidP="00DE14DF">
            <w:pPr>
              <w:jc w:val="center"/>
              <w:rPr>
                <w:rFonts w:eastAsia="Batang"/>
                <w:sz w:val="20"/>
                <w:szCs w:val="20"/>
                <w:lang w:eastAsia="ko-KR"/>
              </w:rPr>
            </w:pPr>
            <w:r w:rsidRPr="009F044E">
              <w:rPr>
                <w:rFonts w:eastAsia="Batang"/>
                <w:sz w:val="20"/>
                <w:szCs w:val="20"/>
                <w:lang w:eastAsia="ko-KR"/>
              </w:rPr>
              <w:t>-Kreditorë privatë (III)</w:t>
            </w:r>
          </w:p>
        </w:tc>
        <w:tc>
          <w:tcPr>
            <w:tcW w:w="1006" w:type="dxa"/>
            <w:tcBorders>
              <w:top w:val="single" w:sz="4" w:space="0" w:color="auto"/>
              <w:left w:val="single" w:sz="4" w:space="0" w:color="auto"/>
              <w:bottom w:val="nil"/>
              <w:right w:val="nil"/>
            </w:tcBorders>
            <w:noWrap/>
            <w:vAlign w:val="bottom"/>
          </w:tcPr>
          <w:p w:rsidR="00B22874" w:rsidRPr="00583077" w:rsidRDefault="00B22874" w:rsidP="00DE14DF">
            <w:pPr>
              <w:jc w:val="right"/>
              <w:rPr>
                <w:rFonts w:ascii="Arial" w:eastAsia="Batang" w:hAnsi="Arial" w:cs="Arial"/>
                <w:sz w:val="20"/>
                <w:szCs w:val="20"/>
                <w:lang w:eastAsia="ko-KR"/>
              </w:rPr>
            </w:pPr>
            <w:r w:rsidRPr="00583077">
              <w:rPr>
                <w:rFonts w:ascii="Arial" w:eastAsia="Batang" w:hAnsi="Arial" w:cs="Arial"/>
                <w:sz w:val="20"/>
                <w:szCs w:val="20"/>
                <w:lang w:eastAsia="ko-KR"/>
              </w:rPr>
              <w:t>14.57%</w:t>
            </w:r>
          </w:p>
        </w:tc>
        <w:tc>
          <w:tcPr>
            <w:tcW w:w="1006" w:type="dxa"/>
            <w:tcBorders>
              <w:top w:val="single" w:sz="4" w:space="0" w:color="auto"/>
              <w:left w:val="single" w:sz="4" w:space="0" w:color="auto"/>
              <w:bottom w:val="nil"/>
              <w:right w:val="nil"/>
            </w:tcBorders>
            <w:noWrap/>
            <w:vAlign w:val="bottom"/>
          </w:tcPr>
          <w:p w:rsidR="00B22874" w:rsidRPr="00583077" w:rsidRDefault="00B22874" w:rsidP="00DE14DF">
            <w:pPr>
              <w:jc w:val="right"/>
              <w:rPr>
                <w:rFonts w:ascii="Arial" w:eastAsia="Batang" w:hAnsi="Arial" w:cs="Arial"/>
                <w:sz w:val="20"/>
                <w:szCs w:val="20"/>
                <w:lang w:eastAsia="ko-KR"/>
              </w:rPr>
            </w:pPr>
            <w:r w:rsidRPr="00583077">
              <w:rPr>
                <w:rFonts w:ascii="Arial" w:eastAsia="Batang" w:hAnsi="Arial" w:cs="Arial"/>
                <w:sz w:val="20"/>
                <w:szCs w:val="20"/>
                <w:lang w:eastAsia="ko-KR"/>
              </w:rPr>
              <w:t>21.79%</w:t>
            </w:r>
          </w:p>
        </w:tc>
        <w:tc>
          <w:tcPr>
            <w:tcW w:w="1006" w:type="dxa"/>
            <w:tcBorders>
              <w:top w:val="single" w:sz="4" w:space="0" w:color="auto"/>
              <w:left w:val="single" w:sz="4" w:space="0" w:color="auto"/>
              <w:bottom w:val="nil"/>
              <w:right w:val="nil"/>
            </w:tcBorders>
            <w:noWrap/>
            <w:vAlign w:val="bottom"/>
          </w:tcPr>
          <w:p w:rsidR="00B22874" w:rsidRPr="00583077" w:rsidRDefault="00B22874" w:rsidP="00DE14DF">
            <w:pPr>
              <w:jc w:val="right"/>
              <w:rPr>
                <w:rFonts w:ascii="Arial" w:eastAsia="Batang" w:hAnsi="Arial" w:cs="Arial"/>
                <w:sz w:val="20"/>
                <w:szCs w:val="20"/>
                <w:lang w:eastAsia="ko-KR"/>
              </w:rPr>
            </w:pPr>
            <w:r w:rsidRPr="00583077">
              <w:rPr>
                <w:rFonts w:ascii="Arial" w:eastAsia="Batang" w:hAnsi="Arial" w:cs="Arial"/>
                <w:sz w:val="20"/>
                <w:szCs w:val="20"/>
                <w:lang w:eastAsia="ko-KR"/>
              </w:rPr>
              <w:t>23.88%</w:t>
            </w:r>
          </w:p>
        </w:tc>
        <w:tc>
          <w:tcPr>
            <w:tcW w:w="1006" w:type="dxa"/>
            <w:tcBorders>
              <w:top w:val="single" w:sz="4" w:space="0" w:color="auto"/>
              <w:left w:val="single" w:sz="4" w:space="0" w:color="auto"/>
              <w:bottom w:val="nil"/>
              <w:right w:val="nil"/>
            </w:tcBorders>
            <w:noWrap/>
            <w:vAlign w:val="bottom"/>
          </w:tcPr>
          <w:p w:rsidR="00B22874" w:rsidRPr="00583077" w:rsidRDefault="00B22874" w:rsidP="00DE14DF">
            <w:pPr>
              <w:jc w:val="right"/>
              <w:rPr>
                <w:rFonts w:ascii="Arial" w:eastAsia="Batang" w:hAnsi="Arial" w:cs="Arial"/>
                <w:sz w:val="20"/>
                <w:szCs w:val="20"/>
                <w:lang w:eastAsia="ko-KR"/>
              </w:rPr>
            </w:pPr>
            <w:r w:rsidRPr="00583077">
              <w:rPr>
                <w:rFonts w:ascii="Arial" w:eastAsia="Batang" w:hAnsi="Arial" w:cs="Arial"/>
                <w:sz w:val="20"/>
                <w:szCs w:val="20"/>
                <w:lang w:eastAsia="ko-KR"/>
              </w:rPr>
              <w:t>22.05%</w:t>
            </w:r>
          </w:p>
        </w:tc>
        <w:tc>
          <w:tcPr>
            <w:tcW w:w="1006" w:type="dxa"/>
            <w:tcBorders>
              <w:top w:val="single" w:sz="4" w:space="0" w:color="auto"/>
              <w:left w:val="single" w:sz="4" w:space="0" w:color="auto"/>
              <w:bottom w:val="nil"/>
              <w:right w:val="nil"/>
            </w:tcBorders>
            <w:noWrap/>
            <w:vAlign w:val="bottom"/>
          </w:tcPr>
          <w:p w:rsidR="00B22874" w:rsidRPr="00583077" w:rsidRDefault="00B22874" w:rsidP="00DE14DF">
            <w:pPr>
              <w:jc w:val="right"/>
              <w:rPr>
                <w:rFonts w:ascii="Arial" w:eastAsia="Batang" w:hAnsi="Arial" w:cs="Arial"/>
                <w:sz w:val="20"/>
                <w:szCs w:val="20"/>
                <w:lang w:eastAsia="ko-KR"/>
              </w:rPr>
            </w:pPr>
            <w:r w:rsidRPr="00583077">
              <w:rPr>
                <w:rFonts w:ascii="Arial" w:eastAsia="Batang" w:hAnsi="Arial" w:cs="Arial"/>
                <w:sz w:val="20"/>
                <w:szCs w:val="20"/>
                <w:lang w:eastAsia="ko-KR"/>
              </w:rPr>
              <w:t>20.69%</w:t>
            </w:r>
          </w:p>
        </w:tc>
        <w:tc>
          <w:tcPr>
            <w:tcW w:w="1006" w:type="dxa"/>
            <w:tcBorders>
              <w:top w:val="single" w:sz="4" w:space="0" w:color="auto"/>
              <w:left w:val="single" w:sz="4" w:space="0" w:color="auto"/>
              <w:bottom w:val="nil"/>
              <w:right w:val="single" w:sz="8" w:space="0" w:color="auto"/>
            </w:tcBorders>
            <w:noWrap/>
            <w:vAlign w:val="bottom"/>
          </w:tcPr>
          <w:p w:rsidR="00B22874" w:rsidRPr="00583077" w:rsidRDefault="00B22874" w:rsidP="00DE14DF">
            <w:pPr>
              <w:jc w:val="right"/>
              <w:rPr>
                <w:rFonts w:ascii="Arial" w:eastAsia="Batang" w:hAnsi="Arial" w:cs="Arial"/>
                <w:sz w:val="20"/>
                <w:szCs w:val="20"/>
                <w:lang w:eastAsia="ko-KR"/>
              </w:rPr>
            </w:pPr>
            <w:r w:rsidRPr="00583077">
              <w:rPr>
                <w:rFonts w:ascii="Arial" w:eastAsia="Batang" w:hAnsi="Arial" w:cs="Arial"/>
                <w:sz w:val="20"/>
                <w:szCs w:val="20"/>
                <w:lang w:eastAsia="ko-KR"/>
              </w:rPr>
              <w:t>20.42%</w:t>
            </w:r>
          </w:p>
        </w:tc>
      </w:tr>
      <w:tr w:rsidR="00B22874" w:rsidRPr="00583077" w:rsidTr="005B3E9C">
        <w:trPr>
          <w:trHeight w:val="270"/>
        </w:trPr>
        <w:tc>
          <w:tcPr>
            <w:tcW w:w="3200" w:type="dxa"/>
            <w:tcBorders>
              <w:top w:val="nil"/>
              <w:left w:val="single" w:sz="8" w:space="0" w:color="auto"/>
              <w:bottom w:val="single" w:sz="8" w:space="0" w:color="auto"/>
              <w:right w:val="single" w:sz="8" w:space="0" w:color="auto"/>
            </w:tcBorders>
            <w:noWrap/>
            <w:vAlign w:val="bottom"/>
          </w:tcPr>
          <w:p w:rsidR="00B22874" w:rsidRPr="009F044E" w:rsidRDefault="00B22874" w:rsidP="00DE14DF">
            <w:pPr>
              <w:jc w:val="center"/>
              <w:rPr>
                <w:rFonts w:eastAsia="Batang"/>
                <w:sz w:val="20"/>
                <w:szCs w:val="20"/>
                <w:lang w:eastAsia="ko-KR"/>
              </w:rPr>
            </w:pPr>
            <w:r w:rsidRPr="009F044E">
              <w:rPr>
                <w:rFonts w:eastAsia="Batang"/>
                <w:sz w:val="20"/>
                <w:szCs w:val="20"/>
                <w:lang w:eastAsia="ko-KR"/>
              </w:rPr>
              <w:t>-Borxhi i riskeduluar (IV)</w:t>
            </w:r>
          </w:p>
        </w:tc>
        <w:tc>
          <w:tcPr>
            <w:tcW w:w="1006" w:type="dxa"/>
            <w:tcBorders>
              <w:top w:val="single" w:sz="4" w:space="0" w:color="auto"/>
              <w:left w:val="single" w:sz="4" w:space="0" w:color="auto"/>
              <w:bottom w:val="nil"/>
              <w:right w:val="nil"/>
            </w:tcBorders>
            <w:noWrap/>
            <w:vAlign w:val="bottom"/>
          </w:tcPr>
          <w:p w:rsidR="00B22874" w:rsidRPr="00583077" w:rsidRDefault="00B22874" w:rsidP="00DE14DF">
            <w:pPr>
              <w:jc w:val="right"/>
              <w:rPr>
                <w:rFonts w:ascii="Arial" w:eastAsia="Batang" w:hAnsi="Arial" w:cs="Arial"/>
                <w:sz w:val="20"/>
                <w:szCs w:val="20"/>
                <w:lang w:eastAsia="ko-KR"/>
              </w:rPr>
            </w:pPr>
            <w:r w:rsidRPr="00583077">
              <w:rPr>
                <w:rFonts w:ascii="Arial" w:eastAsia="Batang" w:hAnsi="Arial" w:cs="Arial"/>
                <w:sz w:val="20"/>
                <w:szCs w:val="20"/>
                <w:lang w:eastAsia="ko-KR"/>
              </w:rPr>
              <w:t>4.48%</w:t>
            </w:r>
          </w:p>
        </w:tc>
        <w:tc>
          <w:tcPr>
            <w:tcW w:w="1006" w:type="dxa"/>
            <w:tcBorders>
              <w:top w:val="single" w:sz="4" w:space="0" w:color="auto"/>
              <w:left w:val="single" w:sz="4" w:space="0" w:color="auto"/>
              <w:bottom w:val="nil"/>
              <w:right w:val="nil"/>
            </w:tcBorders>
            <w:noWrap/>
            <w:vAlign w:val="bottom"/>
          </w:tcPr>
          <w:p w:rsidR="00B22874" w:rsidRPr="00583077" w:rsidRDefault="00B22874" w:rsidP="00DE14DF">
            <w:pPr>
              <w:jc w:val="right"/>
              <w:rPr>
                <w:rFonts w:ascii="Arial" w:eastAsia="Batang" w:hAnsi="Arial" w:cs="Arial"/>
                <w:sz w:val="20"/>
                <w:szCs w:val="20"/>
                <w:lang w:eastAsia="ko-KR"/>
              </w:rPr>
            </w:pPr>
            <w:r w:rsidRPr="00583077">
              <w:rPr>
                <w:rFonts w:ascii="Arial" w:eastAsia="Batang" w:hAnsi="Arial" w:cs="Arial"/>
                <w:sz w:val="20"/>
                <w:szCs w:val="20"/>
                <w:lang w:eastAsia="ko-KR"/>
              </w:rPr>
              <w:t>4.59%</w:t>
            </w:r>
          </w:p>
        </w:tc>
        <w:tc>
          <w:tcPr>
            <w:tcW w:w="1006" w:type="dxa"/>
            <w:tcBorders>
              <w:top w:val="single" w:sz="4" w:space="0" w:color="auto"/>
              <w:left w:val="single" w:sz="4" w:space="0" w:color="auto"/>
              <w:bottom w:val="nil"/>
              <w:right w:val="nil"/>
            </w:tcBorders>
            <w:noWrap/>
            <w:vAlign w:val="bottom"/>
          </w:tcPr>
          <w:p w:rsidR="00B22874" w:rsidRPr="00583077" w:rsidRDefault="00B22874" w:rsidP="00DE14DF">
            <w:pPr>
              <w:jc w:val="right"/>
              <w:rPr>
                <w:rFonts w:ascii="Arial" w:eastAsia="Batang" w:hAnsi="Arial" w:cs="Arial"/>
                <w:sz w:val="20"/>
                <w:szCs w:val="20"/>
                <w:lang w:eastAsia="ko-KR"/>
              </w:rPr>
            </w:pPr>
            <w:r w:rsidRPr="00583077">
              <w:rPr>
                <w:rFonts w:ascii="Arial" w:eastAsia="Batang" w:hAnsi="Arial" w:cs="Arial"/>
                <w:sz w:val="20"/>
                <w:szCs w:val="20"/>
                <w:lang w:eastAsia="ko-KR"/>
              </w:rPr>
              <w:t>3.75%</w:t>
            </w:r>
          </w:p>
        </w:tc>
        <w:tc>
          <w:tcPr>
            <w:tcW w:w="1006" w:type="dxa"/>
            <w:tcBorders>
              <w:top w:val="single" w:sz="4" w:space="0" w:color="auto"/>
              <w:left w:val="single" w:sz="4" w:space="0" w:color="auto"/>
              <w:bottom w:val="nil"/>
              <w:right w:val="nil"/>
            </w:tcBorders>
            <w:noWrap/>
            <w:vAlign w:val="bottom"/>
          </w:tcPr>
          <w:p w:rsidR="00B22874" w:rsidRPr="00583077" w:rsidRDefault="00B22874" w:rsidP="00DE14DF">
            <w:pPr>
              <w:jc w:val="right"/>
              <w:rPr>
                <w:rFonts w:ascii="Arial" w:eastAsia="Batang" w:hAnsi="Arial" w:cs="Arial"/>
                <w:sz w:val="20"/>
                <w:szCs w:val="20"/>
                <w:lang w:eastAsia="ko-KR"/>
              </w:rPr>
            </w:pPr>
            <w:r w:rsidRPr="00583077">
              <w:rPr>
                <w:rFonts w:ascii="Arial" w:eastAsia="Batang" w:hAnsi="Arial" w:cs="Arial"/>
                <w:sz w:val="20"/>
                <w:szCs w:val="20"/>
                <w:lang w:eastAsia="ko-KR"/>
              </w:rPr>
              <w:t>3.31%</w:t>
            </w:r>
          </w:p>
        </w:tc>
        <w:tc>
          <w:tcPr>
            <w:tcW w:w="1006" w:type="dxa"/>
            <w:tcBorders>
              <w:top w:val="single" w:sz="4" w:space="0" w:color="auto"/>
              <w:left w:val="single" w:sz="4" w:space="0" w:color="auto"/>
              <w:bottom w:val="nil"/>
              <w:right w:val="nil"/>
            </w:tcBorders>
            <w:noWrap/>
            <w:vAlign w:val="bottom"/>
          </w:tcPr>
          <w:p w:rsidR="00B22874" w:rsidRPr="00583077" w:rsidRDefault="00B22874" w:rsidP="00DE14DF">
            <w:pPr>
              <w:jc w:val="right"/>
              <w:rPr>
                <w:rFonts w:ascii="Arial" w:eastAsia="Batang" w:hAnsi="Arial" w:cs="Arial"/>
                <w:sz w:val="20"/>
                <w:szCs w:val="20"/>
                <w:lang w:eastAsia="ko-KR"/>
              </w:rPr>
            </w:pPr>
            <w:r w:rsidRPr="00583077">
              <w:rPr>
                <w:rFonts w:ascii="Arial" w:eastAsia="Batang" w:hAnsi="Arial" w:cs="Arial"/>
                <w:sz w:val="20"/>
                <w:szCs w:val="20"/>
                <w:lang w:eastAsia="ko-KR"/>
              </w:rPr>
              <w:t>2.86%</w:t>
            </w:r>
          </w:p>
        </w:tc>
        <w:tc>
          <w:tcPr>
            <w:tcW w:w="1006" w:type="dxa"/>
            <w:tcBorders>
              <w:top w:val="single" w:sz="4" w:space="0" w:color="auto"/>
              <w:left w:val="single" w:sz="4" w:space="0" w:color="auto"/>
              <w:bottom w:val="nil"/>
              <w:right w:val="single" w:sz="8" w:space="0" w:color="auto"/>
            </w:tcBorders>
            <w:noWrap/>
            <w:vAlign w:val="bottom"/>
          </w:tcPr>
          <w:p w:rsidR="00B22874" w:rsidRPr="00583077" w:rsidRDefault="00B22874" w:rsidP="00DE14DF">
            <w:pPr>
              <w:jc w:val="right"/>
              <w:rPr>
                <w:rFonts w:ascii="Arial" w:eastAsia="Batang" w:hAnsi="Arial" w:cs="Arial"/>
                <w:sz w:val="20"/>
                <w:szCs w:val="20"/>
                <w:lang w:eastAsia="ko-KR"/>
              </w:rPr>
            </w:pPr>
            <w:r w:rsidRPr="00583077">
              <w:rPr>
                <w:rFonts w:ascii="Arial" w:eastAsia="Batang" w:hAnsi="Arial" w:cs="Arial"/>
                <w:sz w:val="20"/>
                <w:szCs w:val="20"/>
                <w:lang w:eastAsia="ko-KR"/>
              </w:rPr>
              <w:t>1.97%</w:t>
            </w:r>
          </w:p>
        </w:tc>
      </w:tr>
      <w:tr w:rsidR="00B22874" w:rsidRPr="00583077" w:rsidTr="005B3E9C">
        <w:trPr>
          <w:trHeight w:val="270"/>
        </w:trPr>
        <w:tc>
          <w:tcPr>
            <w:tcW w:w="3200" w:type="dxa"/>
            <w:tcBorders>
              <w:top w:val="nil"/>
              <w:left w:val="single" w:sz="8" w:space="0" w:color="auto"/>
              <w:bottom w:val="single" w:sz="8" w:space="0" w:color="auto"/>
              <w:right w:val="nil"/>
            </w:tcBorders>
            <w:noWrap/>
            <w:vAlign w:val="bottom"/>
          </w:tcPr>
          <w:p w:rsidR="00B22874" w:rsidRPr="009F044E" w:rsidRDefault="00B22874" w:rsidP="00DE14DF">
            <w:pPr>
              <w:jc w:val="center"/>
              <w:rPr>
                <w:rFonts w:eastAsia="Batang"/>
                <w:b/>
                <w:bCs/>
                <w:sz w:val="20"/>
                <w:szCs w:val="20"/>
                <w:lang w:eastAsia="ko-KR"/>
              </w:rPr>
            </w:pPr>
            <w:r w:rsidRPr="009F044E">
              <w:rPr>
                <w:rFonts w:eastAsia="Batang"/>
                <w:b/>
                <w:bCs/>
                <w:sz w:val="20"/>
                <w:szCs w:val="20"/>
                <w:lang w:eastAsia="ko-KR"/>
              </w:rPr>
              <w:t>TOTAL</w:t>
            </w:r>
          </w:p>
        </w:tc>
        <w:tc>
          <w:tcPr>
            <w:tcW w:w="1006" w:type="dxa"/>
            <w:tcBorders>
              <w:top w:val="single" w:sz="8" w:space="0" w:color="auto"/>
              <w:left w:val="single" w:sz="4" w:space="0" w:color="auto"/>
              <w:bottom w:val="single" w:sz="8" w:space="0" w:color="auto"/>
              <w:right w:val="single" w:sz="4" w:space="0" w:color="auto"/>
            </w:tcBorders>
            <w:noWrap/>
            <w:vAlign w:val="bottom"/>
          </w:tcPr>
          <w:p w:rsidR="00B22874" w:rsidRPr="00583077" w:rsidRDefault="00B22874" w:rsidP="00DE14DF">
            <w:pPr>
              <w:jc w:val="right"/>
              <w:rPr>
                <w:rFonts w:ascii="Arial" w:eastAsia="Batang" w:hAnsi="Arial" w:cs="Arial"/>
                <w:b/>
                <w:bCs/>
                <w:sz w:val="20"/>
                <w:szCs w:val="20"/>
                <w:lang w:eastAsia="ko-KR"/>
              </w:rPr>
            </w:pPr>
            <w:r w:rsidRPr="00583077">
              <w:rPr>
                <w:rFonts w:ascii="Arial" w:eastAsia="Batang" w:hAnsi="Arial" w:cs="Arial"/>
                <w:b/>
                <w:bCs/>
                <w:sz w:val="20"/>
                <w:szCs w:val="20"/>
                <w:lang w:eastAsia="ko-KR"/>
              </w:rPr>
              <w:t>100.00%</w:t>
            </w:r>
          </w:p>
        </w:tc>
        <w:tc>
          <w:tcPr>
            <w:tcW w:w="1006" w:type="dxa"/>
            <w:tcBorders>
              <w:top w:val="single" w:sz="8" w:space="0" w:color="auto"/>
              <w:left w:val="nil"/>
              <w:bottom w:val="single" w:sz="8" w:space="0" w:color="auto"/>
              <w:right w:val="nil"/>
            </w:tcBorders>
            <w:noWrap/>
            <w:vAlign w:val="bottom"/>
          </w:tcPr>
          <w:p w:rsidR="00B22874" w:rsidRPr="00583077" w:rsidRDefault="00B22874" w:rsidP="00DE14DF">
            <w:pPr>
              <w:jc w:val="right"/>
              <w:rPr>
                <w:rFonts w:ascii="Arial" w:eastAsia="Batang" w:hAnsi="Arial" w:cs="Arial"/>
                <w:b/>
                <w:bCs/>
                <w:sz w:val="20"/>
                <w:szCs w:val="20"/>
                <w:lang w:eastAsia="ko-KR"/>
              </w:rPr>
            </w:pPr>
            <w:r w:rsidRPr="00583077">
              <w:rPr>
                <w:rFonts w:ascii="Arial" w:eastAsia="Batang" w:hAnsi="Arial" w:cs="Arial"/>
                <w:b/>
                <w:bCs/>
                <w:sz w:val="20"/>
                <w:szCs w:val="20"/>
                <w:lang w:eastAsia="ko-KR"/>
              </w:rPr>
              <w:t>100.00%</w:t>
            </w:r>
          </w:p>
        </w:tc>
        <w:tc>
          <w:tcPr>
            <w:tcW w:w="1006" w:type="dxa"/>
            <w:tcBorders>
              <w:top w:val="single" w:sz="8" w:space="0" w:color="auto"/>
              <w:left w:val="single" w:sz="4" w:space="0" w:color="auto"/>
              <w:bottom w:val="single" w:sz="8" w:space="0" w:color="auto"/>
              <w:right w:val="single" w:sz="4" w:space="0" w:color="auto"/>
            </w:tcBorders>
            <w:noWrap/>
            <w:vAlign w:val="bottom"/>
          </w:tcPr>
          <w:p w:rsidR="00B22874" w:rsidRPr="00583077" w:rsidRDefault="00B22874" w:rsidP="00DE14DF">
            <w:pPr>
              <w:jc w:val="right"/>
              <w:rPr>
                <w:rFonts w:ascii="Arial" w:eastAsia="Batang" w:hAnsi="Arial" w:cs="Arial"/>
                <w:b/>
                <w:bCs/>
                <w:sz w:val="20"/>
                <w:szCs w:val="20"/>
                <w:lang w:eastAsia="ko-KR"/>
              </w:rPr>
            </w:pPr>
            <w:r w:rsidRPr="00583077">
              <w:rPr>
                <w:rFonts w:ascii="Arial" w:eastAsia="Batang" w:hAnsi="Arial" w:cs="Arial"/>
                <w:b/>
                <w:bCs/>
                <w:sz w:val="20"/>
                <w:szCs w:val="20"/>
                <w:lang w:eastAsia="ko-KR"/>
              </w:rPr>
              <w:t>100.00%</w:t>
            </w:r>
          </w:p>
        </w:tc>
        <w:tc>
          <w:tcPr>
            <w:tcW w:w="1006" w:type="dxa"/>
            <w:tcBorders>
              <w:top w:val="single" w:sz="8" w:space="0" w:color="auto"/>
              <w:left w:val="nil"/>
              <w:bottom w:val="single" w:sz="8" w:space="0" w:color="auto"/>
              <w:right w:val="single" w:sz="4" w:space="0" w:color="auto"/>
            </w:tcBorders>
            <w:noWrap/>
            <w:vAlign w:val="bottom"/>
          </w:tcPr>
          <w:p w:rsidR="00B22874" w:rsidRPr="00583077" w:rsidRDefault="00B22874" w:rsidP="00DE14DF">
            <w:pPr>
              <w:jc w:val="right"/>
              <w:rPr>
                <w:rFonts w:ascii="Arial" w:eastAsia="Batang" w:hAnsi="Arial" w:cs="Arial"/>
                <w:b/>
                <w:bCs/>
                <w:sz w:val="20"/>
                <w:szCs w:val="20"/>
                <w:lang w:eastAsia="ko-KR"/>
              </w:rPr>
            </w:pPr>
            <w:r w:rsidRPr="00583077">
              <w:rPr>
                <w:rFonts w:ascii="Arial" w:eastAsia="Batang" w:hAnsi="Arial" w:cs="Arial"/>
                <w:b/>
                <w:bCs/>
                <w:sz w:val="20"/>
                <w:szCs w:val="20"/>
                <w:lang w:eastAsia="ko-KR"/>
              </w:rPr>
              <w:t>100.00%</w:t>
            </w:r>
          </w:p>
        </w:tc>
        <w:tc>
          <w:tcPr>
            <w:tcW w:w="1006" w:type="dxa"/>
            <w:tcBorders>
              <w:top w:val="single" w:sz="8" w:space="0" w:color="auto"/>
              <w:left w:val="nil"/>
              <w:bottom w:val="single" w:sz="8" w:space="0" w:color="auto"/>
              <w:right w:val="single" w:sz="4" w:space="0" w:color="auto"/>
            </w:tcBorders>
            <w:noWrap/>
            <w:vAlign w:val="bottom"/>
          </w:tcPr>
          <w:p w:rsidR="00B22874" w:rsidRPr="00583077" w:rsidRDefault="00B22874" w:rsidP="00DE14DF">
            <w:pPr>
              <w:jc w:val="right"/>
              <w:rPr>
                <w:rFonts w:ascii="Arial" w:eastAsia="Batang" w:hAnsi="Arial" w:cs="Arial"/>
                <w:b/>
                <w:bCs/>
                <w:sz w:val="20"/>
                <w:szCs w:val="20"/>
                <w:lang w:eastAsia="ko-KR"/>
              </w:rPr>
            </w:pPr>
            <w:r w:rsidRPr="00583077">
              <w:rPr>
                <w:rFonts w:ascii="Arial" w:eastAsia="Batang" w:hAnsi="Arial" w:cs="Arial"/>
                <w:b/>
                <w:bCs/>
                <w:sz w:val="20"/>
                <w:szCs w:val="20"/>
                <w:lang w:eastAsia="ko-KR"/>
              </w:rPr>
              <w:t>100.00%</w:t>
            </w:r>
          </w:p>
        </w:tc>
        <w:tc>
          <w:tcPr>
            <w:tcW w:w="1006" w:type="dxa"/>
            <w:tcBorders>
              <w:top w:val="single" w:sz="8" w:space="0" w:color="auto"/>
              <w:left w:val="nil"/>
              <w:bottom w:val="single" w:sz="8" w:space="0" w:color="auto"/>
              <w:right w:val="single" w:sz="8" w:space="0" w:color="auto"/>
            </w:tcBorders>
            <w:noWrap/>
            <w:vAlign w:val="bottom"/>
          </w:tcPr>
          <w:p w:rsidR="00B22874" w:rsidRPr="00583077" w:rsidRDefault="00B22874" w:rsidP="00DE14DF">
            <w:pPr>
              <w:jc w:val="right"/>
              <w:rPr>
                <w:rFonts w:ascii="Arial" w:eastAsia="Batang" w:hAnsi="Arial" w:cs="Arial"/>
                <w:b/>
                <w:bCs/>
                <w:sz w:val="20"/>
                <w:szCs w:val="20"/>
                <w:lang w:eastAsia="ko-KR"/>
              </w:rPr>
            </w:pPr>
            <w:r w:rsidRPr="00583077">
              <w:rPr>
                <w:rFonts w:ascii="Arial" w:eastAsia="Batang" w:hAnsi="Arial" w:cs="Arial"/>
                <w:b/>
                <w:bCs/>
                <w:sz w:val="20"/>
                <w:szCs w:val="20"/>
                <w:lang w:eastAsia="ko-KR"/>
              </w:rPr>
              <w:t>100.00%</w:t>
            </w:r>
          </w:p>
        </w:tc>
      </w:tr>
    </w:tbl>
    <w:p w:rsidR="00B22874" w:rsidRPr="00583077" w:rsidRDefault="00B22874" w:rsidP="00DE14DF">
      <w:pPr>
        <w:jc w:val="both"/>
        <w:rPr>
          <w:b/>
          <w:bCs/>
          <w:lang w:val="it-IT"/>
        </w:rPr>
      </w:pPr>
    </w:p>
    <w:p w:rsidR="00B22874" w:rsidRPr="00583077" w:rsidRDefault="00B22874" w:rsidP="00DE14DF">
      <w:pPr>
        <w:jc w:val="both"/>
        <w:rPr>
          <w:b/>
          <w:bCs/>
          <w:lang w:val="it-IT"/>
        </w:rPr>
      </w:pPr>
    </w:p>
    <w:p w:rsidR="00B22874" w:rsidRPr="00583077" w:rsidRDefault="00B22874" w:rsidP="00DE14DF">
      <w:pPr>
        <w:jc w:val="both"/>
        <w:rPr>
          <w:b/>
          <w:bCs/>
          <w:lang w:val="it-IT"/>
        </w:rPr>
      </w:pPr>
    </w:p>
    <w:p w:rsidR="00B22874" w:rsidRPr="00583077" w:rsidRDefault="00B22874" w:rsidP="00DE14DF">
      <w:pPr>
        <w:jc w:val="both"/>
        <w:rPr>
          <w:b/>
          <w:bCs/>
          <w:lang w:val="it-IT"/>
        </w:rPr>
      </w:pPr>
    </w:p>
    <w:p w:rsidR="00B22874" w:rsidRDefault="00B22874" w:rsidP="00DE14DF">
      <w:pPr>
        <w:jc w:val="both"/>
        <w:rPr>
          <w:b/>
          <w:bCs/>
          <w:lang w:val="it-IT"/>
        </w:rPr>
      </w:pPr>
    </w:p>
    <w:p w:rsidR="00B22874" w:rsidRPr="00583077" w:rsidRDefault="00B22874" w:rsidP="00DE14DF">
      <w:pPr>
        <w:jc w:val="both"/>
        <w:rPr>
          <w:b/>
          <w:bCs/>
          <w:lang w:val="it-IT"/>
        </w:rPr>
      </w:pPr>
    </w:p>
    <w:p w:rsidR="00B22874" w:rsidRPr="005B3E9C" w:rsidRDefault="00B22874" w:rsidP="00DE14DF">
      <w:pPr>
        <w:jc w:val="both"/>
        <w:rPr>
          <w:b/>
          <w:bCs/>
          <w:sz w:val="20"/>
          <w:szCs w:val="20"/>
          <w:lang w:val="it-IT"/>
        </w:rPr>
      </w:pPr>
      <w:r w:rsidRPr="005B3E9C">
        <w:rPr>
          <w:b/>
          <w:bCs/>
          <w:sz w:val="20"/>
          <w:szCs w:val="20"/>
          <w:lang w:val="it-IT"/>
        </w:rPr>
        <w:lastRenderedPageBreak/>
        <w:t xml:space="preserve">Grafik </w:t>
      </w:r>
      <w:r>
        <w:rPr>
          <w:b/>
          <w:bCs/>
          <w:sz w:val="20"/>
          <w:szCs w:val="20"/>
          <w:lang w:val="it-IT"/>
        </w:rPr>
        <w:t>9</w:t>
      </w:r>
      <w:r w:rsidRPr="005B3E9C">
        <w:rPr>
          <w:b/>
          <w:bCs/>
          <w:sz w:val="20"/>
          <w:szCs w:val="20"/>
          <w:lang w:val="it-IT"/>
        </w:rPr>
        <w:t>.</w:t>
      </w:r>
    </w:p>
    <w:p w:rsidR="00B22874" w:rsidRPr="00583077" w:rsidRDefault="00B22874" w:rsidP="00DE14DF">
      <w:pPr>
        <w:autoSpaceDE w:val="0"/>
        <w:autoSpaceDN w:val="0"/>
        <w:adjustRightInd w:val="0"/>
        <w:spacing w:line="300" w:lineRule="exact"/>
        <w:jc w:val="both"/>
        <w:rPr>
          <w:sz w:val="20"/>
          <w:szCs w:val="20"/>
          <w:lang w:val="it-IT"/>
        </w:rPr>
      </w:pPr>
      <w:r w:rsidRPr="00583077">
        <w:rPr>
          <w:lang w:val="it-IT"/>
        </w:rPr>
        <w:t xml:space="preserve">* </w:t>
      </w:r>
      <w:r w:rsidRPr="00583077">
        <w:rPr>
          <w:sz w:val="20"/>
          <w:szCs w:val="20"/>
          <w:lang w:val="it-IT"/>
        </w:rPr>
        <w:t xml:space="preserve">Kompozimi i borxhit të jashtëm sipas kreditorëve </w:t>
      </w:r>
      <w:r w:rsidRPr="00583077">
        <w:rPr>
          <w:color w:val="FF0000"/>
          <w:sz w:val="20"/>
          <w:szCs w:val="20"/>
          <w:lang w:val="it-IT"/>
        </w:rPr>
        <w:t>(në terma absolut)</w:t>
      </w:r>
    </w:p>
    <w:p w:rsidR="00B22874" w:rsidRPr="00583077" w:rsidRDefault="00FE6C2C" w:rsidP="002730F7">
      <w:pPr>
        <w:jc w:val="center"/>
      </w:pPr>
      <w:r>
        <w:pict>
          <v:group id="_x0000_s1026" editas="canvas" style="width:466.5pt;height:202.5pt;mso-position-horizontal-relative:char;mso-position-vertical-relative:line" coordsize="9330,405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330;height:4050" o:preferrelative="f">
              <v:fill o:detectmouseclick="t"/>
              <v:path o:extrusionok="t" o:connecttype="none"/>
              <o:lock v:ext="edit" text="t"/>
            </v:shape>
            <v:rect id="_x0000_s1028" style="position:absolute;left:67;top:61;width:9183;height:3913" strokeweight=".65pt"/>
            <v:rect id="_x0000_s1029" style="position:absolute;left:1135;top:523;width:7995;height:2613" fillcolor="silver" stroked="f"/>
            <v:line id="_x0000_s1030" style="position:absolute" from="1135,2698" to="9130,2698" strokeweight="0"/>
            <v:line id="_x0000_s1031" style="position:absolute" from="1135,2261" to="9130,2261" strokeweight="0"/>
            <v:line id="_x0000_s1032" style="position:absolute" from="1135,1835" to="9130,1835" strokeweight="0"/>
            <v:line id="_x0000_s1033" style="position:absolute" from="1135,1398" to="9130,1398" strokeweight="0"/>
            <v:line id="_x0000_s1034" style="position:absolute" from="1135,960" to="9130,960" strokeweight="0"/>
            <v:line id="_x0000_s1035" style="position:absolute" from="1135,523" to="9130,523" strokeweight="0"/>
            <v:rect id="_x0000_s1036" style="position:absolute;left:1135;top:523;width:7995;height:2613" filled="f" strokecolor="gray" strokeweight=".65pt"/>
            <v:rect id="_x0000_s1037" style="position:absolute;left:1522;top:2333;width:547;height:803" fillcolor="#99f" strokeweight=".65pt"/>
            <v:rect id="_x0000_s1038" style="position:absolute;left:2856;top:2248;width:548;height:888" fillcolor="#99f" strokeweight=".65pt"/>
            <v:rect id="_x0000_s1039" style="position:absolute;left:4191;top:2139;width:547;height:997" fillcolor="#99f" strokeweight=".65pt"/>
            <v:rect id="_x0000_s1040" style="position:absolute;left:5526;top:2017;width:534;height:1119" fillcolor="#99f" strokeweight=".65pt"/>
            <v:rect id="_x0000_s1041" style="position:absolute;left:6847;top:1896;width:548;height:1240" fillcolor="#99f" strokeweight=".65pt"/>
            <v:rect id="_x0000_s1042" style="position:absolute;left:8182;top:1872;width:547;height:1264" fillcolor="#99f" strokeweight=".65pt"/>
            <v:rect id="_x0000_s1043" style="position:absolute;left:1522;top:2017;width:547;height:316" fillcolor="#936" strokeweight=".65pt"/>
            <v:rect id="_x0000_s1044" style="position:absolute;left:2856;top:1896;width:548;height:352" fillcolor="#936" strokeweight=".65pt"/>
            <v:rect id="_x0000_s1045" style="position:absolute;left:4191;top:1738;width:547;height:401" fillcolor="#936" strokeweight=".65pt"/>
            <v:rect id="_x0000_s1046" style="position:absolute;left:5526;top:1568;width:534;height:449" fillcolor="#936" strokeweight=".65pt"/>
            <v:rect id="_x0000_s1047" style="position:absolute;left:6847;top:1434;width:548;height:462" fillcolor="#936" strokeweight=".65pt"/>
            <v:rect id="_x0000_s1048" style="position:absolute;left:8182;top:1385;width:547;height:487" fillcolor="#936" strokeweight=".65pt"/>
            <v:rect id="_x0000_s1049" style="position:absolute;left:1522;top:1823;width:547;height:194" fillcolor="#ffc" strokeweight=".65pt"/>
            <v:rect id="_x0000_s1050" style="position:absolute;left:2856;top:1519;width:548;height:377" fillcolor="#ffc" strokeweight=".65pt"/>
            <v:rect id="_x0000_s1051" style="position:absolute;left:4191;top:1276;width:547;height:462" fillcolor="#ffc" strokeweight=".65pt"/>
            <v:rect id="_x0000_s1052" style="position:absolute;left:5526;top:1106;width:534;height:462" fillcolor="#ffc" strokeweight=".65pt"/>
            <v:rect id="_x0000_s1053" style="position:absolute;left:6847;top:972;width:548;height:462" fillcolor="#ffc" strokeweight=".65pt"/>
            <v:rect id="_x0000_s1054" style="position:absolute;left:8182;top:924;width:547;height:461" fillcolor="#ffc" strokeweight=".65pt"/>
            <v:rect id="_x0000_s1055" style="position:absolute;left:1522;top:1762;width:547;height:61" fillcolor="#cff" strokeweight=".65pt"/>
            <v:rect id="_x0000_s1056" style="position:absolute;left:2856;top:1446;width:548;height:73" fillcolor="#cff" strokeweight=".65pt"/>
            <v:rect id="_x0000_s1057" style="position:absolute;left:4191;top:1203;width:547;height:73" fillcolor="#cff" strokeweight=".65pt"/>
            <v:rect id="_x0000_s1058" style="position:absolute;left:5526;top:1045;width:534;height:61" fillcolor="#cff" strokeweight=".65pt"/>
            <v:rect id="_x0000_s1059" style="position:absolute;left:6847;top:899;width:548;height:73" fillcolor="#cff" strokeweight=".65pt"/>
            <v:rect id="_x0000_s1060" style="position:absolute;left:8182;top:875;width:547;height:49" fillcolor="#cff" strokeweight=".65pt"/>
            <v:line id="_x0000_s1061" style="position:absolute" from="1135,523" to="1135,3136" strokeweight="0"/>
            <v:line id="_x0000_s1062" style="position:absolute" from="1081,3136" to="1135,3136" strokeweight="0"/>
            <v:line id="_x0000_s1063" style="position:absolute" from="1081,2698" to="1135,2698" strokeweight="0"/>
            <v:line id="_x0000_s1064" style="position:absolute" from="1081,2261" to="1135,2261" strokeweight="0"/>
            <v:line id="_x0000_s1065" style="position:absolute" from="1081,1835" to="1135,1835" strokeweight="0"/>
            <v:line id="_x0000_s1066" style="position:absolute" from="1081,1398" to="1135,1398" strokeweight="0"/>
            <v:line id="_x0000_s1067" style="position:absolute" from="1081,960" to="1135,960" strokeweight="0"/>
            <v:line id="_x0000_s1068" style="position:absolute" from="1081,523" to="1135,523" strokeweight="0"/>
            <v:line id="_x0000_s1069" style="position:absolute" from="1135,3136" to="9130,3136" strokeweight="0"/>
            <v:line id="_x0000_s1070" style="position:absolute;flip:y" from="1135,3136" to="1135,3184" strokeweight="0"/>
            <v:line id="_x0000_s1071" style="position:absolute;flip:y" from="2469,3136" to="2469,3184" strokeweight="0"/>
            <v:line id="_x0000_s1072" style="position:absolute;flip:y" from="3804,3136" to="3804,3184" strokeweight="0"/>
            <v:line id="_x0000_s1073" style="position:absolute;flip:y" from="5139,3136" to="5139,3184" strokeweight="0"/>
            <v:line id="_x0000_s1074" style="position:absolute;flip:y" from="6460,3136" to="6460,3184" strokeweight="0"/>
            <v:line id="_x0000_s1075" style="position:absolute;flip:y" from="7795,3136" to="7795,3184" strokeweight="0"/>
            <v:line id="_x0000_s1076" style="position:absolute;flip:y" from="9130,3136" to="9130,3184" strokeweight="0"/>
            <v:rect id="_x0000_s1077" style="position:absolute;left:2389;top:194;width:3867;height:230;mso-wrap-style:none" filled="f" stroked="f">
              <v:textbox style="mso-fit-shape-to-text:t" inset="0,0,0,0">
                <w:txbxContent>
                  <w:p w:rsidR="00B22874" w:rsidRPr="009F044E" w:rsidRDefault="00B22874">
                    <w:pPr>
                      <w:rPr>
                        <w:sz w:val="20"/>
                        <w:szCs w:val="20"/>
                      </w:rPr>
                    </w:pPr>
                    <w:r w:rsidRPr="009F044E">
                      <w:rPr>
                        <w:b/>
                        <w:bCs/>
                        <w:color w:val="000000"/>
                        <w:sz w:val="20"/>
                        <w:szCs w:val="20"/>
                      </w:rPr>
                      <w:t>Stoku i Borxhit të Jashtëm Sipas Kreditorëve</w:t>
                    </w:r>
                  </w:p>
                </w:txbxContent>
              </v:textbox>
            </v:rect>
            <v:rect id="_x0000_s1078" style="position:absolute;left:707;top:3038;width:54;height:184;mso-wrap-style:none" filled="f" stroked="f">
              <v:textbox style="mso-fit-shape-to-text:t" inset="0,0,0,0">
                <w:txbxContent>
                  <w:p w:rsidR="00B22874" w:rsidRDefault="00B22874">
                    <w:r>
                      <w:rPr>
                        <w:rFonts w:ascii="Arial" w:hAnsi="Arial" w:cs="Arial"/>
                        <w:color w:val="000000"/>
                        <w:sz w:val="16"/>
                        <w:szCs w:val="16"/>
                      </w:rPr>
                      <w:t>-</w:t>
                    </w:r>
                  </w:p>
                </w:txbxContent>
              </v:textbox>
            </v:rect>
            <v:rect id="_x0000_s1079" style="position:absolute;left:427;top:2601;width:490;height:184;mso-wrap-style:none" filled="f" stroked="f">
              <v:textbox style="mso-fit-shape-to-text:t" inset="0,0,0,0">
                <w:txbxContent>
                  <w:p w:rsidR="00B22874" w:rsidRDefault="00B22874">
                    <w:r>
                      <w:rPr>
                        <w:rFonts w:ascii="Arial" w:hAnsi="Arial" w:cs="Arial"/>
                        <w:color w:val="000000"/>
                        <w:sz w:val="16"/>
                        <w:szCs w:val="16"/>
                      </w:rPr>
                      <w:t>500.00</w:t>
                    </w:r>
                  </w:p>
                </w:txbxContent>
              </v:textbox>
            </v:rect>
            <v:rect id="_x0000_s1080" style="position:absolute;left:280;top:2163;width:623;height:184;mso-wrap-style:none" filled="f" stroked="f">
              <v:textbox style="mso-fit-shape-to-text:t" inset="0,0,0,0">
                <w:txbxContent>
                  <w:p w:rsidR="00B22874" w:rsidRDefault="00B22874">
                    <w:r>
                      <w:rPr>
                        <w:rFonts w:ascii="Arial" w:hAnsi="Arial" w:cs="Arial"/>
                        <w:color w:val="000000"/>
                        <w:sz w:val="16"/>
                        <w:szCs w:val="16"/>
                      </w:rPr>
                      <w:t>1,000.00</w:t>
                    </w:r>
                  </w:p>
                </w:txbxContent>
              </v:textbox>
            </v:rect>
            <v:rect id="_x0000_s1081" style="position:absolute;left:280;top:1738;width:623;height:184;mso-wrap-style:none" filled="f" stroked="f">
              <v:textbox style="mso-fit-shape-to-text:t" inset="0,0,0,0">
                <w:txbxContent>
                  <w:p w:rsidR="00B22874" w:rsidRDefault="00B22874">
                    <w:r>
                      <w:rPr>
                        <w:rFonts w:ascii="Arial" w:hAnsi="Arial" w:cs="Arial"/>
                        <w:color w:val="000000"/>
                        <w:sz w:val="16"/>
                        <w:szCs w:val="16"/>
                      </w:rPr>
                      <w:t>1,500.00</w:t>
                    </w:r>
                  </w:p>
                </w:txbxContent>
              </v:textbox>
            </v:rect>
            <v:rect id="_x0000_s1082" style="position:absolute;left:280;top:1300;width:623;height:184;mso-wrap-style:none" filled="f" stroked="f">
              <v:textbox style="mso-fit-shape-to-text:t" inset="0,0,0,0">
                <w:txbxContent>
                  <w:p w:rsidR="00B22874" w:rsidRDefault="00B22874">
                    <w:r>
                      <w:rPr>
                        <w:rFonts w:ascii="Arial" w:hAnsi="Arial" w:cs="Arial"/>
                        <w:color w:val="000000"/>
                        <w:sz w:val="16"/>
                        <w:szCs w:val="16"/>
                      </w:rPr>
                      <w:t>2,000.00</w:t>
                    </w:r>
                  </w:p>
                </w:txbxContent>
              </v:textbox>
            </v:rect>
            <v:rect id="_x0000_s1083" style="position:absolute;left:280;top:863;width:623;height:184;mso-wrap-style:none" filled="f" stroked="f">
              <v:textbox style="mso-fit-shape-to-text:t" inset="0,0,0,0">
                <w:txbxContent>
                  <w:p w:rsidR="00B22874" w:rsidRDefault="00B22874">
                    <w:r>
                      <w:rPr>
                        <w:rFonts w:ascii="Arial" w:hAnsi="Arial" w:cs="Arial"/>
                        <w:color w:val="000000"/>
                        <w:sz w:val="16"/>
                        <w:szCs w:val="16"/>
                      </w:rPr>
                      <w:t>2,500.00</w:t>
                    </w:r>
                  </w:p>
                </w:txbxContent>
              </v:textbox>
            </v:rect>
            <v:rect id="_x0000_s1084" style="position:absolute;left:280;top:425;width:623;height:184;mso-wrap-style:none" filled="f" stroked="f">
              <v:textbox style="mso-fit-shape-to-text:t" inset="0,0,0,0">
                <w:txbxContent>
                  <w:p w:rsidR="00B22874" w:rsidRDefault="00B22874">
                    <w:r>
                      <w:rPr>
                        <w:rFonts w:ascii="Arial" w:hAnsi="Arial" w:cs="Arial"/>
                        <w:color w:val="000000"/>
                        <w:sz w:val="16"/>
                        <w:szCs w:val="16"/>
                      </w:rPr>
                      <w:t>3,000.00</w:t>
                    </w:r>
                  </w:p>
                </w:txbxContent>
              </v:textbox>
            </v:rect>
            <v:rect id="_x0000_s1085" style="position:absolute;left:1615;top:3269;width:356;height:184;mso-wrap-style:none" filled="f" stroked="f">
              <v:textbox style="mso-fit-shape-to-text:t" inset="0,0,0,0">
                <w:txbxContent>
                  <w:p w:rsidR="00B22874" w:rsidRDefault="00B22874">
                    <w:r>
                      <w:rPr>
                        <w:rFonts w:ascii="Arial" w:hAnsi="Arial" w:cs="Arial"/>
                        <w:color w:val="000000"/>
                        <w:sz w:val="16"/>
                        <w:szCs w:val="16"/>
                      </w:rPr>
                      <w:t>2008</w:t>
                    </w:r>
                  </w:p>
                </w:txbxContent>
              </v:textbox>
            </v:rect>
            <v:rect id="_x0000_s1086" style="position:absolute;left:2950;top:3269;width:356;height:184;mso-wrap-style:none" filled="f" stroked="f">
              <v:textbox style="mso-fit-shape-to-text:t" inset="0,0,0,0">
                <w:txbxContent>
                  <w:p w:rsidR="00B22874" w:rsidRDefault="00B22874">
                    <w:r>
                      <w:rPr>
                        <w:rFonts w:ascii="Arial" w:hAnsi="Arial" w:cs="Arial"/>
                        <w:color w:val="000000"/>
                        <w:sz w:val="16"/>
                        <w:szCs w:val="16"/>
                      </w:rPr>
                      <w:t>2009</w:t>
                    </w:r>
                  </w:p>
                </w:txbxContent>
              </v:textbox>
            </v:rect>
            <v:rect id="_x0000_s1087" style="position:absolute;left:4285;top:3269;width:356;height:184;mso-wrap-style:none" filled="f" stroked="f">
              <v:textbox style="mso-fit-shape-to-text:t" inset="0,0,0,0">
                <w:txbxContent>
                  <w:p w:rsidR="00B22874" w:rsidRDefault="00B22874">
                    <w:r>
                      <w:rPr>
                        <w:rFonts w:ascii="Arial" w:hAnsi="Arial" w:cs="Arial"/>
                        <w:color w:val="000000"/>
                        <w:sz w:val="16"/>
                        <w:szCs w:val="16"/>
                      </w:rPr>
                      <w:t>2010</w:t>
                    </w:r>
                  </w:p>
                </w:txbxContent>
              </v:textbox>
            </v:rect>
            <v:rect id="_x0000_s1088" style="position:absolute;left:5606;top:3269;width:356;height:184;mso-wrap-style:none" filled="f" stroked="f">
              <v:textbox style="mso-fit-shape-to-text:t" inset="0,0,0,0">
                <w:txbxContent>
                  <w:p w:rsidR="00B22874" w:rsidRDefault="00B22874">
                    <w:r>
                      <w:rPr>
                        <w:rFonts w:ascii="Arial" w:hAnsi="Arial" w:cs="Arial"/>
                        <w:color w:val="000000"/>
                        <w:sz w:val="16"/>
                        <w:szCs w:val="16"/>
                      </w:rPr>
                      <w:t>2011</w:t>
                    </w:r>
                  </w:p>
                </w:txbxContent>
              </v:textbox>
            </v:rect>
            <v:rect id="_x0000_s1089" style="position:absolute;left:6941;top:3269;width:356;height:184;mso-wrap-style:none" filled="f" stroked="f">
              <v:textbox style="mso-fit-shape-to-text:t" inset="0,0,0,0">
                <w:txbxContent>
                  <w:p w:rsidR="00B22874" w:rsidRDefault="00B22874">
                    <w:r>
                      <w:rPr>
                        <w:rFonts w:ascii="Arial" w:hAnsi="Arial" w:cs="Arial"/>
                        <w:color w:val="000000"/>
                        <w:sz w:val="16"/>
                        <w:szCs w:val="16"/>
                      </w:rPr>
                      <w:t>2012</w:t>
                    </w:r>
                  </w:p>
                </w:txbxContent>
              </v:textbox>
            </v:rect>
            <v:rect id="_x0000_s1090" style="position:absolute;left:8276;top:3269;width:356;height:184;mso-wrap-style:none" filled="f" stroked="f">
              <v:textbox style="mso-fit-shape-to-text:t" inset="0,0,0,0">
                <w:txbxContent>
                  <w:p w:rsidR="00B22874" w:rsidRDefault="00B22874">
                    <w:r>
                      <w:rPr>
                        <w:rFonts w:ascii="Arial" w:hAnsi="Arial" w:cs="Arial"/>
                        <w:color w:val="000000"/>
                        <w:sz w:val="16"/>
                        <w:szCs w:val="16"/>
                      </w:rPr>
                      <w:t>2013</w:t>
                    </w:r>
                  </w:p>
                </w:txbxContent>
              </v:textbox>
            </v:rect>
            <v:rect id="_x0000_s1091" style="position:absolute;left:1762;top:3646;width:7058;height:314" strokeweight="0"/>
            <v:rect id="_x0000_s1092" style="position:absolute;left:1829;top:3743;width:93;height:85" fillcolor="#99f" strokeweight=".65pt"/>
            <v:rect id="_x0000_s1093" style="position:absolute;left:1975;top:3682;width:1228;height:184;mso-wrap-style:none" filled="f" stroked="f">
              <v:textbox style="mso-fit-shape-to-text:t" inset="0,0,0,0">
                <w:txbxContent>
                  <w:p w:rsidR="00B22874" w:rsidRDefault="00B22874">
                    <w:r>
                      <w:rPr>
                        <w:rFonts w:ascii="Arial" w:hAnsi="Arial" w:cs="Arial"/>
                        <w:color w:val="000000"/>
                        <w:sz w:val="16"/>
                        <w:szCs w:val="16"/>
                      </w:rPr>
                      <w:t>-Shumëpalësh (I)</w:t>
                    </w:r>
                  </w:p>
                </w:txbxContent>
              </v:textbox>
            </v:rect>
            <v:rect id="_x0000_s1094" style="position:absolute;left:3364;top:3743;width:93;height:85" fillcolor="#936" strokeweight=".65pt"/>
            <v:rect id="_x0000_s1095" style="position:absolute;left:3510;top:3682;width:961;height:184;mso-wrap-style:none" filled="f" stroked="f">
              <v:textbox style="mso-fit-shape-to-text:t" inset="0,0,0,0">
                <w:txbxContent>
                  <w:p w:rsidR="00B22874" w:rsidRDefault="00B22874">
                    <w:r>
                      <w:rPr>
                        <w:rFonts w:ascii="Arial" w:hAnsi="Arial" w:cs="Arial"/>
                        <w:color w:val="000000"/>
                        <w:sz w:val="16"/>
                        <w:szCs w:val="16"/>
                      </w:rPr>
                      <w:t>-Dypalësh (II)</w:t>
                    </w:r>
                  </w:p>
                </w:txbxContent>
              </v:textbox>
            </v:rect>
            <v:rect id="_x0000_s1096" style="position:absolute;left:4605;top:3743;width:93;height:85" fillcolor="#ffc" strokeweight=".65pt"/>
            <v:rect id="_x0000_s1097" style="position:absolute;left:4752;top:3682;width:1512;height:184;mso-wrap-style:none" filled="f" stroked="f">
              <v:textbox style="mso-fit-shape-to-text:t" inset="0,0,0,0">
                <w:txbxContent>
                  <w:p w:rsidR="00B22874" w:rsidRDefault="00B22874">
                    <w:r>
                      <w:rPr>
                        <w:rFonts w:ascii="Arial" w:hAnsi="Arial" w:cs="Arial"/>
                        <w:color w:val="000000"/>
                        <w:sz w:val="16"/>
                        <w:szCs w:val="16"/>
                      </w:rPr>
                      <w:t>-Kreditorë privatë (III)</w:t>
                    </w:r>
                  </w:p>
                </w:txbxContent>
              </v:textbox>
            </v:rect>
            <v:rect id="_x0000_s1098" style="position:absolute;left:6407;top:3743;width:93;height:85" fillcolor="#cff" strokeweight=".65pt"/>
            <v:rect id="_x0000_s1099" style="position:absolute;left:6554;top:3682;width:1717;height:184;mso-wrap-style:none" filled="f" stroked="f">
              <v:textbox style="mso-fit-shape-to-text:t" inset="0,0,0,0">
                <w:txbxContent>
                  <w:p w:rsidR="00B22874" w:rsidRDefault="00B22874">
                    <w:r>
                      <w:rPr>
                        <w:rFonts w:ascii="Arial" w:hAnsi="Arial" w:cs="Arial"/>
                        <w:color w:val="000000"/>
                        <w:sz w:val="16"/>
                        <w:szCs w:val="16"/>
                      </w:rPr>
                      <w:t>-Borxhi i riskeduluar (IV)</w:t>
                    </w:r>
                  </w:p>
                </w:txbxContent>
              </v:textbox>
            </v:rect>
            <v:rect id="_x0000_s1100" style="position:absolute;left:67;top:61;width:9183;height:3913" filled="f" strokeweight=".65pt"/>
            <w10:anchorlock/>
          </v:group>
        </w:pict>
      </w:r>
    </w:p>
    <w:p w:rsidR="00B22874" w:rsidRDefault="00B22874" w:rsidP="001E1D64">
      <w:pPr>
        <w:jc w:val="both"/>
      </w:pPr>
    </w:p>
    <w:p w:rsidR="00B22874" w:rsidRDefault="00B22874" w:rsidP="001E1D64">
      <w:pPr>
        <w:jc w:val="both"/>
      </w:pPr>
    </w:p>
    <w:p w:rsidR="00B22874" w:rsidRPr="00583077" w:rsidRDefault="00B22874" w:rsidP="00E6569B">
      <w:pPr>
        <w:ind w:firstLine="720"/>
        <w:jc w:val="both"/>
        <w:rPr>
          <w:b/>
          <w:lang w:val="sq-AL"/>
        </w:rPr>
      </w:pPr>
      <w:r>
        <w:rPr>
          <w:b/>
          <w:lang w:val="sq-AL"/>
        </w:rPr>
        <w:t>ii-b.</w:t>
      </w:r>
      <w:r w:rsidRPr="00583077">
        <w:rPr>
          <w:b/>
          <w:lang w:val="sq-AL"/>
        </w:rPr>
        <w:t xml:space="preserve"> Ecuria e disbursimeve të borxhit të jashtëm</w:t>
      </w:r>
    </w:p>
    <w:p w:rsidR="00B22874" w:rsidRPr="00583077" w:rsidRDefault="00B22874" w:rsidP="001E1D64">
      <w:pPr>
        <w:jc w:val="both"/>
        <w:rPr>
          <w:b/>
          <w:lang w:val="sq-AL"/>
        </w:rPr>
      </w:pPr>
    </w:p>
    <w:p w:rsidR="00B22874" w:rsidRPr="00583077" w:rsidRDefault="00B22874" w:rsidP="001E1D64">
      <w:pPr>
        <w:jc w:val="both"/>
        <w:rPr>
          <w:lang w:val="sq-AL"/>
        </w:rPr>
      </w:pPr>
      <w:r w:rsidRPr="00583077">
        <w:rPr>
          <w:lang w:val="sq-AL"/>
        </w:rPr>
        <w:t xml:space="preserve">Disbursimet e borxhit të jashtëm gjatë vitit 2013 kanë pësuar një rënie të konsiderueshme krahasuar me vitin paraardhës. </w:t>
      </w:r>
      <w:r>
        <w:rPr>
          <w:lang w:val="sq-AL"/>
        </w:rPr>
        <w:t xml:space="preserve">Niveli i disbursimeve vlerësohet ne 185 milion EUR krahasuar me 278 milion EUR të një viti më parë. </w:t>
      </w:r>
      <w:r w:rsidRPr="00583077">
        <w:rPr>
          <w:lang w:val="sq-AL"/>
        </w:rPr>
        <w:t xml:space="preserve">Kjo rënie e disbursimeve  në rreth 92.8 milion Euro </w:t>
      </w:r>
      <w:r>
        <w:rPr>
          <w:lang w:val="sq-AL"/>
        </w:rPr>
        <w:t xml:space="preserve">përfaqëson </w:t>
      </w:r>
      <w:r w:rsidRPr="00583077">
        <w:rPr>
          <w:lang w:val="sq-AL"/>
        </w:rPr>
        <w:t xml:space="preserve"> 33.4% më pak se totali i disbursimeve të vitit 2012. </w:t>
      </w:r>
      <w:r>
        <w:rPr>
          <w:lang w:val="sq-AL"/>
        </w:rPr>
        <w:t>Faktoret e ndryshimeve politike dhe faktoret strukturore dhe teknike të lidhur me to ndikojnë drejtpërdrejt në ecurinë e procedurave të disbursimeve.</w:t>
      </w:r>
      <w:r w:rsidRPr="00583077">
        <w:rPr>
          <w:lang w:val="sq-AL"/>
        </w:rPr>
        <w:t xml:space="preserve"> </w:t>
      </w:r>
    </w:p>
    <w:p w:rsidR="00B22874" w:rsidRDefault="00B22874" w:rsidP="001E1D64">
      <w:pPr>
        <w:jc w:val="both"/>
        <w:rPr>
          <w:lang w:val="sq-AL"/>
        </w:rPr>
      </w:pPr>
      <w:r w:rsidRPr="00583077">
        <w:rPr>
          <w:lang w:val="sq-AL"/>
        </w:rPr>
        <w:t>Disbursimet janë ulur si pë</w:t>
      </w:r>
      <w:r>
        <w:rPr>
          <w:lang w:val="sq-AL"/>
        </w:rPr>
        <w:t>r borxhin shte</w:t>
      </w:r>
      <w:r w:rsidRPr="00583077">
        <w:rPr>
          <w:lang w:val="sq-AL"/>
        </w:rPr>
        <w:t>tëror ashtu edhe për garancitë. Ne terma relativë rënien më të madhe e kanë pasur disbursimet e garancive të cilat pothuajse janë përgjysmuar, gjithsesi vlera e tyre në raport me totalin është në nivele modeste.</w:t>
      </w:r>
    </w:p>
    <w:p w:rsidR="00B22874" w:rsidRPr="00583077" w:rsidRDefault="00B22874" w:rsidP="001E1D64">
      <w:pPr>
        <w:jc w:val="both"/>
        <w:rPr>
          <w:lang w:val="sq-AL"/>
        </w:rPr>
      </w:pPr>
    </w:p>
    <w:p w:rsidR="00B22874" w:rsidRPr="009F044E" w:rsidRDefault="00B22874" w:rsidP="002730F7">
      <w:pPr>
        <w:jc w:val="both"/>
        <w:rPr>
          <w:b/>
          <w:bCs/>
          <w:sz w:val="20"/>
          <w:szCs w:val="20"/>
          <w:lang w:val="it-IT"/>
        </w:rPr>
      </w:pPr>
      <w:r>
        <w:rPr>
          <w:b/>
          <w:bCs/>
          <w:lang w:val="it-IT"/>
        </w:rPr>
        <w:t xml:space="preserve">     </w:t>
      </w:r>
      <w:r w:rsidRPr="00583077">
        <w:rPr>
          <w:b/>
          <w:bCs/>
          <w:lang w:val="it-IT"/>
        </w:rPr>
        <w:t xml:space="preserve"> </w:t>
      </w:r>
      <w:r w:rsidRPr="009F044E">
        <w:rPr>
          <w:b/>
          <w:bCs/>
          <w:sz w:val="20"/>
          <w:szCs w:val="20"/>
          <w:lang w:val="it-IT"/>
        </w:rPr>
        <w:t xml:space="preserve">Grafik </w:t>
      </w:r>
      <w:r>
        <w:rPr>
          <w:b/>
          <w:bCs/>
          <w:sz w:val="20"/>
          <w:szCs w:val="20"/>
          <w:lang w:val="it-IT"/>
        </w:rPr>
        <w:t>10</w:t>
      </w:r>
      <w:r w:rsidRPr="009F044E">
        <w:rPr>
          <w:b/>
          <w:bCs/>
          <w:sz w:val="20"/>
          <w:szCs w:val="20"/>
          <w:lang w:val="it-IT"/>
        </w:rPr>
        <w:t>.</w:t>
      </w:r>
    </w:p>
    <w:p w:rsidR="00B22874" w:rsidRPr="00583077" w:rsidRDefault="00B22874" w:rsidP="002730F7">
      <w:pPr>
        <w:autoSpaceDE w:val="0"/>
        <w:autoSpaceDN w:val="0"/>
        <w:adjustRightInd w:val="0"/>
        <w:spacing w:line="300" w:lineRule="exact"/>
        <w:jc w:val="both"/>
        <w:rPr>
          <w:sz w:val="20"/>
          <w:szCs w:val="20"/>
          <w:lang w:val="it-IT"/>
        </w:rPr>
      </w:pPr>
      <w:r w:rsidRPr="00583077">
        <w:rPr>
          <w:lang w:val="it-IT"/>
        </w:rPr>
        <w:t xml:space="preserve">       * </w:t>
      </w:r>
      <w:r w:rsidRPr="00583077">
        <w:rPr>
          <w:sz w:val="20"/>
          <w:szCs w:val="20"/>
          <w:lang w:val="it-IT"/>
        </w:rPr>
        <w:t>Ecuria e disbursimeve të borxhit të jashtëm</w:t>
      </w:r>
    </w:p>
    <w:p w:rsidR="00B22874" w:rsidRPr="00583077" w:rsidRDefault="00512804" w:rsidP="002730F7">
      <w:pPr>
        <w:jc w:val="center"/>
        <w:rPr>
          <w:lang w:val="sq-AL"/>
        </w:rPr>
      </w:pPr>
      <w:r>
        <w:rPr>
          <w:noProof/>
          <w:lang w:val="en-GB" w:eastAsia="en-GB"/>
        </w:rPr>
        <w:drawing>
          <wp:inline distT="0" distB="0" distL="0" distR="0">
            <wp:extent cx="5438775" cy="23812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srcRect/>
                    <a:stretch>
                      <a:fillRect/>
                    </a:stretch>
                  </pic:blipFill>
                  <pic:spPr bwMode="auto">
                    <a:xfrm>
                      <a:off x="0" y="0"/>
                      <a:ext cx="5438775" cy="2381250"/>
                    </a:xfrm>
                    <a:prstGeom prst="rect">
                      <a:avLst/>
                    </a:prstGeom>
                    <a:noFill/>
                    <a:ln w="9525">
                      <a:noFill/>
                      <a:miter lim="800000"/>
                      <a:headEnd/>
                      <a:tailEnd/>
                    </a:ln>
                  </pic:spPr>
                </pic:pic>
              </a:graphicData>
            </a:graphic>
          </wp:inline>
        </w:drawing>
      </w:r>
    </w:p>
    <w:p w:rsidR="00B22874" w:rsidRPr="00583077" w:rsidRDefault="00B22874" w:rsidP="001E1D64">
      <w:pPr>
        <w:jc w:val="both"/>
        <w:rPr>
          <w:lang w:val="sq-AL"/>
        </w:rPr>
      </w:pPr>
      <w:r w:rsidRPr="00583077">
        <w:rPr>
          <w:lang w:val="sq-AL"/>
        </w:rPr>
        <w:lastRenderedPageBreak/>
        <w:t>Gjatë vitit 2013 shumica e sektorëve te ekonomisë kanë disbursuar shuma modeste krahasuar me totalin e disbursimeve të realizuara me përjashtim të tre sektorëve të mëposhtëm disbursimet e të cilëve zenë rreth 90 % të totalit të disbursimeve.</w:t>
      </w:r>
    </w:p>
    <w:p w:rsidR="00B22874" w:rsidRPr="00583077" w:rsidRDefault="00B22874" w:rsidP="001E1D64">
      <w:pPr>
        <w:jc w:val="both"/>
        <w:rPr>
          <w:lang w:val="sq-AL"/>
        </w:rPr>
      </w:pPr>
    </w:p>
    <w:p w:rsidR="00B22874" w:rsidRPr="00583077" w:rsidRDefault="00B22874" w:rsidP="00A35EC2">
      <w:pPr>
        <w:numPr>
          <w:ilvl w:val="0"/>
          <w:numId w:val="20"/>
        </w:numPr>
        <w:jc w:val="both"/>
        <w:rPr>
          <w:lang w:val="sq-AL"/>
        </w:rPr>
      </w:pPr>
      <w:r w:rsidRPr="00583077">
        <w:rPr>
          <w:lang w:val="sq-AL"/>
        </w:rPr>
        <w:t>Sektori i Transportit 69.8% të totalit të disbursimeve (129.15 milion Euro)</w:t>
      </w:r>
    </w:p>
    <w:p w:rsidR="00B22874" w:rsidRPr="00583077" w:rsidRDefault="00B22874" w:rsidP="00A35EC2">
      <w:pPr>
        <w:numPr>
          <w:ilvl w:val="0"/>
          <w:numId w:val="20"/>
        </w:numPr>
        <w:jc w:val="both"/>
        <w:rPr>
          <w:lang w:val="sq-AL"/>
        </w:rPr>
      </w:pPr>
      <w:r w:rsidRPr="00583077">
        <w:rPr>
          <w:lang w:val="sq-AL"/>
        </w:rPr>
        <w:t>Sektori i Energjitikës 10.8% të totalit të disbursimeve (19.89 milion Euro)</w:t>
      </w:r>
    </w:p>
    <w:p w:rsidR="00B22874" w:rsidRPr="00583077" w:rsidRDefault="00B22874" w:rsidP="00A35EC2">
      <w:pPr>
        <w:numPr>
          <w:ilvl w:val="0"/>
          <w:numId w:val="20"/>
        </w:numPr>
        <w:jc w:val="both"/>
        <w:rPr>
          <w:lang w:val="sq-AL"/>
        </w:rPr>
      </w:pPr>
      <w:r w:rsidRPr="00583077">
        <w:rPr>
          <w:lang w:val="sq-AL"/>
        </w:rPr>
        <w:t>Sektori i Ujësjellës Kanalizimeve 8.9% të totalit të disbursimeve (16.55 milion Euro)</w:t>
      </w:r>
    </w:p>
    <w:p w:rsidR="00B22874" w:rsidRPr="00F555ED" w:rsidRDefault="00B22874" w:rsidP="00F16F5A">
      <w:pPr>
        <w:ind w:left="360"/>
        <w:jc w:val="both"/>
        <w:rPr>
          <w:lang w:val="sq-AL"/>
        </w:rPr>
      </w:pPr>
    </w:p>
    <w:p w:rsidR="00B22874" w:rsidRDefault="00B22874" w:rsidP="001E1D64">
      <w:pPr>
        <w:jc w:val="both"/>
        <w:rPr>
          <w:b/>
          <w:lang w:val="sq-AL"/>
        </w:rPr>
      </w:pPr>
    </w:p>
    <w:p w:rsidR="00B22874" w:rsidRPr="00DE6504" w:rsidRDefault="00B22874" w:rsidP="003229A7">
      <w:pPr>
        <w:jc w:val="both"/>
        <w:rPr>
          <w:b/>
          <w:bCs/>
          <w:lang w:val="sq-AL"/>
        </w:rPr>
      </w:pPr>
      <w:r>
        <w:rPr>
          <w:b/>
          <w:bCs/>
          <w:lang w:val="it-IT"/>
        </w:rPr>
        <w:t>III</w:t>
      </w:r>
      <w:r w:rsidRPr="00DE6504">
        <w:rPr>
          <w:b/>
          <w:bCs/>
          <w:lang w:val="sq-AL"/>
        </w:rPr>
        <w:t>.  Realizimi i objektivave t</w:t>
      </w:r>
      <w:r>
        <w:rPr>
          <w:b/>
          <w:bCs/>
          <w:lang w:val="sq-AL"/>
        </w:rPr>
        <w:t>ë</w:t>
      </w:r>
      <w:r w:rsidRPr="00DE6504">
        <w:rPr>
          <w:b/>
          <w:bCs/>
          <w:lang w:val="sq-AL"/>
        </w:rPr>
        <w:t xml:space="preserve"> strategjis</w:t>
      </w:r>
      <w:r>
        <w:rPr>
          <w:b/>
          <w:bCs/>
          <w:lang w:val="sq-AL"/>
        </w:rPr>
        <w:t>ë</w:t>
      </w:r>
      <w:r w:rsidRPr="00DE6504">
        <w:rPr>
          <w:b/>
          <w:bCs/>
          <w:lang w:val="sq-AL"/>
        </w:rPr>
        <w:t xml:space="preserve"> paraardh</w:t>
      </w:r>
      <w:r>
        <w:rPr>
          <w:b/>
          <w:bCs/>
          <w:lang w:val="sq-AL"/>
        </w:rPr>
        <w:t>ë</w:t>
      </w:r>
      <w:r w:rsidRPr="00DE6504">
        <w:rPr>
          <w:b/>
          <w:bCs/>
          <w:lang w:val="sq-AL"/>
        </w:rPr>
        <w:t>se t</w:t>
      </w:r>
      <w:r>
        <w:rPr>
          <w:b/>
          <w:bCs/>
          <w:lang w:val="sq-AL"/>
        </w:rPr>
        <w:t>ë</w:t>
      </w:r>
      <w:r w:rsidRPr="00DE6504">
        <w:rPr>
          <w:b/>
          <w:bCs/>
          <w:lang w:val="sq-AL"/>
        </w:rPr>
        <w:t xml:space="preserve"> borxhit.</w:t>
      </w:r>
    </w:p>
    <w:p w:rsidR="00B22874" w:rsidRDefault="00B22874" w:rsidP="007A7E1F">
      <w:pPr>
        <w:jc w:val="both"/>
        <w:rPr>
          <w:b/>
          <w:lang w:val="sq-AL"/>
        </w:rPr>
      </w:pPr>
    </w:p>
    <w:p w:rsidR="00B22874" w:rsidRDefault="00B22874" w:rsidP="007A7E1F">
      <w:pPr>
        <w:jc w:val="both"/>
        <w:rPr>
          <w:lang w:val="sq-AL"/>
        </w:rPr>
      </w:pPr>
      <w:r w:rsidRPr="00DE6504">
        <w:rPr>
          <w:lang w:val="sq-AL"/>
        </w:rPr>
        <w:t>Strategjia</w:t>
      </w:r>
      <w:r>
        <w:rPr>
          <w:lang w:val="sq-AL"/>
        </w:rPr>
        <w:t xml:space="preserve"> </w:t>
      </w:r>
      <w:r w:rsidRPr="00DE6504">
        <w:rPr>
          <w:lang w:val="sq-AL"/>
        </w:rPr>
        <w:t>e Menaxhimit t</w:t>
      </w:r>
      <w:r>
        <w:rPr>
          <w:lang w:val="sq-AL"/>
        </w:rPr>
        <w:t>ë</w:t>
      </w:r>
      <w:r w:rsidRPr="00DE6504">
        <w:rPr>
          <w:lang w:val="sq-AL"/>
        </w:rPr>
        <w:t xml:space="preserve"> Borxhit Publik</w:t>
      </w:r>
      <w:r>
        <w:rPr>
          <w:lang w:val="sq-AL"/>
        </w:rPr>
        <w:t xml:space="preserve"> për periudhën afatmesme </w:t>
      </w:r>
      <w:r w:rsidRPr="00DE6504">
        <w:rPr>
          <w:lang w:val="sq-AL"/>
        </w:rPr>
        <w:t>201</w:t>
      </w:r>
      <w:r>
        <w:rPr>
          <w:lang w:val="sq-AL"/>
        </w:rPr>
        <w:t>3</w:t>
      </w:r>
      <w:r w:rsidRPr="00DE6504">
        <w:rPr>
          <w:lang w:val="sq-AL"/>
        </w:rPr>
        <w:t>-201</w:t>
      </w:r>
      <w:r>
        <w:rPr>
          <w:lang w:val="sq-AL"/>
        </w:rPr>
        <w:t>5</w:t>
      </w:r>
      <w:r w:rsidRPr="00DE6504">
        <w:rPr>
          <w:lang w:val="sq-AL"/>
        </w:rPr>
        <w:t xml:space="preserve"> p</w:t>
      </w:r>
      <w:r>
        <w:rPr>
          <w:lang w:val="sq-AL"/>
        </w:rPr>
        <w:t>ë</w:t>
      </w:r>
      <w:r w:rsidRPr="00DE6504">
        <w:rPr>
          <w:lang w:val="sq-AL"/>
        </w:rPr>
        <w:t>rmban objektivat operative t</w:t>
      </w:r>
      <w:r>
        <w:rPr>
          <w:lang w:val="sq-AL"/>
        </w:rPr>
        <w:t>ë</w:t>
      </w:r>
      <w:r w:rsidRPr="00DE6504">
        <w:rPr>
          <w:lang w:val="sq-AL"/>
        </w:rPr>
        <w:t xml:space="preserve"> m</w:t>
      </w:r>
      <w:r>
        <w:rPr>
          <w:lang w:val="sq-AL"/>
        </w:rPr>
        <w:t>ë</w:t>
      </w:r>
      <w:r w:rsidRPr="00DE6504">
        <w:rPr>
          <w:lang w:val="sq-AL"/>
        </w:rPr>
        <w:t>poshtme:</w:t>
      </w:r>
    </w:p>
    <w:p w:rsidR="00B22874" w:rsidRDefault="00B22874" w:rsidP="007A7E1F">
      <w:pPr>
        <w:jc w:val="both"/>
        <w:rPr>
          <w:lang w:val="sq-AL"/>
        </w:rPr>
      </w:pPr>
    </w:p>
    <w:p w:rsidR="00B22874" w:rsidRDefault="00B22874" w:rsidP="007A7E1F">
      <w:pPr>
        <w:numPr>
          <w:ilvl w:val="0"/>
          <w:numId w:val="21"/>
        </w:numPr>
        <w:jc w:val="both"/>
        <w:rPr>
          <w:lang w:val="sq-AL"/>
        </w:rPr>
      </w:pPr>
      <w:r>
        <w:rPr>
          <w:lang w:val="sq-AL"/>
        </w:rPr>
        <w:t>Financimi i brendshëm nëpërmjet kësaj strategjie, do të realizohet në masën 22 % me instrumenta afatshkurtër dhe 78 % me instrumenta afatgjatë për totalin e emetimeve të vitit 2013. Ndërkohë, raporti bono thesari dhe obligacione ndaj stokut do të jetë 53% me 47%.</w:t>
      </w:r>
    </w:p>
    <w:p w:rsidR="00B22874" w:rsidRDefault="00B22874" w:rsidP="007A7E1F">
      <w:pPr>
        <w:numPr>
          <w:ilvl w:val="0"/>
          <w:numId w:val="21"/>
        </w:numPr>
        <w:jc w:val="both"/>
        <w:rPr>
          <w:lang w:val="sq-AL"/>
        </w:rPr>
      </w:pPr>
      <w:r>
        <w:rPr>
          <w:lang w:val="sq-AL"/>
        </w:rPr>
        <w:t>Raportet midis borxhit në monedhë të huaj dhe atë vendase janë 46% me 54%.</w:t>
      </w:r>
    </w:p>
    <w:p w:rsidR="00B22874" w:rsidRDefault="00B22874" w:rsidP="007A7E1F">
      <w:pPr>
        <w:numPr>
          <w:ilvl w:val="0"/>
          <w:numId w:val="21"/>
        </w:numPr>
        <w:jc w:val="both"/>
        <w:rPr>
          <w:lang w:val="sq-AL"/>
        </w:rPr>
      </w:pPr>
      <w:r>
        <w:rPr>
          <w:lang w:val="sq-AL"/>
        </w:rPr>
        <w:t>Duration i portofolit do të luhatet 0,72-0,78 dhe ditët mesatare në maturim rreth 390-445 ditë.</w:t>
      </w:r>
    </w:p>
    <w:p w:rsidR="00B22874" w:rsidRDefault="00B22874" w:rsidP="007A7E1F">
      <w:pPr>
        <w:jc w:val="both"/>
        <w:rPr>
          <w:lang w:val="sq-AL"/>
        </w:rPr>
      </w:pPr>
    </w:p>
    <w:p w:rsidR="00B22874" w:rsidRDefault="00B22874" w:rsidP="007A7E1F">
      <w:pPr>
        <w:jc w:val="both"/>
        <w:rPr>
          <w:lang w:val="sq-AL"/>
        </w:rPr>
      </w:pPr>
      <w:r>
        <w:rPr>
          <w:lang w:val="sq-AL"/>
        </w:rPr>
        <w:t>Përsa i përket objektivave operative të strategjisë mund të thuhet se janë realizuar në përputhje me strategjinë gjatë vitit 2013, ndërkohë që kanë tejkaluar edhe pritshmëritë e strategjisë.</w:t>
      </w:r>
    </w:p>
    <w:p w:rsidR="00B22874" w:rsidRDefault="00B22874" w:rsidP="007A7E1F">
      <w:pPr>
        <w:jc w:val="both"/>
        <w:rPr>
          <w:lang w:val="sq-AL"/>
        </w:rPr>
      </w:pPr>
      <w:r>
        <w:rPr>
          <w:lang w:val="sq-AL"/>
        </w:rPr>
        <w:t>Nëse i referohemi treguesve të muajit shtator ku financimi i brendshëm ka qënë i krahasueshëm me atë të parashikuar në strategji për fundin e vitit 2013, vlerësojmë se zbatimi i strategjise ka ecur pozitivisht dhe treguesit janë realizuar.</w:t>
      </w:r>
    </w:p>
    <w:p w:rsidR="00B22874" w:rsidRDefault="00B22874" w:rsidP="007A7E1F">
      <w:pPr>
        <w:jc w:val="both"/>
        <w:rPr>
          <w:lang w:val="sq-AL"/>
        </w:rPr>
      </w:pPr>
      <w:r>
        <w:rPr>
          <w:lang w:val="sq-AL"/>
        </w:rPr>
        <w:t>Ndërkohë nëse i referohemi fundit të vitit 2013, ka pasur përmirësim të theksuar në financimin e deficitit buxhetor i cili është financuar plotësisht prej instrumentave afatgjata (mbi 100%). Konkretisht, raporti ndërmjet bonove të thesarit dhe obligacioneve gjate vitit 2013, ka qënë mbi 80% në favor të obligacioneve afatgjata dhe ka ardhur duke u rritur në favor të tyre.</w:t>
      </w:r>
    </w:p>
    <w:p w:rsidR="00B22874" w:rsidRDefault="00B22874" w:rsidP="007A7E1F">
      <w:pPr>
        <w:jc w:val="both"/>
        <w:rPr>
          <w:lang w:val="sq-AL"/>
        </w:rPr>
      </w:pPr>
      <w:r>
        <w:rPr>
          <w:lang w:val="sq-AL"/>
        </w:rPr>
        <w:t>Këto ndryshime nga objektivat e strategjisë kanë ardhur si rezultat i përgjigjes pozitive të tregut për instrumentat financiare shtetërore afatgjata, duke bërë të mundur përmirësimin e treguesve të riskut edhe përtej pritshmërisë së strategjisë.</w:t>
      </w:r>
    </w:p>
    <w:p w:rsidR="00B22874" w:rsidRDefault="00B22874" w:rsidP="007A7E1F">
      <w:pPr>
        <w:jc w:val="both"/>
        <w:rPr>
          <w:lang w:val="sq-AL"/>
        </w:rPr>
      </w:pPr>
      <w:r>
        <w:rPr>
          <w:lang w:val="sq-AL"/>
        </w:rPr>
        <w:t>Ditët mesatare në maturim u vlerësuan 466 ditë në fund të shtatorit 2013, duke ju afruar  parashikimeve prej 445 ditë në strategjinë e borxhit dhe kanë arritur 563 ditë në fund të vitit 2013.</w:t>
      </w:r>
    </w:p>
    <w:p w:rsidR="00B22874" w:rsidRDefault="00B22874" w:rsidP="007A7E1F">
      <w:pPr>
        <w:jc w:val="both"/>
        <w:rPr>
          <w:lang w:val="sq-AL"/>
        </w:rPr>
      </w:pPr>
      <w:r>
        <w:rPr>
          <w:lang w:val="sq-AL"/>
        </w:rPr>
        <w:t>Treguesi duration është vlerësuar në strategji në nivelin 0,78, ndërkohë që ka arritur 0,87 në fund të shtatorit dhe me pas 1,05 në fund të vitit. Ky tregues ka treguar përmirësime të ndjeshme të lidhura me emetimin e instrumentave fikse dhe uljen e normave të interesit.</w:t>
      </w:r>
    </w:p>
    <w:p w:rsidR="00B22874" w:rsidRDefault="00B22874" w:rsidP="007A7E1F">
      <w:pPr>
        <w:jc w:val="both"/>
      </w:pPr>
      <w:r>
        <w:t>Përsa i përket raporteve të borxhit në monedhe të huaj dhe vendase që realisht dalin 58% me 42%, duhen theksuar se faktorët që e kanë larguar nga treguesit e strategjisë janë:</w:t>
      </w:r>
    </w:p>
    <w:p w:rsidR="00B22874" w:rsidRDefault="00B22874" w:rsidP="007A7E1F">
      <w:pPr>
        <w:jc w:val="both"/>
      </w:pPr>
    </w:p>
    <w:p w:rsidR="00B22874" w:rsidRDefault="00B22874" w:rsidP="007A7E1F">
      <w:pPr>
        <w:jc w:val="both"/>
      </w:pPr>
    </w:p>
    <w:p w:rsidR="00B22874" w:rsidRDefault="00B22874" w:rsidP="007A7E1F">
      <w:pPr>
        <w:jc w:val="both"/>
      </w:pPr>
    </w:p>
    <w:p w:rsidR="00B22874" w:rsidRDefault="00B22874" w:rsidP="007A7E1F">
      <w:pPr>
        <w:jc w:val="both"/>
      </w:pPr>
    </w:p>
    <w:p w:rsidR="00B22874" w:rsidRDefault="00B22874" w:rsidP="007A7E1F">
      <w:pPr>
        <w:numPr>
          <w:ilvl w:val="0"/>
          <w:numId w:val="22"/>
        </w:numPr>
        <w:jc w:val="both"/>
      </w:pPr>
      <w:r>
        <w:lastRenderedPageBreak/>
        <w:t xml:space="preserve">Rritja e huamarrjes së brendshme </w:t>
      </w:r>
    </w:p>
    <w:p w:rsidR="00B22874" w:rsidRDefault="00B22874" w:rsidP="007A7E1F">
      <w:pPr>
        <w:numPr>
          <w:ilvl w:val="0"/>
          <w:numId w:val="22"/>
        </w:numPr>
        <w:jc w:val="both"/>
      </w:pPr>
      <w:r>
        <w:t xml:space="preserve">Ulja e financimit të huaj </w:t>
      </w:r>
    </w:p>
    <w:p w:rsidR="00B22874" w:rsidRDefault="00B22874" w:rsidP="007A7E1F">
      <w:pPr>
        <w:numPr>
          <w:ilvl w:val="0"/>
          <w:numId w:val="22"/>
        </w:numPr>
        <w:jc w:val="both"/>
      </w:pPr>
      <w:r>
        <w:t>Mosangazhimi i instrumentit të garancive  të parashikuara</w:t>
      </w:r>
    </w:p>
    <w:p w:rsidR="00B22874" w:rsidRPr="00DE6504" w:rsidRDefault="00B22874" w:rsidP="007A7E1F">
      <w:pPr>
        <w:rPr>
          <w:lang w:val="sq-AL"/>
        </w:rPr>
      </w:pPr>
    </w:p>
    <w:p w:rsidR="00B22874" w:rsidRPr="00CF371A" w:rsidRDefault="00B22874" w:rsidP="008611F0">
      <w:pPr>
        <w:ind w:right="-720"/>
        <w:jc w:val="both"/>
        <w:rPr>
          <w:b/>
          <w:bCs/>
          <w:lang w:val="it-IT"/>
        </w:rPr>
      </w:pPr>
      <w:r>
        <w:rPr>
          <w:b/>
          <w:bCs/>
          <w:lang w:val="it-IT"/>
        </w:rPr>
        <w:t>IV</w:t>
      </w:r>
      <w:r w:rsidRPr="00CF371A">
        <w:rPr>
          <w:b/>
          <w:bCs/>
          <w:lang w:val="it-IT"/>
        </w:rPr>
        <w:t>. Ecuria e zbatimit te limiteve vje</w:t>
      </w:r>
      <w:r>
        <w:rPr>
          <w:b/>
          <w:bCs/>
          <w:lang w:val="it-IT"/>
        </w:rPr>
        <w:t>tore te borxhit gjate vitit 2013</w:t>
      </w:r>
      <w:r w:rsidRPr="00CF371A">
        <w:rPr>
          <w:b/>
          <w:bCs/>
          <w:lang w:val="it-IT"/>
        </w:rPr>
        <w:t>.</w:t>
      </w:r>
    </w:p>
    <w:p w:rsidR="00B22874" w:rsidRPr="00B216CF" w:rsidRDefault="00B22874" w:rsidP="008611F0">
      <w:pPr>
        <w:ind w:right="-720"/>
        <w:jc w:val="both"/>
        <w:rPr>
          <w:b/>
          <w:bCs/>
          <w:lang w:val="it-IT"/>
        </w:rPr>
      </w:pPr>
    </w:p>
    <w:p w:rsidR="00B22874" w:rsidRDefault="00B22874" w:rsidP="004C3C4A">
      <w:pPr>
        <w:ind w:firstLine="720"/>
        <w:jc w:val="both"/>
        <w:rPr>
          <w:lang w:val="sq-AL"/>
        </w:rPr>
      </w:pPr>
      <w:r>
        <w:rPr>
          <w:b/>
          <w:bCs/>
          <w:lang w:val="sq-AL"/>
        </w:rPr>
        <w:t xml:space="preserve">i. </w:t>
      </w:r>
      <w:r w:rsidRPr="002C6A77">
        <w:rPr>
          <w:b/>
          <w:bCs/>
          <w:lang w:val="sq-AL"/>
        </w:rPr>
        <w:t>Realizimi i shpenzimeve p</w:t>
      </w:r>
      <w:r>
        <w:rPr>
          <w:b/>
          <w:bCs/>
          <w:lang w:val="sq-AL"/>
        </w:rPr>
        <w:t>ë</w:t>
      </w:r>
      <w:r w:rsidRPr="002C6A77">
        <w:rPr>
          <w:b/>
          <w:bCs/>
          <w:lang w:val="sq-AL"/>
        </w:rPr>
        <w:t>r borxhin n</w:t>
      </w:r>
      <w:r>
        <w:rPr>
          <w:b/>
          <w:bCs/>
          <w:lang w:val="sq-AL"/>
        </w:rPr>
        <w:t>ë</w:t>
      </w:r>
      <w:r w:rsidRPr="002C6A77">
        <w:rPr>
          <w:b/>
          <w:bCs/>
          <w:lang w:val="sq-AL"/>
        </w:rPr>
        <w:t xml:space="preserve"> raport me planin</w:t>
      </w:r>
      <w:r>
        <w:rPr>
          <w:lang w:val="sq-AL"/>
        </w:rPr>
        <w:t>.</w:t>
      </w:r>
    </w:p>
    <w:p w:rsidR="00B22874" w:rsidRDefault="00B22874" w:rsidP="008611F0">
      <w:pPr>
        <w:jc w:val="both"/>
        <w:rPr>
          <w:lang w:val="sq-AL"/>
        </w:rPr>
      </w:pPr>
    </w:p>
    <w:p w:rsidR="00B22874" w:rsidRDefault="00B22874" w:rsidP="008611F0">
      <w:pPr>
        <w:jc w:val="both"/>
        <w:rPr>
          <w:lang w:val="sq-AL"/>
        </w:rPr>
      </w:pPr>
      <w:r>
        <w:rPr>
          <w:lang w:val="sq-AL"/>
        </w:rPr>
        <w:t>Niveli i planifikuar i shpenzimeve për shërbimin e borxhit për vitin 2013 dhe realizimi i tyre jepet në tabelën e mëposhtme:</w:t>
      </w:r>
    </w:p>
    <w:p w:rsidR="00B22874" w:rsidRDefault="00B22874" w:rsidP="008611F0">
      <w:pPr>
        <w:jc w:val="both"/>
        <w:rPr>
          <w:lang w:val="sq-AL"/>
        </w:rPr>
      </w:pPr>
    </w:p>
    <w:p w:rsidR="00B22874" w:rsidRPr="005B3E9C" w:rsidRDefault="00B22874" w:rsidP="008611F0">
      <w:pPr>
        <w:jc w:val="both"/>
        <w:rPr>
          <w:b/>
          <w:sz w:val="20"/>
          <w:szCs w:val="20"/>
          <w:lang w:val="sq-AL"/>
        </w:rPr>
      </w:pPr>
      <w:r w:rsidRPr="005B3E9C">
        <w:rPr>
          <w:b/>
          <w:sz w:val="20"/>
          <w:szCs w:val="20"/>
          <w:lang w:val="sq-AL"/>
        </w:rPr>
        <w:t xml:space="preserve">Tabela </w:t>
      </w:r>
      <w:r>
        <w:rPr>
          <w:b/>
          <w:sz w:val="20"/>
          <w:szCs w:val="20"/>
          <w:lang w:val="sq-AL"/>
        </w:rPr>
        <w:t>8</w:t>
      </w:r>
      <w:r w:rsidRPr="005B3E9C">
        <w:rPr>
          <w:b/>
          <w:sz w:val="20"/>
          <w:szCs w:val="20"/>
          <w:lang w:val="sq-AL"/>
        </w:rPr>
        <w:t>.</w:t>
      </w:r>
    </w:p>
    <w:p w:rsidR="00B22874" w:rsidRPr="00170E0E" w:rsidRDefault="00B22874" w:rsidP="008611F0">
      <w:pPr>
        <w:jc w:val="both"/>
        <w:rPr>
          <w:sz w:val="18"/>
          <w:szCs w:val="18"/>
          <w:lang w:val="sq-AL"/>
        </w:rPr>
      </w:pPr>
      <w:r w:rsidRPr="00170E0E">
        <w:rPr>
          <w:sz w:val="18"/>
          <w:szCs w:val="18"/>
          <w:lang w:val="sq-AL"/>
        </w:rPr>
        <w:t>*</w:t>
      </w:r>
      <w:r>
        <w:rPr>
          <w:sz w:val="18"/>
          <w:szCs w:val="18"/>
          <w:lang w:val="sq-AL"/>
        </w:rPr>
        <w:t>Krahasimi i faktit me planin për shpenzimet e  shërbimit të borxhit</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86"/>
        <w:gridCol w:w="1408"/>
        <w:gridCol w:w="1620"/>
        <w:gridCol w:w="1620"/>
      </w:tblGrid>
      <w:tr w:rsidR="00B22874" w:rsidTr="005B3E9C">
        <w:tc>
          <w:tcPr>
            <w:tcW w:w="3886" w:type="dxa"/>
            <w:shd w:val="clear" w:color="auto" w:fill="99CCFF"/>
          </w:tcPr>
          <w:p w:rsidR="00B22874" w:rsidRPr="00720E01" w:rsidRDefault="00B22874" w:rsidP="00720E01">
            <w:pPr>
              <w:jc w:val="center"/>
              <w:rPr>
                <w:b/>
                <w:sz w:val="20"/>
                <w:szCs w:val="20"/>
                <w:lang w:val="sq-AL"/>
              </w:rPr>
            </w:pPr>
            <w:r w:rsidRPr="00720E01">
              <w:rPr>
                <w:b/>
                <w:sz w:val="20"/>
                <w:szCs w:val="20"/>
                <w:lang w:val="sq-AL"/>
              </w:rPr>
              <w:t>Shpenzimet</w:t>
            </w:r>
          </w:p>
        </w:tc>
        <w:tc>
          <w:tcPr>
            <w:tcW w:w="1408" w:type="dxa"/>
            <w:shd w:val="clear" w:color="auto" w:fill="99CCFF"/>
          </w:tcPr>
          <w:p w:rsidR="00B22874" w:rsidRPr="00720E01" w:rsidRDefault="00B22874" w:rsidP="00720E01">
            <w:pPr>
              <w:jc w:val="center"/>
              <w:rPr>
                <w:b/>
                <w:sz w:val="20"/>
                <w:szCs w:val="20"/>
                <w:lang w:val="sq-AL"/>
              </w:rPr>
            </w:pPr>
            <w:r w:rsidRPr="00720E01">
              <w:rPr>
                <w:b/>
                <w:sz w:val="20"/>
                <w:szCs w:val="20"/>
                <w:lang w:val="sq-AL"/>
              </w:rPr>
              <w:t>Plani 2013</w:t>
            </w:r>
          </w:p>
        </w:tc>
        <w:tc>
          <w:tcPr>
            <w:tcW w:w="1620" w:type="dxa"/>
            <w:shd w:val="clear" w:color="auto" w:fill="99CCFF"/>
          </w:tcPr>
          <w:p w:rsidR="00B22874" w:rsidRPr="00720E01" w:rsidRDefault="00B22874" w:rsidP="00720E01">
            <w:pPr>
              <w:jc w:val="center"/>
              <w:rPr>
                <w:b/>
                <w:sz w:val="20"/>
                <w:szCs w:val="20"/>
                <w:lang w:val="sq-AL"/>
              </w:rPr>
            </w:pPr>
            <w:r w:rsidRPr="00720E01">
              <w:rPr>
                <w:b/>
                <w:sz w:val="20"/>
                <w:szCs w:val="20"/>
                <w:lang w:val="sq-AL"/>
              </w:rPr>
              <w:t>Fakti 2013</w:t>
            </w:r>
          </w:p>
        </w:tc>
        <w:tc>
          <w:tcPr>
            <w:tcW w:w="1620" w:type="dxa"/>
            <w:shd w:val="clear" w:color="auto" w:fill="99CCFF"/>
          </w:tcPr>
          <w:p w:rsidR="00B22874" w:rsidRPr="00720E01" w:rsidRDefault="00B22874" w:rsidP="00720E01">
            <w:pPr>
              <w:jc w:val="center"/>
              <w:rPr>
                <w:b/>
                <w:sz w:val="20"/>
                <w:szCs w:val="20"/>
                <w:lang w:val="sq-AL"/>
              </w:rPr>
            </w:pPr>
            <w:r w:rsidRPr="00720E01">
              <w:rPr>
                <w:b/>
                <w:sz w:val="20"/>
                <w:szCs w:val="20"/>
                <w:lang w:val="sq-AL"/>
              </w:rPr>
              <w:t>Ndryshimi%</w:t>
            </w:r>
          </w:p>
        </w:tc>
      </w:tr>
      <w:tr w:rsidR="00B22874" w:rsidTr="005B3E9C">
        <w:tc>
          <w:tcPr>
            <w:tcW w:w="3886" w:type="dxa"/>
          </w:tcPr>
          <w:p w:rsidR="00B22874" w:rsidRPr="00720E01" w:rsidRDefault="00B22874" w:rsidP="00720E01">
            <w:pPr>
              <w:jc w:val="center"/>
              <w:rPr>
                <w:b/>
                <w:sz w:val="20"/>
                <w:szCs w:val="20"/>
                <w:lang w:val="sq-AL"/>
              </w:rPr>
            </w:pPr>
            <w:r w:rsidRPr="00720E01">
              <w:rPr>
                <w:b/>
                <w:sz w:val="20"/>
                <w:szCs w:val="20"/>
                <w:lang w:val="sq-AL"/>
              </w:rPr>
              <w:t>Interesa të borxhit të brendshëm</w:t>
            </w:r>
          </w:p>
          <w:p w:rsidR="00B22874" w:rsidRPr="00720E01" w:rsidRDefault="00B22874" w:rsidP="00720E01">
            <w:pPr>
              <w:jc w:val="center"/>
              <w:rPr>
                <w:b/>
                <w:sz w:val="20"/>
                <w:szCs w:val="20"/>
                <w:lang w:val="sq-AL"/>
              </w:rPr>
            </w:pPr>
            <w:r w:rsidRPr="00720E01">
              <w:rPr>
                <w:b/>
                <w:sz w:val="20"/>
                <w:szCs w:val="20"/>
                <w:lang w:val="sq-AL"/>
              </w:rPr>
              <w:t>Interesa të borxhit të jashtëm</w:t>
            </w:r>
          </w:p>
          <w:p w:rsidR="00B22874" w:rsidRPr="005B3E9C" w:rsidRDefault="00B22874" w:rsidP="00720E01">
            <w:pPr>
              <w:jc w:val="center"/>
              <w:rPr>
                <w:b/>
                <w:lang w:val="sq-AL"/>
              </w:rPr>
            </w:pPr>
            <w:r w:rsidRPr="00720E01">
              <w:rPr>
                <w:b/>
                <w:sz w:val="20"/>
                <w:szCs w:val="20"/>
                <w:lang w:val="sq-AL"/>
              </w:rPr>
              <w:t>Ripagesa të jashtme</w:t>
            </w:r>
          </w:p>
        </w:tc>
        <w:tc>
          <w:tcPr>
            <w:tcW w:w="1408" w:type="dxa"/>
          </w:tcPr>
          <w:p w:rsidR="00B22874" w:rsidRPr="005B3E9C" w:rsidRDefault="00B22874" w:rsidP="005B3E9C">
            <w:pPr>
              <w:jc w:val="right"/>
              <w:rPr>
                <w:lang w:val="sq-AL"/>
              </w:rPr>
            </w:pPr>
            <w:r w:rsidRPr="005B3E9C">
              <w:rPr>
                <w:lang w:val="sq-AL"/>
              </w:rPr>
              <w:t xml:space="preserve">   36,100</w:t>
            </w:r>
          </w:p>
          <w:p w:rsidR="00B22874" w:rsidRPr="005B3E9C" w:rsidRDefault="00B22874" w:rsidP="005B3E9C">
            <w:pPr>
              <w:jc w:val="right"/>
              <w:rPr>
                <w:lang w:val="sq-AL"/>
              </w:rPr>
            </w:pPr>
            <w:r w:rsidRPr="005B3E9C">
              <w:rPr>
                <w:lang w:val="sq-AL"/>
              </w:rPr>
              <w:t xml:space="preserve">     7,800</w:t>
            </w:r>
          </w:p>
          <w:p w:rsidR="00B22874" w:rsidRPr="005B3E9C" w:rsidRDefault="00B22874" w:rsidP="005B3E9C">
            <w:pPr>
              <w:jc w:val="right"/>
              <w:rPr>
                <w:lang w:val="sq-AL"/>
              </w:rPr>
            </w:pPr>
            <w:r w:rsidRPr="005B3E9C">
              <w:rPr>
                <w:lang w:val="sq-AL"/>
              </w:rPr>
              <w:t xml:space="preserve">    13,800</w:t>
            </w:r>
          </w:p>
        </w:tc>
        <w:tc>
          <w:tcPr>
            <w:tcW w:w="1620" w:type="dxa"/>
          </w:tcPr>
          <w:p w:rsidR="00B22874" w:rsidRPr="005B3E9C" w:rsidRDefault="00B22874" w:rsidP="005B3E9C">
            <w:pPr>
              <w:jc w:val="right"/>
              <w:rPr>
                <w:lang w:val="sq-AL"/>
              </w:rPr>
            </w:pPr>
            <w:r w:rsidRPr="005B3E9C">
              <w:rPr>
                <w:lang w:val="sq-AL"/>
              </w:rPr>
              <w:t xml:space="preserve"> 35,890</w:t>
            </w:r>
          </w:p>
          <w:p w:rsidR="00B22874" w:rsidRPr="005B3E9C" w:rsidRDefault="00B22874" w:rsidP="005B3E9C">
            <w:pPr>
              <w:jc w:val="right"/>
              <w:rPr>
                <w:lang w:val="sq-AL"/>
              </w:rPr>
            </w:pPr>
            <w:r w:rsidRPr="005B3E9C">
              <w:rPr>
                <w:lang w:val="sq-AL"/>
              </w:rPr>
              <w:t xml:space="preserve">   7,445</w:t>
            </w:r>
          </w:p>
          <w:p w:rsidR="00B22874" w:rsidRPr="005B3E9C" w:rsidRDefault="00B22874" w:rsidP="005B3E9C">
            <w:pPr>
              <w:jc w:val="right"/>
              <w:rPr>
                <w:lang w:val="sq-AL"/>
              </w:rPr>
            </w:pPr>
            <w:r w:rsidRPr="005B3E9C">
              <w:rPr>
                <w:lang w:val="sq-AL"/>
              </w:rPr>
              <w:t xml:space="preserve">  12,774</w:t>
            </w:r>
          </w:p>
        </w:tc>
        <w:tc>
          <w:tcPr>
            <w:tcW w:w="1620" w:type="dxa"/>
          </w:tcPr>
          <w:p w:rsidR="00B22874" w:rsidRPr="005B3E9C" w:rsidRDefault="00B22874" w:rsidP="005B3E9C">
            <w:pPr>
              <w:jc w:val="right"/>
              <w:rPr>
                <w:lang w:val="sq-AL"/>
              </w:rPr>
            </w:pPr>
            <w:r w:rsidRPr="005B3E9C">
              <w:rPr>
                <w:lang w:val="sq-AL"/>
              </w:rPr>
              <w:t>99.42</w:t>
            </w:r>
          </w:p>
          <w:p w:rsidR="00B22874" w:rsidRPr="005B3E9C" w:rsidRDefault="00B22874" w:rsidP="005B3E9C">
            <w:pPr>
              <w:jc w:val="right"/>
              <w:rPr>
                <w:lang w:val="sq-AL"/>
              </w:rPr>
            </w:pPr>
            <w:r w:rsidRPr="005B3E9C">
              <w:rPr>
                <w:lang w:val="sq-AL"/>
              </w:rPr>
              <w:t>95.45</w:t>
            </w:r>
          </w:p>
          <w:p w:rsidR="00B22874" w:rsidRPr="005B3E9C" w:rsidRDefault="00B22874" w:rsidP="005B3E9C">
            <w:pPr>
              <w:jc w:val="right"/>
              <w:rPr>
                <w:lang w:val="sq-AL"/>
              </w:rPr>
            </w:pPr>
            <w:r w:rsidRPr="005B3E9C">
              <w:rPr>
                <w:lang w:val="sq-AL"/>
              </w:rPr>
              <w:t>92.57</w:t>
            </w:r>
          </w:p>
        </w:tc>
      </w:tr>
    </w:tbl>
    <w:p w:rsidR="00B22874" w:rsidRDefault="00B22874" w:rsidP="008611F0">
      <w:pPr>
        <w:jc w:val="both"/>
        <w:rPr>
          <w:lang w:val="sq-AL"/>
        </w:rPr>
      </w:pPr>
      <w:r>
        <w:rPr>
          <w:lang w:val="sq-AL"/>
        </w:rPr>
        <w:t xml:space="preserve"> </w:t>
      </w:r>
    </w:p>
    <w:p w:rsidR="00B22874" w:rsidRPr="0015507D" w:rsidRDefault="00B22874" w:rsidP="008611F0">
      <w:pPr>
        <w:jc w:val="both"/>
        <w:rPr>
          <w:lang w:val="sq-AL"/>
        </w:rPr>
      </w:pPr>
      <w:r>
        <w:rPr>
          <w:lang w:val="sq-AL"/>
        </w:rPr>
        <w:t xml:space="preserve">Sic vihet re interesat e borxhit të brendshëm janë realizuar brenda kufijve të parashikuar për këtë tregues. Në parashikimin e ketij treguesi është mbajtur në buxhetin fillestar  një rezerve për nevoja të huamarrjes në raste të vështirësive të tregut të brendshëm. Gjithsesi zhvillimet e vitit 2013 treguan përmirësime në likuiditetin e tregut dhe për pasojë edhe të normave të interesit në drejtim të uljes së tyre. Keështu </w:t>
      </w:r>
      <w:r w:rsidRPr="0015507D">
        <w:rPr>
          <w:lang w:val="sq-AL"/>
        </w:rPr>
        <w:t>n</w:t>
      </w:r>
      <w:r>
        <w:rPr>
          <w:lang w:val="sq-AL"/>
        </w:rPr>
        <w:t>ë</w:t>
      </w:r>
      <w:r w:rsidRPr="0015507D">
        <w:rPr>
          <w:lang w:val="sq-AL"/>
        </w:rPr>
        <w:t xml:space="preserve"> segmentin e bonove t</w:t>
      </w:r>
      <w:r>
        <w:rPr>
          <w:lang w:val="sq-AL"/>
        </w:rPr>
        <w:t>ë</w:t>
      </w:r>
      <w:r w:rsidRPr="0015507D">
        <w:rPr>
          <w:lang w:val="sq-AL"/>
        </w:rPr>
        <w:t xml:space="preserve"> thesarit </w:t>
      </w:r>
      <w:r>
        <w:rPr>
          <w:lang w:val="sq-AL"/>
        </w:rPr>
        <w:t xml:space="preserve">ashtu dhe </w:t>
      </w:r>
      <w:r w:rsidRPr="0015507D">
        <w:rPr>
          <w:lang w:val="sq-AL"/>
        </w:rPr>
        <w:t>n</w:t>
      </w:r>
      <w:r>
        <w:rPr>
          <w:lang w:val="sq-AL"/>
        </w:rPr>
        <w:t>ë</w:t>
      </w:r>
      <w:r w:rsidRPr="0015507D">
        <w:rPr>
          <w:lang w:val="sq-AL"/>
        </w:rPr>
        <w:t xml:space="preserve"> segmentin e letrave</w:t>
      </w:r>
      <w:r>
        <w:rPr>
          <w:lang w:val="sq-AL"/>
        </w:rPr>
        <w:t xml:space="preserve"> </w:t>
      </w:r>
      <w:r w:rsidRPr="0015507D">
        <w:rPr>
          <w:lang w:val="sq-AL"/>
        </w:rPr>
        <w:t>afatgjata me vler</w:t>
      </w:r>
      <w:r>
        <w:rPr>
          <w:lang w:val="sq-AL"/>
        </w:rPr>
        <w:t>ë</w:t>
      </w:r>
      <w:r w:rsidRPr="0015507D">
        <w:rPr>
          <w:lang w:val="sq-AL"/>
        </w:rPr>
        <w:t xml:space="preserve"> ka pasur  ulje t</w:t>
      </w:r>
      <w:r>
        <w:rPr>
          <w:lang w:val="sq-AL"/>
        </w:rPr>
        <w:t>ë</w:t>
      </w:r>
      <w:r w:rsidRPr="0015507D">
        <w:rPr>
          <w:lang w:val="sq-AL"/>
        </w:rPr>
        <w:t xml:space="preserve"> normave t</w:t>
      </w:r>
      <w:r>
        <w:rPr>
          <w:lang w:val="sq-AL"/>
        </w:rPr>
        <w:t>ë</w:t>
      </w:r>
      <w:r w:rsidRPr="0015507D">
        <w:rPr>
          <w:lang w:val="sq-AL"/>
        </w:rPr>
        <w:t xml:space="preserve"> interesit dhe n</w:t>
      </w:r>
      <w:r>
        <w:rPr>
          <w:lang w:val="sq-AL"/>
        </w:rPr>
        <w:t>ë</w:t>
      </w:r>
      <w:r w:rsidRPr="0015507D">
        <w:rPr>
          <w:lang w:val="sq-AL"/>
        </w:rPr>
        <w:t xml:space="preserve"> total</w:t>
      </w:r>
      <w:r>
        <w:rPr>
          <w:lang w:val="sq-AL"/>
        </w:rPr>
        <w:t xml:space="preserve"> të pagesave të shërbimit të borxhit të brendshëm kemi një vleresim </w:t>
      </w:r>
      <w:r w:rsidRPr="0015507D">
        <w:rPr>
          <w:lang w:val="sq-AL"/>
        </w:rPr>
        <w:t>n</w:t>
      </w:r>
      <w:r>
        <w:rPr>
          <w:lang w:val="sq-AL"/>
        </w:rPr>
        <w:t>ë</w:t>
      </w:r>
      <w:r w:rsidRPr="0015507D">
        <w:rPr>
          <w:lang w:val="sq-AL"/>
        </w:rPr>
        <w:t xml:space="preserve"> ulje q</w:t>
      </w:r>
      <w:r>
        <w:rPr>
          <w:lang w:val="sq-AL"/>
        </w:rPr>
        <w:t>ë</w:t>
      </w:r>
      <w:r w:rsidRPr="0015507D">
        <w:rPr>
          <w:lang w:val="sq-AL"/>
        </w:rPr>
        <w:t xml:space="preserve"> shkon n</w:t>
      </w:r>
      <w:r>
        <w:rPr>
          <w:lang w:val="sq-AL"/>
        </w:rPr>
        <w:t>ë</w:t>
      </w:r>
      <w:r w:rsidRPr="0015507D">
        <w:rPr>
          <w:lang w:val="sq-AL"/>
        </w:rPr>
        <w:t xml:space="preserve"> </w:t>
      </w:r>
      <w:r>
        <w:rPr>
          <w:lang w:val="sq-AL"/>
        </w:rPr>
        <w:t>rreth 4 miliardë lekë.</w:t>
      </w:r>
      <w:r w:rsidRPr="0015507D">
        <w:rPr>
          <w:lang w:val="sq-AL"/>
        </w:rPr>
        <w:t xml:space="preserve"> </w:t>
      </w:r>
      <w:r>
        <w:rPr>
          <w:lang w:val="sq-AL"/>
        </w:rPr>
        <w:t xml:space="preserve">Për sa më sipër në aktin normativ është bërë ky vlerësim në ulje  dhe pagesat e interesave të borxhit të brendshëm janë realizuar me 99.4%. </w:t>
      </w:r>
      <w:r w:rsidRPr="0015507D">
        <w:rPr>
          <w:lang w:val="sq-AL"/>
        </w:rPr>
        <w:t xml:space="preserve"> </w:t>
      </w:r>
    </w:p>
    <w:p w:rsidR="00B22874" w:rsidRDefault="00B22874" w:rsidP="008611F0">
      <w:pPr>
        <w:jc w:val="both"/>
        <w:rPr>
          <w:lang w:val="sq-AL"/>
        </w:rPr>
      </w:pPr>
      <w:r>
        <w:rPr>
          <w:lang w:val="sq-AL"/>
        </w:rPr>
        <w:t xml:space="preserve"> Realizimi i pagesave të borxhit të jashtëm gjithashtu është brenda kufijve të planit dhe ka ardhur si pasojë e parashikimeve update  lidhur me  disbursimet dhe normat e interesit në këtë segment të huamarrjes. Rezervat e parashikuara  kanë dhënë një kursim prej rreth 350 milion lekë.</w:t>
      </w:r>
    </w:p>
    <w:p w:rsidR="00B22874" w:rsidRDefault="00B22874" w:rsidP="008611F0">
      <w:pPr>
        <w:jc w:val="both"/>
        <w:rPr>
          <w:lang w:val="sq-AL"/>
        </w:rPr>
      </w:pPr>
      <w:r>
        <w:rPr>
          <w:lang w:val="sq-AL"/>
        </w:rPr>
        <w:t>Ripagesat kanë një diferencë prej rreth 1,02 miliard lekë më pak se parashikimi për arsye të rezervës së nevojshme e cila përdoret për garancitë.</w:t>
      </w:r>
    </w:p>
    <w:p w:rsidR="00B22874" w:rsidRDefault="00B22874" w:rsidP="008611F0">
      <w:pPr>
        <w:jc w:val="both"/>
        <w:rPr>
          <w:lang w:val="sq-AL"/>
        </w:rPr>
      </w:pPr>
    </w:p>
    <w:p w:rsidR="00B22874" w:rsidRDefault="00B22874" w:rsidP="008611F0">
      <w:pPr>
        <w:jc w:val="both"/>
        <w:rPr>
          <w:b/>
          <w:bCs/>
          <w:lang w:val="sq-AL"/>
        </w:rPr>
      </w:pPr>
    </w:p>
    <w:p w:rsidR="00B22874" w:rsidRPr="002C6A77" w:rsidRDefault="00B22874" w:rsidP="004C3C4A">
      <w:pPr>
        <w:ind w:firstLine="720"/>
        <w:jc w:val="both"/>
        <w:rPr>
          <w:b/>
          <w:bCs/>
          <w:lang w:val="sq-AL"/>
        </w:rPr>
      </w:pPr>
      <w:r>
        <w:rPr>
          <w:b/>
          <w:bCs/>
          <w:lang w:val="sq-AL"/>
        </w:rPr>
        <w:t xml:space="preserve">ii. </w:t>
      </w:r>
      <w:r w:rsidRPr="002C6A77">
        <w:rPr>
          <w:b/>
          <w:bCs/>
          <w:lang w:val="sq-AL"/>
        </w:rPr>
        <w:t>Realizimi i stokut t</w:t>
      </w:r>
      <w:r>
        <w:rPr>
          <w:b/>
          <w:bCs/>
          <w:lang w:val="sq-AL"/>
        </w:rPr>
        <w:t>ë</w:t>
      </w:r>
      <w:r w:rsidRPr="002C6A77">
        <w:rPr>
          <w:b/>
          <w:bCs/>
          <w:lang w:val="sq-AL"/>
        </w:rPr>
        <w:t xml:space="preserve"> borxhit dhe respektimi i kufijve t</w:t>
      </w:r>
      <w:r>
        <w:rPr>
          <w:b/>
          <w:bCs/>
          <w:lang w:val="sq-AL"/>
        </w:rPr>
        <w:t>ë</w:t>
      </w:r>
      <w:r w:rsidRPr="002C6A77">
        <w:rPr>
          <w:b/>
          <w:bCs/>
          <w:lang w:val="sq-AL"/>
        </w:rPr>
        <w:t xml:space="preserve"> tij.</w:t>
      </w:r>
    </w:p>
    <w:p w:rsidR="00B22874" w:rsidRDefault="00B22874" w:rsidP="008611F0">
      <w:pPr>
        <w:jc w:val="both"/>
        <w:rPr>
          <w:lang w:val="sq-AL"/>
        </w:rPr>
      </w:pPr>
    </w:p>
    <w:p w:rsidR="00B22874" w:rsidRDefault="00B22874" w:rsidP="008611F0">
      <w:pPr>
        <w:jc w:val="both"/>
        <w:rPr>
          <w:lang w:val="sq-AL"/>
        </w:rPr>
      </w:pPr>
      <w:r>
        <w:rPr>
          <w:lang w:val="sq-AL"/>
        </w:rPr>
        <w:t>Borxhi shtetëror i brendshëm dhe i jashtëm është realizuar brenda limiteve të përcaktuara në aktin normativ.</w:t>
      </w:r>
    </w:p>
    <w:p w:rsidR="00B22874" w:rsidRDefault="00B22874" w:rsidP="008611F0">
      <w:pPr>
        <w:jc w:val="both"/>
        <w:rPr>
          <w:lang w:val="sq-AL"/>
        </w:rPr>
      </w:pPr>
    </w:p>
    <w:p w:rsidR="00B22874" w:rsidRDefault="00B22874" w:rsidP="008611F0">
      <w:pPr>
        <w:jc w:val="both"/>
        <w:rPr>
          <w:b/>
          <w:sz w:val="20"/>
          <w:szCs w:val="20"/>
          <w:lang w:val="sq-AL"/>
        </w:rPr>
      </w:pPr>
      <w:r w:rsidRPr="005B3E9C">
        <w:rPr>
          <w:b/>
          <w:sz w:val="20"/>
          <w:szCs w:val="20"/>
          <w:lang w:val="sq-AL"/>
        </w:rPr>
        <w:t xml:space="preserve">Tabela </w:t>
      </w:r>
      <w:r>
        <w:rPr>
          <w:b/>
          <w:sz w:val="20"/>
          <w:szCs w:val="20"/>
          <w:lang w:val="sq-AL"/>
        </w:rPr>
        <w:t>9</w:t>
      </w:r>
      <w:r w:rsidRPr="005B3E9C">
        <w:rPr>
          <w:b/>
          <w:sz w:val="20"/>
          <w:szCs w:val="20"/>
          <w:lang w:val="sq-AL"/>
        </w:rPr>
        <w:t>.</w:t>
      </w:r>
    </w:p>
    <w:p w:rsidR="00B22874" w:rsidRPr="00472FEB" w:rsidRDefault="00B22874" w:rsidP="008611F0">
      <w:pPr>
        <w:jc w:val="both"/>
        <w:rPr>
          <w:lang w:val="sq-AL"/>
        </w:rPr>
      </w:pPr>
      <w:r w:rsidRPr="00472FEB">
        <w:rPr>
          <w:sz w:val="20"/>
          <w:szCs w:val="20"/>
          <w:lang w:val="sq-AL"/>
        </w:rPr>
        <w:t>*Krahasimi i faktit me planin p</w:t>
      </w:r>
      <w:r>
        <w:rPr>
          <w:sz w:val="20"/>
          <w:szCs w:val="20"/>
          <w:lang w:val="sq-AL"/>
        </w:rPr>
        <w:t>ë</w:t>
      </w:r>
      <w:r w:rsidRPr="00472FEB">
        <w:rPr>
          <w:sz w:val="20"/>
          <w:szCs w:val="20"/>
          <w:lang w:val="sq-AL"/>
        </w:rPr>
        <w:t>r huamarrjen neto</w:t>
      </w:r>
      <w:r>
        <w:rPr>
          <w:sz w:val="20"/>
          <w:szCs w:val="20"/>
          <w:lang w:val="sq-AL"/>
        </w:rPr>
        <w:t xml:space="preserve"> </w:t>
      </w:r>
      <w:r w:rsidRPr="00472FEB">
        <w:rPr>
          <w:color w:val="FF0000"/>
          <w:sz w:val="20"/>
          <w:szCs w:val="20"/>
          <w:lang w:val="sq-AL"/>
        </w:rPr>
        <w:t>(N</w:t>
      </w:r>
      <w:r>
        <w:rPr>
          <w:color w:val="FF0000"/>
          <w:sz w:val="20"/>
          <w:szCs w:val="20"/>
          <w:lang w:val="sq-AL"/>
        </w:rPr>
        <w:t>ë</w:t>
      </w:r>
      <w:r w:rsidRPr="00472FEB">
        <w:rPr>
          <w:color w:val="FF0000"/>
          <w:sz w:val="20"/>
          <w:szCs w:val="20"/>
          <w:lang w:val="sq-AL"/>
        </w:rPr>
        <w:t xml:space="preserve"> milion lek</w:t>
      </w:r>
      <w:r>
        <w:rPr>
          <w:color w:val="FF0000"/>
          <w:sz w:val="20"/>
          <w:szCs w:val="20"/>
          <w:lang w:val="sq-AL"/>
        </w:rPr>
        <w:t>ë</w:t>
      </w:r>
      <w:r w:rsidRPr="00472FEB">
        <w:rPr>
          <w:color w:val="FF0000"/>
          <w:sz w:val="20"/>
          <w:szCs w:val="20"/>
          <w:lang w:val="sq-AL"/>
        </w:rPr>
        <w:t>)</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86"/>
        <w:gridCol w:w="1768"/>
        <w:gridCol w:w="1440"/>
        <w:gridCol w:w="1476"/>
      </w:tblGrid>
      <w:tr w:rsidR="00B22874" w:rsidTr="005D7B9C">
        <w:trPr>
          <w:trHeight w:val="323"/>
        </w:trPr>
        <w:tc>
          <w:tcPr>
            <w:tcW w:w="3886" w:type="dxa"/>
            <w:shd w:val="clear" w:color="auto" w:fill="99CCFF"/>
          </w:tcPr>
          <w:p w:rsidR="00B22874" w:rsidRPr="00472FEB" w:rsidRDefault="00B22874" w:rsidP="00472FEB">
            <w:pPr>
              <w:jc w:val="right"/>
              <w:rPr>
                <w:sz w:val="20"/>
                <w:szCs w:val="20"/>
                <w:lang w:val="sq-AL"/>
              </w:rPr>
            </w:pPr>
          </w:p>
        </w:tc>
        <w:tc>
          <w:tcPr>
            <w:tcW w:w="1768" w:type="dxa"/>
            <w:shd w:val="clear" w:color="auto" w:fill="99CCFF"/>
          </w:tcPr>
          <w:p w:rsidR="00B22874" w:rsidRPr="00472FEB" w:rsidRDefault="00B22874" w:rsidP="00E15AD7">
            <w:pPr>
              <w:jc w:val="both"/>
              <w:rPr>
                <w:b/>
                <w:sz w:val="20"/>
                <w:szCs w:val="20"/>
                <w:lang w:val="sq-AL"/>
              </w:rPr>
            </w:pPr>
            <w:r w:rsidRPr="00472FEB">
              <w:rPr>
                <w:b/>
                <w:sz w:val="20"/>
                <w:szCs w:val="20"/>
                <w:lang w:val="sq-AL"/>
              </w:rPr>
              <w:t>Plani 2013</w:t>
            </w:r>
          </w:p>
        </w:tc>
        <w:tc>
          <w:tcPr>
            <w:tcW w:w="1440" w:type="dxa"/>
            <w:shd w:val="clear" w:color="auto" w:fill="99CCFF"/>
          </w:tcPr>
          <w:p w:rsidR="00B22874" w:rsidRPr="00472FEB" w:rsidRDefault="00B22874" w:rsidP="00E15AD7">
            <w:pPr>
              <w:jc w:val="both"/>
              <w:rPr>
                <w:b/>
                <w:sz w:val="20"/>
                <w:szCs w:val="20"/>
                <w:lang w:val="sq-AL"/>
              </w:rPr>
            </w:pPr>
            <w:r w:rsidRPr="00472FEB">
              <w:rPr>
                <w:b/>
                <w:sz w:val="20"/>
                <w:szCs w:val="20"/>
                <w:lang w:val="sq-AL"/>
              </w:rPr>
              <w:t>Fakti 2013</w:t>
            </w:r>
          </w:p>
        </w:tc>
        <w:tc>
          <w:tcPr>
            <w:tcW w:w="1476" w:type="dxa"/>
            <w:shd w:val="clear" w:color="auto" w:fill="99CCFF"/>
          </w:tcPr>
          <w:p w:rsidR="00B22874" w:rsidRPr="00472FEB" w:rsidRDefault="00B22874" w:rsidP="00E15AD7">
            <w:pPr>
              <w:jc w:val="both"/>
              <w:rPr>
                <w:b/>
                <w:sz w:val="20"/>
                <w:szCs w:val="20"/>
                <w:lang w:val="sq-AL"/>
              </w:rPr>
            </w:pPr>
            <w:r w:rsidRPr="00472FEB">
              <w:rPr>
                <w:b/>
                <w:sz w:val="20"/>
                <w:szCs w:val="20"/>
                <w:lang w:val="sq-AL"/>
              </w:rPr>
              <w:t>Diferencat</w:t>
            </w:r>
          </w:p>
        </w:tc>
      </w:tr>
      <w:tr w:rsidR="00B22874" w:rsidTr="005D7B9C">
        <w:trPr>
          <w:trHeight w:val="435"/>
        </w:trPr>
        <w:tc>
          <w:tcPr>
            <w:tcW w:w="3886" w:type="dxa"/>
          </w:tcPr>
          <w:p w:rsidR="00B22874" w:rsidRPr="00472FEB" w:rsidRDefault="00B22874" w:rsidP="00472FEB">
            <w:pPr>
              <w:jc w:val="center"/>
              <w:rPr>
                <w:b/>
                <w:sz w:val="20"/>
                <w:szCs w:val="20"/>
                <w:lang w:val="sq-AL"/>
              </w:rPr>
            </w:pPr>
            <w:r w:rsidRPr="00472FEB">
              <w:rPr>
                <w:b/>
                <w:sz w:val="20"/>
                <w:szCs w:val="20"/>
                <w:lang w:val="sq-AL"/>
              </w:rPr>
              <w:t>Huamarrja vjetore neto</w:t>
            </w:r>
          </w:p>
          <w:p w:rsidR="00B22874" w:rsidRPr="00472FEB" w:rsidRDefault="00B22874" w:rsidP="00472FEB">
            <w:pPr>
              <w:jc w:val="center"/>
              <w:rPr>
                <w:sz w:val="20"/>
                <w:szCs w:val="20"/>
                <w:lang w:val="sq-AL"/>
              </w:rPr>
            </w:pPr>
          </w:p>
        </w:tc>
        <w:tc>
          <w:tcPr>
            <w:tcW w:w="1768" w:type="dxa"/>
          </w:tcPr>
          <w:p w:rsidR="00B22874" w:rsidRPr="00472FEB" w:rsidRDefault="00B22874" w:rsidP="00853590">
            <w:pPr>
              <w:jc w:val="right"/>
              <w:rPr>
                <w:sz w:val="20"/>
                <w:szCs w:val="20"/>
                <w:lang w:val="sq-AL"/>
              </w:rPr>
            </w:pPr>
            <w:r w:rsidRPr="00472FEB">
              <w:rPr>
                <w:sz w:val="20"/>
                <w:szCs w:val="20"/>
                <w:lang w:val="sq-AL"/>
              </w:rPr>
              <w:t>52,820</w:t>
            </w:r>
          </w:p>
          <w:p w:rsidR="00B22874" w:rsidRPr="00472FEB" w:rsidRDefault="00B22874" w:rsidP="00853590">
            <w:pPr>
              <w:jc w:val="right"/>
              <w:rPr>
                <w:sz w:val="20"/>
                <w:szCs w:val="20"/>
                <w:lang w:val="sq-AL"/>
              </w:rPr>
            </w:pPr>
          </w:p>
        </w:tc>
        <w:tc>
          <w:tcPr>
            <w:tcW w:w="1440" w:type="dxa"/>
          </w:tcPr>
          <w:p w:rsidR="00B22874" w:rsidRPr="00472FEB" w:rsidRDefault="00B22874" w:rsidP="00853590">
            <w:pPr>
              <w:jc w:val="right"/>
              <w:rPr>
                <w:sz w:val="20"/>
                <w:szCs w:val="20"/>
                <w:lang w:val="sq-AL"/>
              </w:rPr>
            </w:pPr>
            <w:r w:rsidRPr="00472FEB">
              <w:rPr>
                <w:sz w:val="20"/>
                <w:szCs w:val="20"/>
                <w:lang w:val="sq-AL"/>
              </w:rPr>
              <w:t>46,173</w:t>
            </w:r>
          </w:p>
          <w:p w:rsidR="00B22874" w:rsidRPr="00472FEB" w:rsidRDefault="00B22874" w:rsidP="00853590">
            <w:pPr>
              <w:jc w:val="right"/>
              <w:rPr>
                <w:sz w:val="20"/>
                <w:szCs w:val="20"/>
                <w:lang w:val="sq-AL"/>
              </w:rPr>
            </w:pPr>
          </w:p>
        </w:tc>
        <w:tc>
          <w:tcPr>
            <w:tcW w:w="1476" w:type="dxa"/>
          </w:tcPr>
          <w:p w:rsidR="00B22874" w:rsidRPr="00472FEB" w:rsidRDefault="00B22874" w:rsidP="00853590">
            <w:pPr>
              <w:jc w:val="right"/>
              <w:rPr>
                <w:sz w:val="20"/>
                <w:szCs w:val="20"/>
                <w:lang w:val="sq-AL"/>
              </w:rPr>
            </w:pPr>
            <w:r w:rsidRPr="00472FEB">
              <w:rPr>
                <w:sz w:val="20"/>
                <w:szCs w:val="20"/>
                <w:lang w:val="sq-AL"/>
              </w:rPr>
              <w:t>- 6,647</w:t>
            </w:r>
          </w:p>
          <w:p w:rsidR="00B22874" w:rsidRPr="00472FEB" w:rsidRDefault="00B22874" w:rsidP="00853590">
            <w:pPr>
              <w:jc w:val="right"/>
              <w:rPr>
                <w:sz w:val="20"/>
                <w:szCs w:val="20"/>
                <w:lang w:val="sq-AL"/>
              </w:rPr>
            </w:pPr>
          </w:p>
        </w:tc>
      </w:tr>
      <w:tr w:rsidR="00B22874" w:rsidTr="00472FEB">
        <w:trPr>
          <w:trHeight w:val="465"/>
        </w:trPr>
        <w:tc>
          <w:tcPr>
            <w:tcW w:w="3886" w:type="dxa"/>
          </w:tcPr>
          <w:p w:rsidR="00B22874" w:rsidRPr="00472FEB" w:rsidRDefault="00B22874" w:rsidP="00472FEB">
            <w:pPr>
              <w:jc w:val="center"/>
              <w:rPr>
                <w:b/>
                <w:sz w:val="20"/>
                <w:szCs w:val="20"/>
                <w:lang w:val="sq-AL"/>
              </w:rPr>
            </w:pPr>
            <w:r w:rsidRPr="00472FEB">
              <w:rPr>
                <w:b/>
                <w:sz w:val="20"/>
                <w:szCs w:val="20"/>
                <w:lang w:val="sq-AL"/>
              </w:rPr>
              <w:t>Huamarrja neto per financimin e projekteve</w:t>
            </w:r>
          </w:p>
        </w:tc>
        <w:tc>
          <w:tcPr>
            <w:tcW w:w="1768" w:type="dxa"/>
          </w:tcPr>
          <w:p w:rsidR="00B22874" w:rsidRPr="00472FEB" w:rsidRDefault="00B22874" w:rsidP="00853590">
            <w:pPr>
              <w:jc w:val="right"/>
              <w:rPr>
                <w:sz w:val="20"/>
                <w:szCs w:val="20"/>
                <w:lang w:val="sq-AL"/>
              </w:rPr>
            </w:pPr>
          </w:p>
          <w:p w:rsidR="00B22874" w:rsidRPr="00472FEB" w:rsidRDefault="00B22874" w:rsidP="00853590">
            <w:pPr>
              <w:jc w:val="right"/>
              <w:rPr>
                <w:sz w:val="20"/>
                <w:szCs w:val="20"/>
                <w:lang w:val="sq-AL"/>
              </w:rPr>
            </w:pPr>
            <w:r w:rsidRPr="00472FEB">
              <w:rPr>
                <w:sz w:val="20"/>
                <w:szCs w:val="20"/>
                <w:lang w:val="sq-AL"/>
              </w:rPr>
              <w:t>39,497</w:t>
            </w:r>
          </w:p>
        </w:tc>
        <w:tc>
          <w:tcPr>
            <w:tcW w:w="1440" w:type="dxa"/>
          </w:tcPr>
          <w:p w:rsidR="00B22874" w:rsidRPr="00472FEB" w:rsidRDefault="00B22874" w:rsidP="00853590">
            <w:pPr>
              <w:jc w:val="right"/>
              <w:rPr>
                <w:sz w:val="20"/>
                <w:szCs w:val="20"/>
                <w:lang w:val="sq-AL"/>
              </w:rPr>
            </w:pPr>
          </w:p>
          <w:p w:rsidR="00B22874" w:rsidRPr="00472FEB" w:rsidRDefault="00B22874" w:rsidP="00853590">
            <w:pPr>
              <w:jc w:val="right"/>
              <w:rPr>
                <w:sz w:val="20"/>
                <w:szCs w:val="20"/>
                <w:lang w:val="sq-AL"/>
              </w:rPr>
            </w:pPr>
            <w:r w:rsidRPr="00472FEB">
              <w:rPr>
                <w:sz w:val="20"/>
                <w:szCs w:val="20"/>
                <w:lang w:val="sq-AL"/>
              </w:rPr>
              <w:t>12,667</w:t>
            </w:r>
          </w:p>
          <w:p w:rsidR="00B22874" w:rsidRPr="00472FEB" w:rsidRDefault="00B22874" w:rsidP="00853590">
            <w:pPr>
              <w:jc w:val="right"/>
              <w:rPr>
                <w:sz w:val="20"/>
                <w:szCs w:val="20"/>
                <w:lang w:val="sq-AL"/>
              </w:rPr>
            </w:pPr>
          </w:p>
        </w:tc>
        <w:tc>
          <w:tcPr>
            <w:tcW w:w="1476" w:type="dxa"/>
          </w:tcPr>
          <w:p w:rsidR="00B22874" w:rsidRPr="00472FEB" w:rsidRDefault="00B22874" w:rsidP="00853590">
            <w:pPr>
              <w:jc w:val="right"/>
              <w:rPr>
                <w:sz w:val="20"/>
                <w:szCs w:val="20"/>
                <w:lang w:val="sq-AL"/>
              </w:rPr>
            </w:pPr>
          </w:p>
          <w:p w:rsidR="00B22874" w:rsidRPr="00472FEB" w:rsidRDefault="00B22874" w:rsidP="00853590">
            <w:pPr>
              <w:jc w:val="right"/>
              <w:rPr>
                <w:sz w:val="20"/>
                <w:szCs w:val="20"/>
                <w:lang w:val="sq-AL"/>
              </w:rPr>
            </w:pPr>
            <w:r w:rsidRPr="00472FEB">
              <w:rPr>
                <w:sz w:val="20"/>
                <w:szCs w:val="20"/>
                <w:lang w:val="sq-AL"/>
              </w:rPr>
              <w:t>- 26,830</w:t>
            </w:r>
          </w:p>
        </w:tc>
      </w:tr>
    </w:tbl>
    <w:p w:rsidR="00B22874" w:rsidRDefault="00B22874" w:rsidP="008611F0">
      <w:pPr>
        <w:jc w:val="both"/>
        <w:rPr>
          <w:lang w:val="sq-AL"/>
        </w:rPr>
      </w:pPr>
    </w:p>
    <w:p w:rsidR="00B22874" w:rsidRDefault="00B22874" w:rsidP="008611F0">
      <w:pPr>
        <w:jc w:val="both"/>
        <w:rPr>
          <w:lang w:val="sq-AL"/>
        </w:rPr>
      </w:pPr>
      <w:r>
        <w:rPr>
          <w:lang w:val="sq-AL"/>
        </w:rPr>
        <w:lastRenderedPageBreak/>
        <w:t xml:space="preserve">Huamarrja vjetore neto përbehet prej instrumentave financiare të përdorur për financimin në tregun e brendshëm në shumën 46,173 milion lekë të vlerësuar me kursin e fundit të vitit  2013,  140,2 All/EUR.  </w:t>
      </w:r>
    </w:p>
    <w:p w:rsidR="00B22874" w:rsidRDefault="00B22874" w:rsidP="008611F0">
      <w:pPr>
        <w:jc w:val="both"/>
        <w:rPr>
          <w:color w:val="FF0000"/>
          <w:lang w:val="sq-AL"/>
        </w:rPr>
      </w:pPr>
      <w:r>
        <w:rPr>
          <w:lang w:val="sq-AL"/>
        </w:rPr>
        <w:t xml:space="preserve">Ndërkohë financimi i projekteve të huaja është vlerësuar në total me 12,667 milion lekë ku vetëm rritja e dibursimeve zë vendin kryesor me 11,220 milion lekë dhe ndikimi i kursit të këmbimit All/EUR është 1,446 milion lekë. </w:t>
      </w:r>
      <w:bookmarkStart w:id="0" w:name="OLE_LINK5"/>
      <w:bookmarkStart w:id="1" w:name="OLE_LINK6"/>
      <w:r w:rsidRPr="0065147B">
        <w:rPr>
          <w:lang w:val="sq-AL"/>
        </w:rPr>
        <w:t>Projektet q</w:t>
      </w:r>
      <w:r>
        <w:rPr>
          <w:lang w:val="sq-AL"/>
        </w:rPr>
        <w:t>ë</w:t>
      </w:r>
      <w:r w:rsidRPr="0065147B">
        <w:rPr>
          <w:lang w:val="sq-AL"/>
        </w:rPr>
        <w:t xml:space="preserve"> kan</w:t>
      </w:r>
      <w:r>
        <w:rPr>
          <w:lang w:val="sq-AL"/>
        </w:rPr>
        <w:t>ë</w:t>
      </w:r>
      <w:r w:rsidRPr="0065147B">
        <w:rPr>
          <w:lang w:val="sq-AL"/>
        </w:rPr>
        <w:t xml:space="preserve"> pasur ecurin</w:t>
      </w:r>
      <w:r>
        <w:rPr>
          <w:lang w:val="sq-AL"/>
        </w:rPr>
        <w:t>ë</w:t>
      </w:r>
      <w:r w:rsidRPr="0065147B">
        <w:rPr>
          <w:lang w:val="sq-AL"/>
        </w:rPr>
        <w:t xml:space="preserve"> m</w:t>
      </w:r>
      <w:r>
        <w:rPr>
          <w:lang w:val="sq-AL"/>
        </w:rPr>
        <w:t>ë</w:t>
      </w:r>
      <w:r w:rsidRPr="0065147B">
        <w:rPr>
          <w:lang w:val="sq-AL"/>
        </w:rPr>
        <w:t xml:space="preserve"> t</w:t>
      </w:r>
      <w:r>
        <w:rPr>
          <w:lang w:val="sq-AL"/>
        </w:rPr>
        <w:t>ë</w:t>
      </w:r>
      <w:r w:rsidRPr="0065147B">
        <w:rPr>
          <w:lang w:val="sq-AL"/>
        </w:rPr>
        <w:t xml:space="preserve"> mir</w:t>
      </w:r>
      <w:r>
        <w:rPr>
          <w:lang w:val="sq-AL"/>
        </w:rPr>
        <w:t>ë</w:t>
      </w:r>
      <w:r w:rsidRPr="0065147B">
        <w:rPr>
          <w:lang w:val="sq-AL"/>
        </w:rPr>
        <w:t xml:space="preserve"> kan</w:t>
      </w:r>
      <w:r>
        <w:rPr>
          <w:lang w:val="sq-AL"/>
        </w:rPr>
        <w:t>ë</w:t>
      </w:r>
      <w:r w:rsidRPr="0065147B">
        <w:rPr>
          <w:lang w:val="sq-AL"/>
        </w:rPr>
        <w:t xml:space="preserve"> q</w:t>
      </w:r>
      <w:r>
        <w:rPr>
          <w:lang w:val="sq-AL"/>
        </w:rPr>
        <w:t>ë</w:t>
      </w:r>
      <w:r w:rsidRPr="0065147B">
        <w:rPr>
          <w:lang w:val="sq-AL"/>
        </w:rPr>
        <w:t>n</w:t>
      </w:r>
      <w:r>
        <w:rPr>
          <w:lang w:val="sq-AL"/>
        </w:rPr>
        <w:t>ë</w:t>
      </w:r>
      <w:r w:rsidRPr="0065147B">
        <w:rPr>
          <w:lang w:val="sq-AL"/>
        </w:rPr>
        <w:t xml:space="preserve"> projektet n</w:t>
      </w:r>
      <w:r>
        <w:rPr>
          <w:lang w:val="sq-AL"/>
        </w:rPr>
        <w:t>ë</w:t>
      </w:r>
      <w:r w:rsidRPr="0065147B">
        <w:rPr>
          <w:lang w:val="sq-AL"/>
        </w:rPr>
        <w:t xml:space="preserve"> sektorin e transportit me dibursime q</w:t>
      </w:r>
      <w:r>
        <w:rPr>
          <w:lang w:val="sq-AL"/>
        </w:rPr>
        <w:t>ë</w:t>
      </w:r>
      <w:r w:rsidRPr="0065147B">
        <w:rPr>
          <w:lang w:val="sq-AL"/>
        </w:rPr>
        <w:t xml:space="preserve"> vler</w:t>
      </w:r>
      <w:r>
        <w:rPr>
          <w:lang w:val="sq-AL"/>
        </w:rPr>
        <w:t>ë</w:t>
      </w:r>
      <w:r w:rsidRPr="0065147B">
        <w:rPr>
          <w:lang w:val="sq-AL"/>
        </w:rPr>
        <w:t>sohen n</w:t>
      </w:r>
      <w:r>
        <w:rPr>
          <w:lang w:val="sq-AL"/>
        </w:rPr>
        <w:t>ë</w:t>
      </w:r>
      <w:r w:rsidRPr="0065147B">
        <w:rPr>
          <w:lang w:val="sq-AL"/>
        </w:rPr>
        <w:t xml:space="preserve"> </w:t>
      </w:r>
      <w:r>
        <w:rPr>
          <w:lang w:val="sq-AL"/>
        </w:rPr>
        <w:t xml:space="preserve">129,15 milion EUR </w:t>
      </w:r>
      <w:r w:rsidRPr="0065147B">
        <w:rPr>
          <w:lang w:val="sq-AL"/>
        </w:rPr>
        <w:t>, n</w:t>
      </w:r>
      <w:r>
        <w:rPr>
          <w:lang w:val="sq-AL"/>
        </w:rPr>
        <w:t>ë</w:t>
      </w:r>
      <w:r w:rsidRPr="0065147B">
        <w:rPr>
          <w:lang w:val="sq-AL"/>
        </w:rPr>
        <w:t xml:space="preserve"> sektorin e ujesjelles-kanalizime me </w:t>
      </w:r>
      <w:r>
        <w:rPr>
          <w:lang w:val="sq-AL"/>
        </w:rPr>
        <w:t>16,55</w:t>
      </w:r>
      <w:r w:rsidRPr="0065147B">
        <w:rPr>
          <w:lang w:val="sq-AL"/>
        </w:rPr>
        <w:t xml:space="preserve"> milion EUR, , n</w:t>
      </w:r>
      <w:r>
        <w:rPr>
          <w:lang w:val="sq-AL"/>
        </w:rPr>
        <w:t>ë</w:t>
      </w:r>
      <w:r w:rsidRPr="0065147B">
        <w:rPr>
          <w:lang w:val="sq-AL"/>
        </w:rPr>
        <w:t xml:space="preserve"> sektorin e energjis</w:t>
      </w:r>
      <w:r>
        <w:rPr>
          <w:lang w:val="sq-AL"/>
        </w:rPr>
        <w:t>ë</w:t>
      </w:r>
      <w:r w:rsidRPr="0065147B">
        <w:rPr>
          <w:lang w:val="sq-AL"/>
        </w:rPr>
        <w:t xml:space="preserve"> me </w:t>
      </w:r>
      <w:r>
        <w:rPr>
          <w:lang w:val="sq-AL"/>
        </w:rPr>
        <w:t>19</w:t>
      </w:r>
      <w:r w:rsidRPr="0065147B">
        <w:rPr>
          <w:lang w:val="sq-AL"/>
        </w:rPr>
        <w:t>,</w:t>
      </w:r>
      <w:r>
        <w:rPr>
          <w:lang w:val="sq-AL"/>
        </w:rPr>
        <w:t>9</w:t>
      </w:r>
      <w:r w:rsidRPr="0065147B">
        <w:rPr>
          <w:lang w:val="sq-AL"/>
        </w:rPr>
        <w:t xml:space="preserve"> milion EUR.</w:t>
      </w:r>
      <w:bookmarkEnd w:id="0"/>
      <w:bookmarkEnd w:id="1"/>
    </w:p>
    <w:p w:rsidR="00B22874" w:rsidRDefault="00B22874" w:rsidP="008611F0">
      <w:pPr>
        <w:jc w:val="both"/>
        <w:rPr>
          <w:lang w:val="sq-AL"/>
        </w:rPr>
      </w:pPr>
      <w:r>
        <w:rPr>
          <w:lang w:val="sq-AL"/>
        </w:rPr>
        <w:t xml:space="preserve"> Në diferencen nga plani prej 26,8</w:t>
      </w:r>
      <w:r w:rsidRPr="000B62BD">
        <w:rPr>
          <w:lang w:val="sq-AL"/>
        </w:rPr>
        <w:t xml:space="preserve"> miliard lek</w:t>
      </w:r>
      <w:r>
        <w:rPr>
          <w:lang w:val="sq-AL"/>
        </w:rPr>
        <w:t>ë</w:t>
      </w:r>
      <w:r w:rsidRPr="000B62BD">
        <w:rPr>
          <w:lang w:val="sq-AL"/>
        </w:rPr>
        <w:t xml:space="preserve"> nj</w:t>
      </w:r>
      <w:r>
        <w:rPr>
          <w:lang w:val="sq-AL"/>
        </w:rPr>
        <w:t>ë</w:t>
      </w:r>
      <w:r w:rsidRPr="000B62BD">
        <w:rPr>
          <w:lang w:val="sq-AL"/>
        </w:rPr>
        <w:t xml:space="preserve"> rol t</w:t>
      </w:r>
      <w:r>
        <w:rPr>
          <w:lang w:val="sq-AL"/>
        </w:rPr>
        <w:t>ë</w:t>
      </w:r>
      <w:r w:rsidRPr="000B62BD">
        <w:rPr>
          <w:lang w:val="sq-AL"/>
        </w:rPr>
        <w:t xml:space="preserve"> r</w:t>
      </w:r>
      <w:r>
        <w:rPr>
          <w:lang w:val="sq-AL"/>
        </w:rPr>
        <w:t>ë</w:t>
      </w:r>
      <w:r w:rsidRPr="000B62BD">
        <w:rPr>
          <w:lang w:val="sq-AL"/>
        </w:rPr>
        <w:t>ndesish</w:t>
      </w:r>
      <w:r>
        <w:rPr>
          <w:lang w:val="sq-AL"/>
        </w:rPr>
        <w:t>ë</w:t>
      </w:r>
      <w:r w:rsidRPr="000B62BD">
        <w:rPr>
          <w:lang w:val="sq-AL"/>
        </w:rPr>
        <w:t>m kan</w:t>
      </w:r>
      <w:r>
        <w:rPr>
          <w:lang w:val="sq-AL"/>
        </w:rPr>
        <w:t>ë</w:t>
      </w:r>
      <w:r w:rsidRPr="000B62BD">
        <w:rPr>
          <w:lang w:val="sq-AL"/>
        </w:rPr>
        <w:t xml:space="preserve"> lu</w:t>
      </w:r>
      <w:r>
        <w:rPr>
          <w:lang w:val="sq-AL"/>
        </w:rPr>
        <w:t xml:space="preserve">ajtur parashikimet e shtesës së kredive në rreth 31,1 miliard lekë  Nisur nga parashikimet 2012, vlerësimet e  ndikimit të kursit të këmbimit janë perllogaritur rreth 8,5 miliard lekë (kursi 143 All/EUR parashikim perkundrejt 139,59 ne fakt), </w:t>
      </w:r>
    </w:p>
    <w:p w:rsidR="00B22874" w:rsidRPr="00935431" w:rsidRDefault="00B22874" w:rsidP="008611F0">
      <w:pPr>
        <w:jc w:val="both"/>
        <w:rPr>
          <w:lang w:val="sq-AL"/>
        </w:rPr>
      </w:pPr>
      <w:r>
        <w:rPr>
          <w:lang w:val="sq-AL"/>
        </w:rPr>
        <w:t>Në vijim është analizuar shtesa</w:t>
      </w:r>
      <w:r w:rsidRPr="00935431">
        <w:rPr>
          <w:lang w:val="sq-AL"/>
        </w:rPr>
        <w:t xml:space="preserve"> e borxhit p</w:t>
      </w:r>
      <w:r>
        <w:rPr>
          <w:lang w:val="sq-AL"/>
        </w:rPr>
        <w:t>ë</w:t>
      </w:r>
      <w:r w:rsidRPr="00935431">
        <w:rPr>
          <w:lang w:val="sq-AL"/>
        </w:rPr>
        <w:t>r segmentin e huamarrjes  s</w:t>
      </w:r>
      <w:r>
        <w:rPr>
          <w:lang w:val="sq-AL"/>
        </w:rPr>
        <w:t>ë</w:t>
      </w:r>
      <w:r w:rsidRPr="00935431">
        <w:rPr>
          <w:lang w:val="sq-AL"/>
        </w:rPr>
        <w:t xml:space="preserve"> riskeduluar dhe garancit</w:t>
      </w:r>
      <w:r>
        <w:rPr>
          <w:lang w:val="sq-AL"/>
        </w:rPr>
        <w:t>ë</w:t>
      </w:r>
      <w:r w:rsidRPr="00935431">
        <w:rPr>
          <w:lang w:val="sq-AL"/>
        </w:rPr>
        <w:t>, p</w:t>
      </w:r>
      <w:r>
        <w:rPr>
          <w:lang w:val="sq-AL"/>
        </w:rPr>
        <w:t>ë</w:t>
      </w:r>
      <w:r w:rsidRPr="00935431">
        <w:rPr>
          <w:lang w:val="sq-AL"/>
        </w:rPr>
        <w:t>r t</w:t>
      </w:r>
      <w:r>
        <w:rPr>
          <w:lang w:val="sq-AL"/>
        </w:rPr>
        <w:t>ë</w:t>
      </w:r>
      <w:r w:rsidRPr="00935431">
        <w:rPr>
          <w:lang w:val="sq-AL"/>
        </w:rPr>
        <w:t xml:space="preserve"> cilat   kemi t</w:t>
      </w:r>
      <w:r>
        <w:rPr>
          <w:lang w:val="sq-AL"/>
        </w:rPr>
        <w:t>ë</w:t>
      </w:r>
      <w:r w:rsidRPr="00935431">
        <w:rPr>
          <w:lang w:val="sq-AL"/>
        </w:rPr>
        <w:t xml:space="preserve"> dhenat si m</w:t>
      </w:r>
      <w:r>
        <w:rPr>
          <w:lang w:val="sq-AL"/>
        </w:rPr>
        <w:t>ë</w:t>
      </w:r>
      <w:r w:rsidRPr="00935431">
        <w:rPr>
          <w:lang w:val="sq-AL"/>
        </w:rPr>
        <w:t xml:space="preserve"> posht</w:t>
      </w:r>
      <w:r>
        <w:rPr>
          <w:lang w:val="sq-AL"/>
        </w:rPr>
        <w:t>ë</w:t>
      </w:r>
      <w:r w:rsidRPr="00935431">
        <w:rPr>
          <w:lang w:val="sq-AL"/>
        </w:rPr>
        <w:t>:</w:t>
      </w:r>
    </w:p>
    <w:p w:rsidR="00B22874" w:rsidRDefault="00B22874" w:rsidP="008611F0">
      <w:pPr>
        <w:jc w:val="both"/>
        <w:rPr>
          <w:lang w:val="sq-AL"/>
        </w:rPr>
      </w:pPr>
    </w:p>
    <w:p w:rsidR="00B22874" w:rsidRPr="004A0F38" w:rsidRDefault="00B22874" w:rsidP="008611F0">
      <w:pPr>
        <w:jc w:val="both"/>
        <w:rPr>
          <w:b/>
          <w:bCs/>
          <w:sz w:val="20"/>
          <w:szCs w:val="20"/>
          <w:lang w:val="sq-AL"/>
        </w:rPr>
      </w:pPr>
      <w:r w:rsidRPr="004A0F38">
        <w:rPr>
          <w:b/>
          <w:bCs/>
          <w:sz w:val="20"/>
          <w:szCs w:val="20"/>
          <w:lang w:val="sq-AL"/>
        </w:rPr>
        <w:t>Tabela 1</w:t>
      </w:r>
      <w:r>
        <w:rPr>
          <w:b/>
          <w:bCs/>
          <w:sz w:val="20"/>
          <w:szCs w:val="20"/>
          <w:lang w:val="sq-AL"/>
        </w:rPr>
        <w:t>0</w:t>
      </w:r>
      <w:r w:rsidRPr="004A0F38">
        <w:rPr>
          <w:b/>
          <w:bCs/>
          <w:sz w:val="20"/>
          <w:szCs w:val="20"/>
          <w:lang w:val="sq-AL"/>
        </w:rPr>
        <w:t>.</w:t>
      </w:r>
    </w:p>
    <w:p w:rsidR="00B22874" w:rsidRPr="00233F72" w:rsidRDefault="00B22874" w:rsidP="005B3E9C">
      <w:pPr>
        <w:rPr>
          <w:sz w:val="18"/>
          <w:szCs w:val="18"/>
          <w:lang w:val="sq-AL"/>
        </w:rPr>
      </w:pPr>
      <w:r>
        <w:rPr>
          <w:sz w:val="18"/>
          <w:szCs w:val="18"/>
          <w:lang w:val="sq-AL"/>
        </w:rPr>
        <w:t>*Në m</w:t>
      </w:r>
      <w:r w:rsidRPr="00233F72">
        <w:rPr>
          <w:sz w:val="18"/>
          <w:szCs w:val="18"/>
          <w:lang w:val="sq-AL"/>
        </w:rPr>
        <w:t>ilion lek</w:t>
      </w:r>
      <w:r>
        <w:rPr>
          <w:sz w:val="18"/>
          <w:szCs w:val="18"/>
          <w:lang w:val="sq-AL"/>
        </w:rPr>
        <w:t>ë</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6"/>
        <w:gridCol w:w="1694"/>
        <w:gridCol w:w="1980"/>
        <w:gridCol w:w="1620"/>
      </w:tblGrid>
      <w:tr w:rsidR="00B22874" w:rsidRPr="00935431" w:rsidTr="005B3E9C">
        <w:tc>
          <w:tcPr>
            <w:tcW w:w="3346" w:type="dxa"/>
            <w:shd w:val="clear" w:color="auto" w:fill="99CCFF"/>
          </w:tcPr>
          <w:p w:rsidR="00B22874" w:rsidRPr="00472FEB" w:rsidRDefault="00B22874" w:rsidP="00472FEB">
            <w:pPr>
              <w:jc w:val="center"/>
              <w:rPr>
                <w:b/>
                <w:bCs/>
                <w:sz w:val="20"/>
                <w:szCs w:val="20"/>
                <w:lang w:val="sq-AL"/>
              </w:rPr>
            </w:pPr>
            <w:r w:rsidRPr="00472FEB">
              <w:rPr>
                <w:b/>
                <w:bCs/>
                <w:sz w:val="20"/>
                <w:szCs w:val="20"/>
                <w:lang w:val="sq-AL"/>
              </w:rPr>
              <w:t>Shtesa e borxhit</w:t>
            </w:r>
          </w:p>
        </w:tc>
        <w:tc>
          <w:tcPr>
            <w:tcW w:w="1694" w:type="dxa"/>
            <w:shd w:val="clear" w:color="auto" w:fill="99CCFF"/>
          </w:tcPr>
          <w:p w:rsidR="00B22874" w:rsidRPr="00472FEB" w:rsidRDefault="00B22874" w:rsidP="00472FEB">
            <w:pPr>
              <w:jc w:val="center"/>
              <w:rPr>
                <w:b/>
                <w:bCs/>
                <w:sz w:val="20"/>
                <w:szCs w:val="20"/>
                <w:lang w:val="sq-AL"/>
              </w:rPr>
            </w:pPr>
            <w:r w:rsidRPr="00472FEB">
              <w:rPr>
                <w:b/>
                <w:bCs/>
                <w:sz w:val="20"/>
                <w:szCs w:val="20"/>
                <w:lang w:val="sq-AL"/>
              </w:rPr>
              <w:t>Plani</w:t>
            </w:r>
          </w:p>
        </w:tc>
        <w:tc>
          <w:tcPr>
            <w:tcW w:w="1980" w:type="dxa"/>
            <w:shd w:val="clear" w:color="auto" w:fill="99CCFF"/>
          </w:tcPr>
          <w:p w:rsidR="00B22874" w:rsidRPr="00472FEB" w:rsidRDefault="00B22874" w:rsidP="00472FEB">
            <w:pPr>
              <w:jc w:val="center"/>
              <w:rPr>
                <w:b/>
                <w:bCs/>
                <w:sz w:val="20"/>
                <w:szCs w:val="20"/>
                <w:lang w:val="sq-AL"/>
              </w:rPr>
            </w:pPr>
            <w:r w:rsidRPr="00472FEB">
              <w:rPr>
                <w:b/>
                <w:bCs/>
                <w:sz w:val="20"/>
                <w:szCs w:val="20"/>
                <w:lang w:val="sq-AL"/>
              </w:rPr>
              <w:t>Fakti</w:t>
            </w:r>
          </w:p>
        </w:tc>
        <w:tc>
          <w:tcPr>
            <w:tcW w:w="1620" w:type="dxa"/>
            <w:shd w:val="clear" w:color="auto" w:fill="99CCFF"/>
          </w:tcPr>
          <w:p w:rsidR="00B22874" w:rsidRPr="00472FEB" w:rsidRDefault="00B22874" w:rsidP="00472FEB">
            <w:pPr>
              <w:jc w:val="center"/>
              <w:rPr>
                <w:b/>
                <w:bCs/>
                <w:sz w:val="20"/>
                <w:szCs w:val="20"/>
                <w:lang w:val="sq-AL"/>
              </w:rPr>
            </w:pPr>
            <w:r w:rsidRPr="00472FEB">
              <w:rPr>
                <w:b/>
                <w:bCs/>
                <w:sz w:val="20"/>
                <w:szCs w:val="20"/>
                <w:lang w:val="sq-AL"/>
              </w:rPr>
              <w:t>Diferenca</w:t>
            </w:r>
          </w:p>
        </w:tc>
      </w:tr>
      <w:tr w:rsidR="00B22874" w:rsidRPr="00935431" w:rsidTr="00472FEB">
        <w:trPr>
          <w:trHeight w:val="467"/>
        </w:trPr>
        <w:tc>
          <w:tcPr>
            <w:tcW w:w="3346" w:type="dxa"/>
            <w:vAlign w:val="bottom"/>
          </w:tcPr>
          <w:p w:rsidR="00B22874" w:rsidRPr="00472FEB" w:rsidRDefault="00B22874" w:rsidP="00472FEB">
            <w:pPr>
              <w:jc w:val="center"/>
              <w:rPr>
                <w:sz w:val="20"/>
                <w:szCs w:val="20"/>
                <w:lang w:val="sq-AL"/>
              </w:rPr>
            </w:pPr>
            <w:r w:rsidRPr="00472FEB">
              <w:rPr>
                <w:b/>
                <w:sz w:val="20"/>
                <w:szCs w:val="20"/>
                <w:lang w:val="sq-AL"/>
              </w:rPr>
              <w:t>Riskedulimet</w:t>
            </w:r>
          </w:p>
        </w:tc>
        <w:tc>
          <w:tcPr>
            <w:tcW w:w="1694" w:type="dxa"/>
            <w:vAlign w:val="bottom"/>
          </w:tcPr>
          <w:p w:rsidR="00B22874" w:rsidRPr="00472FEB" w:rsidRDefault="00B22874" w:rsidP="00472FEB">
            <w:pPr>
              <w:jc w:val="right"/>
              <w:rPr>
                <w:b/>
                <w:sz w:val="20"/>
                <w:szCs w:val="20"/>
                <w:lang w:val="sq-AL"/>
              </w:rPr>
            </w:pPr>
            <w:r w:rsidRPr="00472FEB">
              <w:rPr>
                <w:b/>
                <w:sz w:val="20"/>
                <w:szCs w:val="20"/>
                <w:lang w:val="sq-AL"/>
              </w:rPr>
              <w:t>260</w:t>
            </w:r>
          </w:p>
        </w:tc>
        <w:tc>
          <w:tcPr>
            <w:tcW w:w="1980" w:type="dxa"/>
            <w:vAlign w:val="bottom"/>
          </w:tcPr>
          <w:p w:rsidR="00B22874" w:rsidRPr="00472FEB" w:rsidRDefault="00B22874" w:rsidP="00472FEB">
            <w:pPr>
              <w:jc w:val="right"/>
              <w:rPr>
                <w:b/>
                <w:sz w:val="20"/>
                <w:szCs w:val="20"/>
                <w:lang w:val="sq-AL"/>
              </w:rPr>
            </w:pPr>
            <w:r w:rsidRPr="00472FEB">
              <w:rPr>
                <w:b/>
                <w:sz w:val="20"/>
                <w:szCs w:val="20"/>
                <w:lang w:val="sq-AL"/>
              </w:rPr>
              <w:t>-</w:t>
            </w:r>
          </w:p>
        </w:tc>
        <w:tc>
          <w:tcPr>
            <w:tcW w:w="1620" w:type="dxa"/>
            <w:vAlign w:val="bottom"/>
          </w:tcPr>
          <w:p w:rsidR="00B22874" w:rsidRPr="00472FEB" w:rsidRDefault="00B22874" w:rsidP="00472FEB">
            <w:pPr>
              <w:jc w:val="right"/>
              <w:rPr>
                <w:b/>
                <w:sz w:val="20"/>
                <w:szCs w:val="20"/>
                <w:lang w:val="sq-AL"/>
              </w:rPr>
            </w:pPr>
            <w:r w:rsidRPr="00472FEB">
              <w:rPr>
                <w:b/>
                <w:sz w:val="20"/>
                <w:szCs w:val="20"/>
                <w:lang w:val="sq-AL"/>
              </w:rPr>
              <w:t>-260</w:t>
            </w:r>
          </w:p>
        </w:tc>
      </w:tr>
      <w:tr w:rsidR="00B22874" w:rsidRPr="00935431" w:rsidTr="00472FEB">
        <w:trPr>
          <w:trHeight w:val="330"/>
        </w:trPr>
        <w:tc>
          <w:tcPr>
            <w:tcW w:w="3346" w:type="dxa"/>
            <w:vAlign w:val="bottom"/>
          </w:tcPr>
          <w:p w:rsidR="00B22874" w:rsidRPr="00472FEB" w:rsidRDefault="00B22874" w:rsidP="00472FEB">
            <w:pPr>
              <w:jc w:val="center"/>
              <w:rPr>
                <w:b/>
                <w:sz w:val="20"/>
                <w:szCs w:val="20"/>
                <w:lang w:val="sq-AL"/>
              </w:rPr>
            </w:pPr>
            <w:r w:rsidRPr="00472FEB">
              <w:rPr>
                <w:b/>
                <w:sz w:val="20"/>
                <w:szCs w:val="20"/>
                <w:lang w:val="sq-AL"/>
              </w:rPr>
              <w:t>Borxh i garantuar nga i cili:</w:t>
            </w:r>
          </w:p>
        </w:tc>
        <w:tc>
          <w:tcPr>
            <w:tcW w:w="1694" w:type="dxa"/>
            <w:vAlign w:val="bottom"/>
          </w:tcPr>
          <w:p w:rsidR="00B22874" w:rsidRPr="00472FEB" w:rsidRDefault="00B22874" w:rsidP="00472FEB">
            <w:pPr>
              <w:jc w:val="right"/>
              <w:rPr>
                <w:b/>
                <w:sz w:val="20"/>
                <w:szCs w:val="20"/>
                <w:lang w:val="sq-AL"/>
              </w:rPr>
            </w:pPr>
          </w:p>
          <w:p w:rsidR="00B22874" w:rsidRPr="00472FEB" w:rsidRDefault="00B22874" w:rsidP="00472FEB">
            <w:pPr>
              <w:jc w:val="right"/>
              <w:rPr>
                <w:b/>
                <w:sz w:val="20"/>
                <w:szCs w:val="20"/>
                <w:lang w:val="sq-AL"/>
              </w:rPr>
            </w:pPr>
            <w:r w:rsidRPr="00472FEB">
              <w:rPr>
                <w:b/>
                <w:sz w:val="20"/>
                <w:szCs w:val="20"/>
                <w:lang w:val="sq-AL"/>
              </w:rPr>
              <w:t>8,441</w:t>
            </w:r>
          </w:p>
        </w:tc>
        <w:tc>
          <w:tcPr>
            <w:tcW w:w="1980" w:type="dxa"/>
            <w:vAlign w:val="bottom"/>
          </w:tcPr>
          <w:p w:rsidR="00B22874" w:rsidRPr="00472FEB" w:rsidRDefault="00B22874" w:rsidP="00472FEB">
            <w:pPr>
              <w:jc w:val="right"/>
              <w:rPr>
                <w:b/>
                <w:sz w:val="20"/>
                <w:szCs w:val="20"/>
                <w:lang w:val="sq-AL"/>
              </w:rPr>
            </w:pPr>
          </w:p>
          <w:p w:rsidR="00B22874" w:rsidRPr="00472FEB" w:rsidRDefault="00B22874" w:rsidP="00472FEB">
            <w:pPr>
              <w:jc w:val="right"/>
              <w:rPr>
                <w:b/>
                <w:sz w:val="20"/>
                <w:szCs w:val="20"/>
                <w:lang w:val="sq-AL"/>
              </w:rPr>
            </w:pPr>
            <w:r w:rsidRPr="00472FEB">
              <w:rPr>
                <w:b/>
                <w:sz w:val="20"/>
                <w:szCs w:val="20"/>
                <w:lang w:val="sq-AL"/>
              </w:rPr>
              <w:t>-2,128</w:t>
            </w:r>
          </w:p>
        </w:tc>
        <w:tc>
          <w:tcPr>
            <w:tcW w:w="1620" w:type="dxa"/>
            <w:vAlign w:val="bottom"/>
          </w:tcPr>
          <w:p w:rsidR="00B22874" w:rsidRPr="00472FEB" w:rsidRDefault="00B22874" w:rsidP="00472FEB">
            <w:pPr>
              <w:jc w:val="right"/>
              <w:rPr>
                <w:b/>
                <w:sz w:val="20"/>
                <w:szCs w:val="20"/>
                <w:lang w:val="sq-AL"/>
              </w:rPr>
            </w:pPr>
          </w:p>
          <w:p w:rsidR="00B22874" w:rsidRPr="00472FEB" w:rsidRDefault="00B22874" w:rsidP="00472FEB">
            <w:pPr>
              <w:jc w:val="right"/>
              <w:rPr>
                <w:b/>
                <w:sz w:val="20"/>
                <w:szCs w:val="20"/>
                <w:lang w:val="sq-AL"/>
              </w:rPr>
            </w:pPr>
            <w:r w:rsidRPr="00472FEB">
              <w:rPr>
                <w:b/>
                <w:sz w:val="20"/>
                <w:szCs w:val="20"/>
                <w:lang w:val="sq-AL"/>
              </w:rPr>
              <w:t>-10,870</w:t>
            </w:r>
          </w:p>
        </w:tc>
      </w:tr>
      <w:tr w:rsidR="00B22874" w:rsidRPr="00935431" w:rsidTr="00472FEB">
        <w:trPr>
          <w:trHeight w:val="210"/>
        </w:trPr>
        <w:tc>
          <w:tcPr>
            <w:tcW w:w="3346" w:type="dxa"/>
            <w:vAlign w:val="bottom"/>
          </w:tcPr>
          <w:p w:rsidR="00B22874" w:rsidRPr="00472FEB" w:rsidRDefault="00B22874" w:rsidP="00472FEB">
            <w:pPr>
              <w:jc w:val="center"/>
              <w:rPr>
                <w:sz w:val="20"/>
                <w:szCs w:val="20"/>
                <w:lang w:val="sq-AL"/>
              </w:rPr>
            </w:pPr>
            <w:r>
              <w:rPr>
                <w:sz w:val="20"/>
                <w:szCs w:val="20"/>
                <w:lang w:val="sq-AL"/>
              </w:rPr>
              <w:t xml:space="preserve">(i) </w:t>
            </w:r>
            <w:r w:rsidRPr="00472FEB">
              <w:rPr>
                <w:sz w:val="20"/>
                <w:szCs w:val="20"/>
                <w:lang w:val="sq-AL"/>
              </w:rPr>
              <w:t>I jasht</w:t>
            </w:r>
            <w:r>
              <w:rPr>
                <w:sz w:val="20"/>
                <w:szCs w:val="20"/>
                <w:lang w:val="sq-AL"/>
              </w:rPr>
              <w:t>ë</w:t>
            </w:r>
            <w:r w:rsidRPr="00472FEB">
              <w:rPr>
                <w:sz w:val="20"/>
                <w:szCs w:val="20"/>
                <w:lang w:val="sq-AL"/>
              </w:rPr>
              <w:t>m</w:t>
            </w:r>
          </w:p>
        </w:tc>
        <w:tc>
          <w:tcPr>
            <w:tcW w:w="1694" w:type="dxa"/>
            <w:vAlign w:val="bottom"/>
          </w:tcPr>
          <w:p w:rsidR="00B22874" w:rsidRPr="00472FEB" w:rsidRDefault="00B22874" w:rsidP="00472FEB">
            <w:pPr>
              <w:jc w:val="right"/>
              <w:rPr>
                <w:sz w:val="20"/>
                <w:szCs w:val="20"/>
                <w:lang w:val="sq-AL"/>
              </w:rPr>
            </w:pPr>
          </w:p>
          <w:p w:rsidR="00B22874" w:rsidRPr="00472FEB" w:rsidRDefault="00B22874" w:rsidP="00472FEB">
            <w:pPr>
              <w:jc w:val="right"/>
              <w:rPr>
                <w:sz w:val="20"/>
                <w:szCs w:val="20"/>
                <w:lang w:val="sq-AL"/>
              </w:rPr>
            </w:pPr>
            <w:r w:rsidRPr="00472FEB">
              <w:rPr>
                <w:sz w:val="20"/>
                <w:szCs w:val="20"/>
                <w:lang w:val="sq-AL"/>
              </w:rPr>
              <w:t>-895</w:t>
            </w:r>
          </w:p>
        </w:tc>
        <w:tc>
          <w:tcPr>
            <w:tcW w:w="1980" w:type="dxa"/>
            <w:vAlign w:val="bottom"/>
          </w:tcPr>
          <w:p w:rsidR="00B22874" w:rsidRPr="00472FEB" w:rsidRDefault="00B22874" w:rsidP="00472FEB">
            <w:pPr>
              <w:jc w:val="right"/>
              <w:rPr>
                <w:sz w:val="20"/>
                <w:szCs w:val="20"/>
                <w:lang w:val="sq-AL"/>
              </w:rPr>
            </w:pPr>
          </w:p>
          <w:p w:rsidR="00B22874" w:rsidRPr="00472FEB" w:rsidRDefault="00B22874" w:rsidP="00472FEB">
            <w:pPr>
              <w:jc w:val="right"/>
              <w:rPr>
                <w:sz w:val="20"/>
                <w:szCs w:val="20"/>
                <w:lang w:val="sq-AL"/>
              </w:rPr>
            </w:pPr>
            <w:r w:rsidRPr="00472FEB">
              <w:rPr>
                <w:sz w:val="20"/>
                <w:szCs w:val="20"/>
                <w:lang w:val="sq-AL"/>
              </w:rPr>
              <w:t>-6,383</w:t>
            </w:r>
          </w:p>
        </w:tc>
        <w:tc>
          <w:tcPr>
            <w:tcW w:w="1620" w:type="dxa"/>
            <w:vAlign w:val="bottom"/>
          </w:tcPr>
          <w:p w:rsidR="00B22874" w:rsidRPr="00472FEB" w:rsidRDefault="00B22874" w:rsidP="00472FEB">
            <w:pPr>
              <w:jc w:val="right"/>
              <w:rPr>
                <w:sz w:val="20"/>
                <w:szCs w:val="20"/>
                <w:lang w:val="sq-AL"/>
              </w:rPr>
            </w:pPr>
          </w:p>
          <w:p w:rsidR="00B22874" w:rsidRPr="00472FEB" w:rsidRDefault="00B22874" w:rsidP="00472FEB">
            <w:pPr>
              <w:jc w:val="right"/>
              <w:rPr>
                <w:sz w:val="20"/>
                <w:szCs w:val="20"/>
                <w:lang w:val="sq-AL"/>
              </w:rPr>
            </w:pPr>
            <w:r w:rsidRPr="00472FEB">
              <w:rPr>
                <w:sz w:val="20"/>
                <w:szCs w:val="20"/>
                <w:lang w:val="sq-AL"/>
              </w:rPr>
              <w:t>-5,688</w:t>
            </w:r>
          </w:p>
        </w:tc>
      </w:tr>
      <w:tr w:rsidR="00B22874" w:rsidRPr="00935431" w:rsidTr="00472FEB">
        <w:trPr>
          <w:trHeight w:val="255"/>
        </w:trPr>
        <w:tc>
          <w:tcPr>
            <w:tcW w:w="3346" w:type="dxa"/>
            <w:vAlign w:val="bottom"/>
          </w:tcPr>
          <w:p w:rsidR="00B22874" w:rsidRPr="00472FEB" w:rsidRDefault="00B22874" w:rsidP="00472FEB">
            <w:pPr>
              <w:jc w:val="center"/>
              <w:rPr>
                <w:sz w:val="20"/>
                <w:szCs w:val="20"/>
                <w:lang w:val="sq-AL"/>
              </w:rPr>
            </w:pPr>
            <w:r>
              <w:rPr>
                <w:sz w:val="20"/>
                <w:szCs w:val="20"/>
                <w:lang w:val="sq-AL"/>
              </w:rPr>
              <w:t xml:space="preserve">(ii) </w:t>
            </w:r>
            <w:r w:rsidRPr="00472FEB">
              <w:rPr>
                <w:sz w:val="20"/>
                <w:szCs w:val="20"/>
                <w:lang w:val="sq-AL"/>
              </w:rPr>
              <w:t>I brendsh</w:t>
            </w:r>
            <w:r>
              <w:rPr>
                <w:sz w:val="20"/>
                <w:szCs w:val="20"/>
                <w:lang w:val="sq-AL"/>
              </w:rPr>
              <w:t>ë</w:t>
            </w:r>
            <w:r w:rsidRPr="00472FEB">
              <w:rPr>
                <w:sz w:val="20"/>
                <w:szCs w:val="20"/>
                <w:lang w:val="sq-AL"/>
              </w:rPr>
              <w:t>m</w:t>
            </w:r>
          </w:p>
        </w:tc>
        <w:tc>
          <w:tcPr>
            <w:tcW w:w="1694" w:type="dxa"/>
            <w:vAlign w:val="bottom"/>
          </w:tcPr>
          <w:p w:rsidR="00B22874" w:rsidRPr="00472FEB" w:rsidRDefault="00B22874" w:rsidP="00472FEB">
            <w:pPr>
              <w:jc w:val="right"/>
              <w:rPr>
                <w:sz w:val="20"/>
                <w:szCs w:val="20"/>
                <w:lang w:val="sq-AL"/>
              </w:rPr>
            </w:pPr>
          </w:p>
          <w:p w:rsidR="00B22874" w:rsidRPr="00472FEB" w:rsidRDefault="00B22874" w:rsidP="00472FEB">
            <w:pPr>
              <w:jc w:val="right"/>
              <w:rPr>
                <w:sz w:val="20"/>
                <w:szCs w:val="20"/>
                <w:lang w:val="sq-AL"/>
              </w:rPr>
            </w:pPr>
            <w:r w:rsidRPr="00472FEB">
              <w:rPr>
                <w:sz w:val="20"/>
                <w:szCs w:val="20"/>
                <w:lang w:val="sq-AL"/>
              </w:rPr>
              <w:t>9,337</w:t>
            </w:r>
          </w:p>
        </w:tc>
        <w:tc>
          <w:tcPr>
            <w:tcW w:w="1980" w:type="dxa"/>
            <w:vAlign w:val="bottom"/>
          </w:tcPr>
          <w:p w:rsidR="00B22874" w:rsidRPr="00472FEB" w:rsidRDefault="00B22874" w:rsidP="00472FEB">
            <w:pPr>
              <w:jc w:val="right"/>
              <w:rPr>
                <w:sz w:val="20"/>
                <w:szCs w:val="20"/>
                <w:lang w:val="sq-AL"/>
              </w:rPr>
            </w:pPr>
          </w:p>
          <w:p w:rsidR="00B22874" w:rsidRPr="00472FEB" w:rsidRDefault="00B22874" w:rsidP="00472FEB">
            <w:pPr>
              <w:jc w:val="right"/>
              <w:rPr>
                <w:sz w:val="20"/>
                <w:szCs w:val="20"/>
                <w:lang w:val="sq-AL"/>
              </w:rPr>
            </w:pPr>
            <w:r w:rsidRPr="00472FEB">
              <w:rPr>
                <w:sz w:val="20"/>
                <w:szCs w:val="20"/>
                <w:lang w:val="sq-AL"/>
              </w:rPr>
              <w:t>4,255</w:t>
            </w:r>
          </w:p>
        </w:tc>
        <w:tc>
          <w:tcPr>
            <w:tcW w:w="1620" w:type="dxa"/>
            <w:vAlign w:val="bottom"/>
          </w:tcPr>
          <w:p w:rsidR="00B22874" w:rsidRPr="00472FEB" w:rsidRDefault="00B22874" w:rsidP="00472FEB">
            <w:pPr>
              <w:jc w:val="right"/>
              <w:rPr>
                <w:sz w:val="20"/>
                <w:szCs w:val="20"/>
                <w:lang w:val="sq-AL"/>
              </w:rPr>
            </w:pPr>
          </w:p>
          <w:p w:rsidR="00B22874" w:rsidRPr="00472FEB" w:rsidRDefault="00B22874" w:rsidP="00472FEB">
            <w:pPr>
              <w:jc w:val="right"/>
              <w:rPr>
                <w:sz w:val="20"/>
                <w:szCs w:val="20"/>
                <w:lang w:val="sq-AL"/>
              </w:rPr>
            </w:pPr>
            <w:r w:rsidRPr="00472FEB">
              <w:rPr>
                <w:sz w:val="20"/>
                <w:szCs w:val="20"/>
                <w:lang w:val="sq-AL"/>
              </w:rPr>
              <w:t>-5,182</w:t>
            </w:r>
          </w:p>
        </w:tc>
      </w:tr>
    </w:tbl>
    <w:p w:rsidR="00B22874" w:rsidRPr="00770503" w:rsidRDefault="00B22874" w:rsidP="008611F0">
      <w:pPr>
        <w:jc w:val="both"/>
        <w:rPr>
          <w:color w:val="FF6600"/>
          <w:lang w:val="sq-AL"/>
        </w:rPr>
      </w:pPr>
    </w:p>
    <w:p w:rsidR="00B22874" w:rsidRPr="00745EF9" w:rsidRDefault="00B22874" w:rsidP="008611F0">
      <w:pPr>
        <w:jc w:val="both"/>
        <w:rPr>
          <w:lang w:val="sq-AL"/>
        </w:rPr>
      </w:pPr>
      <w:r>
        <w:rPr>
          <w:lang w:val="sq-AL"/>
        </w:rPr>
        <w:t>Nga tabela e mësipërme vihet re se riskedulime</w:t>
      </w:r>
      <w:r w:rsidRPr="00745EF9">
        <w:rPr>
          <w:lang w:val="sq-AL"/>
        </w:rPr>
        <w:t xml:space="preserve"> </w:t>
      </w:r>
      <w:r>
        <w:rPr>
          <w:lang w:val="sq-AL"/>
        </w:rPr>
        <w:t>nuk ka pasur gjatë vitit 2013,  për arsye se nuk ka pasur reagime nga kompanitë private në këtë proces.</w:t>
      </w:r>
    </w:p>
    <w:p w:rsidR="00B22874" w:rsidRDefault="00B22874" w:rsidP="008611F0">
      <w:pPr>
        <w:jc w:val="both"/>
        <w:rPr>
          <w:color w:val="FF6600"/>
          <w:lang w:val="sq-AL"/>
        </w:rPr>
      </w:pPr>
      <w:r>
        <w:rPr>
          <w:lang w:val="sq-AL"/>
        </w:rPr>
        <w:t xml:space="preserve">Përsa i përket borxhit të garantuar vihet re se </w:t>
      </w:r>
      <w:r w:rsidRPr="00C127A2">
        <w:rPr>
          <w:lang w:val="sq-AL"/>
        </w:rPr>
        <w:t xml:space="preserve"> borxhi i jasht</w:t>
      </w:r>
      <w:r>
        <w:rPr>
          <w:lang w:val="sq-AL"/>
        </w:rPr>
        <w:t>ë</w:t>
      </w:r>
      <w:r w:rsidRPr="00C127A2">
        <w:rPr>
          <w:lang w:val="sq-AL"/>
        </w:rPr>
        <w:t>m i garantuar ka pasur ecuri</w:t>
      </w:r>
      <w:r>
        <w:rPr>
          <w:lang w:val="sq-AL"/>
        </w:rPr>
        <w:t>në</w:t>
      </w:r>
      <w:r w:rsidRPr="00C127A2">
        <w:rPr>
          <w:lang w:val="sq-AL"/>
        </w:rPr>
        <w:t xml:space="preserve"> m</w:t>
      </w:r>
      <w:r>
        <w:rPr>
          <w:lang w:val="sq-AL"/>
        </w:rPr>
        <w:t>ë</w:t>
      </w:r>
      <w:r w:rsidRPr="00C127A2">
        <w:rPr>
          <w:lang w:val="sq-AL"/>
        </w:rPr>
        <w:t xml:space="preserve"> t</w:t>
      </w:r>
      <w:r>
        <w:rPr>
          <w:lang w:val="sq-AL"/>
        </w:rPr>
        <w:t>ë</w:t>
      </w:r>
      <w:r w:rsidRPr="00C127A2">
        <w:rPr>
          <w:lang w:val="sq-AL"/>
        </w:rPr>
        <w:t xml:space="preserve"> ulet se parashikimi p</w:t>
      </w:r>
      <w:r>
        <w:rPr>
          <w:lang w:val="sq-AL"/>
        </w:rPr>
        <w:t>ë</w:t>
      </w:r>
      <w:r w:rsidRPr="00C127A2">
        <w:rPr>
          <w:lang w:val="sq-AL"/>
        </w:rPr>
        <w:t>r arsye t</w:t>
      </w:r>
      <w:r>
        <w:rPr>
          <w:lang w:val="sq-AL"/>
        </w:rPr>
        <w:t>ë</w:t>
      </w:r>
      <w:r w:rsidRPr="00C127A2">
        <w:rPr>
          <w:lang w:val="sq-AL"/>
        </w:rPr>
        <w:t xml:space="preserve">  </w:t>
      </w:r>
      <w:r>
        <w:rPr>
          <w:lang w:val="sq-AL"/>
        </w:rPr>
        <w:t xml:space="preserve">mosaktivizimit të garancisë pjesore të riskut me kompaninë CEZ në shumen 4,2 miliard lekë. Ndërkohë që është realizuar pjesërisht shtesa e garancive e parashikuar për borxhin e brendshëm. Kjo për efekt të garancive të qeverisë shqiptare të lëshuara për kompaninë KESH në shumën 4,2 miliardë lekë në janar 2013. Ndërkohë gjatë vitit 2013, parashikoheshin edhe 5 miliardë lekë garanci të tjera për të përballuar vështiresitë e periudhës nëntor-dhjetor të cilat nuk u aktivizuan brenda këtij viti. </w:t>
      </w:r>
    </w:p>
    <w:p w:rsidR="00B22874" w:rsidRPr="004E35CD" w:rsidRDefault="00B22874" w:rsidP="008611F0">
      <w:pPr>
        <w:jc w:val="both"/>
        <w:rPr>
          <w:b/>
          <w:bCs/>
          <w:lang w:val="sq-AL"/>
        </w:rPr>
      </w:pPr>
    </w:p>
    <w:p w:rsidR="00B22874" w:rsidRPr="00831C52" w:rsidRDefault="00B22874" w:rsidP="008611F0">
      <w:pPr>
        <w:jc w:val="both"/>
        <w:rPr>
          <w:b/>
          <w:bCs/>
          <w:lang w:val="sq-AL"/>
        </w:rPr>
      </w:pPr>
    </w:p>
    <w:p w:rsidR="00B22874" w:rsidRDefault="00B22874" w:rsidP="008611F0">
      <w:pPr>
        <w:jc w:val="both"/>
        <w:rPr>
          <w:b/>
          <w:bCs/>
          <w:lang w:val="sq-AL"/>
        </w:rPr>
      </w:pPr>
    </w:p>
    <w:p w:rsidR="00B22874" w:rsidRDefault="00B22874" w:rsidP="008611F0">
      <w:pPr>
        <w:jc w:val="both"/>
        <w:rPr>
          <w:b/>
          <w:bCs/>
          <w:lang w:val="sq-AL"/>
        </w:rPr>
      </w:pPr>
    </w:p>
    <w:p w:rsidR="00B22874" w:rsidRPr="0029540E" w:rsidRDefault="00B22874" w:rsidP="008611F0">
      <w:pPr>
        <w:jc w:val="both"/>
        <w:rPr>
          <w:b/>
          <w:bCs/>
          <w:lang w:val="sq-AL"/>
        </w:rPr>
      </w:pPr>
    </w:p>
    <w:p w:rsidR="00B22874" w:rsidRPr="00882C2E" w:rsidRDefault="00B22874" w:rsidP="008611F0"/>
    <w:p w:rsidR="00B22874" w:rsidRPr="009C0A34" w:rsidRDefault="00B22874" w:rsidP="002A6828">
      <w:pPr>
        <w:spacing w:line="360" w:lineRule="auto"/>
        <w:jc w:val="both"/>
        <w:rPr>
          <w:color w:val="FFFFFF"/>
          <w:sz w:val="20"/>
          <w:szCs w:val="20"/>
          <w:lang w:val="sq-AL"/>
        </w:rPr>
      </w:pPr>
      <w:r w:rsidRPr="009C0A34">
        <w:rPr>
          <w:i/>
          <w:color w:val="FFFFFF"/>
          <w:sz w:val="20"/>
          <w:szCs w:val="20"/>
          <w:lang w:val="sq-AL"/>
        </w:rPr>
        <w:t>Konceptoi</w:t>
      </w:r>
      <w:r w:rsidRPr="009C0A34">
        <w:rPr>
          <w:color w:val="FFFFFF"/>
          <w:sz w:val="20"/>
          <w:szCs w:val="20"/>
          <w:lang w:val="sq-AL"/>
        </w:rPr>
        <w:t>: Marjus Borokoçi, Specialist</w:t>
      </w:r>
    </w:p>
    <w:p w:rsidR="00B22874" w:rsidRPr="009C0A34" w:rsidRDefault="00B22874" w:rsidP="002A6828">
      <w:pPr>
        <w:spacing w:line="360" w:lineRule="auto"/>
        <w:jc w:val="both"/>
        <w:rPr>
          <w:color w:val="FFFFFF"/>
          <w:sz w:val="20"/>
          <w:szCs w:val="20"/>
          <w:lang w:val="sq-AL"/>
        </w:rPr>
      </w:pPr>
      <w:r w:rsidRPr="009C0A34">
        <w:rPr>
          <w:i/>
          <w:color w:val="FFFFFF"/>
          <w:sz w:val="20"/>
          <w:szCs w:val="20"/>
          <w:lang w:val="sq-AL"/>
        </w:rPr>
        <w:t>Konfirmoi</w:t>
      </w:r>
      <w:r w:rsidRPr="009C0A34">
        <w:rPr>
          <w:color w:val="FFFFFF"/>
          <w:sz w:val="20"/>
          <w:szCs w:val="20"/>
          <w:lang w:val="sq-AL"/>
        </w:rPr>
        <w:t>: Milbana Treska, Drejtor</w:t>
      </w:r>
    </w:p>
    <w:p w:rsidR="00B22874" w:rsidRPr="009C0A34" w:rsidRDefault="00B22874" w:rsidP="002A6828">
      <w:pPr>
        <w:spacing w:line="360" w:lineRule="auto"/>
        <w:jc w:val="both"/>
        <w:rPr>
          <w:color w:val="FFFFFF"/>
          <w:sz w:val="20"/>
          <w:szCs w:val="20"/>
          <w:lang w:val="sq-AL"/>
        </w:rPr>
      </w:pPr>
      <w:r w:rsidRPr="009C0A34">
        <w:rPr>
          <w:i/>
          <w:color w:val="FFFFFF"/>
          <w:sz w:val="20"/>
          <w:szCs w:val="20"/>
          <w:lang w:val="sq-AL"/>
        </w:rPr>
        <w:t>Miratoi</w:t>
      </w:r>
      <w:r w:rsidRPr="009C0A34">
        <w:rPr>
          <w:color w:val="FFFFFF"/>
          <w:sz w:val="20"/>
          <w:szCs w:val="20"/>
          <w:lang w:val="sq-AL"/>
        </w:rPr>
        <w:t>:      Adela Xhemali, Drejtor i përgjithshëm</w:t>
      </w:r>
    </w:p>
    <w:sectPr w:rsidR="00B22874" w:rsidRPr="009C0A34" w:rsidSect="005B3E9C">
      <w:footerReference w:type="even" r:id="rId18"/>
      <w:footerReference w:type="default" r:id="rId1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4A00" w:rsidRDefault="00B04A00" w:rsidP="00F54B1E">
      <w:r>
        <w:separator/>
      </w:r>
    </w:p>
  </w:endnote>
  <w:endnote w:type="continuationSeparator" w:id="1">
    <w:p w:rsidR="00B04A00" w:rsidRDefault="00B04A00" w:rsidP="00F54B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874" w:rsidRDefault="00FE6C2C" w:rsidP="00E77E3C">
    <w:pPr>
      <w:pStyle w:val="Footer"/>
      <w:framePr w:wrap="around" w:vAnchor="text" w:hAnchor="margin" w:xAlign="right" w:y="1"/>
      <w:rPr>
        <w:rStyle w:val="PageNumber"/>
      </w:rPr>
    </w:pPr>
    <w:r>
      <w:rPr>
        <w:rStyle w:val="PageNumber"/>
      </w:rPr>
      <w:fldChar w:fldCharType="begin"/>
    </w:r>
    <w:r w:rsidR="00B22874">
      <w:rPr>
        <w:rStyle w:val="PageNumber"/>
      </w:rPr>
      <w:instrText xml:space="preserve">PAGE  </w:instrText>
    </w:r>
    <w:r>
      <w:rPr>
        <w:rStyle w:val="PageNumber"/>
      </w:rPr>
      <w:fldChar w:fldCharType="end"/>
    </w:r>
  </w:p>
  <w:p w:rsidR="00B22874" w:rsidRDefault="00B22874" w:rsidP="00ED7A9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874" w:rsidRDefault="00FE6C2C" w:rsidP="00E77E3C">
    <w:pPr>
      <w:pStyle w:val="Footer"/>
      <w:framePr w:wrap="around" w:vAnchor="text" w:hAnchor="margin" w:xAlign="right" w:y="1"/>
      <w:rPr>
        <w:rStyle w:val="PageNumber"/>
      </w:rPr>
    </w:pPr>
    <w:r>
      <w:rPr>
        <w:rStyle w:val="PageNumber"/>
      </w:rPr>
      <w:fldChar w:fldCharType="begin"/>
    </w:r>
    <w:r w:rsidR="00B22874">
      <w:rPr>
        <w:rStyle w:val="PageNumber"/>
      </w:rPr>
      <w:instrText xml:space="preserve">PAGE  </w:instrText>
    </w:r>
    <w:r>
      <w:rPr>
        <w:rStyle w:val="PageNumber"/>
      </w:rPr>
      <w:fldChar w:fldCharType="separate"/>
    </w:r>
    <w:r w:rsidR="007E047C">
      <w:rPr>
        <w:rStyle w:val="PageNumber"/>
        <w:noProof/>
      </w:rPr>
      <w:t>12</w:t>
    </w:r>
    <w:r>
      <w:rPr>
        <w:rStyle w:val="PageNumber"/>
      </w:rPr>
      <w:fldChar w:fldCharType="end"/>
    </w:r>
  </w:p>
  <w:p w:rsidR="00B22874" w:rsidRDefault="00B22874" w:rsidP="00ED7A9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4A00" w:rsidRDefault="00B04A00" w:rsidP="00F54B1E">
      <w:r>
        <w:separator/>
      </w:r>
    </w:p>
  </w:footnote>
  <w:footnote w:type="continuationSeparator" w:id="1">
    <w:p w:rsidR="00B04A00" w:rsidRDefault="00B04A00" w:rsidP="00F54B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E443D74"/>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4B822F22"/>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69A42DE0"/>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B78AC5F2"/>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0E3C656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2A6CA2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48097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D3AF59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4DE5A3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9BC07E2"/>
    <w:lvl w:ilvl="0">
      <w:start w:val="1"/>
      <w:numFmt w:val="bullet"/>
      <w:lvlText w:val=""/>
      <w:lvlJc w:val="left"/>
      <w:pPr>
        <w:tabs>
          <w:tab w:val="num" w:pos="360"/>
        </w:tabs>
        <w:ind w:left="360" w:hanging="360"/>
      </w:pPr>
      <w:rPr>
        <w:rFonts w:ascii="Symbol" w:hAnsi="Symbol" w:hint="default"/>
      </w:rPr>
    </w:lvl>
  </w:abstractNum>
  <w:abstractNum w:abstractNumId="10">
    <w:nsid w:val="00DC2432"/>
    <w:multiLevelType w:val="hybridMultilevel"/>
    <w:tmpl w:val="855A62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23A1D54"/>
    <w:multiLevelType w:val="multilevel"/>
    <w:tmpl w:val="8E584B48"/>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900"/>
        </w:tabs>
        <w:ind w:left="900" w:hanging="360"/>
      </w:pPr>
      <w:rPr>
        <w:rFonts w:cs="Times New Roman" w:hint="default"/>
        <w:b/>
      </w:rPr>
    </w:lvl>
    <w:lvl w:ilvl="2">
      <w:start w:val="1"/>
      <w:numFmt w:val="decimal"/>
      <w:lvlText w:val="%1.%2.%3."/>
      <w:lvlJc w:val="left"/>
      <w:pPr>
        <w:tabs>
          <w:tab w:val="num" w:pos="1800"/>
        </w:tabs>
        <w:ind w:left="1800" w:hanging="720"/>
      </w:pPr>
      <w:rPr>
        <w:rFonts w:cs="Times New Roman" w:hint="default"/>
        <w:b/>
      </w:rPr>
    </w:lvl>
    <w:lvl w:ilvl="3">
      <w:start w:val="1"/>
      <w:numFmt w:val="decimal"/>
      <w:lvlText w:val="%1.%2.%3.%4."/>
      <w:lvlJc w:val="left"/>
      <w:pPr>
        <w:tabs>
          <w:tab w:val="num" w:pos="2340"/>
        </w:tabs>
        <w:ind w:left="2340" w:hanging="720"/>
      </w:pPr>
      <w:rPr>
        <w:rFonts w:cs="Times New Roman" w:hint="default"/>
        <w:b/>
      </w:rPr>
    </w:lvl>
    <w:lvl w:ilvl="4">
      <w:start w:val="1"/>
      <w:numFmt w:val="decimal"/>
      <w:lvlText w:val="%1.%2.%3.%4.%5."/>
      <w:lvlJc w:val="left"/>
      <w:pPr>
        <w:tabs>
          <w:tab w:val="num" w:pos="3240"/>
        </w:tabs>
        <w:ind w:left="3240" w:hanging="1080"/>
      </w:pPr>
      <w:rPr>
        <w:rFonts w:cs="Times New Roman" w:hint="default"/>
        <w:b/>
      </w:rPr>
    </w:lvl>
    <w:lvl w:ilvl="5">
      <w:start w:val="1"/>
      <w:numFmt w:val="decimal"/>
      <w:lvlText w:val="%1.%2.%3.%4.%5.%6."/>
      <w:lvlJc w:val="left"/>
      <w:pPr>
        <w:tabs>
          <w:tab w:val="num" w:pos="3780"/>
        </w:tabs>
        <w:ind w:left="3780" w:hanging="1080"/>
      </w:pPr>
      <w:rPr>
        <w:rFonts w:cs="Times New Roman" w:hint="default"/>
        <w:b/>
      </w:rPr>
    </w:lvl>
    <w:lvl w:ilvl="6">
      <w:start w:val="1"/>
      <w:numFmt w:val="decimal"/>
      <w:lvlText w:val="%1.%2.%3.%4.%5.%6.%7."/>
      <w:lvlJc w:val="left"/>
      <w:pPr>
        <w:tabs>
          <w:tab w:val="num" w:pos="4680"/>
        </w:tabs>
        <w:ind w:left="4680" w:hanging="1440"/>
      </w:pPr>
      <w:rPr>
        <w:rFonts w:cs="Times New Roman" w:hint="default"/>
        <w:b/>
      </w:rPr>
    </w:lvl>
    <w:lvl w:ilvl="7">
      <w:start w:val="1"/>
      <w:numFmt w:val="decimal"/>
      <w:lvlText w:val="%1.%2.%3.%4.%5.%6.%7.%8."/>
      <w:lvlJc w:val="left"/>
      <w:pPr>
        <w:tabs>
          <w:tab w:val="num" w:pos="5220"/>
        </w:tabs>
        <w:ind w:left="5220" w:hanging="1440"/>
      </w:pPr>
      <w:rPr>
        <w:rFonts w:cs="Times New Roman" w:hint="default"/>
        <w:b/>
      </w:rPr>
    </w:lvl>
    <w:lvl w:ilvl="8">
      <w:start w:val="1"/>
      <w:numFmt w:val="decimal"/>
      <w:lvlText w:val="%1.%2.%3.%4.%5.%6.%7.%8.%9."/>
      <w:lvlJc w:val="left"/>
      <w:pPr>
        <w:tabs>
          <w:tab w:val="num" w:pos="6120"/>
        </w:tabs>
        <w:ind w:left="6120" w:hanging="1800"/>
      </w:pPr>
      <w:rPr>
        <w:rFonts w:cs="Times New Roman" w:hint="default"/>
        <w:b/>
      </w:rPr>
    </w:lvl>
  </w:abstractNum>
  <w:abstractNum w:abstractNumId="12">
    <w:nsid w:val="05720A15"/>
    <w:multiLevelType w:val="multilevel"/>
    <w:tmpl w:val="022CD0E4"/>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0B4C259A"/>
    <w:multiLevelType w:val="hybridMultilevel"/>
    <w:tmpl w:val="8F0EAE22"/>
    <w:lvl w:ilvl="0" w:tplc="57B8A9B2">
      <w:start w:val="2"/>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1326ED0"/>
    <w:multiLevelType w:val="hybridMultilevel"/>
    <w:tmpl w:val="92CE75F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1391490C"/>
    <w:multiLevelType w:val="hybridMultilevel"/>
    <w:tmpl w:val="38A468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7AA1B37"/>
    <w:multiLevelType w:val="hybridMultilevel"/>
    <w:tmpl w:val="62361A50"/>
    <w:lvl w:ilvl="0" w:tplc="04090001">
      <w:start w:val="1"/>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8A05BBC"/>
    <w:multiLevelType w:val="hybridMultilevel"/>
    <w:tmpl w:val="E59076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1CC029AA"/>
    <w:multiLevelType w:val="hybridMultilevel"/>
    <w:tmpl w:val="4CA4C36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1F776123"/>
    <w:multiLevelType w:val="hybridMultilevel"/>
    <w:tmpl w:val="94C485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25D7916"/>
    <w:multiLevelType w:val="multilevel"/>
    <w:tmpl w:val="E81058BE"/>
    <w:lvl w:ilvl="0">
      <w:start w:val="3"/>
      <w:numFmt w:val="decimal"/>
      <w:lvlText w:val="%1."/>
      <w:lvlJc w:val="left"/>
      <w:pPr>
        <w:tabs>
          <w:tab w:val="num" w:pos="360"/>
        </w:tabs>
        <w:ind w:left="360" w:hanging="360"/>
      </w:pPr>
      <w:rPr>
        <w:rFonts w:cs="Times New Roman" w:hint="default"/>
      </w:rPr>
    </w:lvl>
    <w:lvl w:ilvl="1">
      <w:start w:val="8"/>
      <w:numFmt w:val="decimal"/>
      <w:lvlText w:val="%1.%2."/>
      <w:lvlJc w:val="left"/>
      <w:pPr>
        <w:tabs>
          <w:tab w:val="num" w:pos="900"/>
        </w:tabs>
        <w:ind w:left="900" w:hanging="36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21">
    <w:nsid w:val="299C0FAF"/>
    <w:multiLevelType w:val="multilevel"/>
    <w:tmpl w:val="670258C0"/>
    <w:lvl w:ilvl="0">
      <w:start w:val="1"/>
      <w:numFmt w:val="decimal"/>
      <w:lvlText w:val="%1."/>
      <w:lvlJc w:val="left"/>
      <w:pPr>
        <w:tabs>
          <w:tab w:val="num" w:pos="720"/>
        </w:tabs>
        <w:ind w:left="720" w:hanging="360"/>
      </w:pPr>
      <w:rPr>
        <w:rFonts w:cs="Times New Roman" w:hint="default"/>
        <w:color w:val="auto"/>
      </w:rPr>
    </w:lvl>
    <w:lvl w:ilvl="1">
      <w:start w:val="9"/>
      <w:numFmt w:val="decimal"/>
      <w:isLgl/>
      <w:lvlText w:val="%1.%2."/>
      <w:lvlJc w:val="left"/>
      <w:pPr>
        <w:tabs>
          <w:tab w:val="num" w:pos="960"/>
        </w:tabs>
        <w:ind w:left="96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2">
    <w:nsid w:val="366C0984"/>
    <w:multiLevelType w:val="multilevel"/>
    <w:tmpl w:val="6376163A"/>
    <w:lvl w:ilvl="0">
      <w:start w:val="3"/>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80"/>
        </w:tabs>
        <w:ind w:left="780" w:hanging="420"/>
      </w:pPr>
      <w:rPr>
        <w:rFonts w:cs="Times New Roman" w:hint="default"/>
        <w:b/>
      </w:rPr>
    </w:lvl>
    <w:lvl w:ilvl="2">
      <w:start w:val="1"/>
      <w:numFmt w:val="decimal"/>
      <w:isLgl/>
      <w:lvlText w:val="%1.%2.%3."/>
      <w:lvlJc w:val="left"/>
      <w:pPr>
        <w:tabs>
          <w:tab w:val="num" w:pos="1080"/>
        </w:tabs>
        <w:ind w:left="1080" w:hanging="720"/>
      </w:pPr>
      <w:rPr>
        <w:rFonts w:cs="Times New Roman" w:hint="default"/>
        <w:b/>
      </w:rPr>
    </w:lvl>
    <w:lvl w:ilvl="3">
      <w:start w:val="1"/>
      <w:numFmt w:val="decimal"/>
      <w:isLgl/>
      <w:lvlText w:val="%1.%2.%3.%4."/>
      <w:lvlJc w:val="left"/>
      <w:pPr>
        <w:tabs>
          <w:tab w:val="num" w:pos="1080"/>
        </w:tabs>
        <w:ind w:left="1080" w:hanging="720"/>
      </w:pPr>
      <w:rPr>
        <w:rFonts w:cs="Times New Roman" w:hint="default"/>
        <w:b/>
      </w:rPr>
    </w:lvl>
    <w:lvl w:ilvl="4">
      <w:start w:val="1"/>
      <w:numFmt w:val="decimal"/>
      <w:isLgl/>
      <w:lvlText w:val="%1.%2.%3.%4.%5."/>
      <w:lvlJc w:val="left"/>
      <w:pPr>
        <w:tabs>
          <w:tab w:val="num" w:pos="1440"/>
        </w:tabs>
        <w:ind w:left="1440" w:hanging="1080"/>
      </w:pPr>
      <w:rPr>
        <w:rFonts w:cs="Times New Roman" w:hint="default"/>
        <w:b/>
      </w:rPr>
    </w:lvl>
    <w:lvl w:ilvl="5">
      <w:start w:val="1"/>
      <w:numFmt w:val="decimal"/>
      <w:isLgl/>
      <w:lvlText w:val="%1.%2.%3.%4.%5.%6."/>
      <w:lvlJc w:val="left"/>
      <w:pPr>
        <w:tabs>
          <w:tab w:val="num" w:pos="1440"/>
        </w:tabs>
        <w:ind w:left="1440" w:hanging="1080"/>
      </w:pPr>
      <w:rPr>
        <w:rFonts w:cs="Times New Roman" w:hint="default"/>
        <w:b/>
      </w:rPr>
    </w:lvl>
    <w:lvl w:ilvl="6">
      <w:start w:val="1"/>
      <w:numFmt w:val="decimal"/>
      <w:isLgl/>
      <w:lvlText w:val="%1.%2.%3.%4.%5.%6.%7."/>
      <w:lvlJc w:val="left"/>
      <w:pPr>
        <w:tabs>
          <w:tab w:val="num" w:pos="1800"/>
        </w:tabs>
        <w:ind w:left="1800" w:hanging="1440"/>
      </w:pPr>
      <w:rPr>
        <w:rFonts w:cs="Times New Roman" w:hint="default"/>
        <w:b/>
      </w:rPr>
    </w:lvl>
    <w:lvl w:ilvl="7">
      <w:start w:val="1"/>
      <w:numFmt w:val="decimal"/>
      <w:isLgl/>
      <w:lvlText w:val="%1.%2.%3.%4.%5.%6.%7.%8."/>
      <w:lvlJc w:val="left"/>
      <w:pPr>
        <w:tabs>
          <w:tab w:val="num" w:pos="1800"/>
        </w:tabs>
        <w:ind w:left="1800" w:hanging="1440"/>
      </w:pPr>
      <w:rPr>
        <w:rFonts w:cs="Times New Roman" w:hint="default"/>
        <w:b/>
      </w:rPr>
    </w:lvl>
    <w:lvl w:ilvl="8">
      <w:start w:val="1"/>
      <w:numFmt w:val="decimal"/>
      <w:isLgl/>
      <w:lvlText w:val="%1.%2.%3.%4.%5.%6.%7.%8.%9."/>
      <w:lvlJc w:val="left"/>
      <w:pPr>
        <w:tabs>
          <w:tab w:val="num" w:pos="2160"/>
        </w:tabs>
        <w:ind w:left="2160" w:hanging="1800"/>
      </w:pPr>
      <w:rPr>
        <w:rFonts w:cs="Times New Roman" w:hint="default"/>
        <w:b/>
      </w:rPr>
    </w:lvl>
  </w:abstractNum>
  <w:abstractNum w:abstractNumId="23">
    <w:nsid w:val="4C05143A"/>
    <w:multiLevelType w:val="multilevel"/>
    <w:tmpl w:val="5F363978"/>
    <w:lvl w:ilvl="0">
      <w:start w:val="3"/>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900"/>
        </w:tabs>
        <w:ind w:left="900" w:hanging="360"/>
      </w:pPr>
      <w:rPr>
        <w:rFonts w:cs="Times New Roman" w:hint="default"/>
        <w:b/>
      </w:rPr>
    </w:lvl>
    <w:lvl w:ilvl="2">
      <w:start w:val="1"/>
      <w:numFmt w:val="decimal"/>
      <w:lvlText w:val="%1.%2.%3."/>
      <w:lvlJc w:val="left"/>
      <w:pPr>
        <w:tabs>
          <w:tab w:val="num" w:pos="1800"/>
        </w:tabs>
        <w:ind w:left="1800" w:hanging="720"/>
      </w:pPr>
      <w:rPr>
        <w:rFonts w:cs="Times New Roman" w:hint="default"/>
        <w:b/>
      </w:rPr>
    </w:lvl>
    <w:lvl w:ilvl="3">
      <w:start w:val="1"/>
      <w:numFmt w:val="decimal"/>
      <w:lvlText w:val="%1.%2.%3.%4."/>
      <w:lvlJc w:val="left"/>
      <w:pPr>
        <w:tabs>
          <w:tab w:val="num" w:pos="2340"/>
        </w:tabs>
        <w:ind w:left="2340" w:hanging="720"/>
      </w:pPr>
      <w:rPr>
        <w:rFonts w:cs="Times New Roman" w:hint="default"/>
        <w:b/>
      </w:rPr>
    </w:lvl>
    <w:lvl w:ilvl="4">
      <w:start w:val="1"/>
      <w:numFmt w:val="decimal"/>
      <w:lvlText w:val="%1.%2.%3.%4.%5."/>
      <w:lvlJc w:val="left"/>
      <w:pPr>
        <w:tabs>
          <w:tab w:val="num" w:pos="3240"/>
        </w:tabs>
        <w:ind w:left="3240" w:hanging="1080"/>
      </w:pPr>
      <w:rPr>
        <w:rFonts w:cs="Times New Roman" w:hint="default"/>
        <w:b/>
      </w:rPr>
    </w:lvl>
    <w:lvl w:ilvl="5">
      <w:start w:val="1"/>
      <w:numFmt w:val="decimal"/>
      <w:lvlText w:val="%1.%2.%3.%4.%5.%6."/>
      <w:lvlJc w:val="left"/>
      <w:pPr>
        <w:tabs>
          <w:tab w:val="num" w:pos="3780"/>
        </w:tabs>
        <w:ind w:left="3780" w:hanging="1080"/>
      </w:pPr>
      <w:rPr>
        <w:rFonts w:cs="Times New Roman" w:hint="default"/>
        <w:b/>
      </w:rPr>
    </w:lvl>
    <w:lvl w:ilvl="6">
      <w:start w:val="1"/>
      <w:numFmt w:val="decimal"/>
      <w:lvlText w:val="%1.%2.%3.%4.%5.%6.%7."/>
      <w:lvlJc w:val="left"/>
      <w:pPr>
        <w:tabs>
          <w:tab w:val="num" w:pos="4680"/>
        </w:tabs>
        <w:ind w:left="4680" w:hanging="1440"/>
      </w:pPr>
      <w:rPr>
        <w:rFonts w:cs="Times New Roman" w:hint="default"/>
        <w:b/>
      </w:rPr>
    </w:lvl>
    <w:lvl w:ilvl="7">
      <w:start w:val="1"/>
      <w:numFmt w:val="decimal"/>
      <w:lvlText w:val="%1.%2.%3.%4.%5.%6.%7.%8."/>
      <w:lvlJc w:val="left"/>
      <w:pPr>
        <w:tabs>
          <w:tab w:val="num" w:pos="5220"/>
        </w:tabs>
        <w:ind w:left="5220" w:hanging="1440"/>
      </w:pPr>
      <w:rPr>
        <w:rFonts w:cs="Times New Roman" w:hint="default"/>
        <w:b/>
      </w:rPr>
    </w:lvl>
    <w:lvl w:ilvl="8">
      <w:start w:val="1"/>
      <w:numFmt w:val="decimal"/>
      <w:lvlText w:val="%1.%2.%3.%4.%5.%6.%7.%8.%9."/>
      <w:lvlJc w:val="left"/>
      <w:pPr>
        <w:tabs>
          <w:tab w:val="num" w:pos="6120"/>
        </w:tabs>
        <w:ind w:left="6120" w:hanging="1800"/>
      </w:pPr>
      <w:rPr>
        <w:rFonts w:cs="Times New Roman" w:hint="default"/>
        <w:b/>
      </w:rPr>
    </w:lvl>
  </w:abstractNum>
  <w:abstractNum w:abstractNumId="24">
    <w:nsid w:val="50F920F8"/>
    <w:multiLevelType w:val="multilevel"/>
    <w:tmpl w:val="E81058BE"/>
    <w:lvl w:ilvl="0">
      <w:start w:val="3"/>
      <w:numFmt w:val="decimal"/>
      <w:lvlText w:val="%1."/>
      <w:lvlJc w:val="left"/>
      <w:pPr>
        <w:tabs>
          <w:tab w:val="num" w:pos="360"/>
        </w:tabs>
        <w:ind w:left="360" w:hanging="360"/>
      </w:pPr>
      <w:rPr>
        <w:rFonts w:cs="Times New Roman" w:hint="default"/>
      </w:rPr>
    </w:lvl>
    <w:lvl w:ilvl="1">
      <w:start w:val="8"/>
      <w:numFmt w:val="decimal"/>
      <w:lvlText w:val="%1.%2."/>
      <w:lvlJc w:val="left"/>
      <w:pPr>
        <w:tabs>
          <w:tab w:val="num" w:pos="900"/>
        </w:tabs>
        <w:ind w:left="900" w:hanging="36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25">
    <w:nsid w:val="528C0717"/>
    <w:multiLevelType w:val="hybridMultilevel"/>
    <w:tmpl w:val="57DC29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7E662BF"/>
    <w:multiLevelType w:val="hybridMultilevel"/>
    <w:tmpl w:val="BA886A52"/>
    <w:lvl w:ilvl="0" w:tplc="57B8A9B2">
      <w:start w:val="2"/>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7E9430F"/>
    <w:multiLevelType w:val="hybridMultilevel"/>
    <w:tmpl w:val="201088D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5EFD512A"/>
    <w:multiLevelType w:val="multilevel"/>
    <w:tmpl w:val="E098DFAE"/>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nsid w:val="6A6F70FB"/>
    <w:multiLevelType w:val="multilevel"/>
    <w:tmpl w:val="A0FA1826"/>
    <w:lvl w:ilvl="0">
      <w:start w:val="1"/>
      <w:numFmt w:val="decimal"/>
      <w:lvlText w:val="%1."/>
      <w:lvlJc w:val="left"/>
      <w:pPr>
        <w:ind w:left="720" w:hanging="360"/>
      </w:pPr>
      <w:rPr>
        <w:rFonts w:cs="Times New Roman" w:hint="default"/>
      </w:rPr>
    </w:lvl>
    <w:lvl w:ilvl="1">
      <w:start w:val="8"/>
      <w:numFmt w:val="decimal"/>
      <w:isLgl/>
      <w:lvlText w:val="%1.%2."/>
      <w:lvlJc w:val="left"/>
      <w:pPr>
        <w:tabs>
          <w:tab w:val="num" w:pos="960"/>
        </w:tabs>
        <w:ind w:left="960" w:hanging="360"/>
      </w:pPr>
      <w:rPr>
        <w:rFonts w:cs="Times New Roman" w:hint="default"/>
      </w:rPr>
    </w:lvl>
    <w:lvl w:ilvl="2">
      <w:start w:val="1"/>
      <w:numFmt w:val="decimal"/>
      <w:isLgl/>
      <w:lvlText w:val="%1.%2.%3."/>
      <w:lvlJc w:val="left"/>
      <w:pPr>
        <w:tabs>
          <w:tab w:val="num" w:pos="1560"/>
        </w:tabs>
        <w:ind w:left="156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400"/>
        </w:tabs>
        <w:ind w:left="2400" w:hanging="1080"/>
      </w:pPr>
      <w:rPr>
        <w:rFonts w:cs="Times New Roman" w:hint="default"/>
      </w:rPr>
    </w:lvl>
    <w:lvl w:ilvl="5">
      <w:start w:val="1"/>
      <w:numFmt w:val="decimal"/>
      <w:isLgl/>
      <w:lvlText w:val="%1.%2.%3.%4.%5.%6."/>
      <w:lvlJc w:val="left"/>
      <w:pPr>
        <w:tabs>
          <w:tab w:val="num" w:pos="2640"/>
        </w:tabs>
        <w:ind w:left="2640" w:hanging="1080"/>
      </w:pPr>
      <w:rPr>
        <w:rFonts w:cs="Times New Roman" w:hint="default"/>
      </w:rPr>
    </w:lvl>
    <w:lvl w:ilvl="6">
      <w:start w:val="1"/>
      <w:numFmt w:val="decimal"/>
      <w:isLgl/>
      <w:lvlText w:val="%1.%2.%3.%4.%5.%6.%7."/>
      <w:lvlJc w:val="left"/>
      <w:pPr>
        <w:tabs>
          <w:tab w:val="num" w:pos="3240"/>
        </w:tabs>
        <w:ind w:left="3240" w:hanging="1440"/>
      </w:pPr>
      <w:rPr>
        <w:rFonts w:cs="Times New Roman" w:hint="default"/>
      </w:rPr>
    </w:lvl>
    <w:lvl w:ilvl="7">
      <w:start w:val="1"/>
      <w:numFmt w:val="decimal"/>
      <w:isLgl/>
      <w:lvlText w:val="%1.%2.%3.%4.%5.%6.%7.%8."/>
      <w:lvlJc w:val="left"/>
      <w:pPr>
        <w:tabs>
          <w:tab w:val="num" w:pos="3480"/>
        </w:tabs>
        <w:ind w:left="3480" w:hanging="1440"/>
      </w:pPr>
      <w:rPr>
        <w:rFonts w:cs="Times New Roman" w:hint="default"/>
      </w:rPr>
    </w:lvl>
    <w:lvl w:ilvl="8">
      <w:start w:val="1"/>
      <w:numFmt w:val="decimal"/>
      <w:isLgl/>
      <w:lvlText w:val="%1.%2.%3.%4.%5.%6.%7.%8.%9."/>
      <w:lvlJc w:val="left"/>
      <w:pPr>
        <w:tabs>
          <w:tab w:val="num" w:pos="4080"/>
        </w:tabs>
        <w:ind w:left="4080" w:hanging="1800"/>
      </w:pPr>
      <w:rPr>
        <w:rFonts w:cs="Times New Roman" w:hint="default"/>
      </w:rPr>
    </w:lvl>
  </w:abstractNum>
  <w:abstractNum w:abstractNumId="30">
    <w:nsid w:val="6EBD2309"/>
    <w:multiLevelType w:val="hybridMultilevel"/>
    <w:tmpl w:val="F33C0BC4"/>
    <w:lvl w:ilvl="0" w:tplc="0409000F">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72CD6391"/>
    <w:multiLevelType w:val="hybridMultilevel"/>
    <w:tmpl w:val="0A5A79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8"/>
  </w:num>
  <w:num w:numId="3">
    <w:abstractNumId w:val="14"/>
  </w:num>
  <w:num w:numId="4">
    <w:abstractNumId w:val="21"/>
  </w:num>
  <w:num w:numId="5">
    <w:abstractNumId w:val="25"/>
  </w:num>
  <w:num w:numId="6">
    <w:abstractNumId w:val="19"/>
  </w:num>
  <w:num w:numId="7">
    <w:abstractNumId w:val="15"/>
  </w:num>
  <w:num w:numId="8">
    <w:abstractNumId w:val="10"/>
  </w:num>
  <w:num w:numId="9">
    <w:abstractNumId w:val="27"/>
  </w:num>
  <w:num w:numId="10">
    <w:abstractNumId w:val="22"/>
  </w:num>
  <w:num w:numId="11">
    <w:abstractNumId w:val="29"/>
  </w:num>
  <w:num w:numId="12">
    <w:abstractNumId w:val="24"/>
  </w:num>
  <w:num w:numId="13">
    <w:abstractNumId w:val="11"/>
  </w:num>
  <w:num w:numId="14">
    <w:abstractNumId w:val="30"/>
  </w:num>
  <w:num w:numId="15">
    <w:abstractNumId w:val="20"/>
  </w:num>
  <w:num w:numId="16">
    <w:abstractNumId w:val="23"/>
  </w:num>
  <w:num w:numId="17">
    <w:abstractNumId w:val="28"/>
  </w:num>
  <w:num w:numId="18">
    <w:abstractNumId w:val="12"/>
  </w:num>
  <w:num w:numId="19">
    <w:abstractNumId w:val="26"/>
  </w:num>
  <w:num w:numId="20">
    <w:abstractNumId w:val="13"/>
  </w:num>
  <w:num w:numId="21">
    <w:abstractNumId w:val="31"/>
  </w:num>
  <w:num w:numId="22">
    <w:abstractNumId w:val="17"/>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C5F05"/>
    <w:rsid w:val="0000106B"/>
    <w:rsid w:val="000017E5"/>
    <w:rsid w:val="00002D22"/>
    <w:rsid w:val="00006E69"/>
    <w:rsid w:val="0001128A"/>
    <w:rsid w:val="00011BF8"/>
    <w:rsid w:val="00013832"/>
    <w:rsid w:val="000140A3"/>
    <w:rsid w:val="0002181F"/>
    <w:rsid w:val="000221CA"/>
    <w:rsid w:val="000223E6"/>
    <w:rsid w:val="00023AD1"/>
    <w:rsid w:val="000247FF"/>
    <w:rsid w:val="00024D88"/>
    <w:rsid w:val="000318C7"/>
    <w:rsid w:val="000339F9"/>
    <w:rsid w:val="000355EB"/>
    <w:rsid w:val="000366B6"/>
    <w:rsid w:val="000372A0"/>
    <w:rsid w:val="0003744A"/>
    <w:rsid w:val="00037923"/>
    <w:rsid w:val="000403B6"/>
    <w:rsid w:val="0004241A"/>
    <w:rsid w:val="00043EF1"/>
    <w:rsid w:val="0004424A"/>
    <w:rsid w:val="00045C38"/>
    <w:rsid w:val="00046E4E"/>
    <w:rsid w:val="0004731B"/>
    <w:rsid w:val="000474EC"/>
    <w:rsid w:val="0005123F"/>
    <w:rsid w:val="00053332"/>
    <w:rsid w:val="0005428E"/>
    <w:rsid w:val="00054871"/>
    <w:rsid w:val="0005499F"/>
    <w:rsid w:val="00054AC0"/>
    <w:rsid w:val="00055245"/>
    <w:rsid w:val="00055305"/>
    <w:rsid w:val="0005607E"/>
    <w:rsid w:val="00056F47"/>
    <w:rsid w:val="000605BA"/>
    <w:rsid w:val="00060F2B"/>
    <w:rsid w:val="000658FA"/>
    <w:rsid w:val="00067830"/>
    <w:rsid w:val="00067E1D"/>
    <w:rsid w:val="0007040E"/>
    <w:rsid w:val="0007124F"/>
    <w:rsid w:val="000715CA"/>
    <w:rsid w:val="000718D6"/>
    <w:rsid w:val="00084BB6"/>
    <w:rsid w:val="00087317"/>
    <w:rsid w:val="00087EF4"/>
    <w:rsid w:val="0009083D"/>
    <w:rsid w:val="00091789"/>
    <w:rsid w:val="00091C90"/>
    <w:rsid w:val="00093D03"/>
    <w:rsid w:val="0009576E"/>
    <w:rsid w:val="000958B3"/>
    <w:rsid w:val="000A0580"/>
    <w:rsid w:val="000A6C29"/>
    <w:rsid w:val="000A7257"/>
    <w:rsid w:val="000A74B8"/>
    <w:rsid w:val="000B0EEC"/>
    <w:rsid w:val="000B45F2"/>
    <w:rsid w:val="000B5780"/>
    <w:rsid w:val="000B5CDE"/>
    <w:rsid w:val="000B60A2"/>
    <w:rsid w:val="000B62BD"/>
    <w:rsid w:val="000B68BB"/>
    <w:rsid w:val="000C35EF"/>
    <w:rsid w:val="000E0752"/>
    <w:rsid w:val="000E36D8"/>
    <w:rsid w:val="000E667C"/>
    <w:rsid w:val="000F0E85"/>
    <w:rsid w:val="000F1AD4"/>
    <w:rsid w:val="000F28AA"/>
    <w:rsid w:val="000F5BF4"/>
    <w:rsid w:val="000F6AD4"/>
    <w:rsid w:val="000F71F3"/>
    <w:rsid w:val="00100498"/>
    <w:rsid w:val="0010110C"/>
    <w:rsid w:val="00105104"/>
    <w:rsid w:val="0010599C"/>
    <w:rsid w:val="00105A5B"/>
    <w:rsid w:val="00106172"/>
    <w:rsid w:val="00106496"/>
    <w:rsid w:val="00110E77"/>
    <w:rsid w:val="00111C01"/>
    <w:rsid w:val="00115233"/>
    <w:rsid w:val="00115975"/>
    <w:rsid w:val="00117E00"/>
    <w:rsid w:val="00120403"/>
    <w:rsid w:val="001206AF"/>
    <w:rsid w:val="00125094"/>
    <w:rsid w:val="00125B75"/>
    <w:rsid w:val="001276E5"/>
    <w:rsid w:val="0012779D"/>
    <w:rsid w:val="00131459"/>
    <w:rsid w:val="00132730"/>
    <w:rsid w:val="00133384"/>
    <w:rsid w:val="001379B0"/>
    <w:rsid w:val="00144719"/>
    <w:rsid w:val="0014557E"/>
    <w:rsid w:val="001459ED"/>
    <w:rsid w:val="00147901"/>
    <w:rsid w:val="00147C46"/>
    <w:rsid w:val="00147CE1"/>
    <w:rsid w:val="00153D29"/>
    <w:rsid w:val="001543B3"/>
    <w:rsid w:val="0015507D"/>
    <w:rsid w:val="00157B4D"/>
    <w:rsid w:val="00160D4B"/>
    <w:rsid w:val="00160DA0"/>
    <w:rsid w:val="0016101E"/>
    <w:rsid w:val="0016184D"/>
    <w:rsid w:val="0016225E"/>
    <w:rsid w:val="001658EB"/>
    <w:rsid w:val="001702A7"/>
    <w:rsid w:val="00170401"/>
    <w:rsid w:val="00170E0E"/>
    <w:rsid w:val="00171236"/>
    <w:rsid w:val="00172143"/>
    <w:rsid w:val="00173C5A"/>
    <w:rsid w:val="0017799B"/>
    <w:rsid w:val="00181F12"/>
    <w:rsid w:val="00183507"/>
    <w:rsid w:val="001836D8"/>
    <w:rsid w:val="00185C21"/>
    <w:rsid w:val="00186082"/>
    <w:rsid w:val="001878A3"/>
    <w:rsid w:val="00192548"/>
    <w:rsid w:val="00194227"/>
    <w:rsid w:val="00194AA9"/>
    <w:rsid w:val="00196401"/>
    <w:rsid w:val="001A0DE3"/>
    <w:rsid w:val="001A1FB6"/>
    <w:rsid w:val="001A4A35"/>
    <w:rsid w:val="001A58EB"/>
    <w:rsid w:val="001A6DE7"/>
    <w:rsid w:val="001A7651"/>
    <w:rsid w:val="001A777F"/>
    <w:rsid w:val="001B1BEC"/>
    <w:rsid w:val="001B2A5E"/>
    <w:rsid w:val="001B4FAC"/>
    <w:rsid w:val="001C2050"/>
    <w:rsid w:val="001C22B0"/>
    <w:rsid w:val="001C3C25"/>
    <w:rsid w:val="001C4A39"/>
    <w:rsid w:val="001C6206"/>
    <w:rsid w:val="001C6ADD"/>
    <w:rsid w:val="001C7E02"/>
    <w:rsid w:val="001D31C9"/>
    <w:rsid w:val="001D547B"/>
    <w:rsid w:val="001D7162"/>
    <w:rsid w:val="001E0A17"/>
    <w:rsid w:val="001E1D64"/>
    <w:rsid w:val="001E1DC2"/>
    <w:rsid w:val="001E3525"/>
    <w:rsid w:val="001E4169"/>
    <w:rsid w:val="001E4D61"/>
    <w:rsid w:val="001E57A7"/>
    <w:rsid w:val="001F1320"/>
    <w:rsid w:val="001F4218"/>
    <w:rsid w:val="001F5A6C"/>
    <w:rsid w:val="001F63B5"/>
    <w:rsid w:val="001F686F"/>
    <w:rsid w:val="002021D7"/>
    <w:rsid w:val="00204F3C"/>
    <w:rsid w:val="00210497"/>
    <w:rsid w:val="00214FE0"/>
    <w:rsid w:val="00217FC4"/>
    <w:rsid w:val="00220AA9"/>
    <w:rsid w:val="00223C00"/>
    <w:rsid w:val="00230A87"/>
    <w:rsid w:val="00233F72"/>
    <w:rsid w:val="00234752"/>
    <w:rsid w:val="00234B8B"/>
    <w:rsid w:val="002379CE"/>
    <w:rsid w:val="00237B7A"/>
    <w:rsid w:val="00237D25"/>
    <w:rsid w:val="002416D9"/>
    <w:rsid w:val="00247507"/>
    <w:rsid w:val="00251A3A"/>
    <w:rsid w:val="00261036"/>
    <w:rsid w:val="00262C3F"/>
    <w:rsid w:val="00264C8B"/>
    <w:rsid w:val="00265400"/>
    <w:rsid w:val="00265629"/>
    <w:rsid w:val="00265F78"/>
    <w:rsid w:val="00267267"/>
    <w:rsid w:val="00270785"/>
    <w:rsid w:val="00271B18"/>
    <w:rsid w:val="002730F7"/>
    <w:rsid w:val="00274F2E"/>
    <w:rsid w:val="002757E9"/>
    <w:rsid w:val="0027693B"/>
    <w:rsid w:val="00277C64"/>
    <w:rsid w:val="00281011"/>
    <w:rsid w:val="00282AE6"/>
    <w:rsid w:val="002836DA"/>
    <w:rsid w:val="002867BA"/>
    <w:rsid w:val="0029041A"/>
    <w:rsid w:val="00293F59"/>
    <w:rsid w:val="0029540E"/>
    <w:rsid w:val="00296DD3"/>
    <w:rsid w:val="002A0AF3"/>
    <w:rsid w:val="002A21F4"/>
    <w:rsid w:val="002A6299"/>
    <w:rsid w:val="002A6828"/>
    <w:rsid w:val="002A7E64"/>
    <w:rsid w:val="002B4255"/>
    <w:rsid w:val="002B6011"/>
    <w:rsid w:val="002B64BD"/>
    <w:rsid w:val="002C22FD"/>
    <w:rsid w:val="002C2642"/>
    <w:rsid w:val="002C2FBC"/>
    <w:rsid w:val="002C6A77"/>
    <w:rsid w:val="002C756F"/>
    <w:rsid w:val="002D1858"/>
    <w:rsid w:val="002D3C27"/>
    <w:rsid w:val="002D5209"/>
    <w:rsid w:val="002D5282"/>
    <w:rsid w:val="002D6E97"/>
    <w:rsid w:val="002E157B"/>
    <w:rsid w:val="002E3B04"/>
    <w:rsid w:val="002E6DD4"/>
    <w:rsid w:val="00301CC3"/>
    <w:rsid w:val="00305A30"/>
    <w:rsid w:val="003115A1"/>
    <w:rsid w:val="00311D42"/>
    <w:rsid w:val="0031267D"/>
    <w:rsid w:val="00313382"/>
    <w:rsid w:val="0031515C"/>
    <w:rsid w:val="0032279D"/>
    <w:rsid w:val="003229A7"/>
    <w:rsid w:val="00324E79"/>
    <w:rsid w:val="00326CBC"/>
    <w:rsid w:val="0033315A"/>
    <w:rsid w:val="00335243"/>
    <w:rsid w:val="003376BF"/>
    <w:rsid w:val="00337FAF"/>
    <w:rsid w:val="0034118B"/>
    <w:rsid w:val="00344620"/>
    <w:rsid w:val="00345628"/>
    <w:rsid w:val="00345D48"/>
    <w:rsid w:val="00345DDE"/>
    <w:rsid w:val="003460E8"/>
    <w:rsid w:val="00354611"/>
    <w:rsid w:val="00354850"/>
    <w:rsid w:val="003550F3"/>
    <w:rsid w:val="00355773"/>
    <w:rsid w:val="00362331"/>
    <w:rsid w:val="00363022"/>
    <w:rsid w:val="00366D4F"/>
    <w:rsid w:val="00366E6A"/>
    <w:rsid w:val="003711C1"/>
    <w:rsid w:val="003712A0"/>
    <w:rsid w:val="00371B71"/>
    <w:rsid w:val="00374AC6"/>
    <w:rsid w:val="00375A6D"/>
    <w:rsid w:val="0038206A"/>
    <w:rsid w:val="00383638"/>
    <w:rsid w:val="00393292"/>
    <w:rsid w:val="00394CB3"/>
    <w:rsid w:val="00394DCA"/>
    <w:rsid w:val="00395C55"/>
    <w:rsid w:val="00397C8B"/>
    <w:rsid w:val="003A09AA"/>
    <w:rsid w:val="003A1FEF"/>
    <w:rsid w:val="003A4C7C"/>
    <w:rsid w:val="003A50F4"/>
    <w:rsid w:val="003A65ED"/>
    <w:rsid w:val="003A75C5"/>
    <w:rsid w:val="003B4E39"/>
    <w:rsid w:val="003B77BE"/>
    <w:rsid w:val="003C242C"/>
    <w:rsid w:val="003C2C88"/>
    <w:rsid w:val="003C35DA"/>
    <w:rsid w:val="003C5F5A"/>
    <w:rsid w:val="003C5FBD"/>
    <w:rsid w:val="003C6076"/>
    <w:rsid w:val="003C7A2D"/>
    <w:rsid w:val="003D1496"/>
    <w:rsid w:val="003D2F88"/>
    <w:rsid w:val="003D4252"/>
    <w:rsid w:val="003D5407"/>
    <w:rsid w:val="003E1F32"/>
    <w:rsid w:val="003E4313"/>
    <w:rsid w:val="003F131F"/>
    <w:rsid w:val="003F3ABF"/>
    <w:rsid w:val="003F4B6F"/>
    <w:rsid w:val="003F5365"/>
    <w:rsid w:val="00401D10"/>
    <w:rsid w:val="00401FB0"/>
    <w:rsid w:val="00402071"/>
    <w:rsid w:val="004066EE"/>
    <w:rsid w:val="00411565"/>
    <w:rsid w:val="00415CFE"/>
    <w:rsid w:val="00417EBC"/>
    <w:rsid w:val="004216A5"/>
    <w:rsid w:val="00421CF8"/>
    <w:rsid w:val="0042375D"/>
    <w:rsid w:val="00425127"/>
    <w:rsid w:val="004256B4"/>
    <w:rsid w:val="00426AF7"/>
    <w:rsid w:val="00433D10"/>
    <w:rsid w:val="004451CD"/>
    <w:rsid w:val="004467E8"/>
    <w:rsid w:val="00446C39"/>
    <w:rsid w:val="00447780"/>
    <w:rsid w:val="00447CA7"/>
    <w:rsid w:val="00451850"/>
    <w:rsid w:val="00452CBB"/>
    <w:rsid w:val="00453D2F"/>
    <w:rsid w:val="00454236"/>
    <w:rsid w:val="00454761"/>
    <w:rsid w:val="00454A3E"/>
    <w:rsid w:val="00455FF1"/>
    <w:rsid w:val="004565CC"/>
    <w:rsid w:val="00457560"/>
    <w:rsid w:val="00462E25"/>
    <w:rsid w:val="00464FB7"/>
    <w:rsid w:val="0047070E"/>
    <w:rsid w:val="00472FEB"/>
    <w:rsid w:val="00473768"/>
    <w:rsid w:val="004748C1"/>
    <w:rsid w:val="00474FB5"/>
    <w:rsid w:val="00480E66"/>
    <w:rsid w:val="0048207D"/>
    <w:rsid w:val="00482CD3"/>
    <w:rsid w:val="00483A93"/>
    <w:rsid w:val="00484758"/>
    <w:rsid w:val="004851BE"/>
    <w:rsid w:val="00486CFD"/>
    <w:rsid w:val="0048755E"/>
    <w:rsid w:val="00490D6D"/>
    <w:rsid w:val="004922B9"/>
    <w:rsid w:val="004931D1"/>
    <w:rsid w:val="00494820"/>
    <w:rsid w:val="00497C14"/>
    <w:rsid w:val="004A0F38"/>
    <w:rsid w:val="004A2AE6"/>
    <w:rsid w:val="004A6A8A"/>
    <w:rsid w:val="004B11EF"/>
    <w:rsid w:val="004B6020"/>
    <w:rsid w:val="004C3B8D"/>
    <w:rsid w:val="004C3C4A"/>
    <w:rsid w:val="004C676A"/>
    <w:rsid w:val="004D018E"/>
    <w:rsid w:val="004D22A8"/>
    <w:rsid w:val="004D36AE"/>
    <w:rsid w:val="004E10D0"/>
    <w:rsid w:val="004E2D8A"/>
    <w:rsid w:val="004E35CD"/>
    <w:rsid w:val="004E39D9"/>
    <w:rsid w:val="004E59A2"/>
    <w:rsid w:val="004E6D23"/>
    <w:rsid w:val="004E7EA7"/>
    <w:rsid w:val="004F3716"/>
    <w:rsid w:val="004F6143"/>
    <w:rsid w:val="004F7A55"/>
    <w:rsid w:val="0050045E"/>
    <w:rsid w:val="00502960"/>
    <w:rsid w:val="0050321C"/>
    <w:rsid w:val="00503489"/>
    <w:rsid w:val="00503B84"/>
    <w:rsid w:val="00505FA6"/>
    <w:rsid w:val="005065F2"/>
    <w:rsid w:val="00510E1E"/>
    <w:rsid w:val="005113EE"/>
    <w:rsid w:val="00511FC0"/>
    <w:rsid w:val="00512804"/>
    <w:rsid w:val="005132D7"/>
    <w:rsid w:val="005142C8"/>
    <w:rsid w:val="005145B4"/>
    <w:rsid w:val="005168BF"/>
    <w:rsid w:val="005178C0"/>
    <w:rsid w:val="00524218"/>
    <w:rsid w:val="005364EF"/>
    <w:rsid w:val="00540B63"/>
    <w:rsid w:val="005443CC"/>
    <w:rsid w:val="0054622E"/>
    <w:rsid w:val="00546B4B"/>
    <w:rsid w:val="00553962"/>
    <w:rsid w:val="00555D08"/>
    <w:rsid w:val="00556454"/>
    <w:rsid w:val="00557EE4"/>
    <w:rsid w:val="0056358D"/>
    <w:rsid w:val="00563C97"/>
    <w:rsid w:val="0056481B"/>
    <w:rsid w:val="00564C44"/>
    <w:rsid w:val="00570AD1"/>
    <w:rsid w:val="00571100"/>
    <w:rsid w:val="0057201E"/>
    <w:rsid w:val="005731FB"/>
    <w:rsid w:val="00574582"/>
    <w:rsid w:val="00575343"/>
    <w:rsid w:val="00575BE7"/>
    <w:rsid w:val="0057685A"/>
    <w:rsid w:val="00583077"/>
    <w:rsid w:val="0058349D"/>
    <w:rsid w:val="00583899"/>
    <w:rsid w:val="0058500A"/>
    <w:rsid w:val="005859E9"/>
    <w:rsid w:val="00587890"/>
    <w:rsid w:val="00590EAF"/>
    <w:rsid w:val="00591191"/>
    <w:rsid w:val="00593651"/>
    <w:rsid w:val="005975EA"/>
    <w:rsid w:val="005A0A70"/>
    <w:rsid w:val="005A324A"/>
    <w:rsid w:val="005A72DF"/>
    <w:rsid w:val="005B0A80"/>
    <w:rsid w:val="005B1CD0"/>
    <w:rsid w:val="005B1D4D"/>
    <w:rsid w:val="005B3E9C"/>
    <w:rsid w:val="005B47E1"/>
    <w:rsid w:val="005B5113"/>
    <w:rsid w:val="005C1A6F"/>
    <w:rsid w:val="005C32ED"/>
    <w:rsid w:val="005C53BD"/>
    <w:rsid w:val="005C5669"/>
    <w:rsid w:val="005C6C6F"/>
    <w:rsid w:val="005D1C2B"/>
    <w:rsid w:val="005D3F3B"/>
    <w:rsid w:val="005D449D"/>
    <w:rsid w:val="005D6AC7"/>
    <w:rsid w:val="005D7B9C"/>
    <w:rsid w:val="005E02E1"/>
    <w:rsid w:val="005E6205"/>
    <w:rsid w:val="005E643A"/>
    <w:rsid w:val="005E6575"/>
    <w:rsid w:val="005E6691"/>
    <w:rsid w:val="005F0B75"/>
    <w:rsid w:val="005F1D5B"/>
    <w:rsid w:val="005F2B55"/>
    <w:rsid w:val="005F69AD"/>
    <w:rsid w:val="005F77AB"/>
    <w:rsid w:val="00602B01"/>
    <w:rsid w:val="006047E5"/>
    <w:rsid w:val="00604F30"/>
    <w:rsid w:val="006124E7"/>
    <w:rsid w:val="0061428A"/>
    <w:rsid w:val="00614A47"/>
    <w:rsid w:val="00614F23"/>
    <w:rsid w:val="00615290"/>
    <w:rsid w:val="006158D4"/>
    <w:rsid w:val="00616E8D"/>
    <w:rsid w:val="00617110"/>
    <w:rsid w:val="006173A0"/>
    <w:rsid w:val="00624FBB"/>
    <w:rsid w:val="006341E2"/>
    <w:rsid w:val="00635B0B"/>
    <w:rsid w:val="006365CA"/>
    <w:rsid w:val="00637527"/>
    <w:rsid w:val="006377EB"/>
    <w:rsid w:val="00641E87"/>
    <w:rsid w:val="00643796"/>
    <w:rsid w:val="0065101E"/>
    <w:rsid w:val="0065147B"/>
    <w:rsid w:val="006515B8"/>
    <w:rsid w:val="006546CE"/>
    <w:rsid w:val="006547BC"/>
    <w:rsid w:val="00654910"/>
    <w:rsid w:val="0065495D"/>
    <w:rsid w:val="0065639A"/>
    <w:rsid w:val="006615EB"/>
    <w:rsid w:val="00665E48"/>
    <w:rsid w:val="00670FF4"/>
    <w:rsid w:val="00672E47"/>
    <w:rsid w:val="00672FBB"/>
    <w:rsid w:val="006737ED"/>
    <w:rsid w:val="00676D80"/>
    <w:rsid w:val="00677693"/>
    <w:rsid w:val="00682193"/>
    <w:rsid w:val="006826BC"/>
    <w:rsid w:val="006844D5"/>
    <w:rsid w:val="00687CEA"/>
    <w:rsid w:val="006901FC"/>
    <w:rsid w:val="006907A1"/>
    <w:rsid w:val="00690AF7"/>
    <w:rsid w:val="00692000"/>
    <w:rsid w:val="006925DF"/>
    <w:rsid w:val="00693CE7"/>
    <w:rsid w:val="006940F3"/>
    <w:rsid w:val="0069490C"/>
    <w:rsid w:val="006952C0"/>
    <w:rsid w:val="0069698B"/>
    <w:rsid w:val="006B1C17"/>
    <w:rsid w:val="006C00BC"/>
    <w:rsid w:val="006C0522"/>
    <w:rsid w:val="006C46BB"/>
    <w:rsid w:val="006D0AA0"/>
    <w:rsid w:val="006D28D8"/>
    <w:rsid w:val="006D3BAE"/>
    <w:rsid w:val="006D4262"/>
    <w:rsid w:val="006D5D23"/>
    <w:rsid w:val="006D7BF4"/>
    <w:rsid w:val="006E0FB8"/>
    <w:rsid w:val="006E287D"/>
    <w:rsid w:val="006E495A"/>
    <w:rsid w:val="006E56B1"/>
    <w:rsid w:val="006F19DC"/>
    <w:rsid w:val="006F24EC"/>
    <w:rsid w:val="006F56DB"/>
    <w:rsid w:val="006F6C1F"/>
    <w:rsid w:val="00702258"/>
    <w:rsid w:val="00702308"/>
    <w:rsid w:val="00703769"/>
    <w:rsid w:val="00703CC2"/>
    <w:rsid w:val="0070426B"/>
    <w:rsid w:val="00705DBA"/>
    <w:rsid w:val="0071001D"/>
    <w:rsid w:val="00710B8B"/>
    <w:rsid w:val="00711194"/>
    <w:rsid w:val="00711DCE"/>
    <w:rsid w:val="00720E01"/>
    <w:rsid w:val="007233FD"/>
    <w:rsid w:val="00724BF2"/>
    <w:rsid w:val="00726DE4"/>
    <w:rsid w:val="0073121D"/>
    <w:rsid w:val="00733645"/>
    <w:rsid w:val="0073468B"/>
    <w:rsid w:val="00735000"/>
    <w:rsid w:val="00735C7B"/>
    <w:rsid w:val="00737BA0"/>
    <w:rsid w:val="00737D5C"/>
    <w:rsid w:val="0074382B"/>
    <w:rsid w:val="00743EE7"/>
    <w:rsid w:val="007444D0"/>
    <w:rsid w:val="00745EF9"/>
    <w:rsid w:val="0075086B"/>
    <w:rsid w:val="00754C07"/>
    <w:rsid w:val="007650EF"/>
    <w:rsid w:val="00770503"/>
    <w:rsid w:val="007747A3"/>
    <w:rsid w:val="007825C4"/>
    <w:rsid w:val="00782619"/>
    <w:rsid w:val="00784BC2"/>
    <w:rsid w:val="00784C01"/>
    <w:rsid w:val="00790AAC"/>
    <w:rsid w:val="00791BC2"/>
    <w:rsid w:val="00792AB9"/>
    <w:rsid w:val="007951DC"/>
    <w:rsid w:val="00797969"/>
    <w:rsid w:val="007A0EF6"/>
    <w:rsid w:val="007A1725"/>
    <w:rsid w:val="007A20D7"/>
    <w:rsid w:val="007A364A"/>
    <w:rsid w:val="007A3B31"/>
    <w:rsid w:val="007A72BF"/>
    <w:rsid w:val="007A7E1F"/>
    <w:rsid w:val="007B079C"/>
    <w:rsid w:val="007B1C73"/>
    <w:rsid w:val="007B1CDC"/>
    <w:rsid w:val="007B2A5A"/>
    <w:rsid w:val="007B709A"/>
    <w:rsid w:val="007C0E8E"/>
    <w:rsid w:val="007C113C"/>
    <w:rsid w:val="007C382B"/>
    <w:rsid w:val="007C39D6"/>
    <w:rsid w:val="007C60C6"/>
    <w:rsid w:val="007C7A3C"/>
    <w:rsid w:val="007D00DC"/>
    <w:rsid w:val="007D34A4"/>
    <w:rsid w:val="007D3AAB"/>
    <w:rsid w:val="007D6394"/>
    <w:rsid w:val="007E047C"/>
    <w:rsid w:val="007E29D3"/>
    <w:rsid w:val="007E760C"/>
    <w:rsid w:val="007F002A"/>
    <w:rsid w:val="007F2441"/>
    <w:rsid w:val="007F278C"/>
    <w:rsid w:val="007F4EA7"/>
    <w:rsid w:val="008025B8"/>
    <w:rsid w:val="00803B93"/>
    <w:rsid w:val="00806704"/>
    <w:rsid w:val="00806A99"/>
    <w:rsid w:val="00807F48"/>
    <w:rsid w:val="00814DF9"/>
    <w:rsid w:val="00815B18"/>
    <w:rsid w:val="00823E14"/>
    <w:rsid w:val="00824A24"/>
    <w:rsid w:val="00831C52"/>
    <w:rsid w:val="00832E4F"/>
    <w:rsid w:val="00836413"/>
    <w:rsid w:val="00837046"/>
    <w:rsid w:val="00842319"/>
    <w:rsid w:val="00843C7E"/>
    <w:rsid w:val="00845717"/>
    <w:rsid w:val="0084682C"/>
    <w:rsid w:val="00850635"/>
    <w:rsid w:val="00850B76"/>
    <w:rsid w:val="00851DBC"/>
    <w:rsid w:val="0085268E"/>
    <w:rsid w:val="00853590"/>
    <w:rsid w:val="00854642"/>
    <w:rsid w:val="008562B0"/>
    <w:rsid w:val="00857C2C"/>
    <w:rsid w:val="00860A92"/>
    <w:rsid w:val="008611F0"/>
    <w:rsid w:val="00866086"/>
    <w:rsid w:val="0086642D"/>
    <w:rsid w:val="0086727A"/>
    <w:rsid w:val="00870670"/>
    <w:rsid w:val="00871750"/>
    <w:rsid w:val="0087270A"/>
    <w:rsid w:val="00872FE6"/>
    <w:rsid w:val="0087392D"/>
    <w:rsid w:val="00873B53"/>
    <w:rsid w:val="00875316"/>
    <w:rsid w:val="008754E5"/>
    <w:rsid w:val="00875617"/>
    <w:rsid w:val="008775F8"/>
    <w:rsid w:val="008801ED"/>
    <w:rsid w:val="00882C2E"/>
    <w:rsid w:val="0088353B"/>
    <w:rsid w:val="00883AD1"/>
    <w:rsid w:val="00885633"/>
    <w:rsid w:val="0088695C"/>
    <w:rsid w:val="00892A68"/>
    <w:rsid w:val="00897091"/>
    <w:rsid w:val="008A0B3C"/>
    <w:rsid w:val="008A3794"/>
    <w:rsid w:val="008A40A4"/>
    <w:rsid w:val="008A64B3"/>
    <w:rsid w:val="008B1114"/>
    <w:rsid w:val="008B2288"/>
    <w:rsid w:val="008B23D1"/>
    <w:rsid w:val="008C2AD8"/>
    <w:rsid w:val="008C35F3"/>
    <w:rsid w:val="008C5308"/>
    <w:rsid w:val="008D0860"/>
    <w:rsid w:val="008D1243"/>
    <w:rsid w:val="008F16BD"/>
    <w:rsid w:val="008F27A7"/>
    <w:rsid w:val="008F289D"/>
    <w:rsid w:val="008F29E2"/>
    <w:rsid w:val="008F598A"/>
    <w:rsid w:val="008F6B05"/>
    <w:rsid w:val="0090021D"/>
    <w:rsid w:val="00904EC6"/>
    <w:rsid w:val="00906AF4"/>
    <w:rsid w:val="00906EF1"/>
    <w:rsid w:val="0091360C"/>
    <w:rsid w:val="009148EF"/>
    <w:rsid w:val="00915951"/>
    <w:rsid w:val="00915C20"/>
    <w:rsid w:val="00916572"/>
    <w:rsid w:val="00917BFA"/>
    <w:rsid w:val="00922517"/>
    <w:rsid w:val="009230D2"/>
    <w:rsid w:val="009252D8"/>
    <w:rsid w:val="00931531"/>
    <w:rsid w:val="009322D9"/>
    <w:rsid w:val="00935431"/>
    <w:rsid w:val="00940011"/>
    <w:rsid w:val="009417FD"/>
    <w:rsid w:val="009432FE"/>
    <w:rsid w:val="009439AD"/>
    <w:rsid w:val="00943A65"/>
    <w:rsid w:val="0094676C"/>
    <w:rsid w:val="00947299"/>
    <w:rsid w:val="00950E8C"/>
    <w:rsid w:val="0095423B"/>
    <w:rsid w:val="00955C94"/>
    <w:rsid w:val="00956835"/>
    <w:rsid w:val="009603A1"/>
    <w:rsid w:val="00960487"/>
    <w:rsid w:val="009609D6"/>
    <w:rsid w:val="009706A6"/>
    <w:rsid w:val="00971F36"/>
    <w:rsid w:val="0097220C"/>
    <w:rsid w:val="00975FD3"/>
    <w:rsid w:val="00977968"/>
    <w:rsid w:val="00983442"/>
    <w:rsid w:val="00984A6B"/>
    <w:rsid w:val="0098684E"/>
    <w:rsid w:val="0098763E"/>
    <w:rsid w:val="00992A11"/>
    <w:rsid w:val="009934CE"/>
    <w:rsid w:val="009A108F"/>
    <w:rsid w:val="009A406A"/>
    <w:rsid w:val="009A46EC"/>
    <w:rsid w:val="009A7245"/>
    <w:rsid w:val="009B089B"/>
    <w:rsid w:val="009B3B9F"/>
    <w:rsid w:val="009B3E52"/>
    <w:rsid w:val="009B464E"/>
    <w:rsid w:val="009C0A34"/>
    <w:rsid w:val="009C44A1"/>
    <w:rsid w:val="009D1AAB"/>
    <w:rsid w:val="009D3D63"/>
    <w:rsid w:val="009D3DDB"/>
    <w:rsid w:val="009D687B"/>
    <w:rsid w:val="009D7545"/>
    <w:rsid w:val="009E04B7"/>
    <w:rsid w:val="009E3803"/>
    <w:rsid w:val="009E454F"/>
    <w:rsid w:val="009E7BB9"/>
    <w:rsid w:val="009F044E"/>
    <w:rsid w:val="009F0E71"/>
    <w:rsid w:val="009F36D5"/>
    <w:rsid w:val="009F632A"/>
    <w:rsid w:val="00A00316"/>
    <w:rsid w:val="00A01A6E"/>
    <w:rsid w:val="00A02FE5"/>
    <w:rsid w:val="00A046B8"/>
    <w:rsid w:val="00A10AAE"/>
    <w:rsid w:val="00A10DFA"/>
    <w:rsid w:val="00A11B8D"/>
    <w:rsid w:val="00A17F7B"/>
    <w:rsid w:val="00A241FE"/>
    <w:rsid w:val="00A2477A"/>
    <w:rsid w:val="00A2531F"/>
    <w:rsid w:val="00A333AF"/>
    <w:rsid w:val="00A34D28"/>
    <w:rsid w:val="00A35EC2"/>
    <w:rsid w:val="00A366BB"/>
    <w:rsid w:val="00A37DAF"/>
    <w:rsid w:val="00A4117F"/>
    <w:rsid w:val="00A413CA"/>
    <w:rsid w:val="00A42143"/>
    <w:rsid w:val="00A42985"/>
    <w:rsid w:val="00A434C7"/>
    <w:rsid w:val="00A4440D"/>
    <w:rsid w:val="00A4452F"/>
    <w:rsid w:val="00A46398"/>
    <w:rsid w:val="00A46412"/>
    <w:rsid w:val="00A46DC6"/>
    <w:rsid w:val="00A47F6C"/>
    <w:rsid w:val="00A5344C"/>
    <w:rsid w:val="00A54A1D"/>
    <w:rsid w:val="00A659E4"/>
    <w:rsid w:val="00A66462"/>
    <w:rsid w:val="00A71632"/>
    <w:rsid w:val="00A726B4"/>
    <w:rsid w:val="00A744F4"/>
    <w:rsid w:val="00A811FD"/>
    <w:rsid w:val="00A87058"/>
    <w:rsid w:val="00A874AB"/>
    <w:rsid w:val="00A87A40"/>
    <w:rsid w:val="00A92EA3"/>
    <w:rsid w:val="00A934BD"/>
    <w:rsid w:val="00A93F19"/>
    <w:rsid w:val="00AA0DE1"/>
    <w:rsid w:val="00AA1F23"/>
    <w:rsid w:val="00AA2585"/>
    <w:rsid w:val="00AA38CE"/>
    <w:rsid w:val="00AA6A01"/>
    <w:rsid w:val="00AB2532"/>
    <w:rsid w:val="00AB495C"/>
    <w:rsid w:val="00AB7B3B"/>
    <w:rsid w:val="00AC035F"/>
    <w:rsid w:val="00AC34EA"/>
    <w:rsid w:val="00AC39D7"/>
    <w:rsid w:val="00AC3B14"/>
    <w:rsid w:val="00AC47FA"/>
    <w:rsid w:val="00AC5F05"/>
    <w:rsid w:val="00AD31D5"/>
    <w:rsid w:val="00AD35B1"/>
    <w:rsid w:val="00AD585B"/>
    <w:rsid w:val="00AD5E23"/>
    <w:rsid w:val="00AD6D60"/>
    <w:rsid w:val="00AE2C06"/>
    <w:rsid w:val="00AE3452"/>
    <w:rsid w:val="00AE5D2B"/>
    <w:rsid w:val="00AF0DFC"/>
    <w:rsid w:val="00B027D3"/>
    <w:rsid w:val="00B03ED5"/>
    <w:rsid w:val="00B04560"/>
    <w:rsid w:val="00B04A00"/>
    <w:rsid w:val="00B05900"/>
    <w:rsid w:val="00B06192"/>
    <w:rsid w:val="00B071FE"/>
    <w:rsid w:val="00B11D40"/>
    <w:rsid w:val="00B126AD"/>
    <w:rsid w:val="00B1385D"/>
    <w:rsid w:val="00B16021"/>
    <w:rsid w:val="00B178B8"/>
    <w:rsid w:val="00B216CF"/>
    <w:rsid w:val="00B22371"/>
    <w:rsid w:val="00B22874"/>
    <w:rsid w:val="00B23C61"/>
    <w:rsid w:val="00B23D23"/>
    <w:rsid w:val="00B27148"/>
    <w:rsid w:val="00B27FDC"/>
    <w:rsid w:val="00B30AD3"/>
    <w:rsid w:val="00B3124D"/>
    <w:rsid w:val="00B34B91"/>
    <w:rsid w:val="00B36642"/>
    <w:rsid w:val="00B4088C"/>
    <w:rsid w:val="00B429C9"/>
    <w:rsid w:val="00B43B3C"/>
    <w:rsid w:val="00B43E70"/>
    <w:rsid w:val="00B4592C"/>
    <w:rsid w:val="00B4799C"/>
    <w:rsid w:val="00B54185"/>
    <w:rsid w:val="00B56441"/>
    <w:rsid w:val="00B564BC"/>
    <w:rsid w:val="00B57A66"/>
    <w:rsid w:val="00B635DE"/>
    <w:rsid w:val="00B64A2A"/>
    <w:rsid w:val="00B66844"/>
    <w:rsid w:val="00B72109"/>
    <w:rsid w:val="00B72802"/>
    <w:rsid w:val="00B72D00"/>
    <w:rsid w:val="00B7360D"/>
    <w:rsid w:val="00B746FB"/>
    <w:rsid w:val="00B75F4A"/>
    <w:rsid w:val="00B769FF"/>
    <w:rsid w:val="00B778C2"/>
    <w:rsid w:val="00B77F9F"/>
    <w:rsid w:val="00B84A66"/>
    <w:rsid w:val="00B90889"/>
    <w:rsid w:val="00B9624E"/>
    <w:rsid w:val="00BA44DA"/>
    <w:rsid w:val="00BA4F1C"/>
    <w:rsid w:val="00BA7342"/>
    <w:rsid w:val="00BA7C56"/>
    <w:rsid w:val="00BB0573"/>
    <w:rsid w:val="00BB2487"/>
    <w:rsid w:val="00BB373D"/>
    <w:rsid w:val="00BB51C1"/>
    <w:rsid w:val="00BB5CFD"/>
    <w:rsid w:val="00BB6A3A"/>
    <w:rsid w:val="00BB6ED9"/>
    <w:rsid w:val="00BC5440"/>
    <w:rsid w:val="00BC558E"/>
    <w:rsid w:val="00BC6532"/>
    <w:rsid w:val="00BC6D12"/>
    <w:rsid w:val="00BC785A"/>
    <w:rsid w:val="00BD00F4"/>
    <w:rsid w:val="00BD223A"/>
    <w:rsid w:val="00BD2F60"/>
    <w:rsid w:val="00BD7A47"/>
    <w:rsid w:val="00BE0453"/>
    <w:rsid w:val="00BE2FC0"/>
    <w:rsid w:val="00BE37BF"/>
    <w:rsid w:val="00BE39E1"/>
    <w:rsid w:val="00BE3C07"/>
    <w:rsid w:val="00BE3FE4"/>
    <w:rsid w:val="00BE5A9E"/>
    <w:rsid w:val="00BF2EB2"/>
    <w:rsid w:val="00C05C63"/>
    <w:rsid w:val="00C11B2F"/>
    <w:rsid w:val="00C127A2"/>
    <w:rsid w:val="00C1467E"/>
    <w:rsid w:val="00C15868"/>
    <w:rsid w:val="00C16D46"/>
    <w:rsid w:val="00C17564"/>
    <w:rsid w:val="00C2202D"/>
    <w:rsid w:val="00C22CCC"/>
    <w:rsid w:val="00C23AE2"/>
    <w:rsid w:val="00C324E3"/>
    <w:rsid w:val="00C334D1"/>
    <w:rsid w:val="00C33F48"/>
    <w:rsid w:val="00C35235"/>
    <w:rsid w:val="00C3696A"/>
    <w:rsid w:val="00C37F90"/>
    <w:rsid w:val="00C4052A"/>
    <w:rsid w:val="00C41B2E"/>
    <w:rsid w:val="00C45A63"/>
    <w:rsid w:val="00C475D8"/>
    <w:rsid w:val="00C50DF8"/>
    <w:rsid w:val="00C53216"/>
    <w:rsid w:val="00C53237"/>
    <w:rsid w:val="00C55CDA"/>
    <w:rsid w:val="00C57E75"/>
    <w:rsid w:val="00C601CA"/>
    <w:rsid w:val="00C6056B"/>
    <w:rsid w:val="00C66A8F"/>
    <w:rsid w:val="00C71748"/>
    <w:rsid w:val="00C71D01"/>
    <w:rsid w:val="00C7363E"/>
    <w:rsid w:val="00C742B8"/>
    <w:rsid w:val="00C75B1C"/>
    <w:rsid w:val="00C75BD9"/>
    <w:rsid w:val="00C76959"/>
    <w:rsid w:val="00C8106E"/>
    <w:rsid w:val="00C83A36"/>
    <w:rsid w:val="00C849BA"/>
    <w:rsid w:val="00C84E7F"/>
    <w:rsid w:val="00C8574C"/>
    <w:rsid w:val="00C859B7"/>
    <w:rsid w:val="00C9181E"/>
    <w:rsid w:val="00C93ABC"/>
    <w:rsid w:val="00C94BDE"/>
    <w:rsid w:val="00C961E5"/>
    <w:rsid w:val="00CA0CBE"/>
    <w:rsid w:val="00CA0E7F"/>
    <w:rsid w:val="00CA22FB"/>
    <w:rsid w:val="00CA70C1"/>
    <w:rsid w:val="00CA7B06"/>
    <w:rsid w:val="00CB1419"/>
    <w:rsid w:val="00CB2FA0"/>
    <w:rsid w:val="00CC2252"/>
    <w:rsid w:val="00CC3336"/>
    <w:rsid w:val="00CC6CEC"/>
    <w:rsid w:val="00CD4649"/>
    <w:rsid w:val="00CD6078"/>
    <w:rsid w:val="00CD73A0"/>
    <w:rsid w:val="00CE00AD"/>
    <w:rsid w:val="00CE3E06"/>
    <w:rsid w:val="00CE425D"/>
    <w:rsid w:val="00CE5F93"/>
    <w:rsid w:val="00CE6B65"/>
    <w:rsid w:val="00CF039D"/>
    <w:rsid w:val="00CF0A39"/>
    <w:rsid w:val="00CF3565"/>
    <w:rsid w:val="00CF371A"/>
    <w:rsid w:val="00CF3765"/>
    <w:rsid w:val="00CF49CD"/>
    <w:rsid w:val="00CF5CE7"/>
    <w:rsid w:val="00CF7BA7"/>
    <w:rsid w:val="00D06116"/>
    <w:rsid w:val="00D06EA4"/>
    <w:rsid w:val="00D07273"/>
    <w:rsid w:val="00D11F69"/>
    <w:rsid w:val="00D13ADD"/>
    <w:rsid w:val="00D1511B"/>
    <w:rsid w:val="00D15208"/>
    <w:rsid w:val="00D22761"/>
    <w:rsid w:val="00D24C50"/>
    <w:rsid w:val="00D2566B"/>
    <w:rsid w:val="00D2657B"/>
    <w:rsid w:val="00D27CF7"/>
    <w:rsid w:val="00D318FB"/>
    <w:rsid w:val="00D32EA7"/>
    <w:rsid w:val="00D361E3"/>
    <w:rsid w:val="00D37C03"/>
    <w:rsid w:val="00D40132"/>
    <w:rsid w:val="00D40852"/>
    <w:rsid w:val="00D41ECB"/>
    <w:rsid w:val="00D432AA"/>
    <w:rsid w:val="00D445F0"/>
    <w:rsid w:val="00D547B8"/>
    <w:rsid w:val="00D55178"/>
    <w:rsid w:val="00D61B4A"/>
    <w:rsid w:val="00D66ABC"/>
    <w:rsid w:val="00D724FB"/>
    <w:rsid w:val="00D733A0"/>
    <w:rsid w:val="00D75AFB"/>
    <w:rsid w:val="00D76520"/>
    <w:rsid w:val="00D772B5"/>
    <w:rsid w:val="00D8230D"/>
    <w:rsid w:val="00D83D4C"/>
    <w:rsid w:val="00D85ED7"/>
    <w:rsid w:val="00D9373A"/>
    <w:rsid w:val="00D95A76"/>
    <w:rsid w:val="00D95ED3"/>
    <w:rsid w:val="00DA0C40"/>
    <w:rsid w:val="00DA4068"/>
    <w:rsid w:val="00DA728D"/>
    <w:rsid w:val="00DB040F"/>
    <w:rsid w:val="00DB1203"/>
    <w:rsid w:val="00DB1DA2"/>
    <w:rsid w:val="00DB3991"/>
    <w:rsid w:val="00DC0EE9"/>
    <w:rsid w:val="00DC3AB6"/>
    <w:rsid w:val="00DC677B"/>
    <w:rsid w:val="00DD1A91"/>
    <w:rsid w:val="00DD27B7"/>
    <w:rsid w:val="00DD48E6"/>
    <w:rsid w:val="00DD6381"/>
    <w:rsid w:val="00DD6A2F"/>
    <w:rsid w:val="00DE14DF"/>
    <w:rsid w:val="00DE245C"/>
    <w:rsid w:val="00DE5906"/>
    <w:rsid w:val="00DE64A8"/>
    <w:rsid w:val="00DE6504"/>
    <w:rsid w:val="00DF1865"/>
    <w:rsid w:val="00DF4EBC"/>
    <w:rsid w:val="00DF5E5E"/>
    <w:rsid w:val="00E002FA"/>
    <w:rsid w:val="00E015D8"/>
    <w:rsid w:val="00E01712"/>
    <w:rsid w:val="00E02591"/>
    <w:rsid w:val="00E0307C"/>
    <w:rsid w:val="00E038B3"/>
    <w:rsid w:val="00E06E78"/>
    <w:rsid w:val="00E1078B"/>
    <w:rsid w:val="00E129B5"/>
    <w:rsid w:val="00E14D09"/>
    <w:rsid w:val="00E15AD7"/>
    <w:rsid w:val="00E15F51"/>
    <w:rsid w:val="00E16FAF"/>
    <w:rsid w:val="00E17A0B"/>
    <w:rsid w:val="00E17D88"/>
    <w:rsid w:val="00E21473"/>
    <w:rsid w:val="00E21DA9"/>
    <w:rsid w:val="00E254A6"/>
    <w:rsid w:val="00E25A74"/>
    <w:rsid w:val="00E2650C"/>
    <w:rsid w:val="00E26B91"/>
    <w:rsid w:val="00E310A9"/>
    <w:rsid w:val="00E32386"/>
    <w:rsid w:val="00E3292D"/>
    <w:rsid w:val="00E332F6"/>
    <w:rsid w:val="00E4281B"/>
    <w:rsid w:val="00E4774A"/>
    <w:rsid w:val="00E507BD"/>
    <w:rsid w:val="00E50FDA"/>
    <w:rsid w:val="00E52BFF"/>
    <w:rsid w:val="00E52CDB"/>
    <w:rsid w:val="00E53514"/>
    <w:rsid w:val="00E56303"/>
    <w:rsid w:val="00E565F9"/>
    <w:rsid w:val="00E576C1"/>
    <w:rsid w:val="00E61F20"/>
    <w:rsid w:val="00E62F7B"/>
    <w:rsid w:val="00E6569B"/>
    <w:rsid w:val="00E672F5"/>
    <w:rsid w:val="00E769F2"/>
    <w:rsid w:val="00E77E3C"/>
    <w:rsid w:val="00E80EC7"/>
    <w:rsid w:val="00E811F9"/>
    <w:rsid w:val="00E81FB3"/>
    <w:rsid w:val="00E82266"/>
    <w:rsid w:val="00E84ED0"/>
    <w:rsid w:val="00E8633F"/>
    <w:rsid w:val="00E9099A"/>
    <w:rsid w:val="00E90F21"/>
    <w:rsid w:val="00E9102C"/>
    <w:rsid w:val="00E91283"/>
    <w:rsid w:val="00E917A3"/>
    <w:rsid w:val="00E9302D"/>
    <w:rsid w:val="00E94157"/>
    <w:rsid w:val="00EA2634"/>
    <w:rsid w:val="00EA3ABE"/>
    <w:rsid w:val="00EA5A23"/>
    <w:rsid w:val="00EA5AFB"/>
    <w:rsid w:val="00EA610F"/>
    <w:rsid w:val="00EB0649"/>
    <w:rsid w:val="00EB11E7"/>
    <w:rsid w:val="00EB27B4"/>
    <w:rsid w:val="00EB5056"/>
    <w:rsid w:val="00EB691B"/>
    <w:rsid w:val="00EB694E"/>
    <w:rsid w:val="00EB7332"/>
    <w:rsid w:val="00EB77B3"/>
    <w:rsid w:val="00EC1493"/>
    <w:rsid w:val="00EC37AC"/>
    <w:rsid w:val="00EC3D19"/>
    <w:rsid w:val="00EC3FCD"/>
    <w:rsid w:val="00EC3FF2"/>
    <w:rsid w:val="00EC45C3"/>
    <w:rsid w:val="00EC58D6"/>
    <w:rsid w:val="00ED13EE"/>
    <w:rsid w:val="00ED2D38"/>
    <w:rsid w:val="00ED5315"/>
    <w:rsid w:val="00ED7A96"/>
    <w:rsid w:val="00EE134F"/>
    <w:rsid w:val="00EE13EE"/>
    <w:rsid w:val="00EE1C89"/>
    <w:rsid w:val="00EE2E5F"/>
    <w:rsid w:val="00EE4DB3"/>
    <w:rsid w:val="00EE6080"/>
    <w:rsid w:val="00EE6CB7"/>
    <w:rsid w:val="00EE7307"/>
    <w:rsid w:val="00EE7F7D"/>
    <w:rsid w:val="00EF2E5F"/>
    <w:rsid w:val="00EF426B"/>
    <w:rsid w:val="00EF621D"/>
    <w:rsid w:val="00F01565"/>
    <w:rsid w:val="00F04C5F"/>
    <w:rsid w:val="00F064FF"/>
    <w:rsid w:val="00F06723"/>
    <w:rsid w:val="00F06D35"/>
    <w:rsid w:val="00F07E14"/>
    <w:rsid w:val="00F10806"/>
    <w:rsid w:val="00F16410"/>
    <w:rsid w:val="00F16F5A"/>
    <w:rsid w:val="00F20E5B"/>
    <w:rsid w:val="00F218C4"/>
    <w:rsid w:val="00F21A1D"/>
    <w:rsid w:val="00F2349D"/>
    <w:rsid w:val="00F26FE1"/>
    <w:rsid w:val="00F27D74"/>
    <w:rsid w:val="00F34575"/>
    <w:rsid w:val="00F34B5E"/>
    <w:rsid w:val="00F34C6B"/>
    <w:rsid w:val="00F37868"/>
    <w:rsid w:val="00F37CA1"/>
    <w:rsid w:val="00F4012C"/>
    <w:rsid w:val="00F43513"/>
    <w:rsid w:val="00F438AD"/>
    <w:rsid w:val="00F443A9"/>
    <w:rsid w:val="00F45BE4"/>
    <w:rsid w:val="00F45DB0"/>
    <w:rsid w:val="00F51CFE"/>
    <w:rsid w:val="00F521AC"/>
    <w:rsid w:val="00F54B1E"/>
    <w:rsid w:val="00F555ED"/>
    <w:rsid w:val="00F61C3B"/>
    <w:rsid w:val="00F64BC4"/>
    <w:rsid w:val="00F6657B"/>
    <w:rsid w:val="00F70E20"/>
    <w:rsid w:val="00F71F04"/>
    <w:rsid w:val="00F7335F"/>
    <w:rsid w:val="00F740F1"/>
    <w:rsid w:val="00F7509A"/>
    <w:rsid w:val="00F76422"/>
    <w:rsid w:val="00F801FD"/>
    <w:rsid w:val="00F8312B"/>
    <w:rsid w:val="00F84B12"/>
    <w:rsid w:val="00F85208"/>
    <w:rsid w:val="00F8622A"/>
    <w:rsid w:val="00F87046"/>
    <w:rsid w:val="00F95F52"/>
    <w:rsid w:val="00FA04AA"/>
    <w:rsid w:val="00FA3737"/>
    <w:rsid w:val="00FA63C8"/>
    <w:rsid w:val="00FA6B6D"/>
    <w:rsid w:val="00FB3CE0"/>
    <w:rsid w:val="00FB539E"/>
    <w:rsid w:val="00FB5B89"/>
    <w:rsid w:val="00FB7FAA"/>
    <w:rsid w:val="00FC004A"/>
    <w:rsid w:val="00FC716B"/>
    <w:rsid w:val="00FC7251"/>
    <w:rsid w:val="00FD50B9"/>
    <w:rsid w:val="00FD67CD"/>
    <w:rsid w:val="00FD7D18"/>
    <w:rsid w:val="00FE3F6C"/>
    <w:rsid w:val="00FE5064"/>
    <w:rsid w:val="00FE6C2C"/>
    <w:rsid w:val="00FF026D"/>
    <w:rsid w:val="00FF1F62"/>
    <w:rsid w:val="00FF4696"/>
    <w:rsid w:val="00FF57F0"/>
    <w:rsid w:val="00FF76B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0F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AC5F05"/>
    <w:pPr>
      <w:jc w:val="both"/>
    </w:pPr>
    <w:rPr>
      <w:rFonts w:ascii="Arial" w:hAnsi="Arial"/>
    </w:rPr>
  </w:style>
  <w:style w:type="character" w:customStyle="1" w:styleId="BodyTextChar">
    <w:name w:val="Body Text Char"/>
    <w:basedOn w:val="DefaultParagraphFont"/>
    <w:link w:val="BodyText"/>
    <w:uiPriority w:val="99"/>
    <w:locked/>
    <w:rsid w:val="00AC5F05"/>
    <w:rPr>
      <w:rFonts w:ascii="Arial" w:hAnsi="Arial" w:cs="Times New Roman"/>
      <w:sz w:val="24"/>
      <w:szCs w:val="24"/>
    </w:rPr>
  </w:style>
  <w:style w:type="paragraph" w:styleId="BalloonText">
    <w:name w:val="Balloon Text"/>
    <w:basedOn w:val="Normal"/>
    <w:link w:val="BalloonTextChar"/>
    <w:uiPriority w:val="99"/>
    <w:semiHidden/>
    <w:rsid w:val="00AC5F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C5F05"/>
    <w:rPr>
      <w:rFonts w:ascii="Tahoma" w:hAnsi="Tahoma" w:cs="Tahoma"/>
      <w:sz w:val="16"/>
      <w:szCs w:val="16"/>
    </w:rPr>
  </w:style>
  <w:style w:type="paragraph" w:styleId="Revision">
    <w:name w:val="Revision"/>
    <w:hidden/>
    <w:uiPriority w:val="99"/>
    <w:semiHidden/>
    <w:rsid w:val="0086727A"/>
    <w:rPr>
      <w:rFonts w:ascii="Times New Roman" w:eastAsia="Times New Roman" w:hAnsi="Times New Roman"/>
      <w:sz w:val="24"/>
      <w:szCs w:val="24"/>
    </w:rPr>
  </w:style>
  <w:style w:type="paragraph" w:customStyle="1" w:styleId="CharCharChar">
    <w:name w:val="Char Char Char"/>
    <w:basedOn w:val="Normal"/>
    <w:uiPriority w:val="99"/>
    <w:rsid w:val="0057201E"/>
    <w:pPr>
      <w:spacing w:after="160" w:line="240" w:lineRule="exact"/>
    </w:pPr>
    <w:rPr>
      <w:rFonts w:ascii="Tahoma" w:eastAsia="MS Mincho" w:hAnsi="Tahoma"/>
      <w:sz w:val="20"/>
      <w:szCs w:val="20"/>
    </w:rPr>
  </w:style>
  <w:style w:type="paragraph" w:styleId="Header">
    <w:name w:val="header"/>
    <w:basedOn w:val="Normal"/>
    <w:link w:val="HeaderChar"/>
    <w:uiPriority w:val="99"/>
    <w:semiHidden/>
    <w:rsid w:val="00F54B1E"/>
    <w:pPr>
      <w:tabs>
        <w:tab w:val="center" w:pos="4680"/>
        <w:tab w:val="right" w:pos="9360"/>
      </w:tabs>
    </w:pPr>
  </w:style>
  <w:style w:type="character" w:customStyle="1" w:styleId="HeaderChar">
    <w:name w:val="Header Char"/>
    <w:basedOn w:val="DefaultParagraphFont"/>
    <w:link w:val="Header"/>
    <w:uiPriority w:val="99"/>
    <w:semiHidden/>
    <w:locked/>
    <w:rsid w:val="00F54B1E"/>
    <w:rPr>
      <w:rFonts w:ascii="Times New Roman" w:hAnsi="Times New Roman" w:cs="Times New Roman"/>
      <w:sz w:val="24"/>
      <w:szCs w:val="24"/>
    </w:rPr>
  </w:style>
  <w:style w:type="paragraph" w:styleId="Footer">
    <w:name w:val="footer"/>
    <w:basedOn w:val="Normal"/>
    <w:link w:val="FooterChar"/>
    <w:uiPriority w:val="99"/>
    <w:semiHidden/>
    <w:rsid w:val="00F54B1E"/>
    <w:pPr>
      <w:tabs>
        <w:tab w:val="center" w:pos="4680"/>
        <w:tab w:val="right" w:pos="9360"/>
      </w:tabs>
    </w:pPr>
  </w:style>
  <w:style w:type="character" w:customStyle="1" w:styleId="FooterChar">
    <w:name w:val="Footer Char"/>
    <w:basedOn w:val="DefaultParagraphFont"/>
    <w:link w:val="Footer"/>
    <w:uiPriority w:val="99"/>
    <w:semiHidden/>
    <w:locked/>
    <w:rsid w:val="00F54B1E"/>
    <w:rPr>
      <w:rFonts w:ascii="Times New Roman" w:hAnsi="Times New Roman" w:cs="Times New Roman"/>
      <w:sz w:val="24"/>
      <w:szCs w:val="24"/>
    </w:rPr>
  </w:style>
  <w:style w:type="paragraph" w:customStyle="1" w:styleId="CharCharChar1">
    <w:name w:val="Char Char Char1"/>
    <w:basedOn w:val="Normal"/>
    <w:uiPriority w:val="99"/>
    <w:rsid w:val="001B1BEC"/>
    <w:pPr>
      <w:spacing w:after="160" w:line="240" w:lineRule="exact"/>
    </w:pPr>
    <w:rPr>
      <w:rFonts w:ascii="Tahoma" w:eastAsia="MS Mincho" w:hAnsi="Tahoma"/>
      <w:sz w:val="20"/>
      <w:szCs w:val="20"/>
    </w:rPr>
  </w:style>
  <w:style w:type="paragraph" w:styleId="BodyText2">
    <w:name w:val="Body Text 2"/>
    <w:basedOn w:val="Normal"/>
    <w:link w:val="BodyText2Char"/>
    <w:uiPriority w:val="99"/>
    <w:rsid w:val="008754E5"/>
    <w:pPr>
      <w:spacing w:after="120" w:line="480" w:lineRule="auto"/>
    </w:pPr>
  </w:style>
  <w:style w:type="character" w:customStyle="1" w:styleId="BodyText2Char">
    <w:name w:val="Body Text 2 Char"/>
    <w:basedOn w:val="DefaultParagraphFont"/>
    <w:link w:val="BodyText2"/>
    <w:uiPriority w:val="99"/>
    <w:semiHidden/>
    <w:locked/>
    <w:rsid w:val="006844D5"/>
    <w:rPr>
      <w:rFonts w:ascii="Times New Roman" w:hAnsi="Times New Roman" w:cs="Times New Roman"/>
      <w:sz w:val="24"/>
      <w:szCs w:val="24"/>
    </w:rPr>
  </w:style>
  <w:style w:type="character" w:styleId="PageNumber">
    <w:name w:val="page number"/>
    <w:basedOn w:val="DefaultParagraphFont"/>
    <w:uiPriority w:val="99"/>
    <w:rsid w:val="00ED7A96"/>
    <w:rPr>
      <w:rFonts w:cs="Times New Roman"/>
    </w:rPr>
  </w:style>
  <w:style w:type="paragraph" w:customStyle="1" w:styleId="CharCharChar2">
    <w:name w:val="Char Char Char2"/>
    <w:basedOn w:val="Normal"/>
    <w:uiPriority w:val="99"/>
    <w:rsid w:val="00D07273"/>
    <w:pPr>
      <w:spacing w:after="160" w:line="240" w:lineRule="exact"/>
    </w:pPr>
    <w:rPr>
      <w:rFonts w:ascii="Tahoma" w:eastAsia="MS Mincho" w:hAnsi="Tahoma"/>
      <w:sz w:val="20"/>
      <w:szCs w:val="20"/>
    </w:rPr>
  </w:style>
  <w:style w:type="paragraph" w:styleId="FootnoteText">
    <w:name w:val="footnote text"/>
    <w:basedOn w:val="Normal"/>
    <w:link w:val="FootnoteTextChar"/>
    <w:uiPriority w:val="99"/>
    <w:semiHidden/>
    <w:rsid w:val="009E454F"/>
    <w:rPr>
      <w:rFonts w:eastAsia="Calibri"/>
      <w:sz w:val="20"/>
      <w:szCs w:val="20"/>
    </w:rPr>
  </w:style>
  <w:style w:type="character" w:customStyle="1" w:styleId="FootnoteTextChar">
    <w:name w:val="Footnote Text Char"/>
    <w:basedOn w:val="DefaultParagraphFont"/>
    <w:link w:val="FootnoteText"/>
    <w:uiPriority w:val="99"/>
    <w:semiHidden/>
    <w:locked/>
    <w:rsid w:val="008C2AD8"/>
    <w:rPr>
      <w:rFonts w:ascii="Times New Roman" w:hAnsi="Times New Roman" w:cs="Times New Roman"/>
      <w:sz w:val="20"/>
      <w:szCs w:val="20"/>
    </w:rPr>
  </w:style>
  <w:style w:type="character" w:styleId="FootnoteReference">
    <w:name w:val="footnote reference"/>
    <w:basedOn w:val="DefaultParagraphFont"/>
    <w:uiPriority w:val="99"/>
    <w:semiHidden/>
    <w:rsid w:val="009E454F"/>
    <w:rPr>
      <w:rFonts w:cs="Times New Roman"/>
      <w:vertAlign w:val="superscript"/>
    </w:rPr>
  </w:style>
  <w:style w:type="paragraph" w:customStyle="1" w:styleId="Default">
    <w:name w:val="Default"/>
    <w:uiPriority w:val="99"/>
    <w:rsid w:val="00883AD1"/>
    <w:pPr>
      <w:autoSpaceDE w:val="0"/>
      <w:autoSpaceDN w:val="0"/>
      <w:adjustRightInd w:val="0"/>
    </w:pPr>
    <w:rPr>
      <w:rFonts w:ascii="Times New Roman" w:eastAsia="Batang" w:hAnsi="Times New Roman"/>
      <w:color w:val="000000"/>
      <w:sz w:val="24"/>
      <w:szCs w:val="24"/>
      <w:lang w:eastAsia="ko-KR"/>
    </w:rPr>
  </w:style>
</w:styles>
</file>

<file path=word/webSettings.xml><?xml version="1.0" encoding="utf-8"?>
<w:webSettings xmlns:r="http://schemas.openxmlformats.org/officeDocument/2006/relationships" xmlns:w="http://schemas.openxmlformats.org/wordprocessingml/2006/main">
  <w:divs>
    <w:div w:id="1307316695">
      <w:marLeft w:val="0"/>
      <w:marRight w:val="0"/>
      <w:marTop w:val="0"/>
      <w:marBottom w:val="0"/>
      <w:divBdr>
        <w:top w:val="none" w:sz="0" w:space="0" w:color="auto"/>
        <w:left w:val="none" w:sz="0" w:space="0" w:color="auto"/>
        <w:bottom w:val="none" w:sz="0" w:space="0" w:color="auto"/>
        <w:right w:val="none" w:sz="0" w:space="0" w:color="auto"/>
      </w:divBdr>
    </w:div>
    <w:div w:id="1307316696">
      <w:marLeft w:val="0"/>
      <w:marRight w:val="0"/>
      <w:marTop w:val="0"/>
      <w:marBottom w:val="0"/>
      <w:divBdr>
        <w:top w:val="none" w:sz="0" w:space="0" w:color="auto"/>
        <w:left w:val="none" w:sz="0" w:space="0" w:color="auto"/>
        <w:bottom w:val="none" w:sz="0" w:space="0" w:color="auto"/>
        <w:right w:val="none" w:sz="0" w:space="0" w:color="auto"/>
      </w:divBdr>
    </w:div>
    <w:div w:id="1307316697">
      <w:marLeft w:val="0"/>
      <w:marRight w:val="0"/>
      <w:marTop w:val="0"/>
      <w:marBottom w:val="0"/>
      <w:divBdr>
        <w:top w:val="none" w:sz="0" w:space="0" w:color="auto"/>
        <w:left w:val="none" w:sz="0" w:space="0" w:color="auto"/>
        <w:bottom w:val="none" w:sz="0" w:space="0" w:color="auto"/>
        <w:right w:val="none" w:sz="0" w:space="0" w:color="auto"/>
      </w:divBdr>
    </w:div>
    <w:div w:id="1307316698">
      <w:marLeft w:val="0"/>
      <w:marRight w:val="0"/>
      <w:marTop w:val="0"/>
      <w:marBottom w:val="0"/>
      <w:divBdr>
        <w:top w:val="none" w:sz="0" w:space="0" w:color="auto"/>
        <w:left w:val="none" w:sz="0" w:space="0" w:color="auto"/>
        <w:bottom w:val="none" w:sz="0" w:space="0" w:color="auto"/>
        <w:right w:val="none" w:sz="0" w:space="0" w:color="auto"/>
      </w:divBdr>
    </w:div>
    <w:div w:id="1307316699">
      <w:marLeft w:val="0"/>
      <w:marRight w:val="0"/>
      <w:marTop w:val="0"/>
      <w:marBottom w:val="0"/>
      <w:divBdr>
        <w:top w:val="none" w:sz="0" w:space="0" w:color="auto"/>
        <w:left w:val="none" w:sz="0" w:space="0" w:color="auto"/>
        <w:bottom w:val="none" w:sz="0" w:space="0" w:color="auto"/>
        <w:right w:val="none" w:sz="0" w:space="0" w:color="auto"/>
      </w:divBdr>
    </w:div>
    <w:div w:id="1307316700">
      <w:marLeft w:val="0"/>
      <w:marRight w:val="0"/>
      <w:marTop w:val="0"/>
      <w:marBottom w:val="0"/>
      <w:divBdr>
        <w:top w:val="none" w:sz="0" w:space="0" w:color="auto"/>
        <w:left w:val="none" w:sz="0" w:space="0" w:color="auto"/>
        <w:bottom w:val="none" w:sz="0" w:space="0" w:color="auto"/>
        <w:right w:val="none" w:sz="0" w:space="0" w:color="auto"/>
      </w:divBdr>
    </w:div>
    <w:div w:id="1307316701">
      <w:marLeft w:val="0"/>
      <w:marRight w:val="0"/>
      <w:marTop w:val="0"/>
      <w:marBottom w:val="0"/>
      <w:divBdr>
        <w:top w:val="none" w:sz="0" w:space="0" w:color="auto"/>
        <w:left w:val="none" w:sz="0" w:space="0" w:color="auto"/>
        <w:bottom w:val="none" w:sz="0" w:space="0" w:color="auto"/>
        <w:right w:val="none" w:sz="0" w:space="0" w:color="auto"/>
      </w:divBdr>
    </w:div>
    <w:div w:id="1307316702">
      <w:marLeft w:val="0"/>
      <w:marRight w:val="0"/>
      <w:marTop w:val="0"/>
      <w:marBottom w:val="0"/>
      <w:divBdr>
        <w:top w:val="none" w:sz="0" w:space="0" w:color="auto"/>
        <w:left w:val="none" w:sz="0" w:space="0" w:color="auto"/>
        <w:bottom w:val="none" w:sz="0" w:space="0" w:color="auto"/>
        <w:right w:val="none" w:sz="0" w:space="0" w:color="auto"/>
      </w:divBdr>
    </w:div>
    <w:div w:id="1307316703">
      <w:marLeft w:val="0"/>
      <w:marRight w:val="0"/>
      <w:marTop w:val="0"/>
      <w:marBottom w:val="0"/>
      <w:divBdr>
        <w:top w:val="none" w:sz="0" w:space="0" w:color="auto"/>
        <w:left w:val="none" w:sz="0" w:space="0" w:color="auto"/>
        <w:bottom w:val="none" w:sz="0" w:space="0" w:color="auto"/>
        <w:right w:val="none" w:sz="0" w:space="0" w:color="auto"/>
      </w:divBdr>
    </w:div>
    <w:div w:id="1307316704">
      <w:marLeft w:val="0"/>
      <w:marRight w:val="0"/>
      <w:marTop w:val="0"/>
      <w:marBottom w:val="0"/>
      <w:divBdr>
        <w:top w:val="none" w:sz="0" w:space="0" w:color="auto"/>
        <w:left w:val="none" w:sz="0" w:space="0" w:color="auto"/>
        <w:bottom w:val="none" w:sz="0" w:space="0" w:color="auto"/>
        <w:right w:val="none" w:sz="0" w:space="0" w:color="auto"/>
      </w:divBdr>
    </w:div>
    <w:div w:id="1307316705">
      <w:marLeft w:val="0"/>
      <w:marRight w:val="0"/>
      <w:marTop w:val="0"/>
      <w:marBottom w:val="0"/>
      <w:divBdr>
        <w:top w:val="none" w:sz="0" w:space="0" w:color="auto"/>
        <w:left w:val="none" w:sz="0" w:space="0" w:color="auto"/>
        <w:bottom w:val="none" w:sz="0" w:space="0" w:color="auto"/>
        <w:right w:val="none" w:sz="0" w:space="0" w:color="auto"/>
      </w:divBdr>
    </w:div>
    <w:div w:id="1307316706">
      <w:marLeft w:val="0"/>
      <w:marRight w:val="0"/>
      <w:marTop w:val="0"/>
      <w:marBottom w:val="0"/>
      <w:divBdr>
        <w:top w:val="none" w:sz="0" w:space="0" w:color="auto"/>
        <w:left w:val="none" w:sz="0" w:space="0" w:color="auto"/>
        <w:bottom w:val="none" w:sz="0" w:space="0" w:color="auto"/>
        <w:right w:val="none" w:sz="0" w:space="0" w:color="auto"/>
      </w:divBdr>
    </w:div>
    <w:div w:id="1307316707">
      <w:marLeft w:val="0"/>
      <w:marRight w:val="0"/>
      <w:marTop w:val="0"/>
      <w:marBottom w:val="0"/>
      <w:divBdr>
        <w:top w:val="none" w:sz="0" w:space="0" w:color="auto"/>
        <w:left w:val="none" w:sz="0" w:space="0" w:color="auto"/>
        <w:bottom w:val="none" w:sz="0" w:space="0" w:color="auto"/>
        <w:right w:val="none" w:sz="0" w:space="0" w:color="auto"/>
      </w:divBdr>
    </w:div>
    <w:div w:id="1307316708">
      <w:marLeft w:val="0"/>
      <w:marRight w:val="0"/>
      <w:marTop w:val="0"/>
      <w:marBottom w:val="0"/>
      <w:divBdr>
        <w:top w:val="none" w:sz="0" w:space="0" w:color="auto"/>
        <w:left w:val="none" w:sz="0" w:space="0" w:color="auto"/>
        <w:bottom w:val="none" w:sz="0" w:space="0" w:color="auto"/>
        <w:right w:val="none" w:sz="0" w:space="0" w:color="auto"/>
      </w:divBdr>
    </w:div>
    <w:div w:id="1307316709">
      <w:marLeft w:val="0"/>
      <w:marRight w:val="0"/>
      <w:marTop w:val="0"/>
      <w:marBottom w:val="0"/>
      <w:divBdr>
        <w:top w:val="none" w:sz="0" w:space="0" w:color="auto"/>
        <w:left w:val="none" w:sz="0" w:space="0" w:color="auto"/>
        <w:bottom w:val="none" w:sz="0" w:space="0" w:color="auto"/>
        <w:right w:val="none" w:sz="0" w:space="0" w:color="auto"/>
      </w:divBdr>
    </w:div>
    <w:div w:id="1307316710">
      <w:marLeft w:val="0"/>
      <w:marRight w:val="0"/>
      <w:marTop w:val="0"/>
      <w:marBottom w:val="0"/>
      <w:divBdr>
        <w:top w:val="none" w:sz="0" w:space="0" w:color="auto"/>
        <w:left w:val="none" w:sz="0" w:space="0" w:color="auto"/>
        <w:bottom w:val="none" w:sz="0" w:space="0" w:color="auto"/>
        <w:right w:val="none" w:sz="0" w:space="0" w:color="auto"/>
      </w:divBdr>
    </w:div>
    <w:div w:id="1307316711">
      <w:marLeft w:val="0"/>
      <w:marRight w:val="0"/>
      <w:marTop w:val="0"/>
      <w:marBottom w:val="0"/>
      <w:divBdr>
        <w:top w:val="none" w:sz="0" w:space="0" w:color="auto"/>
        <w:left w:val="none" w:sz="0" w:space="0" w:color="auto"/>
        <w:bottom w:val="none" w:sz="0" w:space="0" w:color="auto"/>
        <w:right w:val="none" w:sz="0" w:space="0" w:color="auto"/>
      </w:divBdr>
    </w:div>
    <w:div w:id="1307316712">
      <w:marLeft w:val="0"/>
      <w:marRight w:val="0"/>
      <w:marTop w:val="0"/>
      <w:marBottom w:val="0"/>
      <w:divBdr>
        <w:top w:val="none" w:sz="0" w:space="0" w:color="auto"/>
        <w:left w:val="none" w:sz="0" w:space="0" w:color="auto"/>
        <w:bottom w:val="none" w:sz="0" w:space="0" w:color="auto"/>
        <w:right w:val="none" w:sz="0" w:space="0" w:color="auto"/>
      </w:divBdr>
    </w:div>
    <w:div w:id="1307316713">
      <w:marLeft w:val="0"/>
      <w:marRight w:val="0"/>
      <w:marTop w:val="0"/>
      <w:marBottom w:val="0"/>
      <w:divBdr>
        <w:top w:val="none" w:sz="0" w:space="0" w:color="auto"/>
        <w:left w:val="none" w:sz="0" w:space="0" w:color="auto"/>
        <w:bottom w:val="none" w:sz="0" w:space="0" w:color="auto"/>
        <w:right w:val="none" w:sz="0" w:space="0" w:color="auto"/>
      </w:divBdr>
    </w:div>
    <w:div w:id="1307316714">
      <w:marLeft w:val="0"/>
      <w:marRight w:val="0"/>
      <w:marTop w:val="0"/>
      <w:marBottom w:val="0"/>
      <w:divBdr>
        <w:top w:val="none" w:sz="0" w:space="0" w:color="auto"/>
        <w:left w:val="none" w:sz="0" w:space="0" w:color="auto"/>
        <w:bottom w:val="none" w:sz="0" w:space="0" w:color="auto"/>
        <w:right w:val="none" w:sz="0" w:space="0" w:color="auto"/>
      </w:divBdr>
    </w:div>
    <w:div w:id="1307316715">
      <w:marLeft w:val="0"/>
      <w:marRight w:val="0"/>
      <w:marTop w:val="0"/>
      <w:marBottom w:val="0"/>
      <w:divBdr>
        <w:top w:val="none" w:sz="0" w:space="0" w:color="auto"/>
        <w:left w:val="none" w:sz="0" w:space="0" w:color="auto"/>
        <w:bottom w:val="none" w:sz="0" w:space="0" w:color="auto"/>
        <w:right w:val="none" w:sz="0" w:space="0" w:color="auto"/>
      </w:divBdr>
    </w:div>
    <w:div w:id="1307316716">
      <w:marLeft w:val="0"/>
      <w:marRight w:val="0"/>
      <w:marTop w:val="0"/>
      <w:marBottom w:val="0"/>
      <w:divBdr>
        <w:top w:val="none" w:sz="0" w:space="0" w:color="auto"/>
        <w:left w:val="none" w:sz="0" w:space="0" w:color="auto"/>
        <w:bottom w:val="none" w:sz="0" w:space="0" w:color="auto"/>
        <w:right w:val="none" w:sz="0" w:space="0" w:color="auto"/>
      </w:divBdr>
    </w:div>
    <w:div w:id="1307316717">
      <w:marLeft w:val="0"/>
      <w:marRight w:val="0"/>
      <w:marTop w:val="0"/>
      <w:marBottom w:val="0"/>
      <w:divBdr>
        <w:top w:val="none" w:sz="0" w:space="0" w:color="auto"/>
        <w:left w:val="none" w:sz="0" w:space="0" w:color="auto"/>
        <w:bottom w:val="none" w:sz="0" w:space="0" w:color="auto"/>
        <w:right w:val="none" w:sz="0" w:space="0" w:color="auto"/>
      </w:divBdr>
    </w:div>
    <w:div w:id="1307316718">
      <w:marLeft w:val="0"/>
      <w:marRight w:val="0"/>
      <w:marTop w:val="0"/>
      <w:marBottom w:val="0"/>
      <w:divBdr>
        <w:top w:val="none" w:sz="0" w:space="0" w:color="auto"/>
        <w:left w:val="none" w:sz="0" w:space="0" w:color="auto"/>
        <w:bottom w:val="none" w:sz="0" w:space="0" w:color="auto"/>
        <w:right w:val="none" w:sz="0" w:space="0" w:color="auto"/>
      </w:divBdr>
    </w:div>
    <w:div w:id="1307316719">
      <w:marLeft w:val="0"/>
      <w:marRight w:val="0"/>
      <w:marTop w:val="0"/>
      <w:marBottom w:val="0"/>
      <w:divBdr>
        <w:top w:val="none" w:sz="0" w:space="0" w:color="auto"/>
        <w:left w:val="none" w:sz="0" w:space="0" w:color="auto"/>
        <w:bottom w:val="none" w:sz="0" w:space="0" w:color="auto"/>
        <w:right w:val="none" w:sz="0" w:space="0" w:color="auto"/>
      </w:divBdr>
    </w:div>
    <w:div w:id="1307316720">
      <w:marLeft w:val="0"/>
      <w:marRight w:val="0"/>
      <w:marTop w:val="0"/>
      <w:marBottom w:val="0"/>
      <w:divBdr>
        <w:top w:val="none" w:sz="0" w:space="0" w:color="auto"/>
        <w:left w:val="none" w:sz="0" w:space="0" w:color="auto"/>
        <w:bottom w:val="none" w:sz="0" w:space="0" w:color="auto"/>
        <w:right w:val="none" w:sz="0" w:space="0" w:color="auto"/>
      </w:divBdr>
    </w:div>
    <w:div w:id="1307316721">
      <w:marLeft w:val="0"/>
      <w:marRight w:val="0"/>
      <w:marTop w:val="0"/>
      <w:marBottom w:val="0"/>
      <w:divBdr>
        <w:top w:val="none" w:sz="0" w:space="0" w:color="auto"/>
        <w:left w:val="none" w:sz="0" w:space="0" w:color="auto"/>
        <w:bottom w:val="none" w:sz="0" w:space="0" w:color="auto"/>
        <w:right w:val="none" w:sz="0" w:space="0" w:color="auto"/>
      </w:divBdr>
    </w:div>
    <w:div w:id="1307316722">
      <w:marLeft w:val="0"/>
      <w:marRight w:val="0"/>
      <w:marTop w:val="0"/>
      <w:marBottom w:val="0"/>
      <w:divBdr>
        <w:top w:val="none" w:sz="0" w:space="0" w:color="auto"/>
        <w:left w:val="none" w:sz="0" w:space="0" w:color="auto"/>
        <w:bottom w:val="none" w:sz="0" w:space="0" w:color="auto"/>
        <w:right w:val="none" w:sz="0" w:space="0" w:color="auto"/>
      </w:divBdr>
    </w:div>
    <w:div w:id="1307316723">
      <w:marLeft w:val="0"/>
      <w:marRight w:val="0"/>
      <w:marTop w:val="0"/>
      <w:marBottom w:val="0"/>
      <w:divBdr>
        <w:top w:val="none" w:sz="0" w:space="0" w:color="auto"/>
        <w:left w:val="none" w:sz="0" w:space="0" w:color="auto"/>
        <w:bottom w:val="none" w:sz="0" w:space="0" w:color="auto"/>
        <w:right w:val="none" w:sz="0" w:space="0" w:color="auto"/>
      </w:divBdr>
    </w:div>
    <w:div w:id="1307316724">
      <w:marLeft w:val="0"/>
      <w:marRight w:val="0"/>
      <w:marTop w:val="0"/>
      <w:marBottom w:val="0"/>
      <w:divBdr>
        <w:top w:val="none" w:sz="0" w:space="0" w:color="auto"/>
        <w:left w:val="none" w:sz="0" w:space="0" w:color="auto"/>
        <w:bottom w:val="none" w:sz="0" w:space="0" w:color="auto"/>
        <w:right w:val="none" w:sz="0" w:space="0" w:color="auto"/>
      </w:divBdr>
    </w:div>
    <w:div w:id="1307316725">
      <w:marLeft w:val="0"/>
      <w:marRight w:val="0"/>
      <w:marTop w:val="0"/>
      <w:marBottom w:val="0"/>
      <w:divBdr>
        <w:top w:val="none" w:sz="0" w:space="0" w:color="auto"/>
        <w:left w:val="none" w:sz="0" w:space="0" w:color="auto"/>
        <w:bottom w:val="none" w:sz="0" w:space="0" w:color="auto"/>
        <w:right w:val="none" w:sz="0" w:space="0" w:color="auto"/>
      </w:divBdr>
    </w:div>
    <w:div w:id="1307316726">
      <w:marLeft w:val="0"/>
      <w:marRight w:val="0"/>
      <w:marTop w:val="0"/>
      <w:marBottom w:val="0"/>
      <w:divBdr>
        <w:top w:val="none" w:sz="0" w:space="0" w:color="auto"/>
        <w:left w:val="none" w:sz="0" w:space="0" w:color="auto"/>
        <w:bottom w:val="none" w:sz="0" w:space="0" w:color="auto"/>
        <w:right w:val="none" w:sz="0" w:space="0" w:color="auto"/>
      </w:divBdr>
    </w:div>
    <w:div w:id="1307316727">
      <w:marLeft w:val="0"/>
      <w:marRight w:val="0"/>
      <w:marTop w:val="0"/>
      <w:marBottom w:val="0"/>
      <w:divBdr>
        <w:top w:val="none" w:sz="0" w:space="0" w:color="auto"/>
        <w:left w:val="none" w:sz="0" w:space="0" w:color="auto"/>
        <w:bottom w:val="none" w:sz="0" w:space="0" w:color="auto"/>
        <w:right w:val="none" w:sz="0" w:space="0" w:color="auto"/>
      </w:divBdr>
    </w:div>
    <w:div w:id="1307316728">
      <w:marLeft w:val="0"/>
      <w:marRight w:val="0"/>
      <w:marTop w:val="0"/>
      <w:marBottom w:val="0"/>
      <w:divBdr>
        <w:top w:val="none" w:sz="0" w:space="0" w:color="auto"/>
        <w:left w:val="none" w:sz="0" w:space="0" w:color="auto"/>
        <w:bottom w:val="none" w:sz="0" w:space="0" w:color="auto"/>
        <w:right w:val="none" w:sz="0" w:space="0" w:color="auto"/>
      </w:divBdr>
    </w:div>
    <w:div w:id="1307316729">
      <w:marLeft w:val="0"/>
      <w:marRight w:val="0"/>
      <w:marTop w:val="0"/>
      <w:marBottom w:val="0"/>
      <w:divBdr>
        <w:top w:val="none" w:sz="0" w:space="0" w:color="auto"/>
        <w:left w:val="none" w:sz="0" w:space="0" w:color="auto"/>
        <w:bottom w:val="none" w:sz="0" w:space="0" w:color="auto"/>
        <w:right w:val="none" w:sz="0" w:space="0" w:color="auto"/>
      </w:divBdr>
    </w:div>
    <w:div w:id="1307316730">
      <w:marLeft w:val="0"/>
      <w:marRight w:val="0"/>
      <w:marTop w:val="0"/>
      <w:marBottom w:val="0"/>
      <w:divBdr>
        <w:top w:val="none" w:sz="0" w:space="0" w:color="auto"/>
        <w:left w:val="none" w:sz="0" w:space="0" w:color="auto"/>
        <w:bottom w:val="none" w:sz="0" w:space="0" w:color="auto"/>
        <w:right w:val="none" w:sz="0" w:space="0" w:color="auto"/>
      </w:divBdr>
    </w:div>
    <w:div w:id="1307316731">
      <w:marLeft w:val="0"/>
      <w:marRight w:val="0"/>
      <w:marTop w:val="0"/>
      <w:marBottom w:val="0"/>
      <w:divBdr>
        <w:top w:val="none" w:sz="0" w:space="0" w:color="auto"/>
        <w:left w:val="none" w:sz="0" w:space="0" w:color="auto"/>
        <w:bottom w:val="none" w:sz="0" w:space="0" w:color="auto"/>
        <w:right w:val="none" w:sz="0" w:space="0" w:color="auto"/>
      </w:divBdr>
    </w:div>
    <w:div w:id="1307316732">
      <w:marLeft w:val="0"/>
      <w:marRight w:val="0"/>
      <w:marTop w:val="0"/>
      <w:marBottom w:val="0"/>
      <w:divBdr>
        <w:top w:val="none" w:sz="0" w:space="0" w:color="auto"/>
        <w:left w:val="none" w:sz="0" w:space="0" w:color="auto"/>
        <w:bottom w:val="none" w:sz="0" w:space="0" w:color="auto"/>
        <w:right w:val="none" w:sz="0" w:space="0" w:color="auto"/>
      </w:divBdr>
    </w:div>
    <w:div w:id="1307316733">
      <w:marLeft w:val="0"/>
      <w:marRight w:val="0"/>
      <w:marTop w:val="0"/>
      <w:marBottom w:val="0"/>
      <w:divBdr>
        <w:top w:val="none" w:sz="0" w:space="0" w:color="auto"/>
        <w:left w:val="none" w:sz="0" w:space="0" w:color="auto"/>
        <w:bottom w:val="none" w:sz="0" w:space="0" w:color="auto"/>
        <w:right w:val="none" w:sz="0" w:space="0" w:color="auto"/>
      </w:divBdr>
    </w:div>
    <w:div w:id="1307316734">
      <w:marLeft w:val="0"/>
      <w:marRight w:val="0"/>
      <w:marTop w:val="0"/>
      <w:marBottom w:val="0"/>
      <w:divBdr>
        <w:top w:val="none" w:sz="0" w:space="0" w:color="auto"/>
        <w:left w:val="none" w:sz="0" w:space="0" w:color="auto"/>
        <w:bottom w:val="none" w:sz="0" w:space="0" w:color="auto"/>
        <w:right w:val="none" w:sz="0" w:space="0" w:color="auto"/>
      </w:divBdr>
    </w:div>
    <w:div w:id="1307316735">
      <w:marLeft w:val="0"/>
      <w:marRight w:val="0"/>
      <w:marTop w:val="0"/>
      <w:marBottom w:val="0"/>
      <w:divBdr>
        <w:top w:val="none" w:sz="0" w:space="0" w:color="auto"/>
        <w:left w:val="none" w:sz="0" w:space="0" w:color="auto"/>
        <w:bottom w:val="none" w:sz="0" w:space="0" w:color="auto"/>
        <w:right w:val="none" w:sz="0" w:space="0" w:color="auto"/>
      </w:divBdr>
    </w:div>
    <w:div w:id="1307316736">
      <w:marLeft w:val="0"/>
      <w:marRight w:val="0"/>
      <w:marTop w:val="0"/>
      <w:marBottom w:val="0"/>
      <w:divBdr>
        <w:top w:val="none" w:sz="0" w:space="0" w:color="auto"/>
        <w:left w:val="none" w:sz="0" w:space="0" w:color="auto"/>
        <w:bottom w:val="none" w:sz="0" w:space="0" w:color="auto"/>
        <w:right w:val="none" w:sz="0" w:space="0" w:color="auto"/>
      </w:divBdr>
    </w:div>
    <w:div w:id="1307316737">
      <w:marLeft w:val="0"/>
      <w:marRight w:val="0"/>
      <w:marTop w:val="0"/>
      <w:marBottom w:val="0"/>
      <w:divBdr>
        <w:top w:val="none" w:sz="0" w:space="0" w:color="auto"/>
        <w:left w:val="none" w:sz="0" w:space="0" w:color="auto"/>
        <w:bottom w:val="none" w:sz="0" w:space="0" w:color="auto"/>
        <w:right w:val="none" w:sz="0" w:space="0" w:color="auto"/>
      </w:divBdr>
    </w:div>
    <w:div w:id="1307316738">
      <w:marLeft w:val="0"/>
      <w:marRight w:val="0"/>
      <w:marTop w:val="0"/>
      <w:marBottom w:val="0"/>
      <w:divBdr>
        <w:top w:val="none" w:sz="0" w:space="0" w:color="auto"/>
        <w:left w:val="none" w:sz="0" w:space="0" w:color="auto"/>
        <w:bottom w:val="none" w:sz="0" w:space="0" w:color="auto"/>
        <w:right w:val="none" w:sz="0" w:space="0" w:color="auto"/>
      </w:divBdr>
    </w:div>
    <w:div w:id="1307316739">
      <w:marLeft w:val="0"/>
      <w:marRight w:val="0"/>
      <w:marTop w:val="0"/>
      <w:marBottom w:val="0"/>
      <w:divBdr>
        <w:top w:val="none" w:sz="0" w:space="0" w:color="auto"/>
        <w:left w:val="none" w:sz="0" w:space="0" w:color="auto"/>
        <w:bottom w:val="none" w:sz="0" w:space="0" w:color="auto"/>
        <w:right w:val="none" w:sz="0" w:space="0" w:color="auto"/>
      </w:divBdr>
    </w:div>
    <w:div w:id="1307316740">
      <w:marLeft w:val="0"/>
      <w:marRight w:val="0"/>
      <w:marTop w:val="0"/>
      <w:marBottom w:val="0"/>
      <w:divBdr>
        <w:top w:val="none" w:sz="0" w:space="0" w:color="auto"/>
        <w:left w:val="none" w:sz="0" w:space="0" w:color="auto"/>
        <w:bottom w:val="none" w:sz="0" w:space="0" w:color="auto"/>
        <w:right w:val="none" w:sz="0" w:space="0" w:color="auto"/>
      </w:divBdr>
    </w:div>
    <w:div w:id="1307316741">
      <w:marLeft w:val="0"/>
      <w:marRight w:val="0"/>
      <w:marTop w:val="0"/>
      <w:marBottom w:val="0"/>
      <w:divBdr>
        <w:top w:val="none" w:sz="0" w:space="0" w:color="auto"/>
        <w:left w:val="none" w:sz="0" w:space="0" w:color="auto"/>
        <w:bottom w:val="none" w:sz="0" w:space="0" w:color="auto"/>
        <w:right w:val="none" w:sz="0" w:space="0" w:color="auto"/>
      </w:divBdr>
    </w:div>
    <w:div w:id="1307316742">
      <w:marLeft w:val="0"/>
      <w:marRight w:val="0"/>
      <w:marTop w:val="0"/>
      <w:marBottom w:val="0"/>
      <w:divBdr>
        <w:top w:val="none" w:sz="0" w:space="0" w:color="auto"/>
        <w:left w:val="none" w:sz="0" w:space="0" w:color="auto"/>
        <w:bottom w:val="none" w:sz="0" w:space="0" w:color="auto"/>
        <w:right w:val="none" w:sz="0" w:space="0" w:color="auto"/>
      </w:divBdr>
    </w:div>
    <w:div w:id="1307316743">
      <w:marLeft w:val="0"/>
      <w:marRight w:val="0"/>
      <w:marTop w:val="0"/>
      <w:marBottom w:val="0"/>
      <w:divBdr>
        <w:top w:val="none" w:sz="0" w:space="0" w:color="auto"/>
        <w:left w:val="none" w:sz="0" w:space="0" w:color="auto"/>
        <w:bottom w:val="none" w:sz="0" w:space="0" w:color="auto"/>
        <w:right w:val="none" w:sz="0" w:space="0" w:color="auto"/>
      </w:divBdr>
    </w:div>
    <w:div w:id="1307316744">
      <w:marLeft w:val="0"/>
      <w:marRight w:val="0"/>
      <w:marTop w:val="0"/>
      <w:marBottom w:val="0"/>
      <w:divBdr>
        <w:top w:val="none" w:sz="0" w:space="0" w:color="auto"/>
        <w:left w:val="none" w:sz="0" w:space="0" w:color="auto"/>
        <w:bottom w:val="none" w:sz="0" w:space="0" w:color="auto"/>
        <w:right w:val="none" w:sz="0" w:space="0" w:color="auto"/>
      </w:divBdr>
    </w:div>
    <w:div w:id="1307316745">
      <w:marLeft w:val="0"/>
      <w:marRight w:val="0"/>
      <w:marTop w:val="0"/>
      <w:marBottom w:val="0"/>
      <w:divBdr>
        <w:top w:val="none" w:sz="0" w:space="0" w:color="auto"/>
        <w:left w:val="none" w:sz="0" w:space="0" w:color="auto"/>
        <w:bottom w:val="none" w:sz="0" w:space="0" w:color="auto"/>
        <w:right w:val="none" w:sz="0" w:space="0" w:color="auto"/>
      </w:divBdr>
    </w:div>
    <w:div w:id="1307316746">
      <w:marLeft w:val="0"/>
      <w:marRight w:val="0"/>
      <w:marTop w:val="0"/>
      <w:marBottom w:val="0"/>
      <w:divBdr>
        <w:top w:val="none" w:sz="0" w:space="0" w:color="auto"/>
        <w:left w:val="none" w:sz="0" w:space="0" w:color="auto"/>
        <w:bottom w:val="none" w:sz="0" w:space="0" w:color="auto"/>
        <w:right w:val="none" w:sz="0" w:space="0" w:color="auto"/>
      </w:divBdr>
    </w:div>
    <w:div w:id="1307316747">
      <w:marLeft w:val="0"/>
      <w:marRight w:val="0"/>
      <w:marTop w:val="0"/>
      <w:marBottom w:val="0"/>
      <w:divBdr>
        <w:top w:val="none" w:sz="0" w:space="0" w:color="auto"/>
        <w:left w:val="none" w:sz="0" w:space="0" w:color="auto"/>
        <w:bottom w:val="none" w:sz="0" w:space="0" w:color="auto"/>
        <w:right w:val="none" w:sz="0" w:space="0" w:color="auto"/>
      </w:divBdr>
    </w:div>
    <w:div w:id="1307316748">
      <w:marLeft w:val="0"/>
      <w:marRight w:val="0"/>
      <w:marTop w:val="0"/>
      <w:marBottom w:val="0"/>
      <w:divBdr>
        <w:top w:val="none" w:sz="0" w:space="0" w:color="auto"/>
        <w:left w:val="none" w:sz="0" w:space="0" w:color="auto"/>
        <w:bottom w:val="none" w:sz="0" w:space="0" w:color="auto"/>
        <w:right w:val="none" w:sz="0" w:space="0" w:color="auto"/>
      </w:divBdr>
    </w:div>
    <w:div w:id="1307316749">
      <w:marLeft w:val="0"/>
      <w:marRight w:val="0"/>
      <w:marTop w:val="0"/>
      <w:marBottom w:val="0"/>
      <w:divBdr>
        <w:top w:val="none" w:sz="0" w:space="0" w:color="auto"/>
        <w:left w:val="none" w:sz="0" w:space="0" w:color="auto"/>
        <w:bottom w:val="none" w:sz="0" w:space="0" w:color="auto"/>
        <w:right w:val="none" w:sz="0" w:space="0" w:color="auto"/>
      </w:divBdr>
    </w:div>
    <w:div w:id="1307316750">
      <w:marLeft w:val="0"/>
      <w:marRight w:val="0"/>
      <w:marTop w:val="0"/>
      <w:marBottom w:val="0"/>
      <w:divBdr>
        <w:top w:val="none" w:sz="0" w:space="0" w:color="auto"/>
        <w:left w:val="none" w:sz="0" w:space="0" w:color="auto"/>
        <w:bottom w:val="none" w:sz="0" w:space="0" w:color="auto"/>
        <w:right w:val="none" w:sz="0" w:space="0" w:color="auto"/>
      </w:divBdr>
    </w:div>
    <w:div w:id="1307316751">
      <w:marLeft w:val="0"/>
      <w:marRight w:val="0"/>
      <w:marTop w:val="0"/>
      <w:marBottom w:val="0"/>
      <w:divBdr>
        <w:top w:val="none" w:sz="0" w:space="0" w:color="auto"/>
        <w:left w:val="none" w:sz="0" w:space="0" w:color="auto"/>
        <w:bottom w:val="none" w:sz="0" w:space="0" w:color="auto"/>
        <w:right w:val="none" w:sz="0" w:space="0" w:color="auto"/>
      </w:divBdr>
    </w:div>
    <w:div w:id="13073167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emf"/><Relationship Id="rId17" Type="http://schemas.openxmlformats.org/officeDocument/2006/relationships/image" Target="media/image11.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emf"/><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4410</Words>
  <Characters>25140</Characters>
  <Application>Microsoft Office Word</Application>
  <DocSecurity>0</DocSecurity>
  <Lines>209</Lines>
  <Paragraphs>58</Paragraphs>
  <ScaleCrop>false</ScaleCrop>
  <Company/>
  <LinksUpToDate>false</LinksUpToDate>
  <CharactersWithSpaces>29492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vanina.jakupi</dc:creator>
  <cp:lastModifiedBy>kesjana.halili</cp:lastModifiedBy>
  <cp:revision>2</cp:revision>
  <cp:lastPrinted>2014-06-12T12:34:00Z</cp:lastPrinted>
  <dcterms:created xsi:type="dcterms:W3CDTF">2014-06-23T13:59:00Z</dcterms:created>
  <dcterms:modified xsi:type="dcterms:W3CDTF">2014-06-23T13:59:00Z</dcterms:modified>
</cp:coreProperties>
</file>