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A2E05" w:rsidRPr="000F540A" w:rsidRDefault="004C5C81" w:rsidP="000F540A">
      <w:pPr>
        <w:tabs>
          <w:tab w:val="center" w:pos="5954"/>
        </w:tabs>
        <w:jc w:val="both"/>
        <w:rPr>
          <w:rFonts w:asciiTheme="majorHAnsi" w:hAnsiTheme="majorHAnsi"/>
          <w:b/>
          <w:bCs/>
          <w:sz w:val="22"/>
          <w:szCs w:val="22"/>
          <w:lang w:val="it-IT"/>
        </w:rPr>
      </w:pPr>
      <w:r w:rsidRPr="000F540A">
        <w:rPr>
          <w:rFonts w:asciiTheme="majorHAnsi" w:hAnsiTheme="majorHAnsi"/>
          <w:b/>
          <w:bCs/>
          <w:noProof/>
          <w:sz w:val="22"/>
          <w:szCs w:val="22"/>
        </w:rPr>
        <w:drawing>
          <wp:anchor distT="0" distB="0" distL="114300" distR="114300" simplePos="0" relativeHeight="251658240" behindDoc="0" locked="0" layoutInCell="1" allowOverlap="1" wp14:anchorId="4985C434" wp14:editId="2BC4CEFE">
            <wp:simplePos x="0" y="0"/>
            <wp:positionH relativeFrom="page">
              <wp:align>center</wp:align>
            </wp:positionH>
            <wp:positionV relativeFrom="paragraph">
              <wp:posOffset>-390525</wp:posOffset>
            </wp:positionV>
            <wp:extent cx="7496175" cy="1600200"/>
            <wp:effectExtent l="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7496175" cy="1600200"/>
                    </a:xfrm>
                    <a:prstGeom prst="rect">
                      <a:avLst/>
                    </a:prstGeom>
                    <a:noFill/>
                    <a:ln w="9525">
                      <a:noFill/>
                      <a:miter lim="800000"/>
                      <a:headEnd/>
                      <a:tailEnd/>
                    </a:ln>
                  </pic:spPr>
                </pic:pic>
              </a:graphicData>
            </a:graphic>
          </wp:anchor>
        </w:drawing>
      </w:r>
    </w:p>
    <w:p w:rsidR="00EA2E05" w:rsidRPr="000F540A" w:rsidRDefault="00EA2E05" w:rsidP="000F540A">
      <w:pPr>
        <w:tabs>
          <w:tab w:val="center" w:pos="5954"/>
        </w:tabs>
        <w:jc w:val="both"/>
        <w:rPr>
          <w:rFonts w:asciiTheme="majorHAnsi" w:hAnsiTheme="majorHAnsi"/>
          <w:b/>
          <w:bCs/>
          <w:sz w:val="22"/>
          <w:szCs w:val="22"/>
          <w:lang w:val="it-IT"/>
        </w:rPr>
      </w:pPr>
    </w:p>
    <w:p w:rsidR="00EA2E05" w:rsidRPr="000F540A" w:rsidRDefault="00EA2E05" w:rsidP="000F540A">
      <w:pPr>
        <w:tabs>
          <w:tab w:val="center" w:pos="5954"/>
        </w:tabs>
        <w:jc w:val="both"/>
        <w:rPr>
          <w:rFonts w:asciiTheme="majorHAnsi" w:hAnsiTheme="majorHAnsi"/>
          <w:b/>
          <w:bCs/>
          <w:sz w:val="22"/>
          <w:szCs w:val="22"/>
          <w:lang w:val="it-IT"/>
        </w:rPr>
      </w:pPr>
    </w:p>
    <w:p w:rsidR="00EA2E05" w:rsidRPr="000F540A" w:rsidRDefault="00EA2E05" w:rsidP="000F540A">
      <w:pPr>
        <w:jc w:val="both"/>
        <w:rPr>
          <w:rFonts w:asciiTheme="majorHAnsi" w:hAnsiTheme="majorHAnsi"/>
          <w:b/>
          <w:bCs/>
          <w:color w:val="333333"/>
          <w:sz w:val="22"/>
          <w:szCs w:val="22"/>
          <w:lang w:val="it-IT"/>
        </w:rPr>
      </w:pPr>
    </w:p>
    <w:p w:rsidR="00EA2E05" w:rsidRPr="000F540A" w:rsidRDefault="00EA2E05" w:rsidP="000F540A">
      <w:pPr>
        <w:jc w:val="both"/>
        <w:rPr>
          <w:rFonts w:asciiTheme="majorHAnsi" w:hAnsiTheme="majorHAnsi"/>
          <w:b/>
          <w:bCs/>
          <w:color w:val="333333"/>
          <w:sz w:val="22"/>
          <w:szCs w:val="22"/>
          <w:lang w:val="it-IT"/>
        </w:rPr>
      </w:pPr>
    </w:p>
    <w:p w:rsidR="00EA2E05" w:rsidRPr="000F540A" w:rsidRDefault="00EA2E05" w:rsidP="000F540A">
      <w:pPr>
        <w:pStyle w:val="Default"/>
        <w:spacing w:line="360" w:lineRule="auto"/>
        <w:jc w:val="both"/>
        <w:rPr>
          <w:rFonts w:asciiTheme="majorHAnsi" w:hAnsiTheme="majorHAnsi"/>
          <w:color w:val="auto"/>
          <w:sz w:val="22"/>
          <w:szCs w:val="22"/>
          <w:lang w:val="it-IT"/>
        </w:rPr>
      </w:pPr>
    </w:p>
    <w:p w:rsidR="00EA2E05" w:rsidRPr="000F540A" w:rsidRDefault="00EA2E05" w:rsidP="000F540A">
      <w:pPr>
        <w:pStyle w:val="Default"/>
        <w:pBdr>
          <w:bottom w:val="single" w:sz="12" w:space="1" w:color="auto"/>
        </w:pBdr>
        <w:spacing w:line="360" w:lineRule="auto"/>
        <w:jc w:val="both"/>
        <w:rPr>
          <w:rFonts w:asciiTheme="majorHAnsi" w:hAnsiTheme="majorHAnsi"/>
          <w:color w:val="auto"/>
          <w:sz w:val="22"/>
          <w:szCs w:val="22"/>
          <w:lang w:val="it-IT"/>
        </w:rPr>
      </w:pPr>
    </w:p>
    <w:p w:rsidR="000F540A" w:rsidRDefault="000F540A" w:rsidP="000F540A">
      <w:pPr>
        <w:pStyle w:val="Default"/>
        <w:spacing w:line="360" w:lineRule="auto"/>
        <w:jc w:val="center"/>
        <w:rPr>
          <w:rFonts w:asciiTheme="majorHAnsi" w:hAnsiTheme="majorHAnsi"/>
          <w:b/>
          <w:color w:val="800000"/>
          <w:sz w:val="40"/>
          <w:szCs w:val="40"/>
          <w:lang w:val="sv-SE"/>
        </w:rPr>
      </w:pPr>
    </w:p>
    <w:p w:rsidR="000F540A" w:rsidRDefault="000F540A" w:rsidP="000F540A">
      <w:pPr>
        <w:pStyle w:val="Default"/>
        <w:spacing w:line="360" w:lineRule="auto"/>
        <w:jc w:val="center"/>
        <w:rPr>
          <w:rFonts w:asciiTheme="majorHAnsi" w:hAnsiTheme="majorHAnsi"/>
          <w:b/>
          <w:color w:val="800000"/>
          <w:sz w:val="40"/>
          <w:szCs w:val="40"/>
          <w:lang w:val="sv-SE"/>
        </w:rPr>
      </w:pPr>
    </w:p>
    <w:p w:rsidR="000F540A" w:rsidRDefault="000F540A" w:rsidP="000F540A">
      <w:pPr>
        <w:pStyle w:val="Default"/>
        <w:spacing w:line="360" w:lineRule="auto"/>
        <w:jc w:val="center"/>
        <w:rPr>
          <w:rFonts w:asciiTheme="majorHAnsi" w:hAnsiTheme="majorHAnsi"/>
          <w:b/>
          <w:color w:val="800000"/>
          <w:sz w:val="40"/>
          <w:szCs w:val="40"/>
          <w:lang w:val="sv-SE"/>
        </w:rPr>
      </w:pPr>
    </w:p>
    <w:p w:rsidR="000F540A" w:rsidRDefault="000F540A" w:rsidP="000F540A">
      <w:pPr>
        <w:pStyle w:val="Default"/>
        <w:spacing w:line="360" w:lineRule="auto"/>
        <w:jc w:val="center"/>
        <w:rPr>
          <w:rFonts w:asciiTheme="majorHAnsi" w:hAnsiTheme="majorHAnsi"/>
          <w:b/>
          <w:color w:val="800000"/>
          <w:sz w:val="40"/>
          <w:szCs w:val="40"/>
          <w:lang w:val="sv-SE"/>
        </w:rPr>
      </w:pPr>
    </w:p>
    <w:p w:rsidR="000F540A" w:rsidRDefault="000F540A" w:rsidP="000F540A">
      <w:pPr>
        <w:pStyle w:val="Default"/>
        <w:spacing w:line="360" w:lineRule="auto"/>
        <w:jc w:val="center"/>
        <w:rPr>
          <w:rFonts w:asciiTheme="majorHAnsi" w:hAnsiTheme="majorHAnsi"/>
          <w:b/>
          <w:color w:val="800000"/>
          <w:sz w:val="40"/>
          <w:szCs w:val="40"/>
          <w:lang w:val="sv-SE"/>
        </w:rPr>
      </w:pPr>
    </w:p>
    <w:p w:rsidR="000F540A" w:rsidRDefault="000F540A" w:rsidP="000F540A">
      <w:pPr>
        <w:pStyle w:val="Default"/>
        <w:spacing w:line="360" w:lineRule="auto"/>
        <w:jc w:val="center"/>
        <w:rPr>
          <w:rFonts w:asciiTheme="majorHAnsi" w:hAnsiTheme="majorHAnsi"/>
          <w:b/>
          <w:color w:val="800000"/>
          <w:sz w:val="40"/>
          <w:szCs w:val="40"/>
          <w:lang w:val="sv-SE"/>
        </w:rPr>
      </w:pPr>
    </w:p>
    <w:p w:rsidR="00EA2E05" w:rsidRPr="000F540A" w:rsidRDefault="00EA2E05" w:rsidP="000F540A">
      <w:pPr>
        <w:pStyle w:val="Default"/>
        <w:spacing w:line="360" w:lineRule="auto"/>
        <w:jc w:val="center"/>
        <w:rPr>
          <w:rFonts w:asciiTheme="majorHAnsi" w:hAnsiTheme="majorHAnsi"/>
          <w:b/>
          <w:color w:val="800000"/>
          <w:sz w:val="40"/>
          <w:szCs w:val="40"/>
          <w:lang w:val="sv-SE"/>
        </w:rPr>
      </w:pPr>
      <w:r w:rsidRPr="000F540A">
        <w:rPr>
          <w:rFonts w:asciiTheme="majorHAnsi" w:hAnsiTheme="majorHAnsi"/>
          <w:b/>
          <w:color w:val="800000"/>
          <w:sz w:val="40"/>
          <w:szCs w:val="40"/>
          <w:lang w:val="sv-SE"/>
        </w:rPr>
        <w:t>______________</w:t>
      </w:r>
    </w:p>
    <w:p w:rsidR="00C81BF8" w:rsidRPr="000F540A" w:rsidRDefault="000F540A" w:rsidP="000F540A">
      <w:pPr>
        <w:pStyle w:val="Default"/>
        <w:jc w:val="center"/>
        <w:rPr>
          <w:rFonts w:asciiTheme="majorHAnsi" w:hAnsiTheme="majorHAnsi"/>
          <w:b/>
          <w:color w:val="auto"/>
          <w:sz w:val="40"/>
          <w:szCs w:val="40"/>
          <w:lang w:val="it-IT"/>
        </w:rPr>
      </w:pPr>
      <w:r w:rsidRPr="000F540A">
        <w:rPr>
          <w:rFonts w:asciiTheme="majorHAnsi" w:hAnsiTheme="majorHAnsi"/>
          <w:b/>
          <w:color w:val="auto"/>
          <w:sz w:val="40"/>
          <w:szCs w:val="40"/>
          <w:lang w:val="it-IT"/>
        </w:rPr>
        <w:t>BUXHETI FAKTIK 2015</w:t>
      </w:r>
    </w:p>
    <w:p w:rsidR="00EA2E05" w:rsidRPr="000F540A" w:rsidRDefault="00EA2E05" w:rsidP="000F540A">
      <w:pPr>
        <w:pStyle w:val="Default"/>
        <w:jc w:val="center"/>
        <w:rPr>
          <w:rFonts w:asciiTheme="majorHAnsi" w:hAnsiTheme="majorHAnsi"/>
          <w:color w:val="auto"/>
          <w:sz w:val="40"/>
          <w:szCs w:val="40"/>
          <w:lang w:val="sv-SE"/>
        </w:rPr>
      </w:pPr>
      <w:r w:rsidRPr="000F540A">
        <w:rPr>
          <w:rFonts w:asciiTheme="majorHAnsi" w:hAnsiTheme="majorHAnsi"/>
          <w:b/>
          <w:color w:val="800000"/>
          <w:sz w:val="40"/>
          <w:szCs w:val="40"/>
          <w:lang w:val="sv-SE"/>
        </w:rPr>
        <w:t>______________________________</w:t>
      </w:r>
    </w:p>
    <w:p w:rsidR="00EA2E05" w:rsidRPr="000F540A" w:rsidRDefault="00EA2E05" w:rsidP="000F540A">
      <w:pPr>
        <w:pStyle w:val="Default"/>
        <w:spacing w:line="360" w:lineRule="auto"/>
        <w:jc w:val="center"/>
        <w:rPr>
          <w:rFonts w:asciiTheme="majorHAnsi" w:hAnsiTheme="majorHAnsi" w:cs="Arial"/>
          <w:color w:val="auto"/>
          <w:sz w:val="40"/>
          <w:szCs w:val="40"/>
          <w:lang w:val="sv-SE"/>
        </w:rPr>
      </w:pPr>
    </w:p>
    <w:p w:rsidR="000F540A" w:rsidRPr="000F540A" w:rsidRDefault="000F540A" w:rsidP="000F540A">
      <w:pPr>
        <w:pStyle w:val="Default"/>
        <w:spacing w:line="360" w:lineRule="auto"/>
        <w:jc w:val="both"/>
        <w:rPr>
          <w:rFonts w:asciiTheme="majorHAnsi" w:hAnsiTheme="majorHAnsi" w:cs="Arial"/>
          <w:color w:val="auto"/>
          <w:sz w:val="22"/>
          <w:szCs w:val="22"/>
          <w:lang w:val="sv-SE"/>
        </w:rPr>
      </w:pPr>
    </w:p>
    <w:p w:rsidR="000F540A" w:rsidRPr="000F540A" w:rsidRDefault="000F540A" w:rsidP="000F540A">
      <w:pPr>
        <w:pStyle w:val="Default"/>
        <w:spacing w:line="360" w:lineRule="auto"/>
        <w:jc w:val="both"/>
        <w:rPr>
          <w:rFonts w:asciiTheme="majorHAnsi" w:hAnsiTheme="majorHAnsi" w:cs="Arial"/>
          <w:color w:val="auto"/>
          <w:sz w:val="22"/>
          <w:szCs w:val="22"/>
          <w:lang w:val="sv-SE"/>
        </w:rPr>
      </w:pPr>
    </w:p>
    <w:p w:rsidR="00A4451F" w:rsidRPr="000F540A" w:rsidRDefault="00A4451F" w:rsidP="000F540A">
      <w:pPr>
        <w:jc w:val="both"/>
        <w:rPr>
          <w:rFonts w:asciiTheme="majorHAnsi" w:hAnsiTheme="majorHAnsi" w:cs="Arial"/>
          <w:sz w:val="22"/>
          <w:szCs w:val="22"/>
        </w:rPr>
      </w:pPr>
    </w:p>
    <w:p w:rsidR="00EA2E05" w:rsidRPr="000F540A" w:rsidRDefault="00EA2E05" w:rsidP="000F540A">
      <w:pPr>
        <w:jc w:val="both"/>
        <w:rPr>
          <w:rFonts w:asciiTheme="majorHAnsi" w:hAnsiTheme="majorHAnsi" w:cs="Arial"/>
          <w:sz w:val="22"/>
          <w:szCs w:val="22"/>
        </w:rPr>
      </w:pPr>
    </w:p>
    <w:p w:rsidR="00EA2E05" w:rsidRPr="000F540A" w:rsidRDefault="00EA2E05" w:rsidP="000F540A">
      <w:pPr>
        <w:jc w:val="both"/>
        <w:rPr>
          <w:rFonts w:asciiTheme="majorHAnsi" w:hAnsiTheme="majorHAnsi" w:cs="Arial"/>
          <w:sz w:val="22"/>
          <w:szCs w:val="22"/>
        </w:rPr>
      </w:pPr>
    </w:p>
    <w:p w:rsidR="00EA2E05" w:rsidRPr="000F540A" w:rsidRDefault="00EA2E05" w:rsidP="000F540A">
      <w:pPr>
        <w:jc w:val="both"/>
        <w:rPr>
          <w:rFonts w:asciiTheme="majorHAnsi" w:hAnsiTheme="majorHAnsi" w:cs="Arial"/>
          <w:sz w:val="22"/>
          <w:szCs w:val="22"/>
        </w:rPr>
      </w:pPr>
    </w:p>
    <w:p w:rsidR="00EA2E05" w:rsidRPr="000F540A" w:rsidRDefault="00EA2E05" w:rsidP="000F540A">
      <w:pPr>
        <w:jc w:val="both"/>
        <w:rPr>
          <w:rFonts w:asciiTheme="majorHAnsi" w:hAnsiTheme="majorHAnsi" w:cs="Arial"/>
          <w:sz w:val="22"/>
          <w:szCs w:val="22"/>
        </w:rPr>
      </w:pPr>
    </w:p>
    <w:p w:rsidR="00EA2E05" w:rsidRPr="000F540A" w:rsidRDefault="00EA2E05" w:rsidP="000F540A">
      <w:pPr>
        <w:jc w:val="both"/>
        <w:rPr>
          <w:rFonts w:asciiTheme="majorHAnsi" w:hAnsiTheme="majorHAnsi" w:cs="Arial"/>
          <w:sz w:val="22"/>
          <w:szCs w:val="22"/>
        </w:rPr>
      </w:pPr>
    </w:p>
    <w:p w:rsidR="00EA2E05" w:rsidRPr="000F540A" w:rsidRDefault="00EA2E05" w:rsidP="000F540A">
      <w:pPr>
        <w:jc w:val="both"/>
        <w:rPr>
          <w:rFonts w:asciiTheme="majorHAnsi" w:hAnsiTheme="majorHAnsi" w:cs="Arial"/>
          <w:sz w:val="22"/>
          <w:szCs w:val="22"/>
        </w:rPr>
      </w:pPr>
    </w:p>
    <w:p w:rsidR="00EA2E05" w:rsidRPr="000F540A" w:rsidRDefault="00EA2E05" w:rsidP="000F540A">
      <w:pPr>
        <w:jc w:val="both"/>
        <w:rPr>
          <w:rFonts w:asciiTheme="majorHAnsi" w:hAnsiTheme="majorHAnsi" w:cs="Arial"/>
          <w:sz w:val="22"/>
          <w:szCs w:val="22"/>
        </w:rPr>
      </w:pPr>
    </w:p>
    <w:p w:rsidR="00EA2E05" w:rsidRPr="000F540A" w:rsidRDefault="00EA2E05" w:rsidP="000F540A">
      <w:pPr>
        <w:jc w:val="both"/>
        <w:rPr>
          <w:rFonts w:asciiTheme="majorHAnsi" w:hAnsiTheme="majorHAnsi" w:cs="Arial"/>
          <w:sz w:val="22"/>
          <w:szCs w:val="22"/>
        </w:rPr>
      </w:pPr>
    </w:p>
    <w:p w:rsidR="00EA2E05" w:rsidRPr="000F540A" w:rsidRDefault="00EA2E05" w:rsidP="000F540A">
      <w:pPr>
        <w:jc w:val="both"/>
        <w:rPr>
          <w:rFonts w:asciiTheme="majorHAnsi" w:hAnsiTheme="majorHAnsi" w:cs="Arial"/>
          <w:sz w:val="22"/>
          <w:szCs w:val="22"/>
        </w:rPr>
      </w:pPr>
    </w:p>
    <w:p w:rsidR="00EA2E05" w:rsidRPr="000F540A" w:rsidRDefault="00EA2E05" w:rsidP="000F540A">
      <w:pPr>
        <w:jc w:val="both"/>
        <w:rPr>
          <w:rFonts w:asciiTheme="majorHAnsi" w:hAnsiTheme="majorHAnsi" w:cs="Arial"/>
          <w:sz w:val="22"/>
          <w:szCs w:val="22"/>
        </w:rPr>
      </w:pPr>
    </w:p>
    <w:p w:rsidR="00EA2E05" w:rsidRPr="000F540A" w:rsidRDefault="00E97958" w:rsidP="000F540A">
      <w:pPr>
        <w:jc w:val="both"/>
        <w:rPr>
          <w:rFonts w:asciiTheme="majorHAnsi" w:hAnsiTheme="majorHAnsi" w:cs="Arial"/>
          <w:sz w:val="22"/>
          <w:szCs w:val="22"/>
        </w:rPr>
      </w:pPr>
      <w:r w:rsidRPr="000F540A">
        <w:rPr>
          <w:rFonts w:asciiTheme="majorHAnsi" w:hAnsiTheme="majorHAnsi" w:cs="Arial"/>
          <w:sz w:val="22"/>
          <w:szCs w:val="22"/>
        </w:rPr>
        <w:t xml:space="preserve">Tiranë, </w:t>
      </w:r>
      <w:r w:rsidR="00C81BF8" w:rsidRPr="000F540A">
        <w:rPr>
          <w:rFonts w:asciiTheme="majorHAnsi" w:hAnsiTheme="majorHAnsi" w:cs="Arial"/>
          <w:sz w:val="22"/>
          <w:szCs w:val="22"/>
        </w:rPr>
        <w:t>Tetor</w:t>
      </w:r>
      <w:r w:rsidRPr="000F540A">
        <w:rPr>
          <w:rFonts w:asciiTheme="majorHAnsi" w:hAnsiTheme="majorHAnsi" w:cs="Arial"/>
          <w:sz w:val="22"/>
          <w:szCs w:val="22"/>
        </w:rPr>
        <w:t xml:space="preserve"> 201</w:t>
      </w:r>
      <w:r w:rsidR="00C64A11" w:rsidRPr="000F540A">
        <w:rPr>
          <w:rFonts w:asciiTheme="majorHAnsi" w:hAnsiTheme="majorHAnsi" w:cs="Arial"/>
          <w:sz w:val="22"/>
          <w:szCs w:val="22"/>
        </w:rPr>
        <w:t>6</w:t>
      </w:r>
    </w:p>
    <w:p w:rsidR="009A2AF7" w:rsidRPr="000F540A" w:rsidRDefault="009A2AF7" w:rsidP="000F540A">
      <w:pPr>
        <w:widowControl w:val="0"/>
        <w:autoSpaceDE w:val="0"/>
        <w:autoSpaceDN w:val="0"/>
        <w:adjustRightInd w:val="0"/>
        <w:jc w:val="both"/>
        <w:rPr>
          <w:rFonts w:asciiTheme="majorHAnsi" w:hAnsiTheme="majorHAnsi"/>
          <w:b/>
          <w:noProof/>
          <w:sz w:val="22"/>
          <w:szCs w:val="22"/>
        </w:rPr>
      </w:pPr>
    </w:p>
    <w:p w:rsidR="004C5C81" w:rsidRPr="000F540A" w:rsidRDefault="004C5C81" w:rsidP="000F540A">
      <w:pPr>
        <w:widowControl w:val="0"/>
        <w:autoSpaceDE w:val="0"/>
        <w:autoSpaceDN w:val="0"/>
        <w:adjustRightInd w:val="0"/>
        <w:jc w:val="both"/>
        <w:rPr>
          <w:rFonts w:asciiTheme="majorHAnsi" w:hAnsiTheme="majorHAnsi"/>
          <w:b/>
          <w:noProof/>
          <w:sz w:val="22"/>
          <w:szCs w:val="22"/>
        </w:rPr>
      </w:pPr>
    </w:p>
    <w:p w:rsidR="004C5C81" w:rsidRDefault="004C5C81" w:rsidP="000F540A">
      <w:pPr>
        <w:widowControl w:val="0"/>
        <w:autoSpaceDE w:val="0"/>
        <w:autoSpaceDN w:val="0"/>
        <w:adjustRightInd w:val="0"/>
        <w:jc w:val="both"/>
        <w:rPr>
          <w:rFonts w:asciiTheme="majorHAnsi" w:hAnsiTheme="majorHAnsi"/>
          <w:b/>
          <w:noProof/>
          <w:sz w:val="22"/>
          <w:szCs w:val="22"/>
        </w:rPr>
      </w:pPr>
    </w:p>
    <w:p w:rsidR="000F540A" w:rsidRDefault="000F540A" w:rsidP="000F540A">
      <w:pPr>
        <w:widowControl w:val="0"/>
        <w:autoSpaceDE w:val="0"/>
        <w:autoSpaceDN w:val="0"/>
        <w:adjustRightInd w:val="0"/>
        <w:jc w:val="both"/>
        <w:rPr>
          <w:rFonts w:asciiTheme="majorHAnsi" w:hAnsiTheme="majorHAnsi"/>
          <w:b/>
          <w:noProof/>
          <w:sz w:val="22"/>
          <w:szCs w:val="22"/>
        </w:rPr>
      </w:pPr>
    </w:p>
    <w:p w:rsidR="000F540A" w:rsidRDefault="000F540A" w:rsidP="000F540A">
      <w:pPr>
        <w:widowControl w:val="0"/>
        <w:autoSpaceDE w:val="0"/>
        <w:autoSpaceDN w:val="0"/>
        <w:adjustRightInd w:val="0"/>
        <w:jc w:val="both"/>
        <w:rPr>
          <w:rFonts w:asciiTheme="majorHAnsi" w:hAnsiTheme="majorHAnsi"/>
          <w:b/>
          <w:noProof/>
          <w:sz w:val="22"/>
          <w:szCs w:val="22"/>
        </w:rPr>
      </w:pPr>
    </w:p>
    <w:p w:rsidR="000F540A" w:rsidRDefault="000F540A" w:rsidP="000F540A">
      <w:pPr>
        <w:widowControl w:val="0"/>
        <w:autoSpaceDE w:val="0"/>
        <w:autoSpaceDN w:val="0"/>
        <w:adjustRightInd w:val="0"/>
        <w:jc w:val="both"/>
        <w:rPr>
          <w:rFonts w:asciiTheme="majorHAnsi" w:hAnsiTheme="majorHAnsi"/>
          <w:b/>
          <w:noProof/>
          <w:sz w:val="22"/>
          <w:szCs w:val="22"/>
        </w:rPr>
      </w:pPr>
      <w:bookmarkStart w:id="0" w:name="_Toc449351139"/>
    </w:p>
    <w:p w:rsidR="000F540A" w:rsidRDefault="000F540A" w:rsidP="000F540A">
      <w:pPr>
        <w:widowControl w:val="0"/>
        <w:autoSpaceDE w:val="0"/>
        <w:autoSpaceDN w:val="0"/>
        <w:adjustRightInd w:val="0"/>
        <w:jc w:val="both"/>
        <w:rPr>
          <w:rFonts w:asciiTheme="majorHAnsi" w:hAnsiTheme="majorHAnsi"/>
          <w:b/>
          <w:noProof/>
          <w:sz w:val="22"/>
          <w:szCs w:val="22"/>
        </w:rPr>
      </w:pPr>
    </w:p>
    <w:p w:rsidR="00685257" w:rsidRPr="000F540A" w:rsidRDefault="00685257" w:rsidP="000F540A">
      <w:pPr>
        <w:widowControl w:val="0"/>
        <w:autoSpaceDE w:val="0"/>
        <w:autoSpaceDN w:val="0"/>
        <w:adjustRightInd w:val="0"/>
        <w:jc w:val="both"/>
        <w:rPr>
          <w:rFonts w:asciiTheme="majorHAnsi" w:hAnsiTheme="majorHAnsi"/>
          <w:b/>
          <w:color w:val="FFFFFF" w:themeColor="background1"/>
          <w:sz w:val="22"/>
          <w:szCs w:val="22"/>
        </w:rPr>
      </w:pPr>
      <w:r w:rsidRPr="000F540A">
        <w:rPr>
          <w:rFonts w:asciiTheme="majorHAnsi" w:hAnsiTheme="majorHAnsi"/>
          <w:b/>
          <w:sz w:val="22"/>
          <w:szCs w:val="22"/>
          <w:lang w:val="sq-AL"/>
        </w:rPr>
        <w:t>ZHVILLIMET NË EKONOMINË SHQIPTARE</w:t>
      </w:r>
    </w:p>
    <w:p w:rsidR="000F540A" w:rsidRPr="000F540A" w:rsidRDefault="00685257" w:rsidP="000F540A">
      <w:pPr>
        <w:pStyle w:val="Heading2"/>
        <w:jc w:val="both"/>
        <w:rPr>
          <w:rFonts w:cs="Times New Roman"/>
          <w:sz w:val="22"/>
          <w:szCs w:val="22"/>
          <w:lang w:val="sq-AL"/>
        </w:rPr>
      </w:pPr>
      <w:r w:rsidRPr="000F540A">
        <w:rPr>
          <w:rFonts w:cs="Times New Roman"/>
          <w:sz w:val="22"/>
          <w:szCs w:val="22"/>
          <w:lang w:val="sq-AL"/>
        </w:rPr>
        <w:t xml:space="preserve">Zhvillimet e fundit ekonomike </w:t>
      </w:r>
    </w:p>
    <w:p w:rsidR="00685257" w:rsidRPr="000F540A" w:rsidRDefault="00685257" w:rsidP="000F540A">
      <w:pPr>
        <w:jc w:val="both"/>
        <w:rPr>
          <w:rFonts w:asciiTheme="majorHAnsi" w:hAnsiTheme="majorHAnsi"/>
          <w:sz w:val="22"/>
          <w:szCs w:val="22"/>
          <w:lang w:val="sq-AL"/>
        </w:rPr>
      </w:pPr>
      <w:r w:rsidRPr="000F540A">
        <w:rPr>
          <w:rFonts w:asciiTheme="majorHAnsi" w:hAnsiTheme="majorHAnsi"/>
          <w:sz w:val="22"/>
          <w:szCs w:val="22"/>
          <w:lang w:val="sq-AL"/>
        </w:rPr>
        <w:t xml:space="preserve">Ekonomia shqiptare gjatë vitit 2015 u rrit me 2.77% krahasuar me vitin 2014, sipas vlerësimeve paraprake të mbështetura nëtreguesin e Produktin e Brendshëm Bruto (PBB) tremujor.Viti 2015 tregoi ritme pozitive të rritjes për ekonominë shqiptare. Trendi pozitiv i rritjes u rregjistrua gjatë gjithë vitit. Gjatë katër tremujorë të vitit ekonomia u rrit respektivisht me 2.53% ne tremujorin e parë, 2,82% gjatë tremujorit të dytë, 3,59% dhe 2,12% gjatë tremujorit të tretë dhe të katërt. </w:t>
      </w:r>
    </w:p>
    <w:p w:rsidR="00685257" w:rsidRPr="000F540A" w:rsidRDefault="00685257" w:rsidP="000F540A">
      <w:pPr>
        <w:jc w:val="both"/>
        <w:rPr>
          <w:rFonts w:asciiTheme="majorHAnsi" w:hAnsiTheme="majorHAnsi"/>
          <w:sz w:val="22"/>
          <w:szCs w:val="22"/>
          <w:lang w:val="sq-AL"/>
        </w:rPr>
      </w:pPr>
    </w:p>
    <w:p w:rsidR="00685257" w:rsidRPr="000F540A" w:rsidRDefault="00685257" w:rsidP="000F540A">
      <w:pPr>
        <w:jc w:val="both"/>
        <w:rPr>
          <w:rFonts w:asciiTheme="majorHAnsi" w:hAnsiTheme="majorHAnsi"/>
          <w:sz w:val="22"/>
          <w:szCs w:val="22"/>
          <w:lang w:val="sq-AL"/>
        </w:rPr>
      </w:pPr>
      <w:r w:rsidRPr="000F540A">
        <w:rPr>
          <w:rFonts w:asciiTheme="majorHAnsi" w:hAnsiTheme="majorHAnsi"/>
          <w:sz w:val="22"/>
          <w:szCs w:val="22"/>
          <w:lang w:val="sq-AL"/>
        </w:rPr>
        <w:t>Kontributin kryesor në rritje gjatë 2015 e kanë dhënë degët e ekonomisë si Ndërtimi me 1,14 pikë përqindje, Industria me 0,75 pikë përqindje, Administrata publike, Arsimi dhe Shëndetësia me 0,48 pikë përqindje, Aktivitete profesionale dhe Shërbime administrative me me 0,41 pikë  përqindje, Tregti Hotele dhe Restorante dhe Transporti me 0,30 pikë përqindje, Informacioni dhe Komunikacioni me 0,09 pikë përqindje, Shërbimet e tjera me 0,05 pikë përqindje. Degët që kanë kontribuar negativisht janë Taksat Neto mbi produktet kontribuan negativisht me -0,55 pikë përqindje, Bujqësia, Pyjet dhe Peshkimi me -0,13 pikë përqindje, Subvencionet mbi produktet -0,11 pikë përqindje, Pasuritë e paluajtshme me -0,01 pikë përqindje.</w:t>
      </w:r>
    </w:p>
    <w:p w:rsidR="00685257" w:rsidRPr="000F540A" w:rsidRDefault="00685257" w:rsidP="000F540A">
      <w:pPr>
        <w:jc w:val="both"/>
        <w:rPr>
          <w:rFonts w:asciiTheme="majorHAnsi" w:hAnsiTheme="majorHAnsi"/>
          <w:sz w:val="22"/>
          <w:szCs w:val="22"/>
          <w:lang w:val="sq-AL"/>
        </w:rPr>
      </w:pPr>
      <w:r w:rsidRPr="000F540A">
        <w:rPr>
          <w:rFonts w:asciiTheme="majorHAnsi" w:hAnsiTheme="majorHAnsi"/>
          <w:sz w:val="22"/>
          <w:szCs w:val="22"/>
          <w:lang w:val="sq-AL"/>
        </w:rPr>
        <w:t>Nga pikpamja e shpenzimeve, rritja ekonomike është udhëhequr kryesisht nga kërkesa e brendshme, vechanërisht investimet. Konsumi final regjistroi një rënie gjatë gjysmës së parë të vitit 2015, por rikuperoi në pjesën e dytë të tij, vecanërisht gjatë tremujorit të katërt të vitit ku u rrit me 1,10 % krahasuar me tremujorin e katërt të një viti më parë mbështetur nga normat e ulëta të interesit, rritja e flukseve hyrëse të dërgesave dhe përmirësimi i besimit në ekonomi.Rritmi i rritjes së investimeve u ngadalësua disi në tremujorin e katërt të vitit 2015. Formimi bruto i kapitalit fiks në tremujorin e katërt u rrit me 8.56%, duke ndjekur normat e larta tërritjes prej 13.08% dhe 18.96% gjatë dy tremujorëve paraardhës. Kjo rritje është mbështetur vecanërisht nga investimet e huaja direkte, ato në sektorin e ndërtimit dhe të investimeve publike. Përmirësimi i besimit të biznesit dhe rritja e shfrytëzimit të kapaciteteve e reflektojnë këtë ecuri pozitive të investimeve gjatë vitit 2015. Ndërkohë, konsumi i administratës publike ka vazhduar të tkurret dhe në tremujorin e IV të 2015 ku u ul me 4.33% krahasuar me të njëjtin tremujor të vitit 2014. Kërkesa e huaj ka pasur thuajse një kontribut neutral në rritjen e PBB me vetëm 0.58 pikë përqindje, duke reflektuar kryesisht tkurrjen e saj për eksportet e mallrave, ndërkohë që kërkesa për eksportet e shërbimeve është rritur, kryesisht si rrjedhojë e rritjes së shërbimeve të lidhura me aktivitetin e turizmit.</w:t>
      </w:r>
    </w:p>
    <w:p w:rsidR="00685257" w:rsidRPr="000F540A" w:rsidRDefault="00685257" w:rsidP="000F540A">
      <w:pPr>
        <w:jc w:val="both"/>
        <w:rPr>
          <w:rFonts w:asciiTheme="majorHAnsi" w:hAnsiTheme="majorHAnsi"/>
          <w:sz w:val="22"/>
          <w:szCs w:val="22"/>
          <w:lang w:val="sq-AL"/>
        </w:rPr>
      </w:pPr>
    </w:p>
    <w:p w:rsidR="00685257" w:rsidRPr="000F540A" w:rsidRDefault="00685257" w:rsidP="000F540A">
      <w:pPr>
        <w:jc w:val="both"/>
        <w:rPr>
          <w:rFonts w:asciiTheme="majorHAnsi" w:hAnsiTheme="majorHAnsi"/>
          <w:sz w:val="22"/>
          <w:szCs w:val="22"/>
          <w:lang w:val="sq-AL"/>
        </w:rPr>
      </w:pPr>
      <w:r w:rsidRPr="000F540A">
        <w:rPr>
          <w:rFonts w:asciiTheme="majorHAnsi" w:hAnsiTheme="majorHAnsi"/>
          <w:sz w:val="22"/>
          <w:szCs w:val="22"/>
          <w:lang w:val="sq-AL"/>
        </w:rPr>
        <w:t xml:space="preserve">Tendencat e papunësisë dhe punësimit,sipas Anketës së Forcave të Punës 2015 (LFS 2015) flasin për një trend pozitiv gjatë vitit 2015. Krahasuar me vitin e mëparshëm pati një ulje të shkallës së papunësisë me 0,4 pikë përqindje, duke regjistruar normën 17.5%. Për meshkujt shkalla e papunësisë është 0,1 pikë përqindje më e lartë sesa për femrat. Megjithatë, shkalla e papunësisë mbetet mbi normën e saj mesatare prej 16% gjatë viteve 2012 - 2014. </w:t>
      </w:r>
    </w:p>
    <w:p w:rsidR="00685257" w:rsidRPr="000F540A" w:rsidRDefault="00685257" w:rsidP="000F540A">
      <w:pPr>
        <w:jc w:val="both"/>
        <w:rPr>
          <w:rFonts w:asciiTheme="majorHAnsi" w:hAnsiTheme="majorHAnsi"/>
          <w:sz w:val="22"/>
          <w:szCs w:val="22"/>
          <w:lang w:val="sq-AL"/>
        </w:rPr>
      </w:pPr>
      <w:r w:rsidRPr="000F540A">
        <w:rPr>
          <w:rFonts w:asciiTheme="majorHAnsi" w:hAnsiTheme="majorHAnsi"/>
          <w:sz w:val="22"/>
          <w:szCs w:val="22"/>
          <w:lang w:val="sq-AL"/>
        </w:rPr>
        <w:t>Krahasuar me vitin 2014, shkalla e punësimit u rrit në 52.9% nga 50.5%. Të dhënat tregojnë rritjen e punësimit në prodhim (me përjashtim të industrisë nxjerrëse dhe energji elektrike, gaz dhe ujë industri) dhe në sektorët e shërbimeve. Gjatë vitit 2015 numri i të punësuarve në Shqipëri ishte 1.087.000 persona. Krahasuar me vitin pararendës punësimi u rrit me 4,8 %. Shkalla e pjesëmarrjes në forcat e punës për popullsinë 15-64 vjeç është 64,2 %. Sektori bujqësor dhe sektori i shërbimeve kanë përqindjen më të lartë të të punësuarve me përkatësisht 41,3 % dhe 39,9 % të të punësuarve gjithsej.</w:t>
      </w:r>
    </w:p>
    <w:p w:rsidR="00685257" w:rsidRPr="000F540A" w:rsidRDefault="00685257" w:rsidP="000F540A">
      <w:pPr>
        <w:jc w:val="both"/>
        <w:rPr>
          <w:rFonts w:asciiTheme="majorHAnsi" w:hAnsiTheme="majorHAnsi"/>
          <w:sz w:val="22"/>
          <w:szCs w:val="22"/>
          <w:lang w:val="sq-AL"/>
        </w:rPr>
      </w:pPr>
    </w:p>
    <w:p w:rsidR="00685257" w:rsidRPr="000F540A" w:rsidRDefault="00685257" w:rsidP="000F540A">
      <w:pPr>
        <w:jc w:val="both"/>
        <w:rPr>
          <w:rFonts w:asciiTheme="majorHAnsi" w:hAnsiTheme="majorHAnsi"/>
          <w:sz w:val="22"/>
          <w:szCs w:val="22"/>
          <w:lang w:val="sq-AL"/>
        </w:rPr>
      </w:pPr>
      <w:r w:rsidRPr="000F540A">
        <w:rPr>
          <w:rFonts w:asciiTheme="majorHAnsi" w:hAnsiTheme="majorHAnsi"/>
          <w:sz w:val="22"/>
          <w:szCs w:val="22"/>
          <w:lang w:val="sq-AL"/>
        </w:rPr>
        <w:t xml:space="preserve">Gjatë periudhës janar-dhjetor 2015, inflacioni mesatar rezultoi 1.9%, më i lartë se ai i vitit 2014. Inflacioni vjetor rezultoi 1.9% në gjashtëmujorin e dytë të vitit 2015. Pas vlerës 1.8% </w:t>
      </w:r>
      <w:r w:rsidRPr="000F540A">
        <w:rPr>
          <w:rFonts w:asciiTheme="majorHAnsi" w:hAnsiTheme="majorHAnsi"/>
          <w:sz w:val="22"/>
          <w:szCs w:val="22"/>
          <w:lang w:val="sq-AL"/>
        </w:rPr>
        <w:lastRenderedPageBreak/>
        <w:t xml:space="preserve">në tremujorin e tretë, ai arriti në rreth 2.1% në tremujorin e fundit të vitit. Rritja e normës vjetore të inflacionit reflektoi rritjen më të lartë të çmimeve të prodhimeve bujqësore sezonale, kryesisht në dy muajt e parë të tremujorit të fundit. Në muajin dhjetor, inflacioni i mallrave dhe i shërbimeve u karakterizua, ashtu si ndodh në këtë periudhë të vitit, nga vlera të larta. Në kushtet e mungesës së goditjeve të ofertës, presionet e dobëta inflacioniste nga kërkesa agregate rezultuan në vlera të moderuara dhe me luhatje të ulëta të inflacionit në tremujorin e katërt. Nga pikëpamja makroekonomike, rritja e ngadaltë e inflacionit ka reflektuar rritjen e ngadaltë të kërkesës agregate, çmimet e ulëta të produkteve në tregjet ndërkombëtare dhe pritjet inflacioniste të zhvendosura nën objektivin e Bankës së Shqipërisë. Aktiviteti ekonomik në vend vazhdon të rritet nën potencialin e vet ose e thënë ndryshe, ekonomia vazhdon të ketë kapacitete të pashfrytëzuara prodhimi. Kjo ushtron presione të ulëta për rritje të pagave dhe kostove të prodhimit, e përkthyer në rritje të ngadaltë të çmimeve. Ecuria e deritanishme e inflacionit ka ndikuar në pritje inflacioniste të agjentëve të tregut në nivele më të ulëta se objektivi i Bankës së Shqipërisë. Në reflektim të këtyre zhvillimeve, politika monetare e ndjekur nga Bankae Shqipërisë ka mbetur lehtësuese përgjatë gjithë vitit 2015. Në fund të vitit 2015 norma bazë e interesit ka qenë në nivelin minimal historik prej 1.75%. </w:t>
      </w:r>
    </w:p>
    <w:p w:rsidR="00685257" w:rsidRPr="000F540A" w:rsidRDefault="00685257" w:rsidP="000F540A">
      <w:pPr>
        <w:jc w:val="both"/>
        <w:rPr>
          <w:rFonts w:asciiTheme="majorHAnsi" w:hAnsiTheme="majorHAnsi"/>
          <w:sz w:val="22"/>
          <w:szCs w:val="22"/>
          <w:lang w:val="sq-AL"/>
        </w:rPr>
      </w:pPr>
    </w:p>
    <w:p w:rsidR="00685257" w:rsidRPr="000F540A" w:rsidRDefault="00685257" w:rsidP="000F540A">
      <w:pPr>
        <w:jc w:val="both"/>
        <w:rPr>
          <w:rFonts w:asciiTheme="majorHAnsi" w:hAnsiTheme="majorHAnsi"/>
          <w:sz w:val="22"/>
          <w:szCs w:val="22"/>
          <w:lang w:val="sq-AL"/>
        </w:rPr>
      </w:pPr>
      <w:r w:rsidRPr="000F540A">
        <w:rPr>
          <w:rFonts w:asciiTheme="majorHAnsi" w:hAnsiTheme="majorHAnsi"/>
          <w:sz w:val="22"/>
          <w:szCs w:val="22"/>
          <w:lang w:val="sq-AL"/>
        </w:rPr>
        <w:t>Paraja e gjerë u zgjerua me ritme të moderuara gjatë vitit 2015, në vijim të prirjes ngadalësuese të shfaqur në gjysmën e dytë të vitit. Agregati M3 shënoi një normë vjetore rritjeje1.9%, krahasuar me normën 4% të vitit paraardhës. Depozitat në sistemin bankar gjatë vitit 2015 shënuan një rritje mesatare vjetore rreth 1% kundrejt rritjes 2.8% të një viti më parë. Në terma absolutë, stoku i depozitave në total rezulton rreth 9.9 miliardë lekë më i lartë se në fund të vitit 2014.</w:t>
      </w:r>
    </w:p>
    <w:p w:rsidR="00685257" w:rsidRPr="000F540A" w:rsidRDefault="00685257" w:rsidP="000F540A">
      <w:pPr>
        <w:jc w:val="both"/>
        <w:rPr>
          <w:rFonts w:asciiTheme="majorHAnsi" w:hAnsiTheme="majorHAnsi"/>
          <w:sz w:val="22"/>
          <w:szCs w:val="22"/>
          <w:lang w:val="sq-AL"/>
        </w:rPr>
      </w:pPr>
    </w:p>
    <w:p w:rsidR="00685257" w:rsidRPr="000F540A" w:rsidRDefault="00685257" w:rsidP="000F540A">
      <w:pPr>
        <w:jc w:val="both"/>
        <w:rPr>
          <w:rFonts w:asciiTheme="majorHAnsi" w:hAnsiTheme="majorHAnsi"/>
          <w:sz w:val="22"/>
          <w:szCs w:val="22"/>
          <w:lang w:val="sq-AL"/>
        </w:rPr>
      </w:pPr>
      <w:r w:rsidRPr="000F540A">
        <w:rPr>
          <w:rFonts w:asciiTheme="majorHAnsi" w:hAnsiTheme="majorHAnsi"/>
          <w:sz w:val="22"/>
          <w:szCs w:val="22"/>
          <w:lang w:val="sq-AL"/>
        </w:rPr>
        <w:t>Pavarësisht nënçmimit ndaj dollarit amerikan në pjesën e parë të vitit, në gjashtëmujorin e dytë, leku është shfaqur i qëndrueshëm në këmbimin kundrejt dollarit amerikan dhe është mbiçmuar lehtësisht ndaj monedhës evropiane. Kjo ecuri ka reflektuar raportet e këmbimit të valutave kryesore në tregjet ndërkombëtare, veçanërisht për ecurinë e kursit të këmbimit të lekut ndaj dollarit amerikan, si edhe epërsinë relative të flukseve hyrëse të valutës në treg gjatë periudhës. Gjatë gjashtëmujorit të dytë të vitit 2015, kursi mesatar i këmbimit të euros rezultoi 139.05 lekë, ndërsa ai i dollarit amerikan rezultoi 126 lekë.</w:t>
      </w:r>
    </w:p>
    <w:p w:rsidR="00685257" w:rsidRPr="000F540A" w:rsidRDefault="00685257" w:rsidP="000F540A">
      <w:pPr>
        <w:jc w:val="both"/>
        <w:rPr>
          <w:rFonts w:asciiTheme="majorHAnsi" w:hAnsiTheme="majorHAnsi"/>
          <w:sz w:val="22"/>
          <w:szCs w:val="22"/>
          <w:lang w:val="sq-AL"/>
        </w:rPr>
      </w:pPr>
    </w:p>
    <w:p w:rsidR="00685257" w:rsidRPr="000F540A" w:rsidRDefault="00685257" w:rsidP="000F540A">
      <w:pPr>
        <w:jc w:val="both"/>
        <w:rPr>
          <w:rFonts w:asciiTheme="majorHAnsi" w:hAnsiTheme="majorHAnsi"/>
          <w:sz w:val="22"/>
          <w:szCs w:val="22"/>
          <w:lang w:val="sq-AL"/>
        </w:rPr>
      </w:pPr>
      <w:r w:rsidRPr="000F540A">
        <w:rPr>
          <w:rFonts w:asciiTheme="majorHAnsi" w:hAnsiTheme="majorHAnsi"/>
          <w:sz w:val="22"/>
          <w:szCs w:val="22"/>
          <w:lang w:val="sq-AL"/>
        </w:rPr>
        <w:t>Procesi i fshirjes nga bilanci të kredive të humbura , ka diktuar dinamikën e kredisë gjatë vitit 2015. Në fund të vitit 2015, teprica e kredisë ra në 586 miliardë lekë, duke u tkurrur me 2% gjatë pjesës së dytë të vitit dhe 1.5% në krahasim me një vit më parë. Kjo ecuri reflekton procesin e fshirjes së kredive të humbura. Pesha e kredisë në lekë është rritur gjatë periudhës. Teprica e kredisë në monedhën vendase rezultoi 229.6 miliardë lekë në fund të vitit, duke u rritur me 0.3% krahasuar me nivelin e muajit qershor 2015, dhe me 2.6% në terma vjetorë.Gjatë gjashtëmujorit të dytë të vitit, teprica e kredisë me probleme ka rënë me rreth 15%, në nivelin 106.7 miliardë lekë, duke ndikuar në tkurrjen e raportit të kredive me probleme. Kjo ecuri është mbështetur kryesisht nga (i) procesi i detyrueshëm për fshirjen e kredive të klasifikuara “të humbura”, dhe (ii) veprimet e bankave për ristrukturimin e kredisë. Në uljen e rrezikut të kredisë një ndihmesë domethënëse ka dhënëedhe pagesa e detyrimeve të prapambetura ndaj sektorit privat nga ana e Qeverisë. Vlera e kredisë së fshirë shënon rreth 26.6 miliardë lekë dhe përfshin 14 banka të sektorit. Si rezultat, në fund të dhjetorit 2015, raporti i kredive me probleme (RKP) shënoi 18.2%, duke rënë me 2.7 pikë përqindjeje ndaj nivelit të muajit qershor.</w:t>
      </w:r>
    </w:p>
    <w:p w:rsidR="00685257" w:rsidRPr="000F540A" w:rsidRDefault="00685257" w:rsidP="000F540A">
      <w:pPr>
        <w:jc w:val="both"/>
        <w:rPr>
          <w:rFonts w:asciiTheme="majorHAnsi" w:hAnsiTheme="majorHAnsi"/>
          <w:sz w:val="22"/>
          <w:szCs w:val="22"/>
          <w:lang w:val="sq-AL"/>
        </w:rPr>
      </w:pPr>
    </w:p>
    <w:p w:rsidR="00685257" w:rsidRPr="000F540A" w:rsidRDefault="00685257" w:rsidP="000F540A">
      <w:pPr>
        <w:jc w:val="both"/>
        <w:rPr>
          <w:rFonts w:asciiTheme="majorHAnsi" w:hAnsiTheme="majorHAnsi"/>
          <w:sz w:val="22"/>
          <w:szCs w:val="22"/>
          <w:lang w:val="sq-AL"/>
        </w:rPr>
      </w:pPr>
      <w:r w:rsidRPr="000F540A">
        <w:rPr>
          <w:rFonts w:asciiTheme="majorHAnsi" w:hAnsiTheme="majorHAnsi"/>
          <w:sz w:val="22"/>
          <w:szCs w:val="22"/>
          <w:lang w:val="sq-AL"/>
        </w:rPr>
        <w:t xml:space="preserve">Eksportet për periudhën janar – dhjetor 2015 shënuan rënie prej -4.9% krahasuar me të njëjtën periudhë të një viti më parë, ndërsa vetëm për muajin dhjetor 2015. Kontributi negativ në rënien e eksporteve totale ka ardhura thujse i gjithi nga kategoria “Minerale, lëndë djegëse, energji elektrike” me -8,4 pikë përqindje, brenda kësaj vecanësith prej efektit të rënies së cmimeve të naftës bruto. Rrjeshimisht, nëse ecuria e ekosporteve do të </w:t>
      </w:r>
      <w:r w:rsidRPr="000F540A">
        <w:rPr>
          <w:rFonts w:asciiTheme="majorHAnsi" w:hAnsiTheme="majorHAnsi"/>
          <w:sz w:val="22"/>
          <w:szCs w:val="22"/>
          <w:lang w:val="sq-AL"/>
        </w:rPr>
        <w:lastRenderedPageBreak/>
        <w:t xml:space="preserve">zhvishej nga kjo kategori, ateherë eksportet totale regjistrojnë nje rritje pozitive prej rreth 3.5%. Importet e mallrave për vitin 2015 u tkurrën me 1.4% krahasuar me vitin 2014. Efektin kryesor në tkurrjen e tyre e ka dhënë reduktimi i forrtë i importit të energjisë elektrike krahasuar me vitin 2014 i cili ishte një vit mjaft i vështirë në aspektin e prodhimit të energjisë elektrike. Rrjeshimisht, gjatë periudhës janar – dhjetor   2015, deficiti i bilancit tregtar u zgjerua me 1.60% krahasuar me të njëjtën periudhë të një viti më parë.Aktiviteti  eksportues  i  vendit  vijon  të  mbështetet  kryesisht  në  partnerë  tregtarë  si: Italia, Kosova,  Spanja, Greqia  dhe  Turqia. Në anën  tjetër, origjina  e  produkteve të importuara prej vendit tonë vijon të mbetet  më e larmishme, ku vendet e BE-së zënë peshën kryesore ndaj totalit. </w:t>
      </w:r>
    </w:p>
    <w:p w:rsidR="00AB4E09" w:rsidRPr="000F540A" w:rsidRDefault="00AB4E09" w:rsidP="000F540A">
      <w:pPr>
        <w:jc w:val="both"/>
        <w:rPr>
          <w:rFonts w:asciiTheme="majorHAnsi" w:hAnsiTheme="majorHAnsi"/>
          <w:sz w:val="22"/>
          <w:szCs w:val="22"/>
          <w:lang w:val="sq-AL"/>
        </w:rPr>
      </w:pPr>
    </w:p>
    <w:p w:rsidR="00685257" w:rsidRPr="000F540A" w:rsidRDefault="00685257" w:rsidP="000F540A">
      <w:pPr>
        <w:jc w:val="both"/>
        <w:rPr>
          <w:rFonts w:asciiTheme="majorHAnsi" w:hAnsiTheme="majorHAnsi"/>
          <w:sz w:val="22"/>
          <w:szCs w:val="22"/>
          <w:lang w:val="sq-AL"/>
        </w:rPr>
      </w:pPr>
      <w:r w:rsidRPr="000F540A">
        <w:rPr>
          <w:rFonts w:asciiTheme="majorHAnsi" w:hAnsiTheme="majorHAnsi"/>
          <w:sz w:val="22"/>
          <w:szCs w:val="22"/>
          <w:lang w:val="sq-AL"/>
        </w:rPr>
        <w:t>Për vitin 2015 Bilanci i Pagesave shënoi një tepricë tepër të lartëprej 609 milionë Euro, duke pësuar rritje të fortëkrahasuar me një vit më parë ku rregjistronte një tepricë prej 97.2 milionë Euro. Llogaria korrente thelloi disi deficitin e saj në reth 1,155 milion Euro nga 1287.1 milion Euro që rezultonte në vitin 2014, ndërsaLlogaria financiare dhe kapitale për vitin 2015 shënoi njërritje të fortë të tepricës së saj me 32.4% nga viti 2014. Flukset hyrëse tëInvestimeve të Huaja Direktegjatë vitit 2015 u rritën me rreth 1.5% nga viti 2014. Remitancat nga emigrantët u rritën me 1.04 % krahasuar me vitin 2014.</w:t>
      </w:r>
    </w:p>
    <w:p w:rsidR="00AB4E09" w:rsidRPr="000F540A" w:rsidRDefault="00AB4E09" w:rsidP="000F540A">
      <w:pPr>
        <w:jc w:val="both"/>
        <w:rPr>
          <w:rFonts w:asciiTheme="majorHAnsi" w:hAnsiTheme="majorHAnsi"/>
          <w:sz w:val="22"/>
          <w:szCs w:val="22"/>
          <w:lang w:val="sq-AL"/>
        </w:rPr>
      </w:pPr>
    </w:p>
    <w:p w:rsidR="00AB4E09" w:rsidRPr="000F540A" w:rsidRDefault="00AB4E09" w:rsidP="000F540A">
      <w:pPr>
        <w:spacing w:before="120" w:after="120"/>
        <w:jc w:val="both"/>
        <w:rPr>
          <w:rFonts w:asciiTheme="majorHAnsi" w:hAnsiTheme="majorHAnsi"/>
          <w:b/>
          <w:sz w:val="22"/>
          <w:szCs w:val="22"/>
          <w:lang w:val="sq-AL"/>
        </w:rPr>
      </w:pPr>
      <w:r w:rsidRPr="000F540A">
        <w:rPr>
          <w:rFonts w:asciiTheme="majorHAnsi" w:hAnsiTheme="majorHAnsi"/>
          <w:b/>
          <w:sz w:val="22"/>
          <w:szCs w:val="22"/>
          <w:lang w:val="sq-AL"/>
        </w:rPr>
        <w:t>POLITIKAT FISKALE DHE EFEKTET NË EKONOMI</w:t>
      </w:r>
    </w:p>
    <w:p w:rsidR="00AB4E09" w:rsidRPr="000F540A" w:rsidRDefault="00AB4E09" w:rsidP="000F540A">
      <w:pPr>
        <w:spacing w:before="120" w:after="120"/>
        <w:jc w:val="both"/>
        <w:rPr>
          <w:rFonts w:asciiTheme="majorHAnsi" w:hAnsiTheme="majorHAnsi"/>
          <w:b/>
          <w:sz w:val="22"/>
          <w:szCs w:val="22"/>
          <w:lang w:val="sq-AL"/>
        </w:rPr>
      </w:pPr>
      <w:r w:rsidRPr="000F540A">
        <w:rPr>
          <w:rFonts w:asciiTheme="majorHAnsi" w:hAnsiTheme="majorHAnsi"/>
          <w:b/>
          <w:sz w:val="22"/>
          <w:szCs w:val="22"/>
          <w:lang w:val="sq-AL"/>
        </w:rPr>
        <w:t>Ndryshimet fiskale në vitin 2015 dhe efektet në buxhet dhe në ekonomi</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i/>
          <w:sz w:val="22"/>
          <w:szCs w:val="22"/>
          <w:lang w:val="sq-AL"/>
        </w:rPr>
        <w:t>Paketa Fiskale 2015</w:t>
      </w:r>
      <w:r w:rsidRPr="000F540A">
        <w:rPr>
          <w:rFonts w:asciiTheme="majorHAnsi" w:hAnsiTheme="majorHAnsi"/>
          <w:sz w:val="22"/>
          <w:szCs w:val="22"/>
          <w:lang w:val="sq-AL"/>
        </w:rPr>
        <w:tab/>
      </w:r>
      <w:r w:rsidRPr="000F540A">
        <w:rPr>
          <w:rFonts w:asciiTheme="majorHAnsi" w:hAnsiTheme="majorHAnsi"/>
          <w:sz w:val="22"/>
          <w:szCs w:val="22"/>
          <w:lang w:val="sq-AL"/>
        </w:rPr>
        <w:tab/>
        <w:t>Paketa fiskale e vitit 2015 synonte një zgjerim të mëtejshëm të bazës së të ardhurave për të mbështetur rritjen e shpenzimeve publike dhe konsolidimin fiskal. Hartimi i saj u bë në drejtim të mbështetjes së reformave të qeverisë për vitin 2015, për disa sektorë të ekonomisë të tillë si sektorin e sigurimeve, hidrokarbureve, bujqësisë dhe agrobiznesit.</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Paketa Fiskale 2015 solli ndryshime të rëndësishme në taksat e mëposhtme: </w:t>
      </w:r>
    </w:p>
    <w:p w:rsidR="00AB4E09" w:rsidRPr="000F540A" w:rsidRDefault="00AB4E09" w:rsidP="000F540A">
      <w:pPr>
        <w:spacing w:before="120" w:after="120"/>
        <w:jc w:val="both"/>
        <w:rPr>
          <w:rFonts w:asciiTheme="majorHAnsi" w:hAnsiTheme="majorHAnsi"/>
          <w:i/>
          <w:sz w:val="22"/>
          <w:szCs w:val="22"/>
          <w:lang w:val="sq-AL"/>
        </w:rPr>
      </w:pPr>
      <w:r w:rsidRPr="000F540A">
        <w:rPr>
          <w:rFonts w:asciiTheme="majorHAnsi" w:hAnsiTheme="majorHAnsi"/>
          <w:i/>
          <w:sz w:val="22"/>
          <w:szCs w:val="22"/>
          <w:lang w:val="sq-AL"/>
        </w:rPr>
        <w:t>Tatimi mbi të ardhurat personale (TAP)  u rrit nga 10% në 15%.</w:t>
      </w:r>
      <w:r w:rsidR="000F540A">
        <w:rPr>
          <w:rFonts w:asciiTheme="majorHAnsi" w:hAnsiTheme="majorHAnsi"/>
          <w:i/>
          <w:sz w:val="22"/>
          <w:szCs w:val="22"/>
          <w:lang w:val="sq-AL"/>
        </w:rPr>
        <w:t xml:space="preserve"> </w:t>
      </w:r>
      <w:r w:rsidRPr="000F540A">
        <w:rPr>
          <w:rFonts w:asciiTheme="majorHAnsi" w:hAnsiTheme="majorHAnsi"/>
          <w:sz w:val="22"/>
          <w:szCs w:val="22"/>
          <w:lang w:val="sq-AL"/>
        </w:rPr>
        <w:t>Efekti nga kjo masë në buxhetin e shtetit u parashikua të ishte 5 miliard lekë. Ndër komponentët që ndryshuan përmendim: tatimi mbi dividentin, interesat nga huatë, depozitat ose kontrata të ngjashme, të ardhurat nga e drejta e autorit ose pronësia intelektuale, qiraja, të ardhurat nga lojërat e fatit, si dhe të gjitha shpërblimet apo të ardhurat e tjera. Këto masa erdhën  në të njëjtën linjë me politikat afatmesme të qeverisë lidhur me qëndrueshmërinë fiskale.</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Të ardhurat nga ky grup taksash u parashikuan të ishin 2.9 miliard lekë më shumë se të ardhurat e realizuara në vitin 2014. Realizimi në vitin 2015 ishte 418 milion lekë më shumë se viti 2014. Ky efekt erdhi si rezultat i ndërveprimit të një sërë faktorësh, shumica e tyre faktorë të jashtëm. Lufta ndaj informalitetit e cila nisi në shtator 2015, ishte faktori i cili ndikoi pozitivisht në rritjen e të ardhurave nga ky grup taksash.</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Faktorët të tjerë të cilët ndikuan negativisht në performancën e të ardhurave nga ky grup taksash përmendim: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mangësitë në parashikimin e efekteve  në buxhet të kësaj mase fiskale</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rritja e PBB në vitin 2015 më pak se parashikimi (kuadri korrikut 2.7%, kuadri më i fundit 2.6%)</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rënia e normave të interesit në minimum gjatë vitit 2015 (Janar- Tetor 2%, Nëntor-Dhjetor 1.75%)</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shpërndarja e ulët e dividentëve gjatë vitit 2015, si pasojë e shpërndarjes së tyre në Dhjetor 2014 pas miratimit të paketës fiskale 2015, dhe  rritjes së investimeve nga ana e kompanive gjatë vitit 2015</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lastRenderedPageBreak/>
        <w:t>-</w:t>
      </w:r>
      <w:r w:rsidRPr="000F540A">
        <w:rPr>
          <w:rFonts w:asciiTheme="majorHAnsi" w:hAnsiTheme="majorHAnsi"/>
          <w:sz w:val="22"/>
          <w:szCs w:val="22"/>
          <w:lang w:val="sq-AL"/>
        </w:rPr>
        <w:tab/>
        <w:t>Rënia e aktivitetit në disa sektorë specifik si ndërtimi (krahasuar me 2014 kontributi i këtij sektori në të ardhurat tatimore pësoi rënie nga 9% në 7.5%)</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i/>
          <w:sz w:val="22"/>
          <w:szCs w:val="22"/>
          <w:lang w:val="sq-AL"/>
        </w:rPr>
        <w:t>Taksa e qarkullimit u rrit nga 17 lekë/litër në 27 lekë/litër për naftën dhe benzinën</w:t>
      </w:r>
      <w:r w:rsidRPr="000F540A">
        <w:rPr>
          <w:rFonts w:asciiTheme="majorHAnsi" w:hAnsiTheme="majorHAnsi"/>
          <w:sz w:val="22"/>
          <w:szCs w:val="22"/>
          <w:lang w:val="sq-AL"/>
        </w:rPr>
        <w:t>. Efekti në buxhet u parashikua rreth 5.6 miliard lekë nga taksa e qarkullimit dhe rreth 1,1 miliard lekë nga TVSH- ja. Realizimi i të ardhurave nga taksa e qarkullimit për vitin 2015 ishte 15.2 milard lekë, rreth 4,4 miliard lekë më shumë se viti 2014.</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Rritja balancoi disi humbjet nga TVSH dhe renta minerare që janë taksa ad-valorem duke mos ndikuar në rritjen e çmimit mesatar të produkteve për konsum që pavarësisht rritjes së kësaj takse rezultoi në ulje të çmimit deri në nivelin 160 lekë/litër.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i/>
          <w:sz w:val="22"/>
          <w:szCs w:val="22"/>
          <w:lang w:val="sq-AL"/>
        </w:rPr>
        <w:t>Rritja e akcizës për cigaret dhe duhanin</w:t>
      </w:r>
      <w:r w:rsidR="000F540A" w:rsidRPr="000F540A">
        <w:rPr>
          <w:rFonts w:asciiTheme="majorHAnsi" w:hAnsiTheme="majorHAnsi"/>
          <w:i/>
          <w:sz w:val="22"/>
          <w:szCs w:val="22"/>
          <w:lang w:val="sq-AL"/>
        </w:rPr>
        <w:t>.</w:t>
      </w:r>
      <w:r w:rsidR="000F540A">
        <w:rPr>
          <w:rFonts w:asciiTheme="majorHAnsi" w:hAnsiTheme="majorHAnsi"/>
          <w:sz w:val="22"/>
          <w:szCs w:val="22"/>
          <w:lang w:val="sq-AL"/>
        </w:rPr>
        <w:t xml:space="preserve"> </w:t>
      </w:r>
      <w:r w:rsidRPr="000F540A">
        <w:rPr>
          <w:rFonts w:asciiTheme="majorHAnsi" w:hAnsiTheme="majorHAnsi"/>
          <w:sz w:val="22"/>
          <w:szCs w:val="22"/>
          <w:lang w:val="sq-AL"/>
        </w:rPr>
        <w:t xml:space="preserve">Në zbatim të ndryshimit të ligjit të akcizës niveli i akcizës u rrit  në  5500 lekë /1000 copë (110 lekë /paketë). Efekti pozitiv në të ardhurat e buxhetit të shtetit nga rritja e akcizës për vitin 2015, u parashikua rreth 3.4 miliardë lekë nga akciza dhe 600 milionë lekë nga TVSH-ja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Për duhanin duhanit  niveli i akcizës u rrit në me 4400 lekë/ kg. Efekti në të ardhura u parashikua 200 milionë lekë për vitin 2015.</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Si rezultat i ndryshimit të taksimit në dy vite radhazi  kompanitë importuese rritën importet duke krijuar stok rezervë gjë që ndikoi në rënien e sasisë së cigareve gjatë vitit 2015 në nivelin 2,478 ton. Si rezultat të ardhurat nga akciza për cigaret  u rritën vetëm me 23 milion lekë krahasuar me vitin 2014.  </w:t>
      </w:r>
    </w:p>
    <w:p w:rsidR="00AB4E09" w:rsidRPr="000F540A" w:rsidRDefault="00AB4E09" w:rsidP="000F540A">
      <w:pPr>
        <w:spacing w:before="120" w:after="120"/>
        <w:jc w:val="both"/>
        <w:rPr>
          <w:rFonts w:asciiTheme="majorHAnsi" w:hAnsiTheme="majorHAnsi"/>
          <w:i/>
          <w:sz w:val="22"/>
          <w:szCs w:val="22"/>
          <w:lang w:val="sq-AL"/>
        </w:rPr>
      </w:pPr>
      <w:r w:rsidRPr="000F540A">
        <w:rPr>
          <w:rFonts w:asciiTheme="majorHAnsi" w:hAnsiTheme="majorHAnsi"/>
          <w:i/>
          <w:sz w:val="22"/>
          <w:szCs w:val="22"/>
          <w:lang w:val="sq-AL"/>
        </w:rPr>
        <w:t>Taksat Doganore në sektorin e bujqësisë</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Ulje  2% në 0% të taksave për importin e produkteve që shërbejnë si lëndë të para për agroindustrinë apo blegtorinë si p.sh. gruri, ushqimi për kafshët, zogjtë një ditor, derrat nën 30 kg, viçat nën 160 kg, reduktimin  nga 10% në 0% i tarifës doganore të miellit dhe të materialit biologjik elitar me efekt total faktik prej 128 milion lekë.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Reduktimi i taksës doganore për naftën bruto erdhi  si mbështetje e qeverisë në uljen e kostove të prodhimit të rafinerive në vend, për t’i dhënë një stimul fiskal këtij sektori, për vitin 2015, me synim rritjen e përpunimit të naftës bruto dhe nënprodukteve të saj.Kjo lehtësi fiskale nuk u shfrytëzua gjatë vitit 2015 për shkak të konjukturës së çmimit ndërkombëtar në raport me kapacitetet përpunuese vendase.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Ulja e taksës doganore për gomat e reja nga 15%  ne 10% llogaritet si  efekt negativ prej  55  milion lekë bazuar në sasinë e gomave të importit të vitit 2015 nëse do të aplikohej taksimi 15%.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Në kushtet e sasisë së rritur prej 111 ton efekti  në të ardhurat nga gomat krahasuar me vitin 2014 rezultoi +16.5 milion lekë.</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i/>
          <w:sz w:val="22"/>
          <w:szCs w:val="22"/>
          <w:lang w:val="sq-AL"/>
        </w:rPr>
        <w:t>Sektori i pensioneve vullnetare</w:t>
      </w:r>
      <w:r w:rsidRPr="000F540A">
        <w:rPr>
          <w:rFonts w:asciiTheme="majorHAnsi" w:hAnsiTheme="majorHAnsi"/>
          <w:sz w:val="22"/>
          <w:szCs w:val="22"/>
          <w:lang w:val="sq-AL"/>
        </w:rPr>
        <w:t xml:space="preserve"> –përjashtimin nga tatimi mbi të ardhurat personale i kontributeve në fondet vullnetare të pensioneve, që në momentin e kontributit. Kjo masë fiskale u vu në zbatim me qëllim rritjen e shkallës së kursimit afatgjatë dhe harmonizimit me praktikën e vendeve të BE-së.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Primi në sektorin e sigurimeve –Nga data 1 janar 2015, u zbatua përjashtimi nga Tatimi mbi Vlerën e Shtuar i primeve të shkruara për produktet e jo-jetës, (duke sjellë trajtimin e tyre fiskal sipas Direktivës Evropiane). Ky përjashtim u zëvendësua me  një taksë të re kombëtare, prej 3% mbi primin e sigurimit.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Kjo masë u parashikua  të sillte një efekt prej 500 milionë lekë minus nga të ardhurat nga TVSH-ja, dhe 220 milion lekë nga taksa mbi primet e shkruara. Efekti neto në të ardhurat nga këto dy taksa pritej të ishte rreth 280 milionë lekë minus. Realizimi i të ardhurave nga kjo taksë për vitin 2015 ishte 300 milion lekë, 80 milion lekë më shumë se parashikimi i vitit 2015. </w:t>
      </w:r>
    </w:p>
    <w:p w:rsidR="00273119" w:rsidRPr="000F540A" w:rsidRDefault="00273119" w:rsidP="00273119">
      <w:pPr>
        <w:jc w:val="both"/>
        <w:rPr>
          <w:rFonts w:asciiTheme="majorHAnsi" w:hAnsiTheme="majorHAnsi"/>
          <w:b/>
          <w:sz w:val="22"/>
          <w:szCs w:val="22"/>
          <w:lang w:val="sq-AL"/>
        </w:rPr>
      </w:pPr>
      <w:r w:rsidRPr="000F540A">
        <w:rPr>
          <w:rFonts w:asciiTheme="majorHAnsi" w:hAnsiTheme="majorHAnsi"/>
          <w:b/>
          <w:sz w:val="22"/>
          <w:szCs w:val="22"/>
          <w:lang w:val="sq-AL"/>
        </w:rPr>
        <w:t>Buxheti i vitit 2015 siguroi:</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lastRenderedPageBreak/>
        <w:t>•</w:t>
      </w:r>
      <w:r w:rsidRPr="000F540A">
        <w:rPr>
          <w:rFonts w:asciiTheme="majorHAnsi" w:hAnsiTheme="majorHAnsi"/>
          <w:sz w:val="22"/>
          <w:szCs w:val="22"/>
          <w:lang w:val="sq-AL"/>
        </w:rPr>
        <w:tab/>
        <w:t>Rivendosjen e stabilitetit makroekonomik e fiskal, nëpërmjet mbështetjes së vazhdueshme buxhetore ndaj sektorëve prioritarë, të tillë si: arsimi, shëndetësia, bujqësia dhe infrastruktura.</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o</w:t>
      </w:r>
      <w:r w:rsidRPr="000F540A">
        <w:rPr>
          <w:rFonts w:asciiTheme="majorHAnsi" w:hAnsiTheme="majorHAnsi"/>
          <w:sz w:val="22"/>
          <w:szCs w:val="22"/>
          <w:lang w:val="sq-AL"/>
        </w:rPr>
        <w:tab/>
        <w:t>Marrëveshje dy palëshe bashkëpunimi me FMN, për të mundësuar uljen graduale të borxhit publik dhe reformat në sektorët kyç të ekonomisë.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Vendosjen e një sistemi të shëndetshëm të menaxhimit financiar, i cili nuk do të lejojë krijimin dhe mbartjen e detyrimeve të prapambetura financiare, kryesisht ndaj biznesit, si dhe shlyerja e stokut të detyrimeve të që ishin krijuar tashmë;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o</w:t>
      </w:r>
      <w:r w:rsidRPr="000F540A">
        <w:rPr>
          <w:rFonts w:asciiTheme="majorHAnsi" w:hAnsiTheme="majorHAnsi"/>
          <w:sz w:val="22"/>
          <w:szCs w:val="22"/>
          <w:lang w:val="sq-AL"/>
        </w:rPr>
        <w:tab/>
        <w:t>Shlyerja e plotë e detyrimeve të prapambetura të evidentuara nga procesi gjithëpërfshirës i auditimit të tyre.</w:t>
      </w:r>
    </w:p>
    <w:p w:rsidR="00273119" w:rsidRPr="000F540A" w:rsidRDefault="00273119" w:rsidP="00273119">
      <w:pPr>
        <w:jc w:val="both"/>
        <w:rPr>
          <w:rFonts w:asciiTheme="majorHAnsi" w:hAnsiTheme="majorHAnsi"/>
          <w:sz w:val="22"/>
          <w:szCs w:val="22"/>
          <w:lang w:val="sq-AL"/>
        </w:rPr>
      </w:pP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 xml:space="preserve">Karakteristikat kryesore të buxhetit 2015: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Çdo politikë e re buxhetore/financiare reflektoi opinionin e publikut, biznesit apo shoqërisë civile;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U shlyhen detyrimet e prapambetura të qeverisë ndaj biznesit për punë dhe shërbime publike të kryera, si dhe rimbursimi i TVSH-së dhe tatim fitimit prej rreth 34 miliardë lekë. Kjo krijoi hapësirë për më shumë likuiditet dhe investime, që çuan në më shumë kredi dhe punësim;</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Përfitimet sociale shkuan tek ata që e meritojnë dhe jo tek ata që paguajnë për ta përfituar;</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Arsimi ishte prioritet dhe u fokusua drejt atij profesional, me qëllim sigurimin e një lidhjeje më të mirë mes tregut të punës dhe arsimimit të brezit të ri;</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Shëndetësia ofroi shërbime publike më cilësore, nëpërmjet sigurimit të një mbështetjeje të veçantë ndaj shërbimit spitalor dhe kryerjes së diagnostifikimit falas;</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Fermerët përfituan subvencione, në përputhje me nivelin e prodhimit bujqësor të realizuar;</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Shtresat në nevojë u kompensuan nëpërmjet skemave sociale më transparente dhe ekonomike;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U hoq tatimi i biznesit të vogël gjë e cila ndikoi pozitivisht në sipërmarrjen private;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Publiku kishte një qeveri më të vogël, por më eficiente dhe më pak burokratike.</w:t>
      </w:r>
    </w:p>
    <w:p w:rsidR="00273119" w:rsidRPr="000F540A" w:rsidRDefault="00273119" w:rsidP="00273119">
      <w:pPr>
        <w:jc w:val="both"/>
        <w:rPr>
          <w:rFonts w:asciiTheme="majorHAnsi" w:hAnsiTheme="majorHAnsi"/>
          <w:sz w:val="22"/>
          <w:szCs w:val="22"/>
          <w:lang w:val="sq-AL"/>
        </w:rPr>
      </w:pP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Buxheti i  vitit 2015, ka financuar 128 programe buxhetore dhe ka synuar realizimin e 833 produkteve të 16 ministrive, 39 institucioneve qendrore dhe fondeve speciale për sigurimet shoqërore, shëndetësore dhe kompensimin në vlerë të ish-pronarëve. Gjithashtu, këto shpenzime kanë financuar edhe buxhetin e 65 bashkive, 308 komunave dhe 12 qarqeve para datës 21 qershor 2015 dhe pas kësaj date, të 61 bashki dhe 12 qarqeve. Ministritë dhe institucionet buxhetore, që përfaqësojnë buxhetin qendror kanë shpenzuar 401 miliardë lekë ose 92 për qind të totalit të shpenzimeve, ndërsa njësitë e qeverisjes vendore kanë shpenzuar 35 miliardë lekë ose 8 për qind të totalit të shpenzimeve të përgjithshme të vitit 2015. Në përgjithësi evidentohet një performancë relativisht e mirë e realizimit të produkteve buxhetore nga ministritë e linjës.</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Nga 833 produkte të parashikuara për vitin 2015, janë realizuar plotësisht 678 produkte ose 81.4 për qind, realizuar pjesërisht 114 produkte ose 13.6 për qind dhe nuk janë realizuar 41 produkte ose 5 për qind e planit të vitit 2015.</w:t>
      </w:r>
    </w:p>
    <w:p w:rsidR="00273119" w:rsidRPr="000F540A" w:rsidRDefault="00273119" w:rsidP="00273119">
      <w:pPr>
        <w:jc w:val="both"/>
        <w:rPr>
          <w:rFonts w:asciiTheme="majorHAnsi" w:hAnsiTheme="majorHAnsi"/>
          <w:sz w:val="22"/>
          <w:szCs w:val="22"/>
          <w:lang w:val="sq-AL"/>
        </w:rPr>
      </w:pP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Disa punë dhe investime të financuara me buxhetin e vitit 2015</w:t>
      </w:r>
    </w:p>
    <w:p w:rsidR="00273119" w:rsidRPr="000105BE" w:rsidRDefault="00273119" w:rsidP="00273119">
      <w:pPr>
        <w:jc w:val="both"/>
        <w:rPr>
          <w:rFonts w:asciiTheme="majorHAnsi" w:hAnsiTheme="majorHAnsi"/>
          <w:i/>
          <w:sz w:val="22"/>
          <w:szCs w:val="22"/>
          <w:lang w:val="sq-AL"/>
        </w:rPr>
      </w:pPr>
      <w:r w:rsidRPr="000105BE">
        <w:rPr>
          <w:rFonts w:asciiTheme="majorHAnsi" w:hAnsiTheme="majorHAnsi"/>
          <w:i/>
          <w:sz w:val="22"/>
          <w:szCs w:val="22"/>
          <w:lang w:val="sq-AL"/>
        </w:rPr>
        <w:t xml:space="preserve">Në fushën e arsimit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Financimi i 110 projekteve të reja në arsimin parauniversitar (63 objekte arsimore dhe 46 terrene sportive);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Integrimi i kurrikulës së re për grup moshën 3-18 vjeç, për rreth 74,000 fëmijë/nxënës dhe trajnimi i 11 500 mësuesve për këtë kurrikul. Implementimi i programit kombëtar të arsimit Shqipëri-Kosovë;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Financimi i transportit për 32,000 nxënës dhe 12,000 mësuesve, duke përfshirë për herë të parë në këtë skemë fëmijët e arsimit parashkollor dhe edukatorët e kopshteve;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lastRenderedPageBreak/>
        <w:t>•</w:t>
      </w:r>
      <w:r w:rsidRPr="000F540A">
        <w:rPr>
          <w:rFonts w:asciiTheme="majorHAnsi" w:hAnsiTheme="majorHAnsi"/>
          <w:sz w:val="22"/>
          <w:szCs w:val="22"/>
          <w:lang w:val="sq-AL"/>
        </w:rPr>
        <w:tab/>
        <w:t>Rimbursimi i shpenzimeve i blerjes së teksteve shkollore për vitin akademik 2015-2016, për 100 mijë nxënës të kategorive të veçanta dhe shtresave në nevojë;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Rritja me 4-5 për qind e numrit të fëmijëve në arsimin parashkollor, përmes sigurimit të kushteve të infrastrukturës dhe mbështetjes me personel të kualifikuar dhe trajnuar;</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Mbështetje financiare për rindërtimin e Stadiumit “Loro Borici”, Shkodër, në vlerën 1.5 miliardë lekë;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Rankimi i 5300 mësuesve, nëpërmjet portalit “Mësues për Shqipërinë”, në konkurrencë dhe në transparencë të plotë të mësuesve për punësim mbi bazë të meritës;</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Dixhitalizimi i sistemit arsimor shqiptar, projekti “Modernizimi i sistemit arsimor në Shqipëri  nëpërmjet e-Edukimit”, i pilotuar fillimisht në 60 shkolla të mesme të përgjithshme në vend, ku u ndërtuan 120 klasa inteligjente dhe përfituan 45,750 nxënës/gjimazistë dhe 2,245 mësues;</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Mbështetje financiare  për 23 federata sportive dhe sportistët me rezultate të larta;</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Financimi i projektit “Tirana Olimpik Park”;</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Realizimi i projektit “Shkolla si qendra komunitare”, në 66 shkolla 9-vjeçare dhe të mesme;.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Blerje pajisje e orendish për më shumë se 85 institucione arsimore;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Këto investime kanë mundësuar sigurimin e kushteve më të mira të infrastrukturës dhe përmirësimin e cilësisë së mësimdhënies dhe mësimnxënies, për rreth 580 mijë nxënës/fëmijë si dhe për 38,300 mësues/edukatorë e punonjës të institucioneve arsimore.</w:t>
      </w:r>
    </w:p>
    <w:p w:rsidR="00273119" w:rsidRPr="000F540A" w:rsidRDefault="00273119" w:rsidP="00273119">
      <w:pPr>
        <w:jc w:val="both"/>
        <w:rPr>
          <w:rFonts w:asciiTheme="majorHAnsi" w:hAnsiTheme="majorHAnsi"/>
          <w:sz w:val="22"/>
          <w:szCs w:val="22"/>
          <w:lang w:val="sq-AL"/>
        </w:rPr>
      </w:pPr>
    </w:p>
    <w:p w:rsidR="00273119" w:rsidRPr="000105BE" w:rsidRDefault="00273119" w:rsidP="00273119">
      <w:pPr>
        <w:jc w:val="both"/>
        <w:rPr>
          <w:rFonts w:asciiTheme="majorHAnsi" w:hAnsiTheme="majorHAnsi"/>
          <w:i/>
          <w:sz w:val="22"/>
          <w:szCs w:val="22"/>
          <w:lang w:val="sq-AL"/>
        </w:rPr>
      </w:pPr>
      <w:r w:rsidRPr="000105BE">
        <w:rPr>
          <w:rFonts w:asciiTheme="majorHAnsi" w:hAnsiTheme="majorHAnsi"/>
          <w:i/>
          <w:sz w:val="22"/>
          <w:szCs w:val="22"/>
          <w:lang w:val="sq-AL"/>
        </w:rPr>
        <w:t>Në fushën e shëndetësisë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U finalizua investimi i rëndësishm prej gati 220 milionë lekë për Spitalin Psikiatrik të Vlorës.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Gjatë vitit 2015 u finalizua vënia në funksionim e stroke unit në Shërbimin e Neurologjisë në QSUT. Ky investim prej 23 milionë lekësh do t’i shërbeje trajtimit të shpejtë dhe cilësor të pacientëve me aksidente vaskulare-cerebrale, duke përmirësuar në këtë mënyrë prognozën e sëmundjes dhe ulur invaliditetin e tyre;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U ndërtua bunkeri për instalimin e akseleratorit linear pranë Shërbimit Onkologjik në QSUT dhe ka filluar instalimi i pajisjes;</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U sigurua blerja e një Rezonance manjetike për Spitalin Rajonal të Shkodrës.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Listës së barnave të rimbursueshme ju shtuan 29 alternativa të reja, nga të cilat përfitojnë drejtpërdrejt rreth 11 mijë pacientë. Rreth 8.7 miliardë lekë u shpenzuan gjatë vitit 2015 për rreth 515 mijë përfitues të barnave të listës së rimbursueshme.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Gjatë vitit 2015 u bë Karta e Shëndetit, e cila zëvendësoi librezën shëndetësore. Karta kthen kohën dhe rolin e mjekut të familjes në funksion të shërbimit ndaj pacientëve.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Një ndër projektet më të rëndësishme të vëna në jetë gjatë vitit 2015 është programi i kontrollit bazë për grupmoshat 40 deri 65 vjeç.</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Projekti i recetës elektronike, është një tjetër drejtim në të cilin është investuar gjatë vitit 2015.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Gjatë periudhës së verës, funksionuan 22 qendra shëndetësore të sezonit veror, duke mbuluar shpenzimet për shërbimin 24 orësh për personelin e punësuar rishtas dhe për barna e materiale mjekimi, si dhe shërbime të tjera shtesë. Nga këto qendra është mbuluar një aktivitet i konsiderueshëm shëndetësor prej 25 mijë vizitash.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Gjatë vitit 2015 ka vijuar programi i dezinsektimit të zonave ligatinore të bregdetit me synim të dyfishtë, qoftë mbrojtjen e shëndetit nga rreziku, qoftë në reduktimin e problematikave të ndryshme gjatë sezonit turistik.</w:t>
      </w:r>
    </w:p>
    <w:p w:rsidR="00273119" w:rsidRPr="000F540A" w:rsidRDefault="00273119" w:rsidP="00273119">
      <w:pPr>
        <w:jc w:val="both"/>
        <w:rPr>
          <w:rFonts w:asciiTheme="majorHAnsi" w:hAnsiTheme="majorHAnsi"/>
          <w:sz w:val="22"/>
          <w:szCs w:val="22"/>
          <w:lang w:val="sq-AL"/>
        </w:rPr>
      </w:pPr>
    </w:p>
    <w:p w:rsidR="00273119" w:rsidRPr="000105BE" w:rsidRDefault="00273119" w:rsidP="00273119">
      <w:pPr>
        <w:jc w:val="both"/>
        <w:rPr>
          <w:rFonts w:asciiTheme="majorHAnsi" w:hAnsiTheme="majorHAnsi"/>
          <w:i/>
          <w:sz w:val="22"/>
          <w:szCs w:val="22"/>
          <w:lang w:val="sq-AL"/>
        </w:rPr>
      </w:pPr>
      <w:r w:rsidRPr="000105BE">
        <w:rPr>
          <w:rFonts w:asciiTheme="majorHAnsi" w:hAnsiTheme="majorHAnsi"/>
          <w:i/>
          <w:sz w:val="22"/>
          <w:szCs w:val="22"/>
          <w:lang w:val="sq-AL"/>
        </w:rPr>
        <w:t>Në fushën e ekonomisë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Disa nga treguesit e arritur nga financimi i projekteve për vitin 2015 janë: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Mbështetja financiare për bizneset nëpërmjet:</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Fondit të konkurrueshmërisë në të cilin kanë aplikuar 60 kompani dhe janë miratuar 29. Realizimi i këtij projekti ka pasur impakt në zhvillimin e SME-ve në sektorin e </w:t>
      </w:r>
      <w:r w:rsidRPr="000F540A">
        <w:rPr>
          <w:rFonts w:asciiTheme="majorHAnsi" w:hAnsiTheme="majorHAnsi"/>
          <w:sz w:val="22"/>
          <w:szCs w:val="22"/>
          <w:lang w:val="sq-AL"/>
        </w:rPr>
        <w:lastRenderedPageBreak/>
        <w:t>eksporteve, përmirësim në cilësinë e produkteve të eksportuara, si dhe rritje e konkurrueshmerisë së tyre në treg.</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Fondit për mbështetje të biznesit kreativ, për të cilin kanë aplikuar dhe janë miratuar 9 artizanë. Impakti i këtij projekti ka qenë i adresuar në këta elementë: zhvillimi i produktit, marketingut, kualifikimit dhe ndërtimit të kapaciteteve të sektorit të artizanatit.</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Fondit start-up, me të cilin janë mbështetur disa biznese që drejtohen nga femra apo që janë në fazën fillestare të tyre.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Projektit “Edhe unë kam një ëndërr”, i cili ka financuar projektet fituese të konkursit me të njëjtin emër.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Realizimit të mbështetjes dhe promovimit për përdorimin e standardeve evropiane dhe ndërkombëtare.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Realizimit të mbështetjes së pronësisë industriale dhe zhvillimit të tregtisë dhe konkurrencës së ndershme.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Promovimit dhe zhvillimit të Turizmit në Shqipëri si “destinacion turistik” në Evropë e më gjerë. </w:t>
      </w:r>
    </w:p>
    <w:p w:rsidR="00273119" w:rsidRPr="000F540A" w:rsidRDefault="00273119" w:rsidP="00273119">
      <w:pPr>
        <w:jc w:val="both"/>
        <w:rPr>
          <w:rFonts w:asciiTheme="majorHAnsi" w:hAnsiTheme="majorHAnsi"/>
          <w:sz w:val="22"/>
          <w:szCs w:val="22"/>
          <w:lang w:val="sq-AL"/>
        </w:rPr>
      </w:pPr>
    </w:p>
    <w:p w:rsidR="00273119" w:rsidRPr="000105BE" w:rsidRDefault="00273119" w:rsidP="00273119">
      <w:pPr>
        <w:jc w:val="both"/>
        <w:rPr>
          <w:rFonts w:asciiTheme="majorHAnsi" w:hAnsiTheme="majorHAnsi"/>
          <w:i/>
          <w:sz w:val="22"/>
          <w:szCs w:val="22"/>
          <w:lang w:val="sq-AL"/>
        </w:rPr>
      </w:pPr>
      <w:r w:rsidRPr="000105BE">
        <w:rPr>
          <w:rFonts w:asciiTheme="majorHAnsi" w:hAnsiTheme="majorHAnsi"/>
          <w:i/>
          <w:sz w:val="22"/>
          <w:szCs w:val="22"/>
          <w:lang w:val="sq-AL"/>
        </w:rPr>
        <w:t xml:space="preserve">Infrastruktura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Janë ndërtuar sipas standardeve bashkëkohore i 149.13 km rrugë;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Janë rikonstruktuar 90.62 km rrugë;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Janë ndërtuar 17 365 ml “Lidhje të reja të furnizimit me ujë”;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Janë ndërtuar 201 652 ml “Rrjet kanalizimesh të ujërave të zeza i shtruar”;</w:t>
      </w:r>
    </w:p>
    <w:p w:rsidR="00273119" w:rsidRPr="000F540A" w:rsidRDefault="00273119" w:rsidP="00273119">
      <w:pPr>
        <w:jc w:val="both"/>
        <w:rPr>
          <w:rFonts w:asciiTheme="majorHAnsi" w:hAnsiTheme="majorHAnsi"/>
          <w:sz w:val="22"/>
          <w:szCs w:val="22"/>
          <w:lang w:val="sq-AL"/>
        </w:rPr>
      </w:pPr>
    </w:p>
    <w:p w:rsidR="00273119" w:rsidRPr="000105BE" w:rsidRDefault="00273119" w:rsidP="00273119">
      <w:pPr>
        <w:jc w:val="both"/>
        <w:rPr>
          <w:rFonts w:asciiTheme="majorHAnsi" w:hAnsiTheme="majorHAnsi"/>
          <w:i/>
          <w:sz w:val="22"/>
          <w:szCs w:val="22"/>
          <w:lang w:val="sq-AL"/>
        </w:rPr>
      </w:pPr>
      <w:r w:rsidRPr="000105BE">
        <w:rPr>
          <w:rFonts w:asciiTheme="majorHAnsi" w:hAnsiTheme="majorHAnsi"/>
          <w:i/>
          <w:sz w:val="22"/>
          <w:szCs w:val="22"/>
          <w:lang w:val="sq-AL"/>
        </w:rPr>
        <w:t>Bujqësia dhe zhvillimi rural</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Janë pastruar, rikonstruktuar dhe mirëmbajtur, 1238 km kanale ujitëse dhe kulluese nga të cilat 808 km kanale ujitëse dhe rreth 430 km kanale kryesore kullues dhe kanale të ujërave të larta.</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Janë mirëmbajtur rreth 14 081 m argjinatura.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Janë rehabilituar 2.2 km argjinatura mbrojtëse në lumenjtë Bun në Shkodër, Seman në Fier dhe sistemimi i shtratit të lumit Drino në Gjirokastër.</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Janë rehabilituar 26 diga, nga të cilat 11 diga janë rehabilituar plotësisht, ndërsa në 15 diga është rritur siguria e tyre dhe rrjete kullimi për 14 000 ha tokë bujqësore.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Investim për ngritje mekanike të 796 215 700 metër kub ujë në hidrovore  (shërbimi i kullimit me ngritje mekanike).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Hidrovore të rikonstruktuar dhe ripërshtatur (1 hidrovorë me vlerë total 1 milion lekë).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Rritja e financimit për skemat mbështetëse në bujqësi.</w:t>
      </w:r>
    </w:p>
    <w:p w:rsidR="00273119" w:rsidRPr="000F540A" w:rsidRDefault="00273119" w:rsidP="00273119">
      <w:pPr>
        <w:jc w:val="both"/>
        <w:rPr>
          <w:rFonts w:asciiTheme="majorHAnsi" w:hAnsiTheme="majorHAnsi"/>
          <w:sz w:val="22"/>
          <w:szCs w:val="22"/>
          <w:lang w:val="sq-AL"/>
        </w:rPr>
      </w:pPr>
    </w:p>
    <w:p w:rsidR="00273119" w:rsidRPr="000105BE" w:rsidRDefault="00273119" w:rsidP="00273119">
      <w:pPr>
        <w:jc w:val="both"/>
        <w:rPr>
          <w:rFonts w:asciiTheme="majorHAnsi" w:hAnsiTheme="majorHAnsi"/>
          <w:i/>
          <w:sz w:val="22"/>
          <w:szCs w:val="22"/>
          <w:lang w:val="sq-AL"/>
        </w:rPr>
      </w:pPr>
      <w:r w:rsidRPr="000105BE">
        <w:rPr>
          <w:rFonts w:asciiTheme="majorHAnsi" w:hAnsiTheme="majorHAnsi"/>
          <w:i/>
          <w:sz w:val="22"/>
          <w:szCs w:val="22"/>
          <w:lang w:val="sq-AL"/>
        </w:rPr>
        <w:t xml:space="preserve">Drejtësia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Gjatë viti 2015, janë kompensuar 810 pronarë;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Janë ndërtuar dhe rikonstruktuar disa burgje sipas kushteve të caktuara nga Bashkimi Evropian.</w:t>
      </w:r>
    </w:p>
    <w:p w:rsidR="00273119" w:rsidRPr="000F540A" w:rsidRDefault="00273119" w:rsidP="00273119">
      <w:pPr>
        <w:jc w:val="both"/>
        <w:rPr>
          <w:rFonts w:asciiTheme="majorHAnsi" w:hAnsiTheme="majorHAnsi"/>
          <w:sz w:val="22"/>
          <w:szCs w:val="22"/>
          <w:lang w:val="sq-AL"/>
        </w:rPr>
      </w:pPr>
    </w:p>
    <w:p w:rsidR="00273119" w:rsidRPr="000105BE" w:rsidRDefault="00273119" w:rsidP="00273119">
      <w:pPr>
        <w:jc w:val="both"/>
        <w:rPr>
          <w:rFonts w:asciiTheme="majorHAnsi" w:hAnsiTheme="majorHAnsi"/>
          <w:i/>
          <w:sz w:val="22"/>
          <w:szCs w:val="22"/>
          <w:lang w:val="sq-AL"/>
        </w:rPr>
      </w:pPr>
      <w:r w:rsidRPr="000105BE">
        <w:rPr>
          <w:rFonts w:asciiTheme="majorHAnsi" w:hAnsiTheme="majorHAnsi"/>
          <w:i/>
          <w:sz w:val="22"/>
          <w:szCs w:val="22"/>
          <w:lang w:val="sq-AL"/>
        </w:rPr>
        <w:t>Zhvillimi Urban dhe Turizmi</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Projekti i Rehabilitimit të banesave në bashkëpronësi, në fund të procesit u rehabilituan 15 apartamente në Korçë dhe 18 apartamente në Lushnje;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Ndërhyrjet emergjente dhe rikonstruksione të banesave të romëve nëpërmjet projektit “përmirësimi i kushteve të komunitetit rom/egjiptian”, ku përfituan drejtpërdrejt 192 familje;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Shpronësime të pasurive të paluajtshme pronë private që preken nga ndërtimi i veprave publike;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Projekti “Menaxhimi i Integruar dhe Pastrimi i Zonës Bregdetare” përfundoi me sukses brenda marsit 2015;</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lastRenderedPageBreak/>
        <w:t>•</w:t>
      </w:r>
      <w:r w:rsidRPr="000F540A">
        <w:rPr>
          <w:rFonts w:asciiTheme="majorHAnsi" w:hAnsiTheme="majorHAnsi"/>
          <w:sz w:val="22"/>
          <w:szCs w:val="22"/>
          <w:lang w:val="sq-AL"/>
        </w:rPr>
        <w:tab/>
        <w:t>Projekti “Për hartimin e planeve të përgjithshme vendore” për 26 bashki të vendit, të ndara në 10 lote, u realizua procedura e tenderimit për 9 lote, pritet zbatimi i plotë për vitin në vazhdim;</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Janë trajtuar rreth 50 mijë praktika legalizimi të pasurive informale dhe deri në fund të vitit 2015 janë kryer 21,748 të tilla. </w:t>
      </w:r>
    </w:p>
    <w:p w:rsidR="00273119" w:rsidRPr="000F540A" w:rsidRDefault="00273119" w:rsidP="00273119">
      <w:pPr>
        <w:jc w:val="both"/>
        <w:rPr>
          <w:rFonts w:asciiTheme="majorHAnsi" w:hAnsiTheme="majorHAnsi"/>
          <w:sz w:val="22"/>
          <w:szCs w:val="22"/>
          <w:lang w:val="sq-AL"/>
        </w:rPr>
      </w:pPr>
    </w:p>
    <w:p w:rsidR="00273119" w:rsidRPr="000105BE" w:rsidRDefault="00273119" w:rsidP="00273119">
      <w:pPr>
        <w:jc w:val="both"/>
        <w:rPr>
          <w:rFonts w:asciiTheme="majorHAnsi" w:hAnsiTheme="majorHAnsi"/>
          <w:i/>
          <w:sz w:val="22"/>
          <w:szCs w:val="22"/>
          <w:lang w:val="sq-AL"/>
        </w:rPr>
      </w:pPr>
      <w:r w:rsidRPr="000105BE">
        <w:rPr>
          <w:rFonts w:asciiTheme="majorHAnsi" w:hAnsiTheme="majorHAnsi"/>
          <w:i/>
          <w:sz w:val="22"/>
          <w:szCs w:val="22"/>
          <w:lang w:val="sq-AL"/>
        </w:rPr>
        <w:t>Buxheti Vendor 2015</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Reforma administrativo-territoriale dhe konsolidimi i qeverisjes vendore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Buxheti vendor i vitit 2015 siguroi një tranzicion efektiv dhe eficient të kalimit të  kompetencave, burimeve materiale dhe monetare, nga njësitë sipas ndarjes së vjetër administrative, në njësitë vendore sipas ndarjes së re administrativo-territoriale, në funksion të reformës së re administrativo-territoriale.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Fillimi i zbatimit të reformës së re administrativo territoriale, pas zgjedhjeve lokale të 21 qershorit 2015;</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Konsolidimi financiar dhe administrativ i 61 bashkive të reja;</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Akordimi i fondit tranzitor, në vlerën 1 857 683 mijë lekë për shpenzime operative, investime dhe të tjera, për 61 njësitë e reja.</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Fillimi i hartimit të planeve rregulluese dhe zhvillimore për më shumë se gjysmën e bashkive;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Miratimi i ligjit nr.139/2015 “Për vetëqeverisjen vendore”;</w:t>
      </w:r>
    </w:p>
    <w:p w:rsidR="00273119" w:rsidRPr="000F540A" w:rsidRDefault="00273119" w:rsidP="00273119">
      <w:pPr>
        <w:jc w:val="both"/>
        <w:rPr>
          <w:rFonts w:asciiTheme="majorHAnsi" w:hAnsiTheme="majorHAnsi"/>
          <w:sz w:val="22"/>
          <w:szCs w:val="22"/>
          <w:lang w:val="sq-AL"/>
        </w:rPr>
      </w:pPr>
    </w:p>
    <w:p w:rsidR="00273119" w:rsidRPr="009C2E45" w:rsidRDefault="00273119" w:rsidP="00273119">
      <w:pPr>
        <w:jc w:val="both"/>
        <w:rPr>
          <w:rFonts w:asciiTheme="majorHAnsi" w:hAnsiTheme="majorHAnsi"/>
          <w:i/>
          <w:sz w:val="22"/>
          <w:szCs w:val="22"/>
          <w:lang w:val="sq-AL"/>
        </w:rPr>
      </w:pPr>
      <w:r w:rsidRPr="009C2E45">
        <w:rPr>
          <w:rFonts w:asciiTheme="majorHAnsi" w:hAnsiTheme="majorHAnsi"/>
          <w:i/>
          <w:sz w:val="22"/>
          <w:szCs w:val="22"/>
          <w:lang w:val="sq-AL"/>
        </w:rPr>
        <w:t>Ndryshimet në buxhetin e vitit 2015, domosdoshmëri për rimëkëmbjen e ekonomisë</w:t>
      </w:r>
    </w:p>
    <w:p w:rsidR="00273119" w:rsidRPr="000F540A" w:rsidRDefault="00273119" w:rsidP="00273119">
      <w:pPr>
        <w:jc w:val="both"/>
        <w:rPr>
          <w:rFonts w:asciiTheme="majorHAnsi" w:hAnsiTheme="majorHAnsi"/>
          <w:sz w:val="22"/>
          <w:szCs w:val="22"/>
          <w:lang w:val="sq-AL"/>
        </w:rPr>
      </w:pPr>
      <w:bookmarkStart w:id="1" w:name="_GoBack"/>
      <w:bookmarkEnd w:id="1"/>
      <w:r w:rsidRPr="000F540A">
        <w:rPr>
          <w:rFonts w:asciiTheme="majorHAnsi" w:hAnsiTheme="majorHAnsi"/>
          <w:sz w:val="22"/>
          <w:szCs w:val="22"/>
          <w:lang w:val="sq-AL"/>
        </w:rPr>
        <w:t>Edhe gjatë vitit 2015, Qeveria u përball përsëri me pasojat e një keqqeverisjeje të trashëguar nga qeverisja e mëparshme. Kështu, niveli i lartë i informalitetit, mungesa e një administrate profesioniste në administrimin fiskal si dhe klientelizmi dhe mungesa e procedurave të konsoliduara në prokurimet publike e bënin të nevojshmshe madje të pashmangshme rishikimin e buxhetit gjatë vitit fiskal 2015. Gjatë vitit 2015, buxheti i shtetit u ndryshua me tre Akte normative. Më specifikisht, nëpërmjet:</w:t>
      </w:r>
    </w:p>
    <w:p w:rsidR="00273119" w:rsidRPr="000F540A" w:rsidRDefault="00273119" w:rsidP="00273119">
      <w:pPr>
        <w:jc w:val="both"/>
        <w:rPr>
          <w:rFonts w:asciiTheme="majorHAnsi" w:hAnsiTheme="majorHAnsi"/>
          <w:sz w:val="22"/>
          <w:szCs w:val="22"/>
          <w:lang w:val="sq-AL"/>
        </w:rPr>
      </w:pP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a)</w:t>
      </w:r>
      <w:r w:rsidRPr="000F540A">
        <w:rPr>
          <w:rFonts w:asciiTheme="majorHAnsi" w:hAnsiTheme="majorHAnsi"/>
          <w:sz w:val="22"/>
          <w:szCs w:val="22"/>
          <w:lang w:val="sq-AL"/>
        </w:rPr>
        <w:tab/>
        <w:t>Akti Normativ nr. 1, datë 29.07.2015</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Përmes këtij akti normativ u synua:</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Së pari, implementimi i reformës administrative-territoriale, pas zgjedhjeve vendore, kërkoi përshtatjen e buxhetit të miratuar për njësitë e reja të qeverisjes vendore në përputhje me përcaktimet e ligjit përkatës.</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Së dyti, ekonomia e vendit kërkonte përshpejtimin e investimeve publike, me qëllim mbajtjen e saj në treguesit e parashikuar të rritjes. Në këtë mënyrë ishte e nevojshme një rialokim midis zërave të buxhetit (nga ato me performancë të ulët tek ato projekte që po performojnë mirë), te cilat tejkalojnin kompetencat e Këshillit të Ministrave për rialokime.</w:t>
      </w:r>
    </w:p>
    <w:p w:rsidR="00273119" w:rsidRPr="000F540A" w:rsidRDefault="00273119" w:rsidP="00273119">
      <w:pPr>
        <w:jc w:val="both"/>
        <w:rPr>
          <w:rFonts w:asciiTheme="majorHAnsi" w:hAnsiTheme="majorHAnsi"/>
          <w:sz w:val="22"/>
          <w:szCs w:val="22"/>
          <w:lang w:val="sq-AL"/>
        </w:rPr>
      </w:pP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b)</w:t>
      </w:r>
      <w:r w:rsidRPr="000F540A">
        <w:rPr>
          <w:rFonts w:asciiTheme="majorHAnsi" w:hAnsiTheme="majorHAnsi"/>
          <w:sz w:val="22"/>
          <w:szCs w:val="22"/>
          <w:lang w:val="sq-AL"/>
        </w:rPr>
        <w:tab/>
        <w:t>Akti Normativ  nr.2, datë 11.12.2015</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ab/>
        <w:t xml:space="preserve">Ky akt rialokoi disa zëra shpenzimesh, të cilat ishin shumë të rëndësishëm për këtë vit dhe për vitet e ardhshme buxhetore dhe nuk mund të realizoheshin brenda kompetencave që ka Këshilli i Ministrave lidhur me rialokimin e fondeve me qëllim që të synohej: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Së pari, rritja e performancës së investimeve publike – Ndryshimet e paraqitura siguruan një eficiencë dhe efektivitet më të lartë të perdorimit të fondeve publike, veçanërisht atyre të investimeve.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Së dyti, shmagia e riskut të krijimit të detyrimeve të reja të prapambetura, nëpërmjet rialokimeve të propozuara në këtë akt.</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Së treti, rritja e fondit të shpronësimeve publike, nëpërmjet shtimit të tij nga fondet e papërdorura (të kursyera) të vitit 2015 në masën 5 miliardë lekë, i parapriu investimeve të buxhetit 2016, duke lehtësuar realizimin e tyre nëpërmjet krijimit të një baze efektive për performancën e lartë të investimeve publike në vazhdim.</w:t>
      </w:r>
    </w:p>
    <w:p w:rsidR="00273119" w:rsidRPr="000F540A" w:rsidRDefault="00273119" w:rsidP="00273119">
      <w:pPr>
        <w:jc w:val="both"/>
        <w:rPr>
          <w:rFonts w:asciiTheme="majorHAnsi" w:hAnsiTheme="majorHAnsi"/>
          <w:sz w:val="22"/>
          <w:szCs w:val="22"/>
          <w:lang w:val="sq-AL"/>
        </w:rPr>
      </w:pP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c)</w:t>
      </w:r>
      <w:r w:rsidRPr="000F540A">
        <w:rPr>
          <w:rFonts w:asciiTheme="majorHAnsi" w:hAnsiTheme="majorHAnsi"/>
          <w:sz w:val="22"/>
          <w:szCs w:val="22"/>
          <w:lang w:val="sq-AL"/>
        </w:rPr>
        <w:tab/>
        <w:t>Akti Normativ nr. 3, datë 28.12.2015</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Ndërsa Akti normativ nr.3, u bë për:</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Kompensimin financiar për kategoritë e shtresave në nevojë dhe garantimin e furnizimit të plotë me energji elektrike për popullatën</w:t>
      </w:r>
    </w:p>
    <w:p w:rsidR="00273119" w:rsidRPr="000F540A" w:rsidRDefault="00273119" w:rsidP="00273119">
      <w:pPr>
        <w:jc w:val="both"/>
        <w:rPr>
          <w:rFonts w:asciiTheme="majorHAnsi" w:hAnsiTheme="majorHAnsi"/>
          <w:sz w:val="22"/>
          <w:szCs w:val="22"/>
          <w:lang w:val="sq-AL"/>
        </w:rPr>
      </w:pPr>
    </w:p>
    <w:p w:rsidR="00273119" w:rsidRPr="000105BE" w:rsidRDefault="00273119" w:rsidP="00273119">
      <w:pPr>
        <w:jc w:val="both"/>
        <w:rPr>
          <w:rFonts w:asciiTheme="majorHAnsi" w:hAnsiTheme="majorHAnsi"/>
          <w:i/>
          <w:sz w:val="22"/>
          <w:szCs w:val="22"/>
          <w:lang w:val="sq-AL"/>
        </w:rPr>
      </w:pPr>
      <w:r w:rsidRPr="000105BE">
        <w:rPr>
          <w:rFonts w:asciiTheme="majorHAnsi" w:hAnsiTheme="majorHAnsi"/>
          <w:i/>
          <w:sz w:val="22"/>
          <w:szCs w:val="22"/>
          <w:lang w:val="sq-AL"/>
        </w:rPr>
        <w:t>Devijimet kryesore dhe rishikimi i buxhetit për vitin 2015</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 xml:space="preserve">Plani fillestar i buxhetit të vitit 2014 u rishikua nëpërmjet tre Akteve Normative: nr. 1, datë 17.09.2015, nr. 2, datë 29.12.2015 dhe nr. 3, datw 28.12.2015 “Për disa ndryshime në ligjin nr.160/2014 “Për Buxhetin e vitit 2015”. </w:t>
      </w:r>
    </w:p>
    <w:p w:rsidR="00273119" w:rsidRPr="000F540A" w:rsidRDefault="00273119" w:rsidP="00273119">
      <w:pPr>
        <w:jc w:val="both"/>
        <w:rPr>
          <w:rFonts w:asciiTheme="majorHAnsi" w:hAnsiTheme="majorHAnsi"/>
          <w:sz w:val="22"/>
          <w:szCs w:val="22"/>
          <w:lang w:val="sq-AL"/>
        </w:rPr>
      </w:pPr>
    </w:p>
    <w:p w:rsidR="000F540A" w:rsidRPr="000105BE" w:rsidRDefault="000F540A" w:rsidP="000F540A">
      <w:pPr>
        <w:spacing w:before="120" w:after="120"/>
        <w:jc w:val="both"/>
        <w:rPr>
          <w:rFonts w:asciiTheme="majorHAnsi" w:hAnsiTheme="majorHAnsi"/>
          <w:b/>
          <w:sz w:val="22"/>
          <w:szCs w:val="22"/>
          <w:lang w:val="sq-AL"/>
        </w:rPr>
      </w:pPr>
      <w:r w:rsidRPr="000105BE">
        <w:rPr>
          <w:rFonts w:asciiTheme="majorHAnsi" w:hAnsiTheme="majorHAnsi"/>
          <w:b/>
          <w:sz w:val="22"/>
          <w:szCs w:val="22"/>
          <w:lang w:val="sq-AL"/>
        </w:rPr>
        <w:t xml:space="preserve">Analiza e </w:t>
      </w:r>
      <w:r w:rsidR="00273119" w:rsidRPr="000105BE">
        <w:rPr>
          <w:rFonts w:asciiTheme="majorHAnsi" w:hAnsiTheme="majorHAnsi"/>
          <w:b/>
          <w:sz w:val="22"/>
          <w:szCs w:val="22"/>
          <w:lang w:val="sq-AL"/>
        </w:rPr>
        <w:t xml:space="preserve">zerave të Buxhetit të Konsoliduar </w:t>
      </w:r>
      <w:r w:rsidRPr="000105BE">
        <w:rPr>
          <w:rFonts w:asciiTheme="majorHAnsi" w:hAnsiTheme="majorHAnsi"/>
          <w:b/>
          <w:sz w:val="22"/>
          <w:szCs w:val="22"/>
          <w:lang w:val="sq-AL"/>
        </w:rPr>
        <w:t>p</w:t>
      </w:r>
      <w:r w:rsidR="00273119" w:rsidRPr="000105BE">
        <w:rPr>
          <w:rFonts w:asciiTheme="majorHAnsi" w:hAnsiTheme="majorHAnsi"/>
          <w:b/>
          <w:sz w:val="22"/>
          <w:szCs w:val="22"/>
          <w:lang w:val="sq-AL"/>
        </w:rPr>
        <w:t>ë</w:t>
      </w:r>
      <w:r w:rsidRPr="000105BE">
        <w:rPr>
          <w:rFonts w:asciiTheme="majorHAnsi" w:hAnsiTheme="majorHAnsi"/>
          <w:b/>
          <w:sz w:val="22"/>
          <w:szCs w:val="22"/>
          <w:lang w:val="sq-AL"/>
        </w:rPr>
        <w:t>r vitin 2015</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Të ardhurat e buxhetit të konsoliduar për periudhën 12-mujore të vitit 2015 arritën në 379.2 miliard lekë, 5 %  më pak nga parashikimi dhe 3.4 %  më shumë se një vit më parë.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Të ardhurat nga tatimet dhe doganat ishin në nivelin 258.8 miliard lekë ose rreth 5 % më pak nga rreth 272.3 miliard lekë të planifikuara për periudhën dhe 2.1 % më shumë krahasuar me një vit më parë; të ardhurat nga pushteti vendor arritën në 11.7 miliard lekë nga 12.5 miliard lekë të planifikuara për këtë periudhë (7 % më pak) dhe një rënie prej 6 % më pak se viti i kaluar; të ardhurat nga fondet speciale arritën 71.7 miliard lekë, me një realizim prej 101% dhe me rritje kundrejt vitit të kaluar prej 2.5 % ose 1.7 miliard lekë; të ardhurat nga ndihmat për periudhën rezultojnë rreth 11.2 miliard lekë nga rreth 10.1 miliard lekë të një viti më parë; të ardhurat jo-tatimore kanë qenë për këtë periudhë rreth 25.6 miliard lekë nga 20.6 miliard të një viti më parë, me një rritje vjetore 24.2 %.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Sipas agjencive të mbledhjes, administrata doganore ka mbledhur 144.1 miliard lekë, 7.7 % më pak se parashikimi për vitin 2015. Administrata tatimore ka mbledhur rreth 114.7 miliard lekë të ardhura tatimore dhe 66.8 miliard lekë të ardhura nga kontributet. Krahasuar me planin, të ardhurat tatimore janë realizuar 98.9%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Analiza e të ardhurave për periudhën Janar-Dhjetor 2015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Të ardhurat e buxhetit të konsoliduar për periudhën 12-mujore arritën në 379.2 miliard lekë, 5% më pak se parashikimi për 12-mujorin e vitit 2015 dhe 3.4 % më shumë se një vit më parë.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Të ardhurat nga ndihmat rezultojnë për periudhën rreth 11.2 miliard lekë nga rreth 10.1 miliard lekë të një viti më parë.</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Të ardhurat tatimore për periudhën 12-mujore arritën në 342.3 miliard lekë, 4% më pak se parashikimi për vitin 2015 sipas buxhetit vjetor të ndryshuar dhe 1.9 % më shumë se një vit më parë.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Të ardhurat nga tatimet dhe doganat arritën në nivelin 258.8 miliard lekë ose rreth 13.4 miliard lekë më pak se parashikimi për periudhën dhe 2.1% më shumë krahasuar me 12- mujorin e një viti më parë ose 5.4 miliard lekë në vlerë absolute:</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Të ardhurat nga pushteti vendor arritën në 11.7 miliard lekë, 7% më pak se të ardhurat e planifikuara për këtë periudhë dhe me rënie vjetore prej 6 % ose 747 milion lekë më pak: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Të ardhurat nga fondet speciale arritën 71.7 miliard lekë me rritje vjetore 2.5 % ose 1.7 miliard lekë:</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Të ardhurat jo-tatimore kanë qenë për këtë periudhë 25.6 miliard lekë nga 20.6 miliard të një viti më parë, me rritje vjetore 24.2% ose 5 miliard lekë më shumë.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Sipas agjencive të mbledhjes, administrata doganore ka mbledhur 144.1 miliard lekë, 7.7% më pak se parashikimi për 2015, dhe rreth 6.5 miliard lekë më pak se një vit më parë, me rënie pothuajse 4%. Të gjithë zërat e të ardhurave që mbledhin doganat kanë pësuar rënie </w:t>
      </w:r>
      <w:r w:rsidRPr="000F540A">
        <w:rPr>
          <w:rFonts w:asciiTheme="majorHAnsi" w:hAnsiTheme="majorHAnsi"/>
          <w:sz w:val="22"/>
          <w:szCs w:val="22"/>
          <w:lang w:val="sq-AL"/>
        </w:rPr>
        <w:lastRenderedPageBreak/>
        <w:t>krahasuar me vitin 2014 dhe respektivisht TVSH 2.1%, Akciza 4.55%, Renta 39.8%, dhe Taksa doganore 1%.</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Krahasuar me parashikimin, të ardhurat doganore ( përveç Taksës Doganore e cila i ka tejkaluar parashikimet me 8.8%) paraqiten me rënie dhe TVSH 6.3%, Akciza 13%,  Renta 8%.</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Administrata tatimore ka mbledhur (përfshirë kontributet) 181.6 miliard lekë, që do të thotë 11% më shumë të ardhura se 12-mujori i vitit 2014 ose 18 miliard lekë më shumë (përfshirë dhe kontributet). Totali i të ardhurave tatimore (pa përfshirë kontributet) ishte për periudhën rreth 114.7 miliard lekë, duke patur një rritje prej 11% krahasuar me të njëjtën periudhë të një viti më parë dhe një realizim të planit në masën 98.8%, ndërsa të ardhurat nga kontributet janë rritur me 9.8 % mbi baza vjetore. Krahasuar me të dhënat e një viti më parë, të gjitha llojet e të ardhurave tatimore kanë pasur një ecuri pozitive. Konkretisht TVSH 15.5% më shumë se viti 2014, Tatimi mbi fitimin 16.2%, Tatimi mbi të ardhurat personale 2.8%, Taksat nacionale 14% dhe Kontributet 9.8%.  Parashikimet e vitit 2015 janë tejkaluar nga TVSH 3.3%, Tatim fitimi 6% dhe Kontributet 1.9%, ndërsa Tatimi mbi të ardhurat personale dhe Taksat nacionale paraqiten me një mos realizim të planit respektivisht 6.7% dhe 5.2%.</w:t>
      </w:r>
    </w:p>
    <w:p w:rsid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Nga të dhënat për 12-mujorin 2015, lidhur me kontributin e sektorëve të ekonomisë në totalin e të ardhurave tatimore (i referohemi këtu totalit të mbledhur nga DPT) rezulton rritje e të ardhurave të mbledhura nga: “Shërbimet” dhe  “Prodhimi” të cilat e kanë rritur  kontributin e tyre në të ardhurat tatimore përkatësisht “Shërbimet” nga 47 % në 55.6% dhe “Prodhimi” nga 8% në 13.4%. Ndërsa sektorët e tjerë kanë pësuar rënie: “Ndërtimi” nga 9% në 7.5%, “Transporti” nga  13% në 4.9% dhe “Tregtia” nga 23 në 18.1%.</w:t>
      </w:r>
    </w:p>
    <w:p w:rsidR="00273119" w:rsidRDefault="00273119" w:rsidP="000F540A">
      <w:pPr>
        <w:spacing w:before="120" w:after="120"/>
        <w:jc w:val="both"/>
        <w:rPr>
          <w:rFonts w:asciiTheme="majorHAnsi" w:hAnsiTheme="majorHAnsi"/>
          <w:sz w:val="22"/>
          <w:szCs w:val="22"/>
          <w:lang w:val="sq-AL"/>
        </w:rPr>
      </w:pPr>
    </w:p>
    <w:p w:rsidR="000F540A" w:rsidRDefault="000F540A" w:rsidP="000F540A">
      <w:pPr>
        <w:spacing w:before="120" w:after="120"/>
        <w:jc w:val="both"/>
        <w:rPr>
          <w:rFonts w:asciiTheme="majorHAnsi" w:hAnsiTheme="majorHAnsi"/>
          <w:sz w:val="22"/>
          <w:szCs w:val="22"/>
          <w:lang w:val="sq-AL"/>
        </w:rPr>
      </w:pPr>
    </w:p>
    <w:p w:rsidR="00AB4E09" w:rsidRPr="000F540A" w:rsidRDefault="00AB4E09" w:rsidP="000F540A">
      <w:pPr>
        <w:spacing w:before="120" w:after="120"/>
        <w:jc w:val="both"/>
        <w:rPr>
          <w:rFonts w:asciiTheme="majorHAnsi" w:hAnsiTheme="majorHAnsi"/>
          <w:b/>
          <w:sz w:val="22"/>
          <w:szCs w:val="22"/>
          <w:lang w:val="sq-AL"/>
        </w:rPr>
      </w:pPr>
      <w:r w:rsidRPr="000F540A">
        <w:rPr>
          <w:rFonts w:asciiTheme="majorHAnsi" w:hAnsiTheme="majorHAnsi"/>
          <w:b/>
          <w:sz w:val="22"/>
          <w:szCs w:val="22"/>
          <w:lang w:val="sq-AL"/>
        </w:rPr>
        <w:t>Të ardhurat sipas taksave, tatimeve dhe burimeve të tjera</w:t>
      </w:r>
    </w:p>
    <w:p w:rsidR="00AB4E09" w:rsidRPr="000F540A" w:rsidRDefault="00AB4E09" w:rsidP="000F540A">
      <w:pPr>
        <w:spacing w:before="120" w:after="120"/>
        <w:jc w:val="both"/>
        <w:rPr>
          <w:rFonts w:asciiTheme="majorHAnsi" w:hAnsiTheme="majorHAnsi"/>
          <w:i/>
          <w:sz w:val="22"/>
          <w:szCs w:val="22"/>
          <w:lang w:val="sq-AL"/>
        </w:rPr>
      </w:pPr>
      <w:r w:rsidRPr="000F540A">
        <w:rPr>
          <w:rFonts w:asciiTheme="majorHAnsi" w:hAnsiTheme="majorHAnsi"/>
          <w:i/>
          <w:sz w:val="22"/>
          <w:szCs w:val="22"/>
          <w:lang w:val="sq-AL"/>
        </w:rPr>
        <w:t>Taksimi i konsumit (indirekt) dhe Tatimi mbi Vlerën e Shtuar</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Nga Tatimi mbi Vlerën e Shtuar janë mbledhur gjithsej për 12-mujorin, 125.7 miliard lekë ose 1.6 % më shumë se një vit më parë.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Të ardhurat e mbledhura nga TVSh në import ishin në nivelin e 95.3 miliard lekë. Për këtë periudhë, të ardhurat nga TVSh-ja në doganë përbëjnë rreth 75.8% të të ardhurave gjithsej nga TVSh-ja. Ndërsa krahasuar me të njëjtën periudhë të vitit të kaluar ato rezultojnë të jenë 2.1 miliard lekë më pak ose 2.1%. Të ardhurat e mbledhura nga TVSH brenda vendit janë 30.4 miliard lekë TVSh për periudhën, me rritje kundrejt vitit të kaluar në nivelin 15.5%. Rimbursimi i TVSh-së për periudhën 12-mujore ka arritur 7.6 miliard lekë, me një rënie kundrejt të njëjtës periudhë të vitit të  kaluar prej 22.4%.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Të dhënat 12-mujore mbi shpërndarjen sektoriale të TVSh-së tregojnë se “Shërbimet”, “Tregtia”, “Prodhimi” dhe “Ndërtimi” kanë peshën kryesore në të ardhurat nga TVSH.</w:t>
      </w:r>
    </w:p>
    <w:p w:rsidR="00AB4E09" w:rsidRPr="000F540A" w:rsidRDefault="00AB4E09" w:rsidP="000F540A">
      <w:pPr>
        <w:spacing w:before="120" w:after="120"/>
        <w:jc w:val="both"/>
        <w:rPr>
          <w:rFonts w:asciiTheme="majorHAnsi" w:hAnsiTheme="majorHAnsi"/>
          <w:i/>
          <w:sz w:val="22"/>
          <w:szCs w:val="22"/>
          <w:lang w:val="sq-AL"/>
        </w:rPr>
      </w:pPr>
      <w:r w:rsidRPr="000F540A">
        <w:rPr>
          <w:rFonts w:asciiTheme="majorHAnsi" w:hAnsiTheme="majorHAnsi"/>
          <w:i/>
          <w:sz w:val="22"/>
          <w:szCs w:val="22"/>
          <w:lang w:val="sq-AL"/>
        </w:rPr>
        <w:t>Akcizat</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Të ardhurat gjithsej nga Akciza për periudhën janar–dhjetor arritën në</w:t>
      </w:r>
      <w:r w:rsidR="000105BE">
        <w:rPr>
          <w:rFonts w:asciiTheme="majorHAnsi" w:hAnsiTheme="majorHAnsi"/>
          <w:sz w:val="22"/>
          <w:szCs w:val="22"/>
          <w:lang w:val="sq-AL"/>
        </w:rPr>
        <w:t xml:space="preserve"> rreth 39 miliard lekë; </w:t>
      </w:r>
      <w:r w:rsidRPr="000F540A">
        <w:rPr>
          <w:rFonts w:asciiTheme="majorHAnsi" w:hAnsiTheme="majorHAnsi"/>
          <w:sz w:val="22"/>
          <w:szCs w:val="22"/>
          <w:lang w:val="sq-AL"/>
        </w:rPr>
        <w:t>5% më pak krahasuar me të njëjtën periudhë të vitit 2014; të ardhurat nga kjo taksë ishin ndjeshëm nën nivelin e pritshëm, me rreth 13% më pak.</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Sipas llojit të mallrave kryesore me akcizë, situata e zhdoganimeve për periudhën ka qenë si vijon: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 xml:space="preserve">Sasia e karburanteve të zhdoganuara për periudhën Janar – Dhjetor 2015 është 463,887 ton, me rënie vjetore prej 3.7%.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lastRenderedPageBreak/>
        <w:t>•</w:t>
      </w:r>
      <w:r w:rsidRPr="000F540A">
        <w:rPr>
          <w:rFonts w:asciiTheme="majorHAnsi" w:hAnsiTheme="majorHAnsi"/>
          <w:sz w:val="22"/>
          <w:szCs w:val="22"/>
          <w:lang w:val="sq-AL"/>
        </w:rPr>
        <w:tab/>
        <w:t xml:space="preserve">Sasia e cigareve të zhdoganuara për periudhën Janar – Dhjetor 2015 është 2,478 ton, me rënie vjetore prej 16.71%.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Sasia e birrës së zhdoganuar për periudhën Janar – Dhjetor 2015 është 30,090 mijë litra, me një rritje vjetore prej 15.2%.</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Kafeja e zhdoganuar për periudhën Janar-Dhjetor ka qenë 16.1% më shumë se e njëjta periudhë e një viti më parë duke arritur në 8,607 ton.</w:t>
      </w:r>
    </w:p>
    <w:p w:rsidR="00AB4E09" w:rsidRPr="000F540A" w:rsidRDefault="00AB4E09" w:rsidP="000F540A">
      <w:pPr>
        <w:spacing w:before="120" w:after="120"/>
        <w:jc w:val="both"/>
        <w:rPr>
          <w:rFonts w:asciiTheme="majorHAnsi" w:hAnsiTheme="majorHAnsi"/>
          <w:sz w:val="22"/>
          <w:szCs w:val="22"/>
          <w:lang w:val="sq-AL"/>
        </w:rPr>
      </w:pPr>
    </w:p>
    <w:tbl>
      <w:tblPr>
        <w:tblW w:w="0" w:type="auto"/>
        <w:tblInd w:w="93" w:type="dxa"/>
        <w:tblLook w:val="04A0" w:firstRow="1" w:lastRow="0" w:firstColumn="1" w:lastColumn="0" w:noHBand="0" w:noVBand="1"/>
      </w:tblPr>
      <w:tblGrid>
        <w:gridCol w:w="1666"/>
        <w:gridCol w:w="1729"/>
        <w:gridCol w:w="1186"/>
        <w:gridCol w:w="1235"/>
        <w:gridCol w:w="1281"/>
        <w:gridCol w:w="1018"/>
      </w:tblGrid>
      <w:tr w:rsidR="00AB4E09" w:rsidRPr="000F540A" w:rsidTr="00AB4E09">
        <w:trPr>
          <w:trHeight w:val="315"/>
        </w:trPr>
        <w:tc>
          <w:tcPr>
            <w:tcW w:w="0" w:type="auto"/>
            <w:vMerge w:val="restart"/>
            <w:tcBorders>
              <w:top w:val="nil"/>
              <w:left w:val="nil"/>
              <w:bottom w:val="nil"/>
              <w:right w:val="nil"/>
            </w:tcBorders>
            <w:shd w:val="clear" w:color="000000" w:fill="E6B8B7"/>
            <w:vAlign w:val="bottom"/>
            <w:hideMark/>
          </w:tcPr>
          <w:p w:rsidR="00AB4E09" w:rsidRPr="000F540A" w:rsidRDefault="00AB4E09" w:rsidP="000F540A">
            <w:pPr>
              <w:jc w:val="both"/>
              <w:rPr>
                <w:rFonts w:asciiTheme="majorHAnsi" w:hAnsiTheme="majorHAnsi"/>
                <w:b/>
                <w:bCs/>
                <w:sz w:val="22"/>
                <w:szCs w:val="22"/>
              </w:rPr>
            </w:pPr>
            <w:r w:rsidRPr="000F540A">
              <w:rPr>
                <w:rFonts w:asciiTheme="majorHAnsi" w:hAnsiTheme="majorHAnsi"/>
                <w:b/>
                <w:bCs/>
                <w:sz w:val="22"/>
                <w:szCs w:val="22"/>
              </w:rPr>
              <w:t>Mallrat e forta</w:t>
            </w:r>
          </w:p>
        </w:tc>
        <w:tc>
          <w:tcPr>
            <w:tcW w:w="0" w:type="auto"/>
            <w:vMerge w:val="restart"/>
            <w:tcBorders>
              <w:top w:val="nil"/>
              <w:left w:val="nil"/>
              <w:bottom w:val="nil"/>
              <w:right w:val="nil"/>
            </w:tcBorders>
            <w:shd w:val="clear" w:color="000000" w:fill="E6B8B7"/>
            <w:vAlign w:val="bottom"/>
            <w:hideMark/>
          </w:tcPr>
          <w:p w:rsidR="00AB4E09" w:rsidRPr="000F540A" w:rsidRDefault="00AB4E09" w:rsidP="000F540A">
            <w:pPr>
              <w:jc w:val="both"/>
              <w:rPr>
                <w:rFonts w:asciiTheme="majorHAnsi" w:hAnsiTheme="majorHAnsi"/>
                <w:b/>
                <w:bCs/>
                <w:sz w:val="22"/>
                <w:szCs w:val="22"/>
              </w:rPr>
            </w:pPr>
            <w:r w:rsidRPr="000F540A">
              <w:rPr>
                <w:rFonts w:asciiTheme="majorHAnsi" w:hAnsiTheme="majorHAnsi"/>
                <w:b/>
                <w:bCs/>
                <w:sz w:val="22"/>
                <w:szCs w:val="22"/>
              </w:rPr>
              <w:t>Njësia e matjes</w:t>
            </w:r>
          </w:p>
        </w:tc>
        <w:tc>
          <w:tcPr>
            <w:tcW w:w="0" w:type="auto"/>
            <w:gridSpan w:val="2"/>
            <w:tcBorders>
              <w:top w:val="nil"/>
              <w:left w:val="nil"/>
              <w:bottom w:val="nil"/>
              <w:right w:val="nil"/>
            </w:tcBorders>
            <w:shd w:val="clear" w:color="000000" w:fill="E6B8B7"/>
            <w:noWrap/>
            <w:vAlign w:val="bottom"/>
            <w:hideMark/>
          </w:tcPr>
          <w:p w:rsidR="00AB4E09" w:rsidRPr="000F540A" w:rsidRDefault="00AB4E09" w:rsidP="000F540A">
            <w:pPr>
              <w:jc w:val="both"/>
              <w:rPr>
                <w:rFonts w:asciiTheme="majorHAnsi" w:hAnsiTheme="majorHAnsi"/>
                <w:b/>
                <w:bCs/>
                <w:sz w:val="22"/>
                <w:szCs w:val="22"/>
              </w:rPr>
            </w:pPr>
            <w:r w:rsidRPr="000F540A">
              <w:rPr>
                <w:rFonts w:asciiTheme="majorHAnsi" w:hAnsiTheme="majorHAnsi"/>
                <w:b/>
                <w:bCs/>
                <w:sz w:val="22"/>
                <w:szCs w:val="22"/>
              </w:rPr>
              <w:t xml:space="preserve">Janar- Dhjetor </w:t>
            </w:r>
          </w:p>
        </w:tc>
        <w:tc>
          <w:tcPr>
            <w:tcW w:w="0" w:type="auto"/>
            <w:gridSpan w:val="2"/>
            <w:tcBorders>
              <w:top w:val="nil"/>
              <w:left w:val="nil"/>
              <w:bottom w:val="nil"/>
              <w:right w:val="nil"/>
            </w:tcBorders>
            <w:shd w:val="clear" w:color="000000" w:fill="E6B8B7"/>
            <w:noWrap/>
            <w:vAlign w:val="bottom"/>
            <w:hideMark/>
          </w:tcPr>
          <w:p w:rsidR="00AB4E09" w:rsidRPr="000F540A" w:rsidRDefault="00AB4E09" w:rsidP="000F540A">
            <w:pPr>
              <w:jc w:val="both"/>
              <w:rPr>
                <w:rFonts w:asciiTheme="majorHAnsi" w:hAnsiTheme="majorHAnsi"/>
                <w:b/>
                <w:bCs/>
                <w:sz w:val="22"/>
                <w:szCs w:val="22"/>
              </w:rPr>
            </w:pPr>
            <w:r w:rsidRPr="000F540A">
              <w:rPr>
                <w:rFonts w:asciiTheme="majorHAnsi" w:hAnsiTheme="majorHAnsi"/>
                <w:b/>
                <w:bCs/>
                <w:sz w:val="22"/>
                <w:szCs w:val="22"/>
              </w:rPr>
              <w:t>Diferenca</w:t>
            </w:r>
          </w:p>
        </w:tc>
      </w:tr>
      <w:tr w:rsidR="00AB4E09" w:rsidRPr="000F540A" w:rsidTr="00AB4E09">
        <w:trPr>
          <w:trHeight w:val="434"/>
        </w:trPr>
        <w:tc>
          <w:tcPr>
            <w:tcW w:w="0" w:type="auto"/>
            <w:vMerge/>
            <w:tcBorders>
              <w:top w:val="nil"/>
              <w:left w:val="nil"/>
              <w:bottom w:val="nil"/>
              <w:right w:val="nil"/>
            </w:tcBorders>
            <w:vAlign w:val="center"/>
            <w:hideMark/>
          </w:tcPr>
          <w:p w:rsidR="00AB4E09" w:rsidRPr="000F540A" w:rsidRDefault="00AB4E09" w:rsidP="000F540A">
            <w:pPr>
              <w:jc w:val="both"/>
              <w:rPr>
                <w:rFonts w:asciiTheme="majorHAnsi" w:hAnsiTheme="majorHAnsi"/>
                <w:b/>
                <w:bCs/>
                <w:sz w:val="22"/>
                <w:szCs w:val="22"/>
              </w:rPr>
            </w:pPr>
          </w:p>
        </w:tc>
        <w:tc>
          <w:tcPr>
            <w:tcW w:w="0" w:type="auto"/>
            <w:vMerge/>
            <w:tcBorders>
              <w:top w:val="nil"/>
              <w:left w:val="nil"/>
              <w:bottom w:val="nil"/>
              <w:right w:val="nil"/>
            </w:tcBorders>
            <w:vAlign w:val="center"/>
            <w:hideMark/>
          </w:tcPr>
          <w:p w:rsidR="00AB4E09" w:rsidRPr="000F540A" w:rsidRDefault="00AB4E09" w:rsidP="000F540A">
            <w:pPr>
              <w:jc w:val="both"/>
              <w:rPr>
                <w:rFonts w:asciiTheme="majorHAnsi" w:hAnsiTheme="majorHAnsi"/>
                <w:b/>
                <w:bCs/>
                <w:sz w:val="22"/>
                <w:szCs w:val="22"/>
              </w:rPr>
            </w:pPr>
          </w:p>
        </w:tc>
        <w:tc>
          <w:tcPr>
            <w:tcW w:w="0" w:type="auto"/>
            <w:tcBorders>
              <w:top w:val="nil"/>
              <w:left w:val="nil"/>
              <w:bottom w:val="nil"/>
              <w:right w:val="nil"/>
            </w:tcBorders>
            <w:shd w:val="clear" w:color="000000" w:fill="E6B8B7"/>
            <w:noWrap/>
            <w:vAlign w:val="bottom"/>
            <w:hideMark/>
          </w:tcPr>
          <w:p w:rsidR="00AB4E09" w:rsidRPr="000F540A" w:rsidRDefault="00AB4E09" w:rsidP="000F540A">
            <w:pPr>
              <w:jc w:val="both"/>
              <w:rPr>
                <w:rFonts w:asciiTheme="majorHAnsi" w:hAnsiTheme="majorHAnsi"/>
                <w:b/>
                <w:bCs/>
                <w:sz w:val="22"/>
                <w:szCs w:val="22"/>
              </w:rPr>
            </w:pPr>
            <w:r w:rsidRPr="000F540A">
              <w:rPr>
                <w:rFonts w:asciiTheme="majorHAnsi" w:hAnsiTheme="majorHAnsi"/>
                <w:b/>
                <w:bCs/>
                <w:sz w:val="22"/>
                <w:szCs w:val="22"/>
              </w:rPr>
              <w:t>2014</w:t>
            </w:r>
          </w:p>
        </w:tc>
        <w:tc>
          <w:tcPr>
            <w:tcW w:w="0" w:type="auto"/>
            <w:tcBorders>
              <w:top w:val="nil"/>
              <w:left w:val="nil"/>
              <w:bottom w:val="nil"/>
              <w:right w:val="nil"/>
            </w:tcBorders>
            <w:shd w:val="clear" w:color="000000" w:fill="E6B8B7"/>
            <w:noWrap/>
            <w:vAlign w:val="bottom"/>
            <w:hideMark/>
          </w:tcPr>
          <w:p w:rsidR="00AB4E09" w:rsidRPr="000F540A" w:rsidRDefault="00AB4E09" w:rsidP="000F540A">
            <w:pPr>
              <w:jc w:val="both"/>
              <w:rPr>
                <w:rFonts w:asciiTheme="majorHAnsi" w:hAnsiTheme="majorHAnsi"/>
                <w:b/>
                <w:bCs/>
                <w:sz w:val="22"/>
                <w:szCs w:val="22"/>
              </w:rPr>
            </w:pPr>
            <w:r w:rsidRPr="000F540A">
              <w:rPr>
                <w:rFonts w:asciiTheme="majorHAnsi" w:hAnsiTheme="majorHAnsi"/>
                <w:b/>
                <w:bCs/>
                <w:sz w:val="22"/>
                <w:szCs w:val="22"/>
              </w:rPr>
              <w:t xml:space="preserve">  2015</w:t>
            </w:r>
          </w:p>
        </w:tc>
        <w:tc>
          <w:tcPr>
            <w:tcW w:w="0" w:type="auto"/>
            <w:tcBorders>
              <w:top w:val="nil"/>
              <w:left w:val="nil"/>
              <w:bottom w:val="nil"/>
              <w:right w:val="nil"/>
            </w:tcBorders>
            <w:shd w:val="clear" w:color="000000" w:fill="E6B8B7"/>
            <w:vAlign w:val="bottom"/>
          </w:tcPr>
          <w:p w:rsidR="00AB4E09" w:rsidRPr="000F540A" w:rsidRDefault="00AB4E09" w:rsidP="000F540A">
            <w:pPr>
              <w:ind w:left="590" w:hanging="590"/>
              <w:jc w:val="both"/>
              <w:rPr>
                <w:rFonts w:asciiTheme="majorHAnsi" w:hAnsiTheme="majorHAnsi"/>
                <w:b/>
                <w:bCs/>
                <w:sz w:val="22"/>
                <w:szCs w:val="22"/>
              </w:rPr>
            </w:pPr>
          </w:p>
        </w:tc>
        <w:tc>
          <w:tcPr>
            <w:tcW w:w="0" w:type="auto"/>
            <w:tcBorders>
              <w:top w:val="nil"/>
              <w:left w:val="nil"/>
              <w:bottom w:val="nil"/>
              <w:right w:val="nil"/>
            </w:tcBorders>
            <w:shd w:val="clear" w:color="000000" w:fill="E6B8B7"/>
            <w:noWrap/>
            <w:vAlign w:val="bottom"/>
            <w:hideMark/>
          </w:tcPr>
          <w:p w:rsidR="00AB4E09" w:rsidRPr="000F540A" w:rsidRDefault="00AB4E09" w:rsidP="000F540A">
            <w:pPr>
              <w:jc w:val="both"/>
              <w:rPr>
                <w:rFonts w:asciiTheme="majorHAnsi" w:hAnsiTheme="majorHAnsi"/>
                <w:b/>
                <w:bCs/>
                <w:sz w:val="22"/>
                <w:szCs w:val="22"/>
              </w:rPr>
            </w:pPr>
            <w:r w:rsidRPr="000F540A">
              <w:rPr>
                <w:rFonts w:asciiTheme="majorHAnsi" w:hAnsiTheme="majorHAnsi"/>
                <w:b/>
                <w:bCs/>
                <w:sz w:val="22"/>
                <w:szCs w:val="22"/>
              </w:rPr>
              <w:t xml:space="preserve">           %</w:t>
            </w:r>
          </w:p>
        </w:tc>
      </w:tr>
      <w:tr w:rsidR="00AB4E09" w:rsidRPr="000F540A" w:rsidTr="00AB4E09">
        <w:trPr>
          <w:trHeight w:val="259"/>
        </w:trPr>
        <w:tc>
          <w:tcPr>
            <w:tcW w:w="0" w:type="auto"/>
            <w:tcBorders>
              <w:top w:val="nil"/>
              <w:left w:val="nil"/>
              <w:bottom w:val="nil"/>
              <w:right w:val="nil"/>
            </w:tcBorders>
            <w:shd w:val="clear" w:color="000000" w:fill="E6B8B7"/>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Cigare</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Ton</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 xml:space="preserve">       2,975 </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 xml:space="preserve">         2,478 </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 xml:space="preserve">          (497)</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-16.71%</w:t>
            </w:r>
          </w:p>
        </w:tc>
      </w:tr>
      <w:tr w:rsidR="00AB4E09" w:rsidRPr="000F540A" w:rsidTr="00AB4E09">
        <w:trPr>
          <w:trHeight w:val="259"/>
        </w:trPr>
        <w:tc>
          <w:tcPr>
            <w:tcW w:w="0" w:type="auto"/>
            <w:tcBorders>
              <w:top w:val="nil"/>
              <w:left w:val="nil"/>
              <w:bottom w:val="nil"/>
              <w:right w:val="nil"/>
            </w:tcBorders>
            <w:shd w:val="clear" w:color="000000" w:fill="E6B8B7"/>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Kafe</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Ton</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 xml:space="preserve">       7,413 </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 xml:space="preserve">         8,607 </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 xml:space="preserve">         1,194 </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16.11%</w:t>
            </w:r>
          </w:p>
        </w:tc>
      </w:tr>
      <w:tr w:rsidR="00AB4E09" w:rsidRPr="000F540A" w:rsidTr="00AB4E09">
        <w:trPr>
          <w:trHeight w:val="259"/>
        </w:trPr>
        <w:tc>
          <w:tcPr>
            <w:tcW w:w="0" w:type="auto"/>
            <w:tcBorders>
              <w:top w:val="nil"/>
              <w:left w:val="nil"/>
              <w:bottom w:val="nil"/>
              <w:right w:val="nil"/>
            </w:tcBorders>
            <w:shd w:val="clear" w:color="000000" w:fill="E6B8B7"/>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Birrë</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Mijë Litra</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 xml:space="preserve">      26,102 </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 xml:space="preserve">       30,090 </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 xml:space="preserve">         3,988 </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15.28%</w:t>
            </w:r>
          </w:p>
        </w:tc>
      </w:tr>
      <w:tr w:rsidR="00AB4E09" w:rsidRPr="000F540A" w:rsidTr="00AB4E09">
        <w:trPr>
          <w:trHeight w:val="259"/>
        </w:trPr>
        <w:tc>
          <w:tcPr>
            <w:tcW w:w="0" w:type="auto"/>
            <w:tcBorders>
              <w:top w:val="nil"/>
              <w:left w:val="nil"/>
              <w:bottom w:val="nil"/>
              <w:right w:val="nil"/>
            </w:tcBorders>
            <w:shd w:val="clear" w:color="000000" w:fill="E6B8B7"/>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Karburante</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Ton</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 xml:space="preserve">    481,776 </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 xml:space="preserve">     463,887 </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 xml:space="preserve">     (17,889)</w:t>
            </w:r>
          </w:p>
        </w:tc>
        <w:tc>
          <w:tcPr>
            <w:tcW w:w="0" w:type="auto"/>
            <w:tcBorders>
              <w:top w:val="nil"/>
              <w:left w:val="nil"/>
              <w:bottom w:val="nil"/>
              <w:right w:val="nil"/>
            </w:tcBorders>
            <w:shd w:val="clear" w:color="auto" w:fill="auto"/>
            <w:noWrap/>
            <w:vAlign w:val="bottom"/>
            <w:hideMark/>
          </w:tcPr>
          <w:p w:rsidR="00AB4E09" w:rsidRPr="000F540A" w:rsidRDefault="00AB4E09" w:rsidP="000F540A">
            <w:pPr>
              <w:jc w:val="both"/>
              <w:rPr>
                <w:rFonts w:asciiTheme="majorHAnsi" w:hAnsiTheme="majorHAnsi"/>
                <w:sz w:val="22"/>
                <w:szCs w:val="22"/>
              </w:rPr>
            </w:pPr>
            <w:r w:rsidRPr="000F540A">
              <w:rPr>
                <w:rFonts w:asciiTheme="majorHAnsi" w:hAnsiTheme="majorHAnsi"/>
                <w:sz w:val="22"/>
                <w:szCs w:val="22"/>
              </w:rPr>
              <w:t>-3.71%</w:t>
            </w:r>
          </w:p>
        </w:tc>
      </w:tr>
    </w:tbl>
    <w:p w:rsidR="000F540A" w:rsidRDefault="000F540A" w:rsidP="000F540A">
      <w:pPr>
        <w:spacing w:before="120" w:after="120"/>
        <w:jc w:val="both"/>
        <w:rPr>
          <w:rFonts w:asciiTheme="majorHAnsi" w:hAnsiTheme="majorHAnsi"/>
          <w:sz w:val="22"/>
          <w:szCs w:val="22"/>
          <w:lang w:val="sq-AL"/>
        </w:rPr>
      </w:pPr>
    </w:p>
    <w:p w:rsidR="00AB4E09" w:rsidRPr="000F540A" w:rsidRDefault="00AB4E09" w:rsidP="000F540A">
      <w:pPr>
        <w:spacing w:before="120" w:after="120"/>
        <w:jc w:val="both"/>
        <w:rPr>
          <w:rFonts w:asciiTheme="majorHAnsi" w:hAnsiTheme="majorHAnsi"/>
          <w:b/>
          <w:sz w:val="22"/>
          <w:szCs w:val="22"/>
          <w:lang w:val="sq-AL"/>
        </w:rPr>
      </w:pPr>
      <w:r w:rsidRPr="000F540A">
        <w:rPr>
          <w:rFonts w:asciiTheme="majorHAnsi" w:hAnsiTheme="majorHAnsi"/>
          <w:b/>
          <w:sz w:val="22"/>
          <w:szCs w:val="22"/>
          <w:lang w:val="sq-AL"/>
        </w:rPr>
        <w:t>Taksimi direkt</w:t>
      </w:r>
    </w:p>
    <w:p w:rsidR="00AB4E09" w:rsidRPr="000F540A" w:rsidRDefault="00AB4E09" w:rsidP="000F540A">
      <w:pPr>
        <w:spacing w:before="120" w:after="120"/>
        <w:jc w:val="both"/>
        <w:rPr>
          <w:rFonts w:asciiTheme="majorHAnsi" w:hAnsiTheme="majorHAnsi"/>
          <w:i/>
          <w:sz w:val="22"/>
          <w:szCs w:val="22"/>
          <w:lang w:val="sq-AL"/>
        </w:rPr>
      </w:pPr>
      <w:r w:rsidRPr="000F540A">
        <w:rPr>
          <w:rFonts w:asciiTheme="majorHAnsi" w:hAnsiTheme="majorHAnsi"/>
          <w:i/>
          <w:sz w:val="22"/>
          <w:szCs w:val="22"/>
          <w:lang w:val="sq-AL"/>
        </w:rPr>
        <w:t>Tatimi mbi të ardhurat personale</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Të ardhurat nga tatimi mbi të ardhurat personale arritën në 29.6 miliard lekë për periudhën Janar-Dhjetor ose 2.8% më shumë se një vit më parë dhe me një nënperformancë krahasuar me planin e vitit 2015 në masën 6.7%. Sipas burimit të të ardhurave individuale që taksohen, bazuar në të dhënat për 12-mujorin 2015, situata pasqyrohet në grafikun më poshtë:</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Këto rezultate kanë ardhur si ndërveprim i një sërë faktorësh, shumica e tyre faktorë të jashtëm. Rritja e normës së TAP nga 10% në 15%, dhe nisja e fushatës kundra informalitetit e cila nisi në shtator 2015, ishin dy faktorët  të cilët ndikuan pozitivisht në rritjen e të ardhurave nga ky grup taksash, dhe konkretisht në rritjen e të ardhurave nga: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të punësuarit e sektorit privat me 1.3 miliard lekë më shumë ose 14.4%</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të ardhurat nga qeratë dhe enfiteoza me 1.4 miliard lekë më shumë ose 106.4%</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të tjera tatime mbi të ardhurat në burim me 707 milion lekë më shumë ose  19.6%</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të ardhura nga tatimi mbi deklaratën vjetore të të ardhurave me 151 milion lekë më shumë ose 153.6%</w:t>
      </w:r>
    </w:p>
    <w:p w:rsidR="00AB4E09"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të ardhurat nga lojrat e fatit  me 10 milion lekë më shumë ose 19.1%</w:t>
      </w:r>
    </w:p>
    <w:p w:rsidR="000105BE" w:rsidRPr="000F540A" w:rsidRDefault="000105BE" w:rsidP="000F540A">
      <w:pPr>
        <w:spacing w:before="120" w:after="120"/>
        <w:jc w:val="both"/>
        <w:rPr>
          <w:rFonts w:asciiTheme="majorHAnsi" w:hAnsiTheme="majorHAnsi"/>
          <w:sz w:val="22"/>
          <w:szCs w:val="22"/>
          <w:lang w:val="sq-AL"/>
        </w:rPr>
      </w:pP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Faktorët të cilat ndikuan negativisht në performancën e të ardhurave nga ky grup taksash përmendim: </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mangësitë në parashikimin e efekteve  në buxhet të kësaj mase fiskale</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rritja e PBB në vitin 2015 më pak se parashikimi (kuadri korrikut 2.7%, kuadri më i fundit  2.6%)</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rënia e normave të interesit në minimum gjatë vitit 2015 (Janar- Tetor 2%, Nëntor-Dhjetor 1.75%)</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shpërndarja e ulët e dividentëve gjatë vitit 2015, si pasojë e shpërndarjes së tyre në Dhjetor 2014 pas miratimit të paketës fiskale 2015, dhe  rritjes së investimeve nga ana e kompanive gjatë vitit 2015</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lastRenderedPageBreak/>
        <w:t>-</w:t>
      </w:r>
      <w:r w:rsidRPr="000F540A">
        <w:rPr>
          <w:rFonts w:asciiTheme="majorHAnsi" w:hAnsiTheme="majorHAnsi"/>
          <w:sz w:val="22"/>
          <w:szCs w:val="22"/>
          <w:lang w:val="sq-AL"/>
        </w:rPr>
        <w:tab/>
        <w:t>Rënia e aktivitetit në disa sektorë specifik si ndërtimi (krahasuar me 2014 kontributi i këtij sektori në të ardhurat tatimore pësoi rënie nga 9% në 7.5%)</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Si rezultat:</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të ardhurat nga interesat u realizuan 85 milion lekë më pak krahasuar me një vit më parë ose -3%</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të ardhurat nga dividentët u realizuan 635 milion lekë më pak ose -14.5%</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të ardhurat nga pasuritë e paluajtshme 1.6 miliard lekë më pak ose -97.2%</w:t>
      </w:r>
    </w:p>
    <w:p w:rsidR="00AB4E09" w:rsidRPr="000F540A" w:rsidRDefault="00AB4E09" w:rsidP="000F540A">
      <w:pPr>
        <w:spacing w:before="120" w:after="120"/>
        <w:jc w:val="both"/>
        <w:rPr>
          <w:rFonts w:asciiTheme="majorHAnsi" w:hAnsiTheme="majorHAnsi"/>
          <w:sz w:val="22"/>
          <w:szCs w:val="22"/>
          <w:lang w:val="sq-AL"/>
        </w:rPr>
      </w:pPr>
    </w:p>
    <w:p w:rsidR="00AB4E09" w:rsidRPr="000F540A" w:rsidRDefault="00AB4E09" w:rsidP="000F540A">
      <w:pPr>
        <w:spacing w:before="120" w:after="120"/>
        <w:jc w:val="both"/>
        <w:rPr>
          <w:rFonts w:asciiTheme="majorHAnsi" w:hAnsiTheme="majorHAnsi"/>
          <w:i/>
          <w:sz w:val="22"/>
          <w:szCs w:val="22"/>
          <w:lang w:val="sq-AL"/>
        </w:rPr>
      </w:pPr>
      <w:r w:rsidRPr="000F540A">
        <w:rPr>
          <w:rFonts w:asciiTheme="majorHAnsi" w:hAnsiTheme="majorHAnsi"/>
          <w:i/>
          <w:sz w:val="22"/>
          <w:szCs w:val="22"/>
          <w:lang w:val="sq-AL"/>
        </w:rPr>
        <w:t>Tatim Fitimi</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Të ardhurat nga tatimi mbi fitimin për 12-mujorin 2015 arritën në rreth 24.9 miliard lekë nga 21.4 miliard të mbledhura një vit më parë, me një rritje prej 16.2%. Krahasuar me planin këto të ardhura kanë pasur një performancë pozitive me rreth 6%.</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Në këtë rezultat ka pasur ndikim efekt i muajit “mars 2015” në të cilin bizneset paguan tatimin përfundimtar të tatimit mbi fitimin me 15%, efekti i marrëveshjes së “Bankers” e cila rezultoi me pagesa të këstve të tatimit mbi fitimin në muajin dhjetor 2015 si dhe lufta ndaj informalitetit, e cila ka sjellë formalizimin e një numri të konsiderueshëm biznesesh, në saj të rikategorizimit nga deklarimi i xhiros reale.</w:t>
      </w:r>
    </w:p>
    <w:p w:rsidR="00AB4E09" w:rsidRPr="000F540A" w:rsidRDefault="00AB4E09" w:rsidP="000F540A">
      <w:pPr>
        <w:spacing w:before="120" w:after="120"/>
        <w:jc w:val="both"/>
        <w:rPr>
          <w:rFonts w:asciiTheme="majorHAnsi" w:hAnsiTheme="majorHAnsi"/>
          <w:i/>
          <w:sz w:val="22"/>
          <w:szCs w:val="22"/>
          <w:lang w:val="sq-AL"/>
        </w:rPr>
      </w:pPr>
      <w:r w:rsidRPr="000F540A">
        <w:rPr>
          <w:rFonts w:asciiTheme="majorHAnsi" w:hAnsiTheme="majorHAnsi"/>
          <w:i/>
          <w:sz w:val="22"/>
          <w:szCs w:val="22"/>
          <w:lang w:val="sq-AL"/>
        </w:rPr>
        <w:t>Taksimi i pasurisë</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Për qëllime analize, këtu përfshijmë tatimin mbi ndërtesat dhe mbi tokën bujqësore. Për 12-mujorin taksat mbi pasurinë arrijnë në 3.9 miliard lekë nga 4 miliard lekë të parashikuara dhe 6.49 % më të larta se një vit më parë. </w:t>
      </w:r>
    </w:p>
    <w:p w:rsidR="00AB4E09" w:rsidRPr="000F540A" w:rsidRDefault="00AB4E09" w:rsidP="000F540A">
      <w:pPr>
        <w:spacing w:before="120" w:after="120"/>
        <w:jc w:val="both"/>
        <w:rPr>
          <w:rFonts w:asciiTheme="majorHAnsi" w:hAnsiTheme="majorHAnsi"/>
          <w:i/>
          <w:sz w:val="22"/>
          <w:szCs w:val="22"/>
          <w:lang w:val="sq-AL"/>
        </w:rPr>
      </w:pPr>
      <w:r w:rsidRPr="000F540A">
        <w:rPr>
          <w:rFonts w:asciiTheme="majorHAnsi" w:hAnsiTheme="majorHAnsi"/>
          <w:i/>
          <w:sz w:val="22"/>
          <w:szCs w:val="22"/>
          <w:lang w:val="sq-AL"/>
        </w:rPr>
        <w:t>Taksat nacionale</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Të ardhurat nga taksat nacionale në total për periudhën janë 33.6 miliard lekë nga 35.5 miliard lekë të parashikuara për periudhën Janar – Dhjetor 2015, me mosrealizim të planit në masën 5%. Duke e krahasuar me të njëjtën periudhë të një viti më parë, të ardhurat nga ky grup taksash kanë pësuar një rritje prej 3.1%. Në këtë rezultat kanë ndikuar ulja e të ardhurave nga taksa mbi lojrat e fatit, në total nga kjo taksë janë arkëtuar rreth 4,8 miliard lekë gjatë gjithë vitit 2015 që do të thotë minus 744 milion lekë krahasuar me parashikimin ose 13%. Diferencën tjetër të mosrealizimit të parashikimit e kanë llojet e tjera të taksave si taksa mbi karbonin, taksa mbi qarkullimin për efekt të importeve më të ulta  të karburantit </w:t>
      </w:r>
    </w:p>
    <w:p w:rsidR="00AB4E09" w:rsidRPr="000F540A" w:rsidRDefault="00AB4E09" w:rsidP="000F540A">
      <w:pPr>
        <w:spacing w:before="120" w:after="120"/>
        <w:jc w:val="both"/>
        <w:rPr>
          <w:rFonts w:asciiTheme="majorHAnsi" w:hAnsiTheme="majorHAnsi"/>
          <w:i/>
          <w:sz w:val="22"/>
          <w:szCs w:val="22"/>
          <w:lang w:val="sq-AL"/>
        </w:rPr>
      </w:pPr>
      <w:r w:rsidRPr="000F540A">
        <w:rPr>
          <w:rFonts w:asciiTheme="majorHAnsi" w:hAnsiTheme="majorHAnsi"/>
          <w:i/>
          <w:sz w:val="22"/>
          <w:szCs w:val="22"/>
          <w:lang w:val="sq-AL"/>
        </w:rPr>
        <w:t>Taksa doganore</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Të ardhurat nga taksa doganore për periudhën Janar – Dhjetor janë rreth 5.7 miliard lekë; krahasuar me të njëjtën periudhë të vitit 2014 të ardhurat nga kjo taksë janë ulur me 56 milion lekë ose 0.9 %. </w:t>
      </w:r>
    </w:p>
    <w:p w:rsidR="00AB4E09" w:rsidRPr="000F540A" w:rsidRDefault="00AB4E09" w:rsidP="000F540A">
      <w:pPr>
        <w:spacing w:before="120" w:after="120"/>
        <w:jc w:val="both"/>
        <w:rPr>
          <w:rFonts w:asciiTheme="majorHAnsi" w:hAnsiTheme="majorHAnsi"/>
          <w:i/>
          <w:sz w:val="22"/>
          <w:szCs w:val="22"/>
          <w:lang w:val="sq-AL"/>
        </w:rPr>
      </w:pPr>
      <w:r w:rsidRPr="000F540A">
        <w:rPr>
          <w:rFonts w:asciiTheme="majorHAnsi" w:hAnsiTheme="majorHAnsi"/>
          <w:i/>
          <w:sz w:val="22"/>
          <w:szCs w:val="22"/>
          <w:lang w:val="sq-AL"/>
        </w:rPr>
        <w:t>Të ardhura të tjera nga pushteti vendor</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Të ardhurat e mbledhura nga taksat vendore për periudhën Janar – Dhjetor 2015, arritën 11.7 miliard lekë nga 12.5 miliard lekë të planifikuara, ndërsa kundrejt vitit 2014 të ardhurat janë ulur me rreth 6%. Taksat e tjera vendore (pa taksën e biznesit të vogël dhe taksat mbi pasurinë të cilat përmenden më sipër) kanë mbledhur rreth 5.7 miliard lekë nga 7 miliard lekë të parashikuara.</w:t>
      </w:r>
    </w:p>
    <w:p w:rsidR="00AB4E09" w:rsidRPr="000F540A" w:rsidRDefault="00AB4E09" w:rsidP="000F540A">
      <w:pPr>
        <w:spacing w:before="120" w:after="120"/>
        <w:jc w:val="both"/>
        <w:rPr>
          <w:rFonts w:asciiTheme="majorHAnsi" w:hAnsiTheme="majorHAnsi"/>
          <w:i/>
          <w:sz w:val="22"/>
          <w:szCs w:val="22"/>
          <w:lang w:val="sq-AL"/>
        </w:rPr>
      </w:pPr>
      <w:r w:rsidRPr="000F540A">
        <w:rPr>
          <w:rFonts w:asciiTheme="majorHAnsi" w:hAnsiTheme="majorHAnsi"/>
          <w:i/>
          <w:sz w:val="22"/>
          <w:szCs w:val="22"/>
          <w:lang w:val="sq-AL"/>
        </w:rPr>
        <w:t>Të ardhurat e fondeve speciale</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 xml:space="preserve">Të ardhurat nga fondet speciale për periudhën Janar – Dhjetor 2015 arritën në 71.7 miliard lekë, me një rritje prej 1% kundrejt planit dhe 2.5%  më shumë krahasuar me të njëjtën periudhë të një viti më parë. Ky grup të ardhurash përbën rreth 20.9% të të ardhurave tatimore gjithsej për këtë periudhë. Nga totali i fondeve speciale, rreth 69.7 miliard lekë </w:t>
      </w:r>
      <w:r w:rsidRPr="000F540A">
        <w:rPr>
          <w:rFonts w:asciiTheme="majorHAnsi" w:hAnsiTheme="majorHAnsi"/>
          <w:sz w:val="22"/>
          <w:szCs w:val="22"/>
          <w:lang w:val="sq-AL"/>
        </w:rPr>
        <w:lastRenderedPageBreak/>
        <w:t>janë kontribute të Sigurimeve Shoqërore dhe Shëndetësore dhe 1.9 milion lekë të ardhura për kompensimin në vlerë të pronarëve.</w:t>
      </w:r>
    </w:p>
    <w:p w:rsidR="00AB4E09"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Nga sigurimet shoqërore janë mbledhur rreth 60.1 miliard lekë dhe nga Sigurimet Shëndetësore janë mbledhur 9.5 miliard lekë.</w:t>
      </w:r>
    </w:p>
    <w:p w:rsidR="000F540A" w:rsidRPr="000F540A" w:rsidRDefault="00AB4E09" w:rsidP="000F540A">
      <w:pPr>
        <w:spacing w:before="120" w:after="120"/>
        <w:jc w:val="both"/>
        <w:rPr>
          <w:rFonts w:asciiTheme="majorHAnsi" w:hAnsiTheme="majorHAnsi"/>
          <w:sz w:val="22"/>
          <w:szCs w:val="22"/>
          <w:lang w:val="sq-AL"/>
        </w:rPr>
      </w:pPr>
      <w:r w:rsidRPr="000F540A">
        <w:rPr>
          <w:rFonts w:asciiTheme="majorHAnsi" w:hAnsiTheme="majorHAnsi"/>
          <w:sz w:val="22"/>
          <w:szCs w:val="22"/>
          <w:lang w:val="sq-AL"/>
        </w:rPr>
        <w:t>Përsa i takon bazës së taksueshme, nga të dhënat e Drejtorisë së Përgjithshme të Tatimeve, për periudhën 12-mujore rezulton se në total ka një rritje të numrit mesatar të të punësuarve për efekt të derdhjes së kontributeve krahasuar me mesataren e një viti më parë. Në sektorin shtetëror vihet re një rritje e këtij treguesi me 4% në ndërmarrjet shtetërore buxhetore, dhe 0.5% në ndërmarrjet shtetërore jo buxhetore. Edhe në sektorin privat ky tregues ka shënuar rritje dhe konkretisht 4.64% në subjektet private me TVSH, dhe 2.4% në subjektet private pa TVSH. Duke e analizuar nga këndvështrimi i sektorëve ekonomikë ky tregues ka pësuar këto ndryshime: sektori “Ndërtimit” është rritur me  1.1% krahasuar me vitin 2014, dhe sektori “Prodhimit” me 2%. Sektori “Shërbimeve” ka pësuar një rënie prej 3.5%, ndërsa sektori “Transport” dhe” Tregti” nuk kanë pësuar ndryshime.</w:t>
      </w:r>
    </w:p>
    <w:p w:rsidR="00273119" w:rsidRPr="000F540A" w:rsidRDefault="00273119" w:rsidP="00273119">
      <w:pPr>
        <w:jc w:val="both"/>
        <w:rPr>
          <w:rFonts w:asciiTheme="majorHAnsi" w:hAnsiTheme="majorHAnsi"/>
          <w:sz w:val="22"/>
          <w:szCs w:val="22"/>
          <w:lang w:val="sq-AL"/>
        </w:rPr>
      </w:pPr>
      <w:r w:rsidRPr="000105BE">
        <w:rPr>
          <w:rFonts w:asciiTheme="majorHAnsi" w:hAnsiTheme="majorHAnsi"/>
          <w:i/>
          <w:sz w:val="22"/>
          <w:szCs w:val="22"/>
          <w:lang w:val="sq-AL"/>
        </w:rPr>
        <w:t>Shpenzimet e përgjithshme të buxhetit</w:t>
      </w:r>
      <w:r w:rsidRPr="000F540A">
        <w:rPr>
          <w:rFonts w:asciiTheme="majorHAnsi" w:hAnsiTheme="majorHAnsi"/>
          <w:sz w:val="22"/>
          <w:szCs w:val="22"/>
          <w:lang w:val="sq-AL"/>
        </w:rPr>
        <w:t>, në fund të vitit 2015, arritën në 437.4 miliardë lekë me një nivel realizimi prej 96 për qind ose 19 miliardë lekë më pak se planifikimi. Krahasuar me të njëjtën periudhë të një viti më parë, shpenzimet buxhetore rezultojnë 1.4 miliardë lekë më pak ose rreth -0.33 për qind më të ulta. Këto shpenzime, në fund të vitit 2015, përllogariten në rreth 30.3 për qind të Produktit të Brendshëm Bruto (PBB), nga 32.8 për qind që arritën një vit më parë.</w:t>
      </w:r>
    </w:p>
    <w:p w:rsidR="00273119" w:rsidRPr="000F540A" w:rsidRDefault="00273119" w:rsidP="00273119">
      <w:pPr>
        <w:jc w:val="both"/>
        <w:rPr>
          <w:rFonts w:asciiTheme="majorHAnsi" w:hAnsiTheme="majorHAnsi"/>
          <w:sz w:val="22"/>
          <w:szCs w:val="22"/>
          <w:lang w:val="sq-AL"/>
        </w:rPr>
      </w:pP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 xml:space="preserve">Në totalin e shpenzimeve buxhetore të realizuara, gjatë vitit 2015, shpenzimet korrente zënë rreth 81 për qind, ndërkohë që shpenzimet për investime zënë rreth 15 për qind dhe detyrimet e prapambetura 4 për qind. Shpenzimet korrente në fund të vitit 2015, kanë arritur në nivelin 350 miliardë lekë. Krahasuar me të njëjtën periudhë të vitit të kaluar, këto shpenzime rezultojnë 9.7 miliardë lekë më të larta ose rreth 3.1 për qind më shumë.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a.</w:t>
      </w:r>
      <w:r w:rsidRPr="000F540A">
        <w:rPr>
          <w:rFonts w:asciiTheme="majorHAnsi" w:hAnsiTheme="majorHAnsi"/>
          <w:sz w:val="22"/>
          <w:szCs w:val="22"/>
          <w:lang w:val="sq-AL"/>
        </w:rPr>
        <w:tab/>
        <w:t xml:space="preserve">Shpenzimet e personelit përfaqësojnë rreth 21 për qind të totalit të shpenzimeve korrente dhe rreth 16.5 për qind të totalit të shpenzimeve të përgjithshme buxhetore, të realizuara gjatë periudhës janar-dhjetor 2015. Kundrejt planit vjetor këto shpenzime janë realizuar në masën 100 për qind.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b.</w:t>
      </w:r>
      <w:r w:rsidRPr="000F540A">
        <w:rPr>
          <w:rFonts w:asciiTheme="majorHAnsi" w:hAnsiTheme="majorHAnsi"/>
          <w:sz w:val="22"/>
          <w:szCs w:val="22"/>
          <w:lang w:val="sq-AL"/>
        </w:rPr>
        <w:tab/>
        <w:t>Shpenzimet për interesa përfaqësojnë rreth 11 për qind të totalit të shpenzimeve korrente të realizuara gjatë periudhës janar-dhjetor 2015 ose 38.6 miliardë lekë, paraqesin një nivel realizimi prej 98.1 për qind të planit vjetor.</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c.</w:t>
      </w:r>
      <w:r w:rsidRPr="000F540A">
        <w:rPr>
          <w:rFonts w:asciiTheme="majorHAnsi" w:hAnsiTheme="majorHAnsi"/>
          <w:sz w:val="22"/>
          <w:szCs w:val="22"/>
          <w:lang w:val="sq-AL"/>
        </w:rPr>
        <w:tab/>
        <w:t xml:space="preserve">Shpenzimet operative dhe të mirëmbajtjes përfshihen të gjitha shpenzimet e tjera korrente të institucioneve publike, që nuk janë paga për personelin, por të domosdoshme për funksionimin e institucionit dhe ofrimin e shërbimeve për qytetarin. Gjatë periudhës janar-dhjetor 2015, shpenzimet operative dhe të mirëmbajtjes arritën në rreth 42.4 miliardë lekë nga 41 miliardë lekë të parashikuara në buxhetin fillestar ose me një nivel realizimi vjetor prej 98 për qind. Pra, këto shpenzime rezultojnë në rreth 1 miliard lekë më të ulëta se plani vjetor dhe 9.3 miliardë lekë (ose 28 për qind) më shumë se realizimi i tyre në vitin 2014. Shpenzimet operative dhe të mirëmbajtjes për vitin 2015 janë orientuar në sektorë prioritarë të infrastrukturës dhe ekonomisë. Në këtë zë përfshihen edhe shlyerja e detyrimeve të prapambetura ndaj individëve dhe biznesit të akumuluara prej vitesh nga qeveria e mëparshme.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d.</w:t>
      </w:r>
      <w:r w:rsidRPr="000F540A">
        <w:rPr>
          <w:rFonts w:asciiTheme="majorHAnsi" w:hAnsiTheme="majorHAnsi"/>
          <w:sz w:val="22"/>
          <w:szCs w:val="22"/>
          <w:lang w:val="sq-AL"/>
        </w:rPr>
        <w:tab/>
        <w:t xml:space="preserve">Shpenzimet e qeverisjes vendore zunë rreth 10 për qind të shpenzimeve korrente për vitin 2015. Për periudhën janar-dhjetor 2015, shpenzimet e pushtetit vendor kanë arritur në 34 miliardë lekë, nga 42.9 miliardë lekë të planifikuara për vitin 2015, duke rezultuar me një mosrealizim (ose kursim) prej 8.8 miliardë lekë ose 20.5 për qind në terma vjetore. Në këtë kursim përfshihet edhe një pjesë e fondit të zhvillimit të rajoneve që reflektohet si përdorim në zërin e investimeve me financim të brëndshëm. Kundrejt planit vjetor këto shpenzime paraqesin një nivel realizimi prej 79.5 për qind. Mosrealizimi i shpenzimeve buxhetore për Pushtetin vendor ka ardhur kryesisht nga mospërdorimi i pjesës së Fondit të Zhvillimit të Rajoneve. Në krahasim me vitin 2014, këto shpenzime </w:t>
      </w:r>
      <w:r w:rsidRPr="000F540A">
        <w:rPr>
          <w:rFonts w:asciiTheme="majorHAnsi" w:hAnsiTheme="majorHAnsi"/>
          <w:sz w:val="22"/>
          <w:szCs w:val="22"/>
          <w:lang w:val="sq-AL"/>
        </w:rPr>
        <w:lastRenderedPageBreak/>
        <w:t xml:space="preserve">rezultojnë 1 miliard lekë më të larta ose 3.3 për qind më shumë. Shpenzimet e buxhetit vendor për vitin 2015, janë ndër më të mëdhatë në 10 vitet e fundit. </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e.</w:t>
      </w:r>
      <w:r w:rsidRPr="000F540A">
        <w:rPr>
          <w:rFonts w:asciiTheme="majorHAnsi" w:hAnsiTheme="majorHAnsi"/>
          <w:sz w:val="22"/>
          <w:szCs w:val="22"/>
          <w:lang w:val="sq-AL"/>
        </w:rPr>
        <w:tab/>
        <w:t>Shpenzimet kapitale në fund të vitit 2015, shpenzimet faktike kapitale arritën në nivelin afërsisht 63.1 miliardë lekë, nga 61.7 miliardë lekë të planifikuara për periudhën 12-mujore, duke shfaqur kështu një nivel tejkalimi në realizimin vjetor prej 102.2 për qind. Në terma absolute, investimet publike për vitin 2015, rezultojnë rreth 1.3 miliardë lekë më shumë se plani vjetor. Megjithatë, duhet të mbahet në konsideratë fakti se, ky zë shpenzimesh përfshin edhe fondet e alokuara gjatë vitit nga fondi rezervë dhe kontingjenca për investime si dhe një pjesë nga fondi i zhvillimit të rajoneve që përdoret nga Ministritë dhe institucionet. Shpenzimet kapitale me financim të brendshëm, arritën në 38.1 miliardë lekë nga 35.5 miliardë të planifikuara me një nivel realizimi 107 për qind. Në krahasim me vitin e kaluar investimet me financim të brendshëm rezultojnë rreth 5 miliardë lekë ose 10 për qind më të larta. Ndërkohë, investimet me financim të huaj, të planifikuara në nivelin 25.1 miliardë lekë, u realizuan në masën 24.9 miliardë lekë ose në krahasim me vitin 2014 kemi një rënie prej 2.2 miliardë lekësh. Buxheti i investimeve për vitin 2015 ka financuar sektorë dhe degë të ndryshme të ekonomisë, të cilat kanë pasur ndikim të drejtpërdrejt në rritjen ekonomike për këtë periudhë.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g.</w:t>
      </w:r>
      <w:r w:rsidRPr="000F540A">
        <w:rPr>
          <w:rFonts w:asciiTheme="majorHAnsi" w:hAnsiTheme="majorHAnsi"/>
          <w:sz w:val="22"/>
          <w:szCs w:val="22"/>
          <w:lang w:val="sq-AL"/>
        </w:rPr>
        <w:tab/>
        <w:t>Fondi Rezervë dhe Fondi i Kontigjencës. Në analizën e shpenzimeve për periudhën janar-dhjetor 2015 janë përfshirë edhe shpenzimet e realizuara nga përdorimet e fondit rezervë të buxhetit të shtetit, të fondit të kontigjencës për ruajtjen e deficitit, të fondit të kontigjencës për rritjen e pagave dhe të fondit të veçantë: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Fondi Rezervë i buxhetit të shtetit është prekur nëpërmjet 36 Vendimeve të Këshillit të Ministrave, në shumën prej rreth 1,493.8 milionë lekësh, nga 1,552 milionë lekë të planifikuar ose rreth 96.2 për qind e tij. Nga Fondi Rezervë i ekzekutuar deri më datën 31 dhjetor 2015, rreth 48,9 milionë lekë janë përdorur për shpenzime personeli, rreth 838,4 milionë lekë për shpenzime të tjera korente (shpenzime operative dhe transferta të brendshme) dhe rreth 490,9 milionë lekë për investime.</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Fondi i kontigjencës për ruajtjen e deficitit, për vitin 2015 i planifikuar me 1 400 milionë lekë, deri në fund të vitit 2015 është përdorur me 15 Vendime të Këshillit të Ministrave për ekzekutimin e pagesave për detyrime ndërkombetare për 1 301 milionë lekë. Gjendja e Fondit të Kontigjencës, e papërdorur, më datë 31 dhjetor 2015 është 98.86 milionë lekë.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w:t>
      </w:r>
      <w:r w:rsidRPr="000F540A">
        <w:rPr>
          <w:rFonts w:asciiTheme="majorHAnsi" w:hAnsiTheme="majorHAnsi"/>
          <w:sz w:val="22"/>
          <w:szCs w:val="22"/>
          <w:lang w:val="sq-AL"/>
        </w:rPr>
        <w:tab/>
        <w:t>Fondi i Veçantë i planifikuar në 340 milion lekë, është përdorur për shpenzime në formë ndihme të menjëhershme me rreth 206 milionë lekë.</w:t>
      </w:r>
    </w:p>
    <w:p w:rsidR="00273119" w:rsidRPr="000F540A" w:rsidRDefault="00273119" w:rsidP="00273119">
      <w:pPr>
        <w:jc w:val="both"/>
        <w:rPr>
          <w:rFonts w:asciiTheme="majorHAnsi" w:hAnsiTheme="majorHAnsi"/>
          <w:sz w:val="22"/>
          <w:szCs w:val="22"/>
          <w:lang w:val="sq-AL"/>
        </w:rPr>
      </w:pPr>
      <w:r w:rsidRPr="000F540A">
        <w:rPr>
          <w:rFonts w:asciiTheme="majorHAnsi" w:hAnsiTheme="majorHAnsi"/>
          <w:sz w:val="22"/>
          <w:szCs w:val="22"/>
          <w:lang w:val="sq-AL"/>
        </w:rPr>
        <w:t xml:space="preserve"> </w:t>
      </w:r>
    </w:p>
    <w:p w:rsidR="000F540A" w:rsidRDefault="00273119" w:rsidP="000105BE">
      <w:pPr>
        <w:jc w:val="both"/>
        <w:rPr>
          <w:rFonts w:asciiTheme="majorHAnsi" w:hAnsiTheme="majorHAnsi"/>
          <w:sz w:val="22"/>
          <w:szCs w:val="22"/>
          <w:lang w:val="sq-AL"/>
        </w:rPr>
      </w:pPr>
      <w:r w:rsidRPr="000F540A">
        <w:rPr>
          <w:rFonts w:asciiTheme="majorHAnsi" w:hAnsiTheme="majorHAnsi"/>
          <w:sz w:val="22"/>
          <w:szCs w:val="22"/>
          <w:lang w:val="sq-AL"/>
        </w:rPr>
        <w:t>Deficiti faktik në vitin 2015 vlerësohet në 58.2 miliardë lekë. Nëpërmjet huamarrjes është financuar  50.3 miliardë lekë, ndërkohë që pjesa tjetër i përket privatizimeve, rivlerësimit të gjendjes së arkës, etj. Deficiti është financuar tërësisht nëpërmjet huamarrjes së jashtme, ndërkohë që huamarrja e brendshme ka qenë negative, për shkak të kushteve të favorshme të tregut të huaj dhe për shkak të përpjekjes së Qeverisë për të ulur presionin në tregun e brendshëm me qëllim  stimulimin e kredititimit të sektorit privat. Më konkretisht, nëpërmjet huamarrjes së brendshme u financuan -17.3 miliard lekë, ndërkohë që 67.6 miliardë lekë u financuan nëpërmjet huamarrjes së huaj, e cila përfshin financimin e projekteve të huaja, mbështetjen buxhetore, Eurobondin dhe PBG</w:t>
      </w:r>
    </w:p>
    <w:p w:rsidR="000105BE" w:rsidRPr="000F540A" w:rsidRDefault="000105BE" w:rsidP="000105BE">
      <w:pPr>
        <w:jc w:val="both"/>
        <w:rPr>
          <w:rFonts w:asciiTheme="majorHAnsi" w:hAnsiTheme="majorHAnsi"/>
          <w:sz w:val="22"/>
          <w:szCs w:val="22"/>
          <w:lang w:val="sq-AL"/>
        </w:rPr>
      </w:pPr>
    </w:p>
    <w:p w:rsidR="00E812EF" w:rsidRPr="000F540A" w:rsidRDefault="00E812EF" w:rsidP="000F540A">
      <w:pPr>
        <w:pStyle w:val="Heading2"/>
        <w:jc w:val="both"/>
        <w:rPr>
          <w:rFonts w:cs="Times New Roman"/>
          <w:sz w:val="22"/>
          <w:szCs w:val="22"/>
          <w:lang w:val="sq-AL"/>
        </w:rPr>
      </w:pPr>
      <w:r w:rsidRPr="000F540A">
        <w:rPr>
          <w:rFonts w:cs="Times New Roman"/>
          <w:sz w:val="22"/>
          <w:szCs w:val="22"/>
          <w:lang w:val="sq-AL"/>
        </w:rPr>
        <w:t>Menaxhimi i Borxhit dhe Realizimi i Objektivave</w:t>
      </w:r>
      <w:bookmarkEnd w:id="0"/>
      <w:r w:rsidR="00297E24" w:rsidRPr="000F540A">
        <w:rPr>
          <w:rFonts w:cs="Times New Roman"/>
          <w:sz w:val="22"/>
          <w:szCs w:val="22"/>
          <w:lang w:val="sq-AL"/>
        </w:rPr>
        <w:t xml:space="preserve"> n</w:t>
      </w:r>
      <w:r w:rsidR="00EA14F0" w:rsidRPr="000F540A">
        <w:rPr>
          <w:rFonts w:cs="Times New Roman"/>
          <w:sz w:val="22"/>
          <w:szCs w:val="22"/>
          <w:lang w:val="sq-AL"/>
        </w:rPr>
        <w:t>ë</w:t>
      </w:r>
      <w:r w:rsidR="00297E24" w:rsidRPr="000F540A">
        <w:rPr>
          <w:rFonts w:cs="Times New Roman"/>
          <w:sz w:val="22"/>
          <w:szCs w:val="22"/>
          <w:lang w:val="sq-AL"/>
        </w:rPr>
        <w:t xml:space="preserve"> Vitin 2015</w:t>
      </w:r>
      <w:r w:rsidRPr="000F540A">
        <w:rPr>
          <w:rFonts w:cs="Times New Roman"/>
          <w:sz w:val="22"/>
          <w:szCs w:val="22"/>
          <w:lang w:val="sq-AL"/>
        </w:rPr>
        <w:t xml:space="preserve"> </w:t>
      </w:r>
    </w:p>
    <w:p w:rsidR="00E812EF" w:rsidRPr="000F540A" w:rsidRDefault="00E812EF" w:rsidP="000F540A">
      <w:pPr>
        <w:tabs>
          <w:tab w:val="left" w:pos="2730"/>
        </w:tabs>
        <w:ind w:left="360"/>
        <w:jc w:val="both"/>
        <w:rPr>
          <w:rFonts w:asciiTheme="majorHAnsi" w:hAnsiTheme="majorHAnsi"/>
          <w:sz w:val="22"/>
          <w:szCs w:val="22"/>
          <w:lang w:val="sq-AL"/>
        </w:rPr>
      </w:pPr>
    </w:p>
    <w:p w:rsidR="00E812EF" w:rsidRPr="000F540A" w:rsidRDefault="00E812EF" w:rsidP="000F540A">
      <w:pPr>
        <w:tabs>
          <w:tab w:val="left" w:pos="2730"/>
        </w:tabs>
        <w:jc w:val="both"/>
        <w:rPr>
          <w:rFonts w:asciiTheme="majorHAnsi" w:hAnsiTheme="majorHAnsi"/>
          <w:sz w:val="22"/>
          <w:szCs w:val="22"/>
          <w:lang w:val="sq-AL"/>
        </w:rPr>
      </w:pPr>
      <w:r w:rsidRPr="000F540A">
        <w:rPr>
          <w:rFonts w:asciiTheme="majorHAnsi" w:hAnsiTheme="majorHAnsi"/>
          <w:sz w:val="22"/>
          <w:szCs w:val="22"/>
          <w:lang w:val="sq-AL"/>
        </w:rPr>
        <w:t>Menaxhimi i borxhit gjat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vitit 2015 ka pasur si objektiv </w:t>
      </w:r>
      <w:r w:rsidR="00A71D71" w:rsidRPr="000F540A">
        <w:rPr>
          <w:rFonts w:asciiTheme="majorHAnsi" w:hAnsiTheme="majorHAnsi"/>
          <w:sz w:val="22"/>
          <w:szCs w:val="22"/>
          <w:lang w:val="sq-AL"/>
        </w:rPr>
        <w:t>kryesor</w:t>
      </w:r>
      <w:r w:rsidRPr="000F540A">
        <w:rPr>
          <w:rFonts w:asciiTheme="majorHAnsi" w:hAnsiTheme="majorHAnsi"/>
          <w:sz w:val="22"/>
          <w:szCs w:val="22"/>
          <w:lang w:val="sq-AL"/>
        </w:rPr>
        <w:t xml:space="preserve"> </w:t>
      </w:r>
      <w:r w:rsidR="00A71D71" w:rsidRPr="000F540A">
        <w:rPr>
          <w:rFonts w:asciiTheme="majorHAnsi" w:hAnsiTheme="majorHAnsi"/>
          <w:sz w:val="22"/>
          <w:szCs w:val="22"/>
          <w:lang w:val="sq-AL"/>
        </w:rPr>
        <w:t>sigurimin e</w:t>
      </w:r>
      <w:r w:rsidRPr="000F540A">
        <w:rPr>
          <w:rFonts w:asciiTheme="majorHAnsi" w:hAnsiTheme="majorHAnsi"/>
          <w:sz w:val="22"/>
          <w:szCs w:val="22"/>
          <w:lang w:val="sq-AL"/>
        </w:rPr>
        <w:t xml:space="preserve"> financimi</w:t>
      </w:r>
      <w:r w:rsidR="00A71D71" w:rsidRPr="000F540A">
        <w:rPr>
          <w:rFonts w:asciiTheme="majorHAnsi" w:hAnsiTheme="majorHAnsi"/>
          <w:sz w:val="22"/>
          <w:szCs w:val="22"/>
          <w:lang w:val="sq-AL"/>
        </w:rPr>
        <w:t>t</w:t>
      </w:r>
      <w:r w:rsidRPr="000F540A">
        <w:rPr>
          <w:rFonts w:asciiTheme="majorHAnsi" w:hAnsiTheme="majorHAnsi"/>
          <w:sz w:val="22"/>
          <w:szCs w:val="22"/>
          <w:lang w:val="sq-AL"/>
        </w:rPr>
        <w:t xml:space="preserve"> </w:t>
      </w:r>
      <w:r w:rsidR="00A71D71" w:rsidRPr="000F540A">
        <w:rPr>
          <w:rFonts w:asciiTheme="majorHAnsi" w:hAnsiTheme="majorHAnsi"/>
          <w:sz w:val="22"/>
          <w:szCs w:val="22"/>
          <w:lang w:val="sq-AL"/>
        </w:rPr>
        <w:t>të</w:t>
      </w:r>
      <w:r w:rsidRPr="000F540A">
        <w:rPr>
          <w:rFonts w:asciiTheme="majorHAnsi" w:hAnsiTheme="majorHAnsi"/>
          <w:sz w:val="22"/>
          <w:szCs w:val="22"/>
          <w:lang w:val="sq-AL"/>
        </w:rPr>
        <w:t xml:space="preserve"> nevojave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Qeveris</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p</w:t>
      </w:r>
      <w:r w:rsidR="004516AC" w:rsidRPr="000F540A">
        <w:rPr>
          <w:rFonts w:asciiTheme="majorHAnsi" w:hAnsiTheme="majorHAnsi"/>
          <w:sz w:val="22"/>
          <w:szCs w:val="22"/>
          <w:lang w:val="sq-AL"/>
        </w:rPr>
        <w:t>ë</w:t>
      </w:r>
      <w:r w:rsidRPr="000F540A">
        <w:rPr>
          <w:rFonts w:asciiTheme="majorHAnsi" w:hAnsiTheme="majorHAnsi"/>
          <w:sz w:val="22"/>
          <w:szCs w:val="22"/>
          <w:lang w:val="sq-AL"/>
        </w:rPr>
        <w:t>r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sh</w:t>
      </w:r>
      <w:r w:rsidR="004516AC" w:rsidRPr="000F540A">
        <w:rPr>
          <w:rFonts w:asciiTheme="majorHAnsi" w:hAnsiTheme="majorHAnsi"/>
          <w:sz w:val="22"/>
          <w:szCs w:val="22"/>
          <w:lang w:val="sq-AL"/>
        </w:rPr>
        <w:t>ë</w:t>
      </w:r>
      <w:r w:rsidR="00825733" w:rsidRPr="000F540A">
        <w:rPr>
          <w:rFonts w:asciiTheme="majorHAnsi" w:hAnsiTheme="majorHAnsi"/>
          <w:sz w:val="22"/>
          <w:szCs w:val="22"/>
          <w:lang w:val="sq-AL"/>
        </w:rPr>
        <w:t xml:space="preserve">rbyer </w:t>
      </w:r>
      <w:r w:rsidRPr="000F540A">
        <w:rPr>
          <w:rFonts w:asciiTheme="majorHAnsi" w:hAnsiTheme="majorHAnsi"/>
          <w:sz w:val="22"/>
          <w:szCs w:val="22"/>
          <w:lang w:val="sq-AL"/>
        </w:rPr>
        <w:t>detyrimet q</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lindin nga borxhi ekzistues, si edhe </w:t>
      </w:r>
      <w:r w:rsidR="00412105" w:rsidRPr="000F540A">
        <w:rPr>
          <w:rFonts w:asciiTheme="majorHAnsi" w:hAnsiTheme="majorHAnsi"/>
          <w:sz w:val="22"/>
          <w:szCs w:val="22"/>
          <w:lang w:val="sq-AL"/>
        </w:rPr>
        <w:t>detyrimet e krijuara nga diferenca nd</w:t>
      </w:r>
      <w:r w:rsidR="004516AC" w:rsidRPr="000F540A">
        <w:rPr>
          <w:rFonts w:asciiTheme="majorHAnsi" w:hAnsiTheme="majorHAnsi"/>
          <w:sz w:val="22"/>
          <w:szCs w:val="22"/>
          <w:lang w:val="sq-AL"/>
        </w:rPr>
        <w:t>ë</w:t>
      </w:r>
      <w:r w:rsidR="00412105" w:rsidRPr="000F540A">
        <w:rPr>
          <w:rFonts w:asciiTheme="majorHAnsi" w:hAnsiTheme="majorHAnsi"/>
          <w:sz w:val="22"/>
          <w:szCs w:val="22"/>
          <w:lang w:val="sq-AL"/>
        </w:rPr>
        <w:t>rmjet t</w:t>
      </w:r>
      <w:r w:rsidR="004516AC" w:rsidRPr="000F540A">
        <w:rPr>
          <w:rFonts w:asciiTheme="majorHAnsi" w:hAnsiTheme="majorHAnsi"/>
          <w:sz w:val="22"/>
          <w:szCs w:val="22"/>
          <w:lang w:val="sq-AL"/>
        </w:rPr>
        <w:t>ë</w:t>
      </w:r>
      <w:r w:rsidR="00412105" w:rsidRPr="000F540A">
        <w:rPr>
          <w:rFonts w:asciiTheme="majorHAnsi" w:hAnsiTheme="majorHAnsi"/>
          <w:sz w:val="22"/>
          <w:szCs w:val="22"/>
          <w:lang w:val="sq-AL"/>
        </w:rPr>
        <w:t xml:space="preserve"> ardhurave dhe shpenzimeve. </w:t>
      </w:r>
      <w:r w:rsidR="00462B80" w:rsidRPr="000F540A">
        <w:rPr>
          <w:rFonts w:asciiTheme="majorHAnsi" w:hAnsiTheme="majorHAnsi"/>
          <w:sz w:val="22"/>
          <w:szCs w:val="22"/>
          <w:lang w:val="sq-AL"/>
        </w:rPr>
        <w:t>N</w:t>
      </w:r>
      <w:r w:rsidR="004516AC" w:rsidRPr="000F540A">
        <w:rPr>
          <w:rFonts w:asciiTheme="majorHAnsi" w:hAnsiTheme="majorHAnsi"/>
          <w:sz w:val="22"/>
          <w:szCs w:val="22"/>
          <w:lang w:val="sq-AL"/>
        </w:rPr>
        <w:t>ë</w:t>
      </w:r>
      <w:r w:rsidR="00462B80" w:rsidRPr="000F540A">
        <w:rPr>
          <w:rFonts w:asciiTheme="majorHAnsi" w:hAnsiTheme="majorHAnsi"/>
          <w:sz w:val="22"/>
          <w:szCs w:val="22"/>
          <w:lang w:val="sq-AL"/>
        </w:rPr>
        <w:t xml:space="preserve"> t</w:t>
      </w:r>
      <w:r w:rsidR="004516AC" w:rsidRPr="000F540A">
        <w:rPr>
          <w:rFonts w:asciiTheme="majorHAnsi" w:hAnsiTheme="majorHAnsi"/>
          <w:sz w:val="22"/>
          <w:szCs w:val="22"/>
          <w:lang w:val="sq-AL"/>
        </w:rPr>
        <w:t>ë</w:t>
      </w:r>
      <w:r w:rsidR="00462B80" w:rsidRPr="000F540A">
        <w:rPr>
          <w:rFonts w:asciiTheme="majorHAnsi" w:hAnsiTheme="majorHAnsi"/>
          <w:sz w:val="22"/>
          <w:szCs w:val="22"/>
          <w:lang w:val="sq-AL"/>
        </w:rPr>
        <w:t xml:space="preserve"> nj</w:t>
      </w:r>
      <w:r w:rsidR="004516AC" w:rsidRPr="000F540A">
        <w:rPr>
          <w:rFonts w:asciiTheme="majorHAnsi" w:hAnsiTheme="majorHAnsi"/>
          <w:sz w:val="22"/>
          <w:szCs w:val="22"/>
          <w:lang w:val="sq-AL"/>
        </w:rPr>
        <w:t>ë</w:t>
      </w:r>
      <w:r w:rsidR="00462B80" w:rsidRPr="000F540A">
        <w:rPr>
          <w:rFonts w:asciiTheme="majorHAnsi" w:hAnsiTheme="majorHAnsi"/>
          <w:sz w:val="22"/>
          <w:szCs w:val="22"/>
          <w:lang w:val="sq-AL"/>
        </w:rPr>
        <w:t>jt</w:t>
      </w:r>
      <w:r w:rsidR="004516AC" w:rsidRPr="000F540A">
        <w:rPr>
          <w:rFonts w:asciiTheme="majorHAnsi" w:hAnsiTheme="majorHAnsi"/>
          <w:sz w:val="22"/>
          <w:szCs w:val="22"/>
          <w:lang w:val="sq-AL"/>
        </w:rPr>
        <w:t>ë</w:t>
      </w:r>
      <w:r w:rsidR="00462B80" w:rsidRPr="000F540A">
        <w:rPr>
          <w:rFonts w:asciiTheme="majorHAnsi" w:hAnsiTheme="majorHAnsi"/>
          <w:sz w:val="22"/>
          <w:szCs w:val="22"/>
          <w:lang w:val="sq-AL"/>
        </w:rPr>
        <w:t>n koh</w:t>
      </w:r>
      <w:r w:rsidR="004516AC" w:rsidRPr="000F540A">
        <w:rPr>
          <w:rFonts w:asciiTheme="majorHAnsi" w:hAnsiTheme="majorHAnsi"/>
          <w:sz w:val="22"/>
          <w:szCs w:val="22"/>
          <w:lang w:val="sq-AL"/>
        </w:rPr>
        <w:t>ë</w:t>
      </w:r>
      <w:r w:rsidR="00462B80" w:rsidRPr="000F540A">
        <w:rPr>
          <w:rFonts w:asciiTheme="majorHAnsi" w:hAnsiTheme="majorHAnsi"/>
          <w:sz w:val="22"/>
          <w:szCs w:val="22"/>
          <w:lang w:val="sq-AL"/>
        </w:rPr>
        <w:t xml:space="preserve">, </w:t>
      </w:r>
      <w:r w:rsidR="005463E4" w:rsidRPr="000F540A">
        <w:rPr>
          <w:rFonts w:asciiTheme="majorHAnsi" w:hAnsiTheme="majorHAnsi"/>
          <w:sz w:val="22"/>
          <w:szCs w:val="22"/>
          <w:lang w:val="sq-AL"/>
        </w:rPr>
        <w:t>shum</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 xml:space="preserve"> e r</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nd</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sishme p</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r menaxhimin e borxhit ka q</w:t>
      </w:r>
      <w:r w:rsidR="00C07141" w:rsidRPr="000F540A">
        <w:rPr>
          <w:rFonts w:asciiTheme="majorHAnsi" w:hAnsiTheme="majorHAnsi"/>
          <w:sz w:val="22"/>
          <w:szCs w:val="22"/>
          <w:lang w:val="sq-AL"/>
        </w:rPr>
        <w:t>e</w:t>
      </w:r>
      <w:r w:rsidR="005463E4" w:rsidRPr="000F540A">
        <w:rPr>
          <w:rFonts w:asciiTheme="majorHAnsi" w:hAnsiTheme="majorHAnsi"/>
          <w:sz w:val="22"/>
          <w:szCs w:val="22"/>
          <w:lang w:val="sq-AL"/>
        </w:rPr>
        <w:t>n</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 xml:space="preserve"> realizimi i objektivit t</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 xml:space="preserve"> sip</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rp</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rmendur n</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 xml:space="preserve"> p</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rputhje me objektivat strategjik</w:t>
      </w:r>
      <w:r w:rsidR="004104AC" w:rsidRPr="000F540A">
        <w:rPr>
          <w:rFonts w:asciiTheme="majorHAnsi" w:hAnsiTheme="majorHAnsi"/>
          <w:sz w:val="22"/>
          <w:szCs w:val="22"/>
          <w:lang w:val="sq-AL"/>
        </w:rPr>
        <w:t>e</w:t>
      </w:r>
      <w:r w:rsidR="005463E4" w:rsidRPr="000F540A">
        <w:rPr>
          <w:rFonts w:asciiTheme="majorHAnsi" w:hAnsiTheme="majorHAnsi"/>
          <w:sz w:val="22"/>
          <w:szCs w:val="22"/>
          <w:lang w:val="sq-AL"/>
        </w:rPr>
        <w:t xml:space="preserve"> p</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r uljen e ekspozimit ndaj r</w:t>
      </w:r>
      <w:r w:rsidR="0020657D" w:rsidRPr="000F540A">
        <w:rPr>
          <w:rFonts w:asciiTheme="majorHAnsi" w:hAnsiTheme="majorHAnsi"/>
          <w:sz w:val="22"/>
          <w:szCs w:val="22"/>
          <w:lang w:val="sq-AL"/>
        </w:rPr>
        <w:t xml:space="preserve">reziqeve </w:t>
      </w:r>
      <w:r w:rsidR="005463E4" w:rsidRPr="000F540A">
        <w:rPr>
          <w:rFonts w:asciiTheme="majorHAnsi" w:hAnsiTheme="majorHAnsi"/>
          <w:sz w:val="22"/>
          <w:szCs w:val="22"/>
          <w:lang w:val="sq-AL"/>
        </w:rPr>
        <w:t>dhe mbajtjen n</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n kontroll t</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 xml:space="preserve"> kostove t</w:t>
      </w:r>
      <w:r w:rsidR="004516AC" w:rsidRPr="000F540A">
        <w:rPr>
          <w:rFonts w:asciiTheme="majorHAnsi" w:hAnsiTheme="majorHAnsi"/>
          <w:sz w:val="22"/>
          <w:szCs w:val="22"/>
          <w:lang w:val="sq-AL"/>
        </w:rPr>
        <w:t>ë</w:t>
      </w:r>
      <w:r w:rsidR="005463E4" w:rsidRPr="000F540A">
        <w:rPr>
          <w:rFonts w:asciiTheme="majorHAnsi" w:hAnsiTheme="majorHAnsi"/>
          <w:sz w:val="22"/>
          <w:szCs w:val="22"/>
          <w:lang w:val="sq-AL"/>
        </w:rPr>
        <w:t xml:space="preserve"> borxhi</w:t>
      </w:r>
      <w:r w:rsidR="004104AC" w:rsidRPr="000F540A">
        <w:rPr>
          <w:rFonts w:asciiTheme="majorHAnsi" w:hAnsiTheme="majorHAnsi"/>
          <w:sz w:val="22"/>
          <w:szCs w:val="22"/>
          <w:lang w:val="sq-AL"/>
        </w:rPr>
        <w:t>t</w:t>
      </w:r>
      <w:r w:rsidR="005463E4" w:rsidRPr="000F540A">
        <w:rPr>
          <w:rFonts w:asciiTheme="majorHAnsi" w:hAnsiTheme="majorHAnsi"/>
          <w:sz w:val="22"/>
          <w:szCs w:val="22"/>
          <w:lang w:val="sq-AL"/>
        </w:rPr>
        <w:t xml:space="preserve">. </w:t>
      </w:r>
      <w:r w:rsidRPr="000F540A">
        <w:rPr>
          <w:rFonts w:asciiTheme="majorHAnsi" w:hAnsiTheme="majorHAnsi"/>
          <w:sz w:val="22"/>
          <w:szCs w:val="22"/>
          <w:lang w:val="sq-AL"/>
        </w:rPr>
        <w:t xml:space="preserve"> </w:t>
      </w:r>
    </w:p>
    <w:p w:rsidR="00E812EF" w:rsidRPr="000F540A" w:rsidRDefault="00E812EF" w:rsidP="000F540A">
      <w:pPr>
        <w:tabs>
          <w:tab w:val="left" w:pos="2730"/>
        </w:tabs>
        <w:jc w:val="both"/>
        <w:rPr>
          <w:rFonts w:asciiTheme="majorHAnsi" w:hAnsiTheme="majorHAnsi"/>
          <w:sz w:val="22"/>
          <w:szCs w:val="22"/>
          <w:lang w:val="sq-AL"/>
        </w:rPr>
      </w:pPr>
    </w:p>
    <w:p w:rsidR="003B7685" w:rsidRPr="000F540A" w:rsidRDefault="009E4E95" w:rsidP="000F540A">
      <w:pPr>
        <w:tabs>
          <w:tab w:val="left" w:pos="2730"/>
        </w:tabs>
        <w:jc w:val="both"/>
        <w:rPr>
          <w:rFonts w:asciiTheme="majorHAnsi" w:hAnsiTheme="majorHAnsi"/>
          <w:sz w:val="22"/>
          <w:szCs w:val="22"/>
          <w:lang w:val="sq-AL"/>
        </w:rPr>
      </w:pPr>
      <w:r w:rsidRPr="000F540A">
        <w:rPr>
          <w:rFonts w:asciiTheme="majorHAnsi" w:hAnsiTheme="majorHAnsi"/>
          <w:sz w:val="22"/>
          <w:szCs w:val="22"/>
          <w:lang w:val="sq-AL"/>
        </w:rPr>
        <w:t>Viti 2015 ka q</w:t>
      </w:r>
      <w:r w:rsidR="00C07141" w:rsidRPr="000F540A">
        <w:rPr>
          <w:rFonts w:asciiTheme="majorHAnsi" w:hAnsiTheme="majorHAnsi"/>
          <w:sz w:val="22"/>
          <w:szCs w:val="22"/>
          <w:lang w:val="sq-AL"/>
        </w:rPr>
        <w:t>e</w:t>
      </w:r>
      <w:r w:rsidRPr="000F540A">
        <w:rPr>
          <w:rFonts w:asciiTheme="majorHAnsi" w:hAnsiTheme="majorHAnsi"/>
          <w:sz w:val="22"/>
          <w:szCs w:val="22"/>
          <w:lang w:val="sq-AL"/>
        </w:rPr>
        <w:t>n</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nj</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w:t>
      </w:r>
      <w:r w:rsidR="003B7685" w:rsidRPr="000F540A">
        <w:rPr>
          <w:rFonts w:asciiTheme="majorHAnsi" w:hAnsiTheme="majorHAnsi"/>
          <w:sz w:val="22"/>
          <w:szCs w:val="22"/>
          <w:lang w:val="sq-AL"/>
        </w:rPr>
        <w:t>vit intensiv</w:t>
      </w:r>
      <w:r w:rsidRPr="000F540A">
        <w:rPr>
          <w:rFonts w:asciiTheme="majorHAnsi" w:hAnsiTheme="majorHAnsi"/>
          <w:sz w:val="22"/>
          <w:szCs w:val="22"/>
          <w:lang w:val="sq-AL"/>
        </w:rPr>
        <w:t xml:space="preserve"> p</w:t>
      </w:r>
      <w:r w:rsidR="004516AC" w:rsidRPr="000F540A">
        <w:rPr>
          <w:rFonts w:asciiTheme="majorHAnsi" w:hAnsiTheme="majorHAnsi"/>
          <w:sz w:val="22"/>
          <w:szCs w:val="22"/>
          <w:lang w:val="sq-AL"/>
        </w:rPr>
        <w:t>ë</w:t>
      </w:r>
      <w:r w:rsidRPr="000F540A">
        <w:rPr>
          <w:rFonts w:asciiTheme="majorHAnsi" w:hAnsiTheme="majorHAnsi"/>
          <w:sz w:val="22"/>
          <w:szCs w:val="22"/>
          <w:lang w:val="sq-AL"/>
        </w:rPr>
        <w:t>r menaxhimin e borxhit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Republik</w:t>
      </w:r>
      <w:r w:rsidR="004516AC" w:rsidRPr="000F540A">
        <w:rPr>
          <w:rFonts w:asciiTheme="majorHAnsi" w:hAnsiTheme="majorHAnsi"/>
          <w:sz w:val="22"/>
          <w:szCs w:val="22"/>
          <w:lang w:val="sq-AL"/>
        </w:rPr>
        <w:t>ë</w:t>
      </w:r>
      <w:r w:rsidRPr="000F540A">
        <w:rPr>
          <w:rFonts w:asciiTheme="majorHAnsi" w:hAnsiTheme="majorHAnsi"/>
          <w:sz w:val="22"/>
          <w:szCs w:val="22"/>
          <w:lang w:val="sq-AL"/>
        </w:rPr>
        <w:t>s s</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Shqip</w:t>
      </w:r>
      <w:r w:rsidR="004516AC" w:rsidRPr="000F540A">
        <w:rPr>
          <w:rFonts w:asciiTheme="majorHAnsi" w:hAnsiTheme="majorHAnsi"/>
          <w:sz w:val="22"/>
          <w:szCs w:val="22"/>
          <w:lang w:val="sq-AL"/>
        </w:rPr>
        <w:t>ë</w:t>
      </w:r>
      <w:r w:rsidRPr="000F540A">
        <w:rPr>
          <w:rFonts w:asciiTheme="majorHAnsi" w:hAnsiTheme="majorHAnsi"/>
          <w:sz w:val="22"/>
          <w:szCs w:val="22"/>
          <w:lang w:val="sq-AL"/>
        </w:rPr>
        <w:t>ris</w:t>
      </w:r>
      <w:r w:rsidR="004516AC" w:rsidRPr="000F540A">
        <w:rPr>
          <w:rFonts w:asciiTheme="majorHAnsi" w:hAnsiTheme="majorHAnsi"/>
          <w:sz w:val="22"/>
          <w:szCs w:val="22"/>
          <w:lang w:val="sq-AL"/>
        </w:rPr>
        <w:t>ë</w:t>
      </w:r>
      <w:r w:rsidR="009A711F" w:rsidRPr="000F540A">
        <w:rPr>
          <w:rFonts w:asciiTheme="majorHAnsi" w:hAnsiTheme="majorHAnsi"/>
          <w:sz w:val="22"/>
          <w:szCs w:val="22"/>
          <w:lang w:val="sq-AL"/>
        </w:rPr>
        <w:t>,</w:t>
      </w:r>
      <w:r w:rsidRPr="000F540A">
        <w:rPr>
          <w:rFonts w:asciiTheme="majorHAnsi" w:hAnsiTheme="majorHAnsi"/>
          <w:sz w:val="22"/>
          <w:szCs w:val="22"/>
          <w:lang w:val="sq-AL"/>
        </w:rPr>
        <w:t xml:space="preserve"> p</w:t>
      </w:r>
      <w:r w:rsidR="004516AC" w:rsidRPr="000F540A">
        <w:rPr>
          <w:rFonts w:asciiTheme="majorHAnsi" w:hAnsiTheme="majorHAnsi"/>
          <w:sz w:val="22"/>
          <w:szCs w:val="22"/>
          <w:lang w:val="sq-AL"/>
        </w:rPr>
        <w:t>ë</w:t>
      </w:r>
      <w:r w:rsidRPr="000F540A">
        <w:rPr>
          <w:rFonts w:asciiTheme="majorHAnsi" w:hAnsiTheme="majorHAnsi"/>
          <w:sz w:val="22"/>
          <w:szCs w:val="22"/>
          <w:lang w:val="sq-AL"/>
        </w:rPr>
        <w:t>r shkak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nivelit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lart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w:t>
      </w:r>
      <w:r w:rsidR="003B7685" w:rsidRPr="000F540A">
        <w:rPr>
          <w:rFonts w:asciiTheme="majorHAnsi" w:hAnsiTheme="majorHAnsi"/>
          <w:sz w:val="22"/>
          <w:szCs w:val="22"/>
          <w:lang w:val="sq-AL"/>
        </w:rPr>
        <w:t>financimit t</w:t>
      </w:r>
      <w:r w:rsidR="00DC3821" w:rsidRPr="000F540A">
        <w:rPr>
          <w:rFonts w:asciiTheme="majorHAnsi" w:hAnsiTheme="majorHAnsi"/>
          <w:sz w:val="22"/>
          <w:szCs w:val="22"/>
          <w:lang w:val="sq-AL"/>
        </w:rPr>
        <w:t>ë</w:t>
      </w:r>
      <w:r w:rsidR="003B7685" w:rsidRPr="000F540A">
        <w:rPr>
          <w:rFonts w:asciiTheme="majorHAnsi" w:hAnsiTheme="majorHAnsi"/>
          <w:sz w:val="22"/>
          <w:szCs w:val="22"/>
          <w:lang w:val="sq-AL"/>
        </w:rPr>
        <w:t xml:space="preserve"> </w:t>
      </w:r>
      <w:r w:rsidRPr="000F540A">
        <w:rPr>
          <w:rFonts w:asciiTheme="majorHAnsi" w:hAnsiTheme="majorHAnsi"/>
          <w:sz w:val="22"/>
          <w:szCs w:val="22"/>
          <w:lang w:val="sq-AL"/>
        </w:rPr>
        <w:t>borxhi</w:t>
      </w:r>
      <w:r w:rsidR="003B7685" w:rsidRPr="000F540A">
        <w:rPr>
          <w:rFonts w:asciiTheme="majorHAnsi" w:hAnsiTheme="majorHAnsi"/>
          <w:sz w:val="22"/>
          <w:szCs w:val="22"/>
          <w:lang w:val="sq-AL"/>
        </w:rPr>
        <w:t>t</w:t>
      </w:r>
      <w:r w:rsidRPr="000F540A">
        <w:rPr>
          <w:rFonts w:asciiTheme="majorHAnsi" w:hAnsiTheme="majorHAnsi"/>
          <w:sz w:val="22"/>
          <w:szCs w:val="22"/>
          <w:lang w:val="sq-AL"/>
        </w:rPr>
        <w:t xml:space="preserve"> ekzistues</w:t>
      </w:r>
      <w:r w:rsidR="00E9155E" w:rsidRPr="000F540A">
        <w:rPr>
          <w:rFonts w:asciiTheme="majorHAnsi" w:hAnsiTheme="majorHAnsi"/>
          <w:sz w:val="22"/>
          <w:szCs w:val="22"/>
          <w:lang w:val="sq-AL"/>
        </w:rPr>
        <w:t>, ku</w:t>
      </w:r>
      <w:r w:rsidR="00373494" w:rsidRPr="000F540A">
        <w:rPr>
          <w:rFonts w:asciiTheme="majorHAnsi" w:hAnsiTheme="majorHAnsi"/>
          <w:sz w:val="22"/>
          <w:szCs w:val="22"/>
          <w:lang w:val="sq-AL"/>
        </w:rPr>
        <w:t xml:space="preserve"> </w:t>
      </w:r>
      <w:r w:rsidRPr="000F540A">
        <w:rPr>
          <w:rFonts w:asciiTheme="majorHAnsi" w:hAnsiTheme="majorHAnsi"/>
          <w:sz w:val="22"/>
          <w:szCs w:val="22"/>
          <w:lang w:val="sq-AL"/>
        </w:rPr>
        <w:t>vlen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p</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rmendet kryesisht rifinancimi i rreth </w:t>
      </w:r>
      <w:r w:rsidR="004C3D1F" w:rsidRPr="000F540A">
        <w:rPr>
          <w:rFonts w:asciiTheme="majorHAnsi" w:hAnsiTheme="majorHAnsi"/>
          <w:sz w:val="22"/>
          <w:szCs w:val="22"/>
          <w:lang w:val="sq-AL"/>
        </w:rPr>
        <w:t>60</w:t>
      </w:r>
      <w:r w:rsidR="00E352C0" w:rsidRPr="000F540A">
        <w:rPr>
          <w:rFonts w:asciiTheme="majorHAnsi" w:hAnsiTheme="majorHAnsi"/>
          <w:sz w:val="22"/>
          <w:szCs w:val="22"/>
          <w:lang w:val="sq-AL"/>
        </w:rPr>
        <w:t>.</w:t>
      </w:r>
      <w:r w:rsidR="004C3D1F" w:rsidRPr="000F540A">
        <w:rPr>
          <w:rFonts w:asciiTheme="majorHAnsi" w:hAnsiTheme="majorHAnsi"/>
          <w:sz w:val="22"/>
          <w:szCs w:val="22"/>
          <w:lang w:val="sq-AL"/>
        </w:rPr>
        <w:t>3</w:t>
      </w:r>
      <w:r w:rsidRPr="000F540A">
        <w:rPr>
          <w:rFonts w:asciiTheme="majorHAnsi" w:hAnsiTheme="majorHAnsi"/>
          <w:sz w:val="22"/>
          <w:szCs w:val="22"/>
          <w:lang w:val="sq-AL"/>
        </w:rPr>
        <w:t>% e borxhit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brendsh</w:t>
      </w:r>
      <w:r w:rsidR="004516AC" w:rsidRPr="000F540A">
        <w:rPr>
          <w:rFonts w:asciiTheme="majorHAnsi" w:hAnsiTheme="majorHAnsi"/>
          <w:sz w:val="22"/>
          <w:szCs w:val="22"/>
          <w:lang w:val="sq-AL"/>
        </w:rPr>
        <w:t>ë</w:t>
      </w:r>
      <w:r w:rsidRPr="000F540A">
        <w:rPr>
          <w:rFonts w:asciiTheme="majorHAnsi" w:hAnsiTheme="majorHAnsi"/>
          <w:sz w:val="22"/>
          <w:szCs w:val="22"/>
          <w:lang w:val="sq-AL"/>
        </w:rPr>
        <w:t>m dhe rifinancimi i Eurobondit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emetuar n</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vitin 2010</w:t>
      </w:r>
      <w:r w:rsidR="00373494" w:rsidRPr="000F540A">
        <w:rPr>
          <w:rFonts w:asciiTheme="majorHAnsi" w:hAnsiTheme="majorHAnsi"/>
          <w:sz w:val="22"/>
          <w:szCs w:val="22"/>
          <w:lang w:val="sq-AL"/>
        </w:rPr>
        <w:t xml:space="preserve"> n</w:t>
      </w:r>
      <w:r w:rsidR="004516AC" w:rsidRPr="000F540A">
        <w:rPr>
          <w:rFonts w:asciiTheme="majorHAnsi" w:hAnsiTheme="majorHAnsi"/>
          <w:sz w:val="22"/>
          <w:szCs w:val="22"/>
          <w:lang w:val="sq-AL"/>
        </w:rPr>
        <w:t>ë</w:t>
      </w:r>
      <w:r w:rsidR="00373494" w:rsidRPr="000F540A">
        <w:rPr>
          <w:rFonts w:asciiTheme="majorHAnsi" w:hAnsiTheme="majorHAnsi"/>
          <w:sz w:val="22"/>
          <w:szCs w:val="22"/>
          <w:lang w:val="sq-AL"/>
        </w:rPr>
        <w:t xml:space="preserve"> vler</w:t>
      </w:r>
      <w:r w:rsidR="004516AC" w:rsidRPr="000F540A">
        <w:rPr>
          <w:rFonts w:asciiTheme="majorHAnsi" w:hAnsiTheme="majorHAnsi"/>
          <w:sz w:val="22"/>
          <w:szCs w:val="22"/>
          <w:lang w:val="sq-AL"/>
        </w:rPr>
        <w:t>ë</w:t>
      </w:r>
      <w:r w:rsidR="00373494" w:rsidRPr="000F540A">
        <w:rPr>
          <w:rFonts w:asciiTheme="majorHAnsi" w:hAnsiTheme="majorHAnsi"/>
          <w:sz w:val="22"/>
          <w:szCs w:val="22"/>
          <w:lang w:val="sq-AL"/>
        </w:rPr>
        <w:t xml:space="preserve">n e </w:t>
      </w:r>
      <w:r w:rsidR="00E44A68" w:rsidRPr="000F540A">
        <w:rPr>
          <w:rFonts w:asciiTheme="majorHAnsi" w:hAnsiTheme="majorHAnsi"/>
          <w:sz w:val="22"/>
          <w:szCs w:val="22"/>
          <w:lang w:val="sq-AL"/>
        </w:rPr>
        <w:t>300</w:t>
      </w:r>
      <w:r w:rsidR="00373494" w:rsidRPr="000F540A">
        <w:rPr>
          <w:rFonts w:asciiTheme="majorHAnsi" w:hAnsiTheme="majorHAnsi"/>
          <w:sz w:val="22"/>
          <w:szCs w:val="22"/>
          <w:lang w:val="sq-AL"/>
        </w:rPr>
        <w:t xml:space="preserve"> mili</w:t>
      </w:r>
      <w:r w:rsidR="00E44A68" w:rsidRPr="000F540A">
        <w:rPr>
          <w:rFonts w:asciiTheme="majorHAnsi" w:hAnsiTheme="majorHAnsi"/>
          <w:sz w:val="22"/>
          <w:szCs w:val="22"/>
          <w:lang w:val="sq-AL"/>
        </w:rPr>
        <w:t>on</w:t>
      </w:r>
      <w:r w:rsidR="00373494" w:rsidRPr="000F540A">
        <w:rPr>
          <w:rFonts w:asciiTheme="majorHAnsi" w:hAnsiTheme="majorHAnsi"/>
          <w:sz w:val="22"/>
          <w:szCs w:val="22"/>
          <w:lang w:val="sq-AL"/>
        </w:rPr>
        <w:t xml:space="preserve"> </w:t>
      </w:r>
      <w:r w:rsidR="00E44A68" w:rsidRPr="000F540A">
        <w:rPr>
          <w:rFonts w:asciiTheme="majorHAnsi" w:hAnsiTheme="majorHAnsi"/>
          <w:sz w:val="22"/>
          <w:szCs w:val="22"/>
          <w:lang w:val="sq-AL"/>
        </w:rPr>
        <w:t>Euro</w:t>
      </w:r>
      <w:r w:rsidRPr="000F540A">
        <w:rPr>
          <w:rFonts w:asciiTheme="majorHAnsi" w:hAnsiTheme="majorHAnsi"/>
          <w:sz w:val="22"/>
          <w:szCs w:val="22"/>
          <w:lang w:val="sq-AL"/>
        </w:rPr>
        <w:t>.</w:t>
      </w:r>
      <w:r w:rsidR="00E9155E" w:rsidRPr="000F540A">
        <w:rPr>
          <w:rFonts w:asciiTheme="majorHAnsi" w:hAnsiTheme="majorHAnsi"/>
          <w:sz w:val="22"/>
          <w:szCs w:val="22"/>
          <w:lang w:val="sq-AL"/>
        </w:rPr>
        <w:t xml:space="preserve">  </w:t>
      </w:r>
    </w:p>
    <w:p w:rsidR="003B7685" w:rsidRPr="000F540A" w:rsidRDefault="00E9155E" w:rsidP="000F540A">
      <w:pPr>
        <w:tabs>
          <w:tab w:val="left" w:pos="2730"/>
        </w:tabs>
        <w:jc w:val="both"/>
        <w:rPr>
          <w:rFonts w:asciiTheme="majorHAnsi" w:hAnsiTheme="majorHAnsi"/>
          <w:i/>
          <w:sz w:val="22"/>
          <w:szCs w:val="22"/>
          <w:lang w:val="sq-AL"/>
        </w:rPr>
      </w:pPr>
      <w:r w:rsidRPr="000F540A">
        <w:rPr>
          <w:rFonts w:asciiTheme="majorHAnsi" w:hAnsiTheme="majorHAnsi"/>
          <w:sz w:val="22"/>
          <w:szCs w:val="22"/>
          <w:lang w:val="sq-AL"/>
        </w:rPr>
        <w:t>Gjat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vitit 2015</w:t>
      </w:r>
      <w:r w:rsidR="009A711F" w:rsidRPr="000F540A">
        <w:rPr>
          <w:rFonts w:asciiTheme="majorHAnsi" w:hAnsiTheme="majorHAnsi"/>
          <w:sz w:val="22"/>
          <w:szCs w:val="22"/>
          <w:lang w:val="sq-AL"/>
        </w:rPr>
        <w:t>,</w:t>
      </w:r>
      <w:r w:rsidRPr="000F540A">
        <w:rPr>
          <w:rFonts w:asciiTheme="majorHAnsi" w:hAnsiTheme="majorHAnsi"/>
          <w:sz w:val="22"/>
          <w:szCs w:val="22"/>
          <w:lang w:val="sq-AL"/>
        </w:rPr>
        <w:t xml:space="preserve"> n</w:t>
      </w:r>
      <w:r w:rsidR="004516AC" w:rsidRPr="000F540A">
        <w:rPr>
          <w:rFonts w:asciiTheme="majorHAnsi" w:hAnsiTheme="majorHAnsi"/>
          <w:sz w:val="22"/>
          <w:szCs w:val="22"/>
          <w:lang w:val="sq-AL"/>
        </w:rPr>
        <w:t>ë</w:t>
      </w:r>
      <w:r w:rsidRPr="000F540A">
        <w:rPr>
          <w:rFonts w:asciiTheme="majorHAnsi" w:hAnsiTheme="majorHAnsi"/>
          <w:sz w:val="22"/>
          <w:szCs w:val="22"/>
          <w:lang w:val="sq-AL"/>
        </w:rPr>
        <w:t>p</w:t>
      </w:r>
      <w:r w:rsidR="004516AC" w:rsidRPr="000F540A">
        <w:rPr>
          <w:rFonts w:asciiTheme="majorHAnsi" w:hAnsiTheme="majorHAnsi"/>
          <w:sz w:val="22"/>
          <w:szCs w:val="22"/>
          <w:lang w:val="sq-AL"/>
        </w:rPr>
        <w:t>ë</w:t>
      </w:r>
      <w:r w:rsidRPr="000F540A">
        <w:rPr>
          <w:rFonts w:asciiTheme="majorHAnsi" w:hAnsiTheme="majorHAnsi"/>
          <w:sz w:val="22"/>
          <w:szCs w:val="22"/>
          <w:lang w:val="sq-AL"/>
        </w:rPr>
        <w:t>rmjet instrumenteve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borxhit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brendsh</w:t>
      </w:r>
      <w:r w:rsidR="004516AC" w:rsidRPr="000F540A">
        <w:rPr>
          <w:rFonts w:asciiTheme="majorHAnsi" w:hAnsiTheme="majorHAnsi"/>
          <w:sz w:val="22"/>
          <w:szCs w:val="22"/>
          <w:lang w:val="sq-AL"/>
        </w:rPr>
        <w:t>ë</w:t>
      </w:r>
      <w:r w:rsidRPr="000F540A">
        <w:rPr>
          <w:rFonts w:asciiTheme="majorHAnsi" w:hAnsiTheme="majorHAnsi"/>
          <w:sz w:val="22"/>
          <w:szCs w:val="22"/>
          <w:lang w:val="sq-AL"/>
        </w:rPr>
        <w:t>m dhe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jasht</w:t>
      </w:r>
      <w:r w:rsidR="004516AC" w:rsidRPr="000F540A">
        <w:rPr>
          <w:rFonts w:asciiTheme="majorHAnsi" w:hAnsiTheme="majorHAnsi"/>
          <w:sz w:val="22"/>
          <w:szCs w:val="22"/>
          <w:lang w:val="sq-AL"/>
        </w:rPr>
        <w:t>ë</w:t>
      </w:r>
      <w:r w:rsidRPr="000F540A">
        <w:rPr>
          <w:rFonts w:asciiTheme="majorHAnsi" w:hAnsiTheme="majorHAnsi"/>
          <w:sz w:val="22"/>
          <w:szCs w:val="22"/>
          <w:lang w:val="sq-AL"/>
        </w:rPr>
        <w:t>m gjithsej u financuan 54</w:t>
      </w:r>
      <w:r w:rsidR="003E783A" w:rsidRPr="000F540A">
        <w:rPr>
          <w:rFonts w:asciiTheme="majorHAnsi" w:hAnsiTheme="majorHAnsi"/>
          <w:sz w:val="22"/>
          <w:szCs w:val="22"/>
          <w:lang w:val="sq-AL"/>
        </w:rPr>
        <w:t>5</w:t>
      </w:r>
      <w:r w:rsidRPr="000F540A">
        <w:rPr>
          <w:rFonts w:asciiTheme="majorHAnsi" w:hAnsiTheme="majorHAnsi"/>
          <w:sz w:val="22"/>
          <w:szCs w:val="22"/>
          <w:lang w:val="sq-AL"/>
        </w:rPr>
        <w:t>.</w:t>
      </w:r>
      <w:r w:rsidR="00257EA1" w:rsidRPr="000F540A">
        <w:rPr>
          <w:rFonts w:asciiTheme="majorHAnsi" w:hAnsiTheme="majorHAnsi"/>
          <w:sz w:val="22"/>
          <w:szCs w:val="22"/>
          <w:lang w:val="sq-AL"/>
        </w:rPr>
        <w:t>7</w:t>
      </w:r>
      <w:r w:rsidRPr="000F540A">
        <w:rPr>
          <w:rFonts w:asciiTheme="majorHAnsi" w:hAnsiTheme="majorHAnsi"/>
          <w:sz w:val="22"/>
          <w:szCs w:val="22"/>
          <w:lang w:val="sq-AL"/>
        </w:rPr>
        <w:t xml:space="preserve"> miliard </w:t>
      </w:r>
      <w:r w:rsidR="009A711F" w:rsidRPr="000F540A">
        <w:rPr>
          <w:rFonts w:asciiTheme="majorHAnsi" w:hAnsiTheme="majorHAnsi"/>
          <w:sz w:val="22"/>
          <w:szCs w:val="22"/>
          <w:lang w:val="sq-AL"/>
        </w:rPr>
        <w:t>Lek</w:t>
      </w:r>
      <w:r w:rsidRPr="000F540A">
        <w:rPr>
          <w:rFonts w:asciiTheme="majorHAnsi" w:hAnsiTheme="majorHAnsi"/>
          <w:sz w:val="22"/>
          <w:szCs w:val="22"/>
          <w:lang w:val="sq-AL"/>
        </w:rPr>
        <w:t xml:space="preserve"> ose 37.</w:t>
      </w:r>
      <w:r w:rsidR="003E783A" w:rsidRPr="000F540A">
        <w:rPr>
          <w:rFonts w:asciiTheme="majorHAnsi" w:hAnsiTheme="majorHAnsi"/>
          <w:sz w:val="22"/>
          <w:szCs w:val="22"/>
          <w:lang w:val="sq-AL"/>
        </w:rPr>
        <w:t>8</w:t>
      </w:r>
      <w:r w:rsidRPr="000F540A">
        <w:rPr>
          <w:rFonts w:asciiTheme="majorHAnsi" w:hAnsiTheme="majorHAnsi"/>
          <w:sz w:val="22"/>
          <w:szCs w:val="22"/>
          <w:lang w:val="sq-AL"/>
        </w:rPr>
        <w:t>% e PBB</w:t>
      </w:r>
      <w:r w:rsidR="005E7110" w:rsidRPr="000F540A">
        <w:rPr>
          <w:rFonts w:asciiTheme="majorHAnsi" w:hAnsiTheme="majorHAnsi"/>
          <w:sz w:val="22"/>
          <w:szCs w:val="22"/>
          <w:lang w:val="sq-AL"/>
        </w:rPr>
        <w:t xml:space="preserve"> </w:t>
      </w:r>
      <w:r w:rsidR="005E7110" w:rsidRPr="000F540A">
        <w:rPr>
          <w:rFonts w:asciiTheme="majorHAnsi" w:hAnsiTheme="majorHAnsi"/>
          <w:i/>
          <w:sz w:val="22"/>
          <w:szCs w:val="22"/>
          <w:lang w:val="sq-AL"/>
        </w:rPr>
        <w:t>(</w:t>
      </w:r>
      <w:r w:rsidR="00297E24" w:rsidRPr="000F540A">
        <w:rPr>
          <w:rFonts w:asciiTheme="majorHAnsi" w:hAnsiTheme="majorHAnsi"/>
          <w:i/>
          <w:sz w:val="22"/>
          <w:szCs w:val="22"/>
          <w:lang w:val="sq-AL"/>
        </w:rPr>
        <w:t xml:space="preserve">Ref. </w:t>
      </w:r>
      <w:r w:rsidR="00AE4BE6" w:rsidRPr="000F540A">
        <w:rPr>
          <w:rFonts w:asciiTheme="majorHAnsi" w:hAnsiTheme="majorHAnsi"/>
          <w:i/>
          <w:sz w:val="22"/>
          <w:szCs w:val="22"/>
          <w:lang w:val="sq-AL"/>
        </w:rPr>
        <w:t>Pika 1.</w:t>
      </w:r>
      <w:r w:rsidR="00297E24" w:rsidRPr="000F540A">
        <w:rPr>
          <w:rFonts w:asciiTheme="majorHAnsi" w:hAnsiTheme="majorHAnsi"/>
          <w:i/>
          <w:sz w:val="22"/>
          <w:szCs w:val="22"/>
          <w:lang w:val="sq-AL"/>
        </w:rPr>
        <w:t>, Shtojca 1</w:t>
      </w:r>
      <w:r w:rsidR="005E7110" w:rsidRPr="000F540A">
        <w:rPr>
          <w:rFonts w:asciiTheme="majorHAnsi" w:hAnsiTheme="majorHAnsi"/>
          <w:i/>
          <w:sz w:val="22"/>
          <w:szCs w:val="22"/>
          <w:lang w:val="sq-AL"/>
        </w:rPr>
        <w:t>)</w:t>
      </w:r>
      <w:r w:rsidR="00297E24" w:rsidRPr="000F540A">
        <w:rPr>
          <w:rFonts w:asciiTheme="majorHAnsi" w:hAnsiTheme="majorHAnsi"/>
          <w:i/>
          <w:sz w:val="22"/>
          <w:szCs w:val="22"/>
          <w:lang w:val="sq-AL"/>
        </w:rPr>
        <w:t>.</w:t>
      </w:r>
    </w:p>
    <w:p w:rsidR="00297E24" w:rsidRPr="000F540A" w:rsidRDefault="00297E24" w:rsidP="000F540A">
      <w:pPr>
        <w:tabs>
          <w:tab w:val="left" w:pos="2730"/>
        </w:tabs>
        <w:jc w:val="both"/>
        <w:rPr>
          <w:rFonts w:asciiTheme="majorHAnsi" w:hAnsiTheme="majorHAnsi"/>
          <w:i/>
          <w:sz w:val="22"/>
          <w:szCs w:val="22"/>
          <w:lang w:val="sq-AL"/>
        </w:rPr>
      </w:pPr>
    </w:p>
    <w:p w:rsidR="00A238D9" w:rsidRPr="000F540A" w:rsidRDefault="00E9155E" w:rsidP="000F540A">
      <w:pPr>
        <w:tabs>
          <w:tab w:val="left" w:pos="2730"/>
        </w:tabs>
        <w:jc w:val="both"/>
        <w:rPr>
          <w:rFonts w:asciiTheme="majorHAnsi" w:hAnsiTheme="majorHAnsi"/>
          <w:sz w:val="22"/>
          <w:szCs w:val="22"/>
          <w:lang w:val="sq-AL"/>
        </w:rPr>
      </w:pPr>
      <w:r w:rsidRPr="000F540A">
        <w:rPr>
          <w:rFonts w:asciiTheme="majorHAnsi" w:hAnsiTheme="majorHAnsi"/>
          <w:sz w:val="22"/>
          <w:szCs w:val="22"/>
          <w:lang w:val="sq-AL"/>
        </w:rPr>
        <w:t>Pavar</w:t>
      </w:r>
      <w:r w:rsidR="004516AC" w:rsidRPr="000F540A">
        <w:rPr>
          <w:rFonts w:asciiTheme="majorHAnsi" w:hAnsiTheme="majorHAnsi"/>
          <w:sz w:val="22"/>
          <w:szCs w:val="22"/>
          <w:lang w:val="sq-AL"/>
        </w:rPr>
        <w:t>ë</w:t>
      </w:r>
      <w:r w:rsidRPr="000F540A">
        <w:rPr>
          <w:rFonts w:asciiTheme="majorHAnsi" w:hAnsiTheme="majorHAnsi"/>
          <w:sz w:val="22"/>
          <w:szCs w:val="22"/>
          <w:lang w:val="sq-AL"/>
        </w:rPr>
        <w:t>sisht nivelit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lart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p</w:t>
      </w:r>
      <w:r w:rsidR="004516AC" w:rsidRPr="000F540A">
        <w:rPr>
          <w:rFonts w:asciiTheme="majorHAnsi" w:hAnsiTheme="majorHAnsi"/>
          <w:sz w:val="22"/>
          <w:szCs w:val="22"/>
          <w:lang w:val="sq-AL"/>
        </w:rPr>
        <w:t>ë</w:t>
      </w:r>
      <w:r w:rsidRPr="000F540A">
        <w:rPr>
          <w:rFonts w:asciiTheme="majorHAnsi" w:hAnsiTheme="majorHAnsi"/>
          <w:sz w:val="22"/>
          <w:szCs w:val="22"/>
          <w:lang w:val="sq-AL"/>
        </w:rPr>
        <w:t>r t</w:t>
      </w:r>
      <w:r w:rsidR="00A238D9" w:rsidRPr="000F540A">
        <w:rPr>
          <w:rFonts w:asciiTheme="majorHAnsi" w:hAnsiTheme="majorHAnsi"/>
          <w:sz w:val="22"/>
          <w:szCs w:val="22"/>
          <w:lang w:val="sq-AL"/>
        </w:rPr>
        <w:t>’</w:t>
      </w:r>
      <w:r w:rsidRPr="000F540A">
        <w:rPr>
          <w:rFonts w:asciiTheme="majorHAnsi" w:hAnsiTheme="majorHAnsi"/>
          <w:sz w:val="22"/>
          <w:szCs w:val="22"/>
          <w:lang w:val="sq-AL"/>
        </w:rPr>
        <w:t>u financuar, menaxhimi i borxhit n</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bashk</w:t>
      </w:r>
      <w:r w:rsidR="004516AC" w:rsidRPr="000F540A">
        <w:rPr>
          <w:rFonts w:asciiTheme="majorHAnsi" w:hAnsiTheme="majorHAnsi"/>
          <w:sz w:val="22"/>
          <w:szCs w:val="22"/>
          <w:lang w:val="sq-AL"/>
        </w:rPr>
        <w:t>ë</w:t>
      </w:r>
      <w:r w:rsidRPr="000F540A">
        <w:rPr>
          <w:rFonts w:asciiTheme="majorHAnsi" w:hAnsiTheme="majorHAnsi"/>
          <w:sz w:val="22"/>
          <w:szCs w:val="22"/>
          <w:lang w:val="sq-AL"/>
        </w:rPr>
        <w:t>punim me strukturat e tjera p</w:t>
      </w:r>
      <w:r w:rsidR="004516AC" w:rsidRPr="000F540A">
        <w:rPr>
          <w:rFonts w:asciiTheme="majorHAnsi" w:hAnsiTheme="majorHAnsi"/>
          <w:sz w:val="22"/>
          <w:szCs w:val="22"/>
          <w:lang w:val="sq-AL"/>
        </w:rPr>
        <w:t>ë</w:t>
      </w:r>
      <w:r w:rsidRPr="000F540A">
        <w:rPr>
          <w:rFonts w:asciiTheme="majorHAnsi" w:hAnsiTheme="majorHAnsi"/>
          <w:sz w:val="22"/>
          <w:szCs w:val="22"/>
          <w:lang w:val="sq-AL"/>
        </w:rPr>
        <w:t>rgjegj</w:t>
      </w:r>
      <w:r w:rsidR="004516AC" w:rsidRPr="000F540A">
        <w:rPr>
          <w:rFonts w:asciiTheme="majorHAnsi" w:hAnsiTheme="majorHAnsi"/>
          <w:sz w:val="22"/>
          <w:szCs w:val="22"/>
          <w:lang w:val="sq-AL"/>
        </w:rPr>
        <w:t>ë</w:t>
      </w:r>
      <w:r w:rsidRPr="000F540A">
        <w:rPr>
          <w:rFonts w:asciiTheme="majorHAnsi" w:hAnsiTheme="majorHAnsi"/>
          <w:sz w:val="22"/>
          <w:szCs w:val="22"/>
          <w:lang w:val="sq-AL"/>
        </w:rPr>
        <w:t>se p</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r menaxhimin e likuiditetit </w:t>
      </w:r>
      <w:r w:rsidR="00BF7B22" w:rsidRPr="000F540A">
        <w:rPr>
          <w:rFonts w:asciiTheme="majorHAnsi" w:hAnsiTheme="majorHAnsi"/>
          <w:sz w:val="22"/>
          <w:szCs w:val="22"/>
          <w:lang w:val="sq-AL"/>
        </w:rPr>
        <w:t>n</w:t>
      </w:r>
      <w:r w:rsidR="004516AC" w:rsidRPr="000F540A">
        <w:rPr>
          <w:rFonts w:asciiTheme="majorHAnsi" w:hAnsiTheme="majorHAnsi"/>
          <w:sz w:val="22"/>
          <w:szCs w:val="22"/>
          <w:lang w:val="sq-AL"/>
        </w:rPr>
        <w:t>ë</w:t>
      </w:r>
      <w:r w:rsidR="00BF7B22" w:rsidRPr="000F540A">
        <w:rPr>
          <w:rFonts w:asciiTheme="majorHAnsi" w:hAnsiTheme="majorHAnsi"/>
          <w:sz w:val="22"/>
          <w:szCs w:val="22"/>
          <w:lang w:val="sq-AL"/>
        </w:rPr>
        <w:t xml:space="preserve"> Ministrin</w:t>
      </w:r>
      <w:r w:rsidR="004516AC" w:rsidRPr="000F540A">
        <w:rPr>
          <w:rFonts w:asciiTheme="majorHAnsi" w:hAnsiTheme="majorHAnsi"/>
          <w:sz w:val="22"/>
          <w:szCs w:val="22"/>
          <w:lang w:val="sq-AL"/>
        </w:rPr>
        <w:t>ë</w:t>
      </w:r>
      <w:r w:rsidR="00BF7B22" w:rsidRPr="000F540A">
        <w:rPr>
          <w:rFonts w:asciiTheme="majorHAnsi" w:hAnsiTheme="majorHAnsi"/>
          <w:sz w:val="22"/>
          <w:szCs w:val="22"/>
          <w:lang w:val="sq-AL"/>
        </w:rPr>
        <w:t xml:space="preserve"> e Financave, </w:t>
      </w:r>
      <w:r w:rsidR="00F52824" w:rsidRPr="000F540A">
        <w:rPr>
          <w:rFonts w:asciiTheme="majorHAnsi" w:hAnsiTheme="majorHAnsi"/>
          <w:sz w:val="22"/>
          <w:szCs w:val="22"/>
          <w:lang w:val="sq-AL"/>
        </w:rPr>
        <w:t>financoi me sukses</w:t>
      </w:r>
      <w:r w:rsidR="00BF7B22" w:rsidRPr="000F540A">
        <w:rPr>
          <w:rFonts w:asciiTheme="majorHAnsi" w:hAnsiTheme="majorHAnsi"/>
          <w:sz w:val="22"/>
          <w:szCs w:val="22"/>
          <w:lang w:val="sq-AL"/>
        </w:rPr>
        <w:t xml:space="preserve"> t</w:t>
      </w:r>
      <w:r w:rsidR="004516AC" w:rsidRPr="000F540A">
        <w:rPr>
          <w:rFonts w:asciiTheme="majorHAnsi" w:hAnsiTheme="majorHAnsi"/>
          <w:sz w:val="22"/>
          <w:szCs w:val="22"/>
          <w:lang w:val="sq-AL"/>
        </w:rPr>
        <w:t>ë</w:t>
      </w:r>
      <w:r w:rsidR="00BF7B22" w:rsidRPr="000F540A">
        <w:rPr>
          <w:rFonts w:asciiTheme="majorHAnsi" w:hAnsiTheme="majorHAnsi"/>
          <w:sz w:val="22"/>
          <w:szCs w:val="22"/>
          <w:lang w:val="sq-AL"/>
        </w:rPr>
        <w:t xml:space="preserve"> gjitha nevojat e Qeveris</w:t>
      </w:r>
      <w:r w:rsidR="004516AC" w:rsidRPr="000F540A">
        <w:rPr>
          <w:rFonts w:asciiTheme="majorHAnsi" w:hAnsiTheme="majorHAnsi"/>
          <w:sz w:val="22"/>
          <w:szCs w:val="22"/>
          <w:lang w:val="sq-AL"/>
        </w:rPr>
        <w:t>ë</w:t>
      </w:r>
      <w:r w:rsidR="00BF7B22" w:rsidRPr="000F540A">
        <w:rPr>
          <w:rFonts w:asciiTheme="majorHAnsi" w:hAnsiTheme="majorHAnsi"/>
          <w:sz w:val="22"/>
          <w:szCs w:val="22"/>
          <w:lang w:val="sq-AL"/>
        </w:rPr>
        <w:t xml:space="preserve"> Qendrore duke </w:t>
      </w:r>
      <w:r w:rsidR="00CE59D4" w:rsidRPr="000F540A">
        <w:rPr>
          <w:rFonts w:asciiTheme="majorHAnsi" w:hAnsiTheme="majorHAnsi"/>
          <w:sz w:val="22"/>
          <w:szCs w:val="22"/>
          <w:lang w:val="sq-AL"/>
        </w:rPr>
        <w:t>përmbushur</w:t>
      </w:r>
      <w:r w:rsidR="00BF7B22" w:rsidRPr="000F540A">
        <w:rPr>
          <w:rFonts w:asciiTheme="majorHAnsi" w:hAnsiTheme="majorHAnsi"/>
          <w:sz w:val="22"/>
          <w:szCs w:val="22"/>
          <w:lang w:val="sq-AL"/>
        </w:rPr>
        <w:t xml:space="preserve"> n</w:t>
      </w:r>
      <w:r w:rsidR="004516AC" w:rsidRPr="000F540A">
        <w:rPr>
          <w:rFonts w:asciiTheme="majorHAnsi" w:hAnsiTheme="majorHAnsi"/>
          <w:sz w:val="22"/>
          <w:szCs w:val="22"/>
          <w:lang w:val="sq-AL"/>
        </w:rPr>
        <w:t>ë</w:t>
      </w:r>
      <w:r w:rsidR="00BF7B22" w:rsidRPr="000F540A">
        <w:rPr>
          <w:rFonts w:asciiTheme="majorHAnsi" w:hAnsiTheme="majorHAnsi"/>
          <w:sz w:val="22"/>
          <w:szCs w:val="22"/>
          <w:lang w:val="sq-AL"/>
        </w:rPr>
        <w:t xml:space="preserve"> t</w:t>
      </w:r>
      <w:r w:rsidR="004516AC" w:rsidRPr="000F540A">
        <w:rPr>
          <w:rFonts w:asciiTheme="majorHAnsi" w:hAnsiTheme="majorHAnsi"/>
          <w:sz w:val="22"/>
          <w:szCs w:val="22"/>
          <w:lang w:val="sq-AL"/>
        </w:rPr>
        <w:t>ë</w:t>
      </w:r>
      <w:r w:rsidR="00BF7B22" w:rsidRPr="000F540A">
        <w:rPr>
          <w:rFonts w:asciiTheme="majorHAnsi" w:hAnsiTheme="majorHAnsi"/>
          <w:sz w:val="22"/>
          <w:szCs w:val="22"/>
          <w:lang w:val="sq-AL"/>
        </w:rPr>
        <w:t xml:space="preserve"> nj</w:t>
      </w:r>
      <w:r w:rsidR="004516AC" w:rsidRPr="000F540A">
        <w:rPr>
          <w:rFonts w:asciiTheme="majorHAnsi" w:hAnsiTheme="majorHAnsi"/>
          <w:sz w:val="22"/>
          <w:szCs w:val="22"/>
          <w:lang w:val="sq-AL"/>
        </w:rPr>
        <w:t>ë</w:t>
      </w:r>
      <w:r w:rsidR="00BF7B22" w:rsidRPr="000F540A">
        <w:rPr>
          <w:rFonts w:asciiTheme="majorHAnsi" w:hAnsiTheme="majorHAnsi"/>
          <w:sz w:val="22"/>
          <w:szCs w:val="22"/>
          <w:lang w:val="sq-AL"/>
        </w:rPr>
        <w:t>jt</w:t>
      </w:r>
      <w:r w:rsidR="004516AC" w:rsidRPr="000F540A">
        <w:rPr>
          <w:rFonts w:asciiTheme="majorHAnsi" w:hAnsiTheme="majorHAnsi"/>
          <w:sz w:val="22"/>
          <w:szCs w:val="22"/>
          <w:lang w:val="sq-AL"/>
        </w:rPr>
        <w:t>ë</w:t>
      </w:r>
      <w:r w:rsidR="00BF7B22" w:rsidRPr="000F540A">
        <w:rPr>
          <w:rFonts w:asciiTheme="majorHAnsi" w:hAnsiTheme="majorHAnsi"/>
          <w:sz w:val="22"/>
          <w:szCs w:val="22"/>
          <w:lang w:val="sq-AL"/>
        </w:rPr>
        <w:t>n koh</w:t>
      </w:r>
      <w:r w:rsidR="004516AC" w:rsidRPr="000F540A">
        <w:rPr>
          <w:rFonts w:asciiTheme="majorHAnsi" w:hAnsiTheme="majorHAnsi"/>
          <w:sz w:val="22"/>
          <w:szCs w:val="22"/>
          <w:lang w:val="sq-AL"/>
        </w:rPr>
        <w:t>ë</w:t>
      </w:r>
      <w:r w:rsidR="00BF7B22" w:rsidRPr="000F540A">
        <w:rPr>
          <w:rFonts w:asciiTheme="majorHAnsi" w:hAnsiTheme="majorHAnsi"/>
          <w:sz w:val="22"/>
          <w:szCs w:val="22"/>
          <w:lang w:val="sq-AL"/>
        </w:rPr>
        <w:t xml:space="preserve"> objektivat</w:t>
      </w:r>
      <w:r w:rsidR="006C2765" w:rsidRPr="000F540A">
        <w:rPr>
          <w:rFonts w:asciiTheme="majorHAnsi" w:hAnsiTheme="majorHAnsi"/>
          <w:sz w:val="22"/>
          <w:szCs w:val="22"/>
          <w:lang w:val="sq-AL"/>
        </w:rPr>
        <w:t xml:space="preserve"> strategjik</w:t>
      </w:r>
      <w:r w:rsidR="004516AC" w:rsidRPr="000F540A">
        <w:rPr>
          <w:rFonts w:asciiTheme="majorHAnsi" w:hAnsiTheme="majorHAnsi"/>
          <w:sz w:val="22"/>
          <w:szCs w:val="22"/>
          <w:lang w:val="sq-AL"/>
        </w:rPr>
        <w:t>ë</w:t>
      </w:r>
      <w:r w:rsidR="00BF7B22" w:rsidRPr="000F540A">
        <w:rPr>
          <w:rFonts w:asciiTheme="majorHAnsi" w:hAnsiTheme="majorHAnsi"/>
          <w:sz w:val="22"/>
          <w:szCs w:val="22"/>
          <w:lang w:val="sq-AL"/>
        </w:rPr>
        <w:t xml:space="preserve"> p</w:t>
      </w:r>
      <w:r w:rsidR="004516AC" w:rsidRPr="000F540A">
        <w:rPr>
          <w:rFonts w:asciiTheme="majorHAnsi" w:hAnsiTheme="majorHAnsi"/>
          <w:sz w:val="22"/>
          <w:szCs w:val="22"/>
          <w:lang w:val="sq-AL"/>
        </w:rPr>
        <w:t>ë</w:t>
      </w:r>
      <w:r w:rsidR="00A238D9" w:rsidRPr="000F540A">
        <w:rPr>
          <w:rFonts w:asciiTheme="majorHAnsi" w:hAnsiTheme="majorHAnsi"/>
          <w:sz w:val="22"/>
          <w:szCs w:val="22"/>
          <w:lang w:val="sq-AL"/>
        </w:rPr>
        <w:t>r:</w:t>
      </w:r>
    </w:p>
    <w:p w:rsidR="00A238D9" w:rsidRPr="000F540A" w:rsidRDefault="00A238D9" w:rsidP="000F540A">
      <w:pPr>
        <w:tabs>
          <w:tab w:val="left" w:pos="2730"/>
        </w:tabs>
        <w:jc w:val="both"/>
        <w:rPr>
          <w:rFonts w:asciiTheme="majorHAnsi" w:hAnsiTheme="majorHAnsi"/>
          <w:sz w:val="22"/>
          <w:szCs w:val="22"/>
          <w:lang w:val="sq-AL"/>
        </w:rPr>
      </w:pPr>
    </w:p>
    <w:p w:rsidR="00A238D9" w:rsidRPr="000F540A" w:rsidRDefault="00A238D9" w:rsidP="000F540A">
      <w:pPr>
        <w:pStyle w:val="ListParagraph"/>
        <w:numPr>
          <w:ilvl w:val="0"/>
          <w:numId w:val="15"/>
        </w:numPr>
        <w:tabs>
          <w:tab w:val="left" w:pos="2730"/>
        </w:tabs>
        <w:jc w:val="both"/>
        <w:rPr>
          <w:rFonts w:asciiTheme="majorHAnsi" w:hAnsiTheme="majorHAnsi"/>
          <w:sz w:val="22"/>
          <w:szCs w:val="22"/>
          <w:lang w:val="sq-AL"/>
        </w:rPr>
      </w:pPr>
      <w:r w:rsidRPr="000F540A">
        <w:rPr>
          <w:rFonts w:asciiTheme="majorHAnsi" w:hAnsiTheme="majorHAnsi"/>
          <w:sz w:val="22"/>
          <w:szCs w:val="22"/>
          <w:lang w:val="sq-AL"/>
        </w:rPr>
        <w:t>U</w:t>
      </w:r>
      <w:r w:rsidR="00BF7B22" w:rsidRPr="000F540A">
        <w:rPr>
          <w:rFonts w:asciiTheme="majorHAnsi" w:hAnsiTheme="majorHAnsi"/>
          <w:sz w:val="22"/>
          <w:szCs w:val="22"/>
          <w:lang w:val="sq-AL"/>
        </w:rPr>
        <w:t>ljen e ekspozimit ndaj r</w:t>
      </w:r>
      <w:r w:rsidR="0020657D" w:rsidRPr="000F540A">
        <w:rPr>
          <w:rFonts w:asciiTheme="majorHAnsi" w:hAnsiTheme="majorHAnsi"/>
          <w:sz w:val="22"/>
          <w:szCs w:val="22"/>
          <w:lang w:val="sq-AL"/>
        </w:rPr>
        <w:t>reziqeve</w:t>
      </w:r>
      <w:r w:rsidR="00BF7B22" w:rsidRPr="000F540A">
        <w:rPr>
          <w:rFonts w:asciiTheme="majorHAnsi" w:hAnsiTheme="majorHAnsi"/>
          <w:sz w:val="22"/>
          <w:szCs w:val="22"/>
          <w:lang w:val="sq-AL"/>
        </w:rPr>
        <w:t xml:space="preserve"> </w:t>
      </w:r>
      <w:r w:rsidR="00BF7B22" w:rsidRPr="000F540A">
        <w:rPr>
          <w:rFonts w:asciiTheme="majorHAnsi" w:hAnsiTheme="majorHAnsi"/>
          <w:i/>
          <w:sz w:val="22"/>
          <w:szCs w:val="22"/>
          <w:lang w:val="sq-AL"/>
        </w:rPr>
        <w:t>(r</w:t>
      </w:r>
      <w:r w:rsidR="0020657D" w:rsidRPr="000F540A">
        <w:rPr>
          <w:rFonts w:asciiTheme="majorHAnsi" w:hAnsiTheme="majorHAnsi"/>
          <w:i/>
          <w:sz w:val="22"/>
          <w:szCs w:val="22"/>
          <w:lang w:val="sq-AL"/>
        </w:rPr>
        <w:t>rezikut</w:t>
      </w:r>
      <w:r w:rsidR="00BF7B22" w:rsidRPr="000F540A">
        <w:rPr>
          <w:rFonts w:asciiTheme="majorHAnsi" w:hAnsiTheme="majorHAnsi"/>
          <w:i/>
          <w:sz w:val="22"/>
          <w:szCs w:val="22"/>
          <w:lang w:val="sq-AL"/>
        </w:rPr>
        <w:t xml:space="preserve"> </w:t>
      </w:r>
      <w:r w:rsidR="00B31EF1" w:rsidRPr="000F540A">
        <w:rPr>
          <w:rFonts w:asciiTheme="majorHAnsi" w:hAnsiTheme="majorHAnsi"/>
          <w:i/>
          <w:sz w:val="22"/>
          <w:szCs w:val="22"/>
          <w:lang w:val="sq-AL"/>
        </w:rPr>
        <w:t>t</w:t>
      </w:r>
      <w:r w:rsidR="004516AC" w:rsidRPr="000F540A">
        <w:rPr>
          <w:rFonts w:asciiTheme="majorHAnsi" w:hAnsiTheme="majorHAnsi"/>
          <w:i/>
          <w:sz w:val="22"/>
          <w:szCs w:val="22"/>
          <w:lang w:val="sq-AL"/>
        </w:rPr>
        <w:t>ë</w:t>
      </w:r>
      <w:r w:rsidR="00BF7B22" w:rsidRPr="000F540A">
        <w:rPr>
          <w:rFonts w:asciiTheme="majorHAnsi" w:hAnsiTheme="majorHAnsi"/>
          <w:i/>
          <w:sz w:val="22"/>
          <w:szCs w:val="22"/>
          <w:lang w:val="sq-AL"/>
        </w:rPr>
        <w:t xml:space="preserve"> rifinancimit, </w:t>
      </w:r>
      <w:r w:rsidR="0020657D" w:rsidRPr="000F540A">
        <w:rPr>
          <w:rFonts w:asciiTheme="majorHAnsi" w:hAnsiTheme="majorHAnsi"/>
          <w:i/>
          <w:sz w:val="22"/>
          <w:szCs w:val="22"/>
          <w:lang w:val="sq-AL"/>
        </w:rPr>
        <w:t>rrezikut</w:t>
      </w:r>
      <w:r w:rsidR="00BF7B22" w:rsidRPr="000F540A">
        <w:rPr>
          <w:rFonts w:asciiTheme="majorHAnsi" w:hAnsiTheme="majorHAnsi"/>
          <w:i/>
          <w:sz w:val="22"/>
          <w:szCs w:val="22"/>
          <w:lang w:val="sq-AL"/>
        </w:rPr>
        <w:t xml:space="preserve"> </w:t>
      </w:r>
      <w:r w:rsidR="00B31EF1" w:rsidRPr="000F540A">
        <w:rPr>
          <w:rFonts w:asciiTheme="majorHAnsi" w:hAnsiTheme="majorHAnsi"/>
          <w:i/>
          <w:sz w:val="22"/>
          <w:szCs w:val="22"/>
          <w:lang w:val="sq-AL"/>
        </w:rPr>
        <w:t>t</w:t>
      </w:r>
      <w:r w:rsidR="004516AC" w:rsidRPr="000F540A">
        <w:rPr>
          <w:rFonts w:asciiTheme="majorHAnsi" w:hAnsiTheme="majorHAnsi"/>
          <w:i/>
          <w:sz w:val="22"/>
          <w:szCs w:val="22"/>
          <w:lang w:val="sq-AL"/>
        </w:rPr>
        <w:t>ë</w:t>
      </w:r>
      <w:r w:rsidR="00BF7B22" w:rsidRPr="000F540A">
        <w:rPr>
          <w:rFonts w:asciiTheme="majorHAnsi" w:hAnsiTheme="majorHAnsi"/>
          <w:i/>
          <w:sz w:val="22"/>
          <w:szCs w:val="22"/>
          <w:lang w:val="sq-AL"/>
        </w:rPr>
        <w:t xml:space="preserve"> normave t</w:t>
      </w:r>
      <w:r w:rsidR="004516AC" w:rsidRPr="000F540A">
        <w:rPr>
          <w:rFonts w:asciiTheme="majorHAnsi" w:hAnsiTheme="majorHAnsi"/>
          <w:i/>
          <w:sz w:val="22"/>
          <w:szCs w:val="22"/>
          <w:lang w:val="sq-AL"/>
        </w:rPr>
        <w:t>ë</w:t>
      </w:r>
      <w:r w:rsidR="00BF7B22" w:rsidRPr="000F540A">
        <w:rPr>
          <w:rFonts w:asciiTheme="majorHAnsi" w:hAnsiTheme="majorHAnsi"/>
          <w:i/>
          <w:sz w:val="22"/>
          <w:szCs w:val="22"/>
          <w:lang w:val="sq-AL"/>
        </w:rPr>
        <w:t xml:space="preserve"> interesit dhe </w:t>
      </w:r>
      <w:r w:rsidR="0020657D" w:rsidRPr="000F540A">
        <w:rPr>
          <w:rFonts w:asciiTheme="majorHAnsi" w:hAnsiTheme="majorHAnsi"/>
          <w:i/>
          <w:sz w:val="22"/>
          <w:szCs w:val="22"/>
          <w:lang w:val="sq-AL"/>
        </w:rPr>
        <w:t>rrezikut</w:t>
      </w:r>
      <w:r w:rsidR="00B31EF1" w:rsidRPr="000F540A">
        <w:rPr>
          <w:rFonts w:asciiTheme="majorHAnsi" w:hAnsiTheme="majorHAnsi"/>
          <w:i/>
          <w:sz w:val="22"/>
          <w:szCs w:val="22"/>
          <w:lang w:val="sq-AL"/>
        </w:rPr>
        <w:t xml:space="preserve"> t</w:t>
      </w:r>
      <w:r w:rsidR="004516AC" w:rsidRPr="000F540A">
        <w:rPr>
          <w:rFonts w:asciiTheme="majorHAnsi" w:hAnsiTheme="majorHAnsi"/>
          <w:i/>
          <w:sz w:val="22"/>
          <w:szCs w:val="22"/>
          <w:lang w:val="sq-AL"/>
        </w:rPr>
        <w:t>ë</w:t>
      </w:r>
      <w:r w:rsidR="00B31EF1" w:rsidRPr="000F540A">
        <w:rPr>
          <w:rFonts w:asciiTheme="majorHAnsi" w:hAnsiTheme="majorHAnsi"/>
          <w:i/>
          <w:sz w:val="22"/>
          <w:szCs w:val="22"/>
          <w:lang w:val="sq-AL"/>
        </w:rPr>
        <w:t xml:space="preserve"> likuiditetit)</w:t>
      </w:r>
      <w:r w:rsidR="00BF7B22" w:rsidRPr="000F540A">
        <w:rPr>
          <w:rFonts w:asciiTheme="majorHAnsi" w:hAnsiTheme="majorHAnsi"/>
          <w:sz w:val="22"/>
          <w:szCs w:val="22"/>
          <w:lang w:val="sq-AL"/>
        </w:rPr>
        <w:t xml:space="preserve"> </w:t>
      </w:r>
      <w:r w:rsidR="00297E24" w:rsidRPr="000F540A">
        <w:rPr>
          <w:rFonts w:asciiTheme="majorHAnsi" w:hAnsiTheme="majorHAnsi"/>
          <w:i/>
          <w:sz w:val="22"/>
          <w:szCs w:val="22"/>
          <w:lang w:val="sq-AL"/>
        </w:rPr>
        <w:t>(Ref. Pika</w:t>
      </w:r>
      <w:r w:rsidR="00AF1162" w:rsidRPr="000F540A">
        <w:rPr>
          <w:rFonts w:asciiTheme="majorHAnsi" w:hAnsiTheme="majorHAnsi"/>
          <w:i/>
          <w:sz w:val="22"/>
          <w:szCs w:val="22"/>
          <w:lang w:val="sq-AL"/>
        </w:rPr>
        <w:t xml:space="preserve"> 2.</w:t>
      </w:r>
      <w:r w:rsidR="00C653DB" w:rsidRPr="000F540A">
        <w:rPr>
          <w:rFonts w:asciiTheme="majorHAnsi" w:hAnsiTheme="majorHAnsi"/>
          <w:i/>
          <w:sz w:val="22"/>
          <w:szCs w:val="22"/>
          <w:lang w:val="sq-AL"/>
        </w:rPr>
        <w:t>, Shtojca 1)</w:t>
      </w:r>
      <w:r w:rsidR="00C653DB" w:rsidRPr="000F540A">
        <w:rPr>
          <w:rFonts w:asciiTheme="majorHAnsi" w:hAnsiTheme="majorHAnsi"/>
          <w:sz w:val="22"/>
          <w:szCs w:val="22"/>
          <w:lang w:val="sq-AL"/>
        </w:rPr>
        <w:t>;</w:t>
      </w:r>
    </w:p>
    <w:p w:rsidR="00A238D9" w:rsidRPr="000F540A" w:rsidRDefault="00A238D9" w:rsidP="000F540A">
      <w:pPr>
        <w:pStyle w:val="ListParagraph"/>
        <w:numPr>
          <w:ilvl w:val="0"/>
          <w:numId w:val="15"/>
        </w:numPr>
        <w:tabs>
          <w:tab w:val="left" w:pos="2730"/>
        </w:tabs>
        <w:jc w:val="both"/>
        <w:rPr>
          <w:rFonts w:asciiTheme="majorHAnsi" w:hAnsiTheme="majorHAnsi"/>
          <w:sz w:val="22"/>
          <w:szCs w:val="22"/>
          <w:lang w:val="sq-AL"/>
        </w:rPr>
      </w:pPr>
      <w:r w:rsidRPr="000F540A">
        <w:rPr>
          <w:rFonts w:asciiTheme="majorHAnsi" w:hAnsiTheme="majorHAnsi"/>
          <w:sz w:val="22"/>
          <w:szCs w:val="22"/>
          <w:lang w:val="sq-AL"/>
        </w:rPr>
        <w:t>U</w:t>
      </w:r>
      <w:r w:rsidR="00BF7B22" w:rsidRPr="000F540A">
        <w:rPr>
          <w:rFonts w:asciiTheme="majorHAnsi" w:hAnsiTheme="majorHAnsi"/>
          <w:sz w:val="22"/>
          <w:szCs w:val="22"/>
          <w:lang w:val="sq-AL"/>
        </w:rPr>
        <w:t>ljen e kostove t</w:t>
      </w:r>
      <w:r w:rsidR="004516AC" w:rsidRPr="000F540A">
        <w:rPr>
          <w:rFonts w:asciiTheme="majorHAnsi" w:hAnsiTheme="majorHAnsi"/>
          <w:sz w:val="22"/>
          <w:szCs w:val="22"/>
          <w:lang w:val="sq-AL"/>
        </w:rPr>
        <w:t>ë</w:t>
      </w:r>
      <w:r w:rsidR="00BF7B22" w:rsidRPr="000F540A">
        <w:rPr>
          <w:rFonts w:asciiTheme="majorHAnsi" w:hAnsiTheme="majorHAnsi"/>
          <w:sz w:val="22"/>
          <w:szCs w:val="22"/>
          <w:lang w:val="sq-AL"/>
        </w:rPr>
        <w:t xml:space="preserve"> borxhit</w:t>
      </w:r>
      <w:r w:rsidR="00C653DB" w:rsidRPr="000F540A">
        <w:rPr>
          <w:rFonts w:asciiTheme="majorHAnsi" w:hAnsiTheme="majorHAnsi"/>
          <w:sz w:val="22"/>
          <w:szCs w:val="22"/>
          <w:lang w:val="sq-AL"/>
        </w:rPr>
        <w:t xml:space="preserve"> </w:t>
      </w:r>
      <w:r w:rsidR="00C653DB" w:rsidRPr="000F540A">
        <w:rPr>
          <w:rFonts w:asciiTheme="majorHAnsi" w:hAnsiTheme="majorHAnsi"/>
          <w:i/>
          <w:sz w:val="22"/>
          <w:szCs w:val="22"/>
          <w:lang w:val="sq-AL"/>
        </w:rPr>
        <w:t xml:space="preserve">(Ref. Pika </w:t>
      </w:r>
      <w:r w:rsidR="00FD7719" w:rsidRPr="000F540A">
        <w:rPr>
          <w:rFonts w:asciiTheme="majorHAnsi" w:hAnsiTheme="majorHAnsi"/>
          <w:i/>
          <w:sz w:val="22"/>
          <w:szCs w:val="22"/>
          <w:lang w:val="sq-AL"/>
        </w:rPr>
        <w:t>3</w:t>
      </w:r>
      <w:r w:rsidR="00AF1162" w:rsidRPr="000F540A">
        <w:rPr>
          <w:rFonts w:asciiTheme="majorHAnsi" w:hAnsiTheme="majorHAnsi"/>
          <w:i/>
          <w:sz w:val="22"/>
          <w:szCs w:val="22"/>
          <w:lang w:val="sq-AL"/>
        </w:rPr>
        <w:t>.</w:t>
      </w:r>
      <w:r w:rsidR="00C653DB" w:rsidRPr="000F540A">
        <w:rPr>
          <w:rFonts w:asciiTheme="majorHAnsi" w:hAnsiTheme="majorHAnsi"/>
          <w:i/>
          <w:sz w:val="22"/>
          <w:szCs w:val="22"/>
          <w:lang w:val="sq-AL"/>
        </w:rPr>
        <w:t>, Shtojca 1)</w:t>
      </w:r>
      <w:r w:rsidR="00825733" w:rsidRPr="000F540A">
        <w:rPr>
          <w:rFonts w:asciiTheme="majorHAnsi" w:hAnsiTheme="majorHAnsi"/>
          <w:sz w:val="22"/>
          <w:szCs w:val="22"/>
          <w:lang w:val="sq-AL"/>
        </w:rPr>
        <w:t>;</w:t>
      </w:r>
      <w:r w:rsidR="00B31EF1" w:rsidRPr="000F540A">
        <w:rPr>
          <w:rFonts w:asciiTheme="majorHAnsi" w:hAnsiTheme="majorHAnsi"/>
          <w:sz w:val="22"/>
          <w:szCs w:val="22"/>
          <w:lang w:val="sq-AL"/>
        </w:rPr>
        <w:t xml:space="preserve"> </w:t>
      </w:r>
    </w:p>
    <w:p w:rsidR="00A238D9" w:rsidRPr="000F540A" w:rsidRDefault="00A238D9" w:rsidP="000F540A">
      <w:pPr>
        <w:pStyle w:val="ListParagraph"/>
        <w:numPr>
          <w:ilvl w:val="0"/>
          <w:numId w:val="15"/>
        </w:numPr>
        <w:tabs>
          <w:tab w:val="left" w:pos="2730"/>
        </w:tabs>
        <w:jc w:val="both"/>
        <w:rPr>
          <w:rFonts w:asciiTheme="majorHAnsi" w:hAnsiTheme="majorHAnsi"/>
          <w:sz w:val="22"/>
          <w:szCs w:val="22"/>
          <w:lang w:val="sq-AL"/>
        </w:rPr>
      </w:pPr>
      <w:r w:rsidRPr="000F540A">
        <w:rPr>
          <w:rFonts w:asciiTheme="majorHAnsi" w:hAnsiTheme="majorHAnsi"/>
          <w:sz w:val="22"/>
          <w:szCs w:val="22"/>
          <w:lang w:val="sq-AL"/>
        </w:rPr>
        <w:t>U</w:t>
      </w:r>
      <w:r w:rsidR="00B31EF1" w:rsidRPr="000F540A">
        <w:rPr>
          <w:rFonts w:asciiTheme="majorHAnsi" w:hAnsiTheme="majorHAnsi"/>
          <w:sz w:val="22"/>
          <w:szCs w:val="22"/>
          <w:lang w:val="sq-AL"/>
        </w:rPr>
        <w:t>ljen e presionit t</w:t>
      </w:r>
      <w:r w:rsidR="004516AC" w:rsidRPr="000F540A">
        <w:rPr>
          <w:rFonts w:asciiTheme="majorHAnsi" w:hAnsiTheme="majorHAnsi"/>
          <w:sz w:val="22"/>
          <w:szCs w:val="22"/>
          <w:lang w:val="sq-AL"/>
        </w:rPr>
        <w:t>ë</w:t>
      </w:r>
      <w:r w:rsidR="00B31EF1" w:rsidRPr="000F540A">
        <w:rPr>
          <w:rFonts w:asciiTheme="majorHAnsi" w:hAnsiTheme="majorHAnsi"/>
          <w:sz w:val="22"/>
          <w:szCs w:val="22"/>
          <w:lang w:val="sq-AL"/>
        </w:rPr>
        <w:t xml:space="preserve"> huamarrjes n</w:t>
      </w:r>
      <w:r w:rsidR="004516AC" w:rsidRPr="000F540A">
        <w:rPr>
          <w:rFonts w:asciiTheme="majorHAnsi" w:hAnsiTheme="majorHAnsi"/>
          <w:sz w:val="22"/>
          <w:szCs w:val="22"/>
          <w:lang w:val="sq-AL"/>
        </w:rPr>
        <w:t>ë</w:t>
      </w:r>
      <w:r w:rsidR="00B31EF1" w:rsidRPr="000F540A">
        <w:rPr>
          <w:rFonts w:asciiTheme="majorHAnsi" w:hAnsiTheme="majorHAnsi"/>
          <w:sz w:val="22"/>
          <w:szCs w:val="22"/>
          <w:lang w:val="sq-AL"/>
        </w:rPr>
        <w:t xml:space="preserve"> tregun e brendsh</w:t>
      </w:r>
      <w:r w:rsidR="004516AC" w:rsidRPr="000F540A">
        <w:rPr>
          <w:rFonts w:asciiTheme="majorHAnsi" w:hAnsiTheme="majorHAnsi"/>
          <w:sz w:val="22"/>
          <w:szCs w:val="22"/>
          <w:lang w:val="sq-AL"/>
        </w:rPr>
        <w:t>ë</w:t>
      </w:r>
      <w:r w:rsidR="00B31EF1" w:rsidRPr="000F540A">
        <w:rPr>
          <w:rFonts w:asciiTheme="majorHAnsi" w:hAnsiTheme="majorHAnsi"/>
          <w:sz w:val="22"/>
          <w:szCs w:val="22"/>
          <w:lang w:val="sq-AL"/>
        </w:rPr>
        <w:t>m</w:t>
      </w:r>
      <w:r w:rsidR="00FD7719" w:rsidRPr="000F540A">
        <w:rPr>
          <w:rFonts w:asciiTheme="majorHAnsi" w:hAnsiTheme="majorHAnsi"/>
          <w:sz w:val="22"/>
          <w:szCs w:val="22"/>
          <w:lang w:val="sq-AL"/>
        </w:rPr>
        <w:t xml:space="preserve"> </w:t>
      </w:r>
      <w:r w:rsidR="00FD7719" w:rsidRPr="000F540A">
        <w:rPr>
          <w:rFonts w:asciiTheme="majorHAnsi" w:hAnsiTheme="majorHAnsi"/>
          <w:i/>
          <w:sz w:val="22"/>
          <w:szCs w:val="22"/>
          <w:lang w:val="sq-AL"/>
        </w:rPr>
        <w:t>(Ref. Pika 2.</w:t>
      </w:r>
      <w:r w:rsidR="00AF1162" w:rsidRPr="000F540A">
        <w:rPr>
          <w:rFonts w:asciiTheme="majorHAnsi" w:hAnsiTheme="majorHAnsi"/>
          <w:i/>
          <w:sz w:val="22"/>
          <w:szCs w:val="22"/>
          <w:lang w:val="sq-AL"/>
        </w:rPr>
        <w:t>3</w:t>
      </w:r>
      <w:r w:rsidR="00FD7719" w:rsidRPr="000F540A">
        <w:rPr>
          <w:rFonts w:asciiTheme="majorHAnsi" w:hAnsiTheme="majorHAnsi"/>
          <w:i/>
          <w:sz w:val="22"/>
          <w:szCs w:val="22"/>
          <w:lang w:val="sq-AL"/>
        </w:rPr>
        <w:t>, Shtojca 1)</w:t>
      </w:r>
      <w:r w:rsidR="00825733" w:rsidRPr="000F540A">
        <w:rPr>
          <w:rFonts w:asciiTheme="majorHAnsi" w:hAnsiTheme="majorHAnsi"/>
          <w:sz w:val="22"/>
          <w:szCs w:val="22"/>
          <w:lang w:val="sq-AL"/>
        </w:rPr>
        <w:t>;</w:t>
      </w:r>
    </w:p>
    <w:p w:rsidR="00E9155E" w:rsidRPr="000F540A" w:rsidRDefault="00A238D9" w:rsidP="000F540A">
      <w:pPr>
        <w:pStyle w:val="ListParagraph"/>
        <w:numPr>
          <w:ilvl w:val="0"/>
          <w:numId w:val="15"/>
        </w:numPr>
        <w:tabs>
          <w:tab w:val="left" w:pos="2730"/>
        </w:tabs>
        <w:jc w:val="both"/>
        <w:rPr>
          <w:rFonts w:asciiTheme="majorHAnsi" w:hAnsiTheme="majorHAnsi"/>
          <w:sz w:val="22"/>
          <w:szCs w:val="22"/>
          <w:lang w:val="sq-AL"/>
        </w:rPr>
      </w:pPr>
      <w:r w:rsidRPr="000F540A">
        <w:rPr>
          <w:rFonts w:asciiTheme="majorHAnsi" w:hAnsiTheme="majorHAnsi"/>
          <w:sz w:val="22"/>
          <w:szCs w:val="22"/>
          <w:lang w:val="sq-AL"/>
        </w:rPr>
        <w:t>R</w:t>
      </w:r>
      <w:r w:rsidR="009756A5" w:rsidRPr="000F540A">
        <w:rPr>
          <w:rFonts w:asciiTheme="majorHAnsi" w:hAnsiTheme="majorHAnsi"/>
          <w:sz w:val="22"/>
          <w:szCs w:val="22"/>
          <w:lang w:val="sq-AL"/>
        </w:rPr>
        <w:t>i</w:t>
      </w:r>
      <w:r w:rsidR="005E7110" w:rsidRPr="000F540A">
        <w:rPr>
          <w:rFonts w:asciiTheme="majorHAnsi" w:hAnsiTheme="majorHAnsi"/>
          <w:sz w:val="22"/>
          <w:szCs w:val="22"/>
          <w:lang w:val="sq-AL"/>
        </w:rPr>
        <w:t>-</w:t>
      </w:r>
      <w:r w:rsidR="004C3D1F" w:rsidRPr="000F540A">
        <w:rPr>
          <w:rFonts w:asciiTheme="majorHAnsi" w:hAnsiTheme="majorHAnsi"/>
          <w:sz w:val="22"/>
          <w:szCs w:val="22"/>
          <w:lang w:val="sq-AL"/>
        </w:rPr>
        <w:t>afirmimin</w:t>
      </w:r>
      <w:r w:rsidR="005E7110" w:rsidRPr="000F540A">
        <w:rPr>
          <w:rFonts w:asciiTheme="majorHAnsi" w:hAnsiTheme="majorHAnsi"/>
          <w:sz w:val="22"/>
          <w:szCs w:val="22"/>
          <w:lang w:val="sq-AL"/>
        </w:rPr>
        <w:t xml:space="preserve"> e Shqip</w:t>
      </w:r>
      <w:r w:rsidR="004516AC" w:rsidRPr="000F540A">
        <w:rPr>
          <w:rFonts w:asciiTheme="majorHAnsi" w:hAnsiTheme="majorHAnsi"/>
          <w:sz w:val="22"/>
          <w:szCs w:val="22"/>
          <w:lang w:val="sq-AL"/>
        </w:rPr>
        <w:t>ë</w:t>
      </w:r>
      <w:r w:rsidR="005E7110" w:rsidRPr="000F540A">
        <w:rPr>
          <w:rFonts w:asciiTheme="majorHAnsi" w:hAnsiTheme="majorHAnsi"/>
          <w:sz w:val="22"/>
          <w:szCs w:val="22"/>
          <w:lang w:val="sq-AL"/>
        </w:rPr>
        <w:t>ris</w:t>
      </w:r>
      <w:r w:rsidR="004516AC" w:rsidRPr="000F540A">
        <w:rPr>
          <w:rFonts w:asciiTheme="majorHAnsi" w:hAnsiTheme="majorHAnsi"/>
          <w:sz w:val="22"/>
          <w:szCs w:val="22"/>
          <w:lang w:val="sq-AL"/>
        </w:rPr>
        <w:t>ë</w:t>
      </w:r>
      <w:r w:rsidR="009756A5" w:rsidRPr="000F540A">
        <w:rPr>
          <w:rFonts w:asciiTheme="majorHAnsi" w:hAnsiTheme="majorHAnsi"/>
          <w:sz w:val="22"/>
          <w:szCs w:val="22"/>
          <w:lang w:val="sq-AL"/>
        </w:rPr>
        <w:t xml:space="preserve"> </w:t>
      </w:r>
      <w:r w:rsidR="004C3D1F" w:rsidRPr="000F540A">
        <w:rPr>
          <w:rFonts w:asciiTheme="majorHAnsi" w:hAnsiTheme="majorHAnsi"/>
          <w:sz w:val="22"/>
          <w:szCs w:val="22"/>
          <w:lang w:val="sq-AL"/>
        </w:rPr>
        <w:t>n</w:t>
      </w:r>
      <w:r w:rsidR="004516AC" w:rsidRPr="000F540A">
        <w:rPr>
          <w:rFonts w:asciiTheme="majorHAnsi" w:hAnsiTheme="majorHAnsi"/>
          <w:sz w:val="22"/>
          <w:szCs w:val="22"/>
          <w:lang w:val="sq-AL"/>
        </w:rPr>
        <w:t>ë</w:t>
      </w:r>
      <w:r w:rsidR="004C3D1F" w:rsidRPr="000F540A">
        <w:rPr>
          <w:rFonts w:asciiTheme="majorHAnsi" w:hAnsiTheme="majorHAnsi"/>
          <w:sz w:val="22"/>
          <w:szCs w:val="22"/>
          <w:lang w:val="sq-AL"/>
        </w:rPr>
        <w:t xml:space="preserve"> tregjet nd</w:t>
      </w:r>
      <w:r w:rsidR="004516AC" w:rsidRPr="000F540A">
        <w:rPr>
          <w:rFonts w:asciiTheme="majorHAnsi" w:hAnsiTheme="majorHAnsi"/>
          <w:sz w:val="22"/>
          <w:szCs w:val="22"/>
          <w:lang w:val="sq-AL"/>
        </w:rPr>
        <w:t>ë</w:t>
      </w:r>
      <w:r w:rsidR="004C3D1F" w:rsidRPr="000F540A">
        <w:rPr>
          <w:rFonts w:asciiTheme="majorHAnsi" w:hAnsiTheme="majorHAnsi"/>
          <w:sz w:val="22"/>
          <w:szCs w:val="22"/>
          <w:lang w:val="sq-AL"/>
        </w:rPr>
        <w:t>rkomb</w:t>
      </w:r>
      <w:r w:rsidR="004516AC" w:rsidRPr="000F540A">
        <w:rPr>
          <w:rFonts w:asciiTheme="majorHAnsi" w:hAnsiTheme="majorHAnsi"/>
          <w:sz w:val="22"/>
          <w:szCs w:val="22"/>
          <w:lang w:val="sq-AL"/>
        </w:rPr>
        <w:t>ë</w:t>
      </w:r>
      <w:r w:rsidR="004C3D1F" w:rsidRPr="000F540A">
        <w:rPr>
          <w:rFonts w:asciiTheme="majorHAnsi" w:hAnsiTheme="majorHAnsi"/>
          <w:sz w:val="22"/>
          <w:szCs w:val="22"/>
          <w:lang w:val="sq-AL"/>
        </w:rPr>
        <w:t>tare t</w:t>
      </w:r>
      <w:r w:rsidR="004516AC" w:rsidRPr="000F540A">
        <w:rPr>
          <w:rFonts w:asciiTheme="majorHAnsi" w:hAnsiTheme="majorHAnsi"/>
          <w:sz w:val="22"/>
          <w:szCs w:val="22"/>
          <w:lang w:val="sq-AL"/>
        </w:rPr>
        <w:t>ë</w:t>
      </w:r>
      <w:r w:rsidR="004C3D1F" w:rsidRPr="000F540A">
        <w:rPr>
          <w:rFonts w:asciiTheme="majorHAnsi" w:hAnsiTheme="majorHAnsi"/>
          <w:sz w:val="22"/>
          <w:szCs w:val="22"/>
          <w:lang w:val="sq-AL"/>
        </w:rPr>
        <w:t xml:space="preserve"> kapitalit.</w:t>
      </w:r>
    </w:p>
    <w:p w:rsidR="00A238D9" w:rsidRPr="000F540A" w:rsidRDefault="00A238D9" w:rsidP="000F540A">
      <w:pPr>
        <w:pStyle w:val="ListParagraph"/>
        <w:tabs>
          <w:tab w:val="left" w:pos="2730"/>
        </w:tabs>
        <w:ind w:left="1080"/>
        <w:jc w:val="both"/>
        <w:rPr>
          <w:rFonts w:asciiTheme="majorHAnsi" w:hAnsiTheme="majorHAnsi"/>
          <w:sz w:val="22"/>
          <w:szCs w:val="22"/>
          <w:lang w:val="sq-AL"/>
        </w:rPr>
      </w:pPr>
    </w:p>
    <w:p w:rsidR="001C3D4D" w:rsidRPr="000F540A" w:rsidRDefault="0009015E" w:rsidP="000F540A">
      <w:pPr>
        <w:tabs>
          <w:tab w:val="left" w:pos="2730"/>
        </w:tabs>
        <w:jc w:val="both"/>
        <w:rPr>
          <w:rFonts w:asciiTheme="majorHAnsi" w:hAnsiTheme="majorHAnsi"/>
          <w:sz w:val="22"/>
          <w:szCs w:val="22"/>
          <w:lang w:val="sq-AL"/>
        </w:rPr>
      </w:pPr>
      <w:r w:rsidRPr="000F540A">
        <w:rPr>
          <w:rFonts w:asciiTheme="majorHAnsi" w:hAnsiTheme="majorHAnsi"/>
          <w:sz w:val="22"/>
          <w:szCs w:val="22"/>
          <w:lang w:val="sq-AL"/>
        </w:rPr>
        <w:t>Instrumentet q</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mund</w:t>
      </w:r>
      <w:r w:rsidR="004516AC" w:rsidRPr="000F540A">
        <w:rPr>
          <w:rFonts w:asciiTheme="majorHAnsi" w:hAnsiTheme="majorHAnsi"/>
          <w:sz w:val="22"/>
          <w:szCs w:val="22"/>
          <w:lang w:val="sq-AL"/>
        </w:rPr>
        <w:t>ë</w:t>
      </w:r>
      <w:r w:rsidRPr="000F540A">
        <w:rPr>
          <w:rFonts w:asciiTheme="majorHAnsi" w:hAnsiTheme="majorHAnsi"/>
          <w:sz w:val="22"/>
          <w:szCs w:val="22"/>
          <w:lang w:val="sq-AL"/>
        </w:rPr>
        <w:t>suan realizimin e objektivave strategjik</w:t>
      </w:r>
      <w:r w:rsidR="00CA6705" w:rsidRPr="000F540A">
        <w:rPr>
          <w:rFonts w:asciiTheme="majorHAnsi" w:hAnsiTheme="majorHAnsi"/>
          <w:sz w:val="22"/>
          <w:szCs w:val="22"/>
          <w:lang w:val="sq-AL"/>
        </w:rPr>
        <w:t>e</w:t>
      </w:r>
      <w:r w:rsidRPr="000F540A">
        <w:rPr>
          <w:rFonts w:asciiTheme="majorHAnsi" w:hAnsiTheme="majorHAnsi"/>
          <w:sz w:val="22"/>
          <w:szCs w:val="22"/>
          <w:lang w:val="sq-AL"/>
        </w:rPr>
        <w:t xml:space="preserve"> jan</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obligacionet afatgjata (7 vjeçare dhe 10 vjeçare) n</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tregun e brendsh</w:t>
      </w:r>
      <w:r w:rsidR="004516AC" w:rsidRPr="000F540A">
        <w:rPr>
          <w:rFonts w:asciiTheme="majorHAnsi" w:hAnsiTheme="majorHAnsi"/>
          <w:sz w:val="22"/>
          <w:szCs w:val="22"/>
          <w:lang w:val="sq-AL"/>
        </w:rPr>
        <w:t>ë</w:t>
      </w:r>
      <w:r w:rsidR="00825733" w:rsidRPr="000F540A">
        <w:rPr>
          <w:rFonts w:asciiTheme="majorHAnsi" w:hAnsiTheme="majorHAnsi"/>
          <w:sz w:val="22"/>
          <w:szCs w:val="22"/>
          <w:lang w:val="sq-AL"/>
        </w:rPr>
        <w:t>m, si edhe</w:t>
      </w:r>
      <w:r w:rsidRPr="000F540A">
        <w:rPr>
          <w:rFonts w:asciiTheme="majorHAnsi" w:hAnsiTheme="majorHAnsi"/>
          <w:sz w:val="22"/>
          <w:szCs w:val="22"/>
          <w:lang w:val="sq-AL"/>
        </w:rPr>
        <w:t xml:space="preserve"> PBG dhe Eurobond-i n</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tregun e jasht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m. </w:t>
      </w:r>
    </w:p>
    <w:p w:rsidR="00B73BFC" w:rsidRPr="000F540A" w:rsidRDefault="00B73BFC" w:rsidP="000F540A">
      <w:pPr>
        <w:tabs>
          <w:tab w:val="left" w:pos="2730"/>
        </w:tabs>
        <w:jc w:val="both"/>
        <w:rPr>
          <w:rFonts w:asciiTheme="majorHAnsi" w:hAnsiTheme="majorHAnsi"/>
          <w:sz w:val="22"/>
          <w:szCs w:val="22"/>
          <w:lang w:val="sq-AL"/>
        </w:rPr>
      </w:pPr>
    </w:p>
    <w:p w:rsidR="00E812EF" w:rsidRPr="000F540A" w:rsidRDefault="0009015E" w:rsidP="000F540A">
      <w:pPr>
        <w:tabs>
          <w:tab w:val="left" w:pos="2730"/>
        </w:tabs>
        <w:jc w:val="both"/>
        <w:rPr>
          <w:rFonts w:asciiTheme="majorHAnsi" w:hAnsiTheme="majorHAnsi"/>
          <w:sz w:val="22"/>
          <w:szCs w:val="22"/>
          <w:lang w:val="sq-AL"/>
        </w:rPr>
      </w:pPr>
      <w:r w:rsidRPr="000F540A">
        <w:rPr>
          <w:rFonts w:asciiTheme="majorHAnsi" w:hAnsiTheme="majorHAnsi"/>
          <w:sz w:val="22"/>
          <w:szCs w:val="22"/>
          <w:lang w:val="sq-AL"/>
        </w:rPr>
        <w:t>N</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kuad</w:t>
      </w:r>
      <w:r w:rsidR="004516AC" w:rsidRPr="000F540A">
        <w:rPr>
          <w:rFonts w:asciiTheme="majorHAnsi" w:hAnsiTheme="majorHAnsi"/>
          <w:sz w:val="22"/>
          <w:szCs w:val="22"/>
          <w:lang w:val="sq-AL"/>
        </w:rPr>
        <w:t>ë</w:t>
      </w:r>
      <w:r w:rsidRPr="000F540A">
        <w:rPr>
          <w:rFonts w:asciiTheme="majorHAnsi" w:hAnsiTheme="majorHAnsi"/>
          <w:sz w:val="22"/>
          <w:szCs w:val="22"/>
          <w:lang w:val="sq-AL"/>
        </w:rPr>
        <w:t>r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uljes s</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ekspozimit ndaj r</w:t>
      </w:r>
      <w:r w:rsidR="0020657D" w:rsidRPr="000F540A">
        <w:rPr>
          <w:rFonts w:asciiTheme="majorHAnsi" w:hAnsiTheme="majorHAnsi"/>
          <w:sz w:val="22"/>
          <w:szCs w:val="22"/>
          <w:lang w:val="sq-AL"/>
        </w:rPr>
        <w:t>reziqe</w:t>
      </w:r>
      <w:r w:rsidR="00B67C0E" w:rsidRPr="000F540A">
        <w:rPr>
          <w:rFonts w:asciiTheme="majorHAnsi" w:hAnsiTheme="majorHAnsi"/>
          <w:sz w:val="22"/>
          <w:szCs w:val="22"/>
          <w:lang w:val="sq-AL"/>
        </w:rPr>
        <w:t>ve</w:t>
      </w:r>
      <w:r w:rsidR="00CA6705" w:rsidRPr="000F540A">
        <w:rPr>
          <w:rFonts w:asciiTheme="majorHAnsi" w:hAnsiTheme="majorHAnsi"/>
          <w:sz w:val="22"/>
          <w:szCs w:val="22"/>
          <w:lang w:val="sq-AL"/>
        </w:rPr>
        <w:t>,</w:t>
      </w:r>
      <w:r w:rsidRPr="000F540A">
        <w:rPr>
          <w:rFonts w:asciiTheme="majorHAnsi" w:hAnsiTheme="majorHAnsi"/>
          <w:sz w:val="22"/>
          <w:szCs w:val="22"/>
          <w:lang w:val="sq-AL"/>
        </w:rPr>
        <w:t xml:space="preserve"> </w:t>
      </w:r>
      <w:r w:rsidR="001C3D4D" w:rsidRPr="000F540A">
        <w:rPr>
          <w:rFonts w:asciiTheme="majorHAnsi" w:hAnsiTheme="majorHAnsi"/>
          <w:sz w:val="22"/>
          <w:szCs w:val="22"/>
          <w:lang w:val="sq-AL"/>
        </w:rPr>
        <w:t>menaxhimi i borxhit u fokusua n</w:t>
      </w:r>
      <w:r w:rsidR="004516AC" w:rsidRPr="000F540A">
        <w:rPr>
          <w:rFonts w:asciiTheme="majorHAnsi" w:hAnsiTheme="majorHAnsi"/>
          <w:sz w:val="22"/>
          <w:szCs w:val="22"/>
          <w:lang w:val="sq-AL"/>
        </w:rPr>
        <w:t>ë</w:t>
      </w:r>
      <w:r w:rsidR="001C3D4D" w:rsidRPr="000F540A">
        <w:rPr>
          <w:rFonts w:asciiTheme="majorHAnsi" w:hAnsiTheme="majorHAnsi"/>
          <w:sz w:val="22"/>
          <w:szCs w:val="22"/>
          <w:lang w:val="sq-AL"/>
        </w:rPr>
        <w:t xml:space="preserve"> dy drejtime kryesore: </w:t>
      </w:r>
      <w:r w:rsidR="001C3D4D" w:rsidRPr="000F540A">
        <w:rPr>
          <w:rFonts w:asciiTheme="majorHAnsi" w:hAnsiTheme="majorHAnsi"/>
          <w:b/>
          <w:sz w:val="22"/>
          <w:szCs w:val="22"/>
          <w:lang w:val="sq-AL"/>
        </w:rPr>
        <w:t>(i)</w:t>
      </w:r>
      <w:r w:rsidR="001C3D4D" w:rsidRPr="000F540A">
        <w:rPr>
          <w:rFonts w:asciiTheme="majorHAnsi" w:hAnsiTheme="majorHAnsi"/>
          <w:sz w:val="22"/>
          <w:szCs w:val="22"/>
          <w:lang w:val="sq-AL"/>
        </w:rPr>
        <w:t xml:space="preserve"> n</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 xml:space="preserve"> drejtim t</w:t>
      </w:r>
      <w:r w:rsidR="004516AC" w:rsidRPr="000F540A">
        <w:rPr>
          <w:rFonts w:asciiTheme="majorHAnsi" w:hAnsiTheme="majorHAnsi"/>
          <w:sz w:val="22"/>
          <w:szCs w:val="22"/>
          <w:lang w:val="sq-AL"/>
        </w:rPr>
        <w:t>ë</w:t>
      </w:r>
      <w:r w:rsidR="001C3D4D" w:rsidRPr="000F540A">
        <w:rPr>
          <w:rFonts w:asciiTheme="majorHAnsi" w:hAnsiTheme="majorHAnsi"/>
          <w:sz w:val="22"/>
          <w:szCs w:val="22"/>
          <w:lang w:val="sq-AL"/>
        </w:rPr>
        <w:t xml:space="preserve"> rritje</w:t>
      </w:r>
      <w:r w:rsidR="001549DF" w:rsidRPr="000F540A">
        <w:rPr>
          <w:rFonts w:asciiTheme="majorHAnsi" w:hAnsiTheme="majorHAnsi"/>
          <w:sz w:val="22"/>
          <w:szCs w:val="22"/>
          <w:lang w:val="sq-AL"/>
        </w:rPr>
        <w:t>s</w:t>
      </w:r>
      <w:r w:rsidR="001C3D4D" w:rsidRPr="000F540A">
        <w:rPr>
          <w:rFonts w:asciiTheme="majorHAnsi" w:hAnsiTheme="majorHAnsi"/>
          <w:sz w:val="22"/>
          <w:szCs w:val="22"/>
          <w:lang w:val="sq-AL"/>
        </w:rPr>
        <w:t xml:space="preserve"> </w:t>
      </w:r>
      <w:r w:rsidR="001549DF" w:rsidRPr="000F540A">
        <w:rPr>
          <w:rFonts w:asciiTheme="majorHAnsi" w:hAnsiTheme="majorHAnsi"/>
          <w:sz w:val="22"/>
          <w:szCs w:val="22"/>
          <w:lang w:val="sq-AL"/>
        </w:rPr>
        <w:t>s</w:t>
      </w:r>
      <w:r w:rsidR="004516AC" w:rsidRPr="000F540A">
        <w:rPr>
          <w:rFonts w:asciiTheme="majorHAnsi" w:hAnsiTheme="majorHAnsi"/>
          <w:sz w:val="22"/>
          <w:szCs w:val="22"/>
          <w:lang w:val="sq-AL"/>
        </w:rPr>
        <w:t>ë</w:t>
      </w:r>
      <w:r w:rsidR="001C3D4D" w:rsidRPr="000F540A">
        <w:rPr>
          <w:rFonts w:asciiTheme="majorHAnsi" w:hAnsiTheme="majorHAnsi"/>
          <w:sz w:val="22"/>
          <w:szCs w:val="22"/>
          <w:lang w:val="sq-AL"/>
        </w:rPr>
        <w:t xml:space="preserve"> pesh</w:t>
      </w:r>
      <w:r w:rsidR="004516AC" w:rsidRPr="000F540A">
        <w:rPr>
          <w:rFonts w:asciiTheme="majorHAnsi" w:hAnsiTheme="majorHAnsi"/>
          <w:sz w:val="22"/>
          <w:szCs w:val="22"/>
          <w:lang w:val="sq-AL"/>
        </w:rPr>
        <w:t>ë</w:t>
      </w:r>
      <w:r w:rsidR="001C3D4D" w:rsidRPr="000F540A">
        <w:rPr>
          <w:rFonts w:asciiTheme="majorHAnsi" w:hAnsiTheme="majorHAnsi"/>
          <w:sz w:val="22"/>
          <w:szCs w:val="22"/>
          <w:lang w:val="sq-AL"/>
        </w:rPr>
        <w:t>s s</w:t>
      </w:r>
      <w:r w:rsidR="004516AC" w:rsidRPr="000F540A">
        <w:rPr>
          <w:rFonts w:asciiTheme="majorHAnsi" w:hAnsiTheme="majorHAnsi"/>
          <w:sz w:val="22"/>
          <w:szCs w:val="22"/>
          <w:lang w:val="sq-AL"/>
        </w:rPr>
        <w:t>ë</w:t>
      </w:r>
      <w:r w:rsidR="001C3D4D" w:rsidRPr="000F540A">
        <w:rPr>
          <w:rFonts w:asciiTheme="majorHAnsi" w:hAnsiTheme="majorHAnsi"/>
          <w:sz w:val="22"/>
          <w:szCs w:val="22"/>
          <w:lang w:val="sq-AL"/>
        </w:rPr>
        <w:t xml:space="preserve"> instrumenteve afatgjata n</w:t>
      </w:r>
      <w:r w:rsidR="004516AC" w:rsidRPr="000F540A">
        <w:rPr>
          <w:rFonts w:asciiTheme="majorHAnsi" w:hAnsiTheme="majorHAnsi"/>
          <w:sz w:val="22"/>
          <w:szCs w:val="22"/>
          <w:lang w:val="sq-AL"/>
        </w:rPr>
        <w:t>ë</w:t>
      </w:r>
      <w:r w:rsidR="001C3D4D" w:rsidRPr="000F540A">
        <w:rPr>
          <w:rFonts w:asciiTheme="majorHAnsi" w:hAnsiTheme="majorHAnsi"/>
          <w:sz w:val="22"/>
          <w:szCs w:val="22"/>
          <w:lang w:val="sq-AL"/>
        </w:rPr>
        <w:t>p</w:t>
      </w:r>
      <w:r w:rsidR="004516AC" w:rsidRPr="000F540A">
        <w:rPr>
          <w:rFonts w:asciiTheme="majorHAnsi" w:hAnsiTheme="majorHAnsi"/>
          <w:sz w:val="22"/>
          <w:szCs w:val="22"/>
          <w:lang w:val="sq-AL"/>
        </w:rPr>
        <w:t>ë</w:t>
      </w:r>
      <w:r w:rsidR="00CA6705" w:rsidRPr="000F540A">
        <w:rPr>
          <w:rFonts w:asciiTheme="majorHAnsi" w:hAnsiTheme="majorHAnsi"/>
          <w:sz w:val="22"/>
          <w:szCs w:val="22"/>
          <w:lang w:val="sq-AL"/>
        </w:rPr>
        <w:t xml:space="preserve">rmjet emetimit </w:t>
      </w:r>
      <w:r w:rsidR="001C3D4D" w:rsidRPr="000F540A">
        <w:rPr>
          <w:rFonts w:asciiTheme="majorHAnsi" w:hAnsiTheme="majorHAnsi"/>
          <w:sz w:val="22"/>
          <w:szCs w:val="22"/>
          <w:lang w:val="sq-AL"/>
        </w:rPr>
        <w:t>t</w:t>
      </w:r>
      <w:r w:rsidR="004516AC" w:rsidRPr="000F540A">
        <w:rPr>
          <w:rFonts w:asciiTheme="majorHAnsi" w:hAnsiTheme="majorHAnsi"/>
          <w:sz w:val="22"/>
          <w:szCs w:val="22"/>
          <w:lang w:val="sq-AL"/>
        </w:rPr>
        <w:t>ë</w:t>
      </w:r>
      <w:r w:rsidR="001C3D4D" w:rsidRPr="000F540A">
        <w:rPr>
          <w:rFonts w:asciiTheme="majorHAnsi" w:hAnsiTheme="majorHAnsi"/>
          <w:sz w:val="22"/>
          <w:szCs w:val="22"/>
          <w:lang w:val="sq-AL"/>
        </w:rPr>
        <w:t xml:space="preserve"> </w:t>
      </w:r>
      <w:r w:rsidRPr="000F540A">
        <w:rPr>
          <w:rFonts w:asciiTheme="majorHAnsi" w:hAnsiTheme="majorHAnsi"/>
          <w:sz w:val="22"/>
          <w:szCs w:val="22"/>
          <w:lang w:val="sq-AL"/>
        </w:rPr>
        <w:t>obligacioneve 7 dhe 10 vje</w:t>
      </w:r>
      <w:r w:rsidR="00C07141" w:rsidRPr="000F540A">
        <w:rPr>
          <w:rFonts w:asciiTheme="majorHAnsi" w:hAnsiTheme="majorHAnsi"/>
          <w:sz w:val="22"/>
          <w:szCs w:val="22"/>
          <w:lang w:val="sq-AL"/>
        </w:rPr>
        <w:t>ç</w:t>
      </w:r>
      <w:r w:rsidRPr="000F540A">
        <w:rPr>
          <w:rFonts w:asciiTheme="majorHAnsi" w:hAnsiTheme="majorHAnsi"/>
          <w:sz w:val="22"/>
          <w:szCs w:val="22"/>
          <w:lang w:val="sq-AL"/>
        </w:rPr>
        <w:t xml:space="preserve">are me norma interesi fikse, </w:t>
      </w:r>
      <w:r w:rsidR="001549DF" w:rsidRPr="000F540A">
        <w:rPr>
          <w:rFonts w:asciiTheme="majorHAnsi" w:hAnsiTheme="majorHAnsi"/>
          <w:sz w:val="22"/>
          <w:szCs w:val="22"/>
          <w:lang w:val="sq-AL"/>
        </w:rPr>
        <w:t xml:space="preserve">dhe </w:t>
      </w:r>
      <w:r w:rsidR="001549DF" w:rsidRPr="000F540A">
        <w:rPr>
          <w:rFonts w:asciiTheme="majorHAnsi" w:hAnsiTheme="majorHAnsi"/>
          <w:b/>
          <w:sz w:val="22"/>
          <w:szCs w:val="22"/>
          <w:lang w:val="sq-AL"/>
        </w:rPr>
        <w:t>(ii)</w:t>
      </w:r>
      <w:r w:rsidR="001549DF" w:rsidRPr="000F540A">
        <w:rPr>
          <w:rFonts w:asciiTheme="majorHAnsi" w:hAnsiTheme="majorHAnsi"/>
          <w:sz w:val="22"/>
          <w:szCs w:val="22"/>
          <w:lang w:val="sq-AL"/>
        </w:rPr>
        <w:t xml:space="preserve"> n</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 xml:space="preserve"> drejtim t</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 xml:space="preserve"> uljes s</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 xml:space="preserve"> pesh</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s s</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 xml:space="preserve"> instrumenteve me afat maturimi relativisht t</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 xml:space="preserve"> ul</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t n</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p</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rmjet pro</w:t>
      </w:r>
      <w:r w:rsidR="00825733" w:rsidRPr="000F540A">
        <w:rPr>
          <w:rFonts w:asciiTheme="majorHAnsi" w:hAnsiTheme="majorHAnsi"/>
          <w:sz w:val="22"/>
          <w:szCs w:val="22"/>
          <w:lang w:val="sq-AL"/>
        </w:rPr>
        <w:t>c</w:t>
      </w:r>
      <w:r w:rsidR="001549DF" w:rsidRPr="000F540A">
        <w:rPr>
          <w:rFonts w:asciiTheme="majorHAnsi" w:hAnsiTheme="majorHAnsi"/>
          <w:sz w:val="22"/>
          <w:szCs w:val="22"/>
          <w:lang w:val="sq-AL"/>
        </w:rPr>
        <w:t>edur</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s s</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 xml:space="preserve"> maturimit dhe buyback</w:t>
      </w:r>
      <w:r w:rsidR="00620A40" w:rsidRPr="000F540A">
        <w:rPr>
          <w:rFonts w:asciiTheme="majorHAnsi" w:hAnsiTheme="majorHAnsi"/>
          <w:sz w:val="22"/>
          <w:szCs w:val="22"/>
          <w:lang w:val="sq-AL"/>
        </w:rPr>
        <w:t>,</w:t>
      </w:r>
      <w:r w:rsidR="001549DF" w:rsidRPr="000F540A">
        <w:rPr>
          <w:rFonts w:asciiTheme="majorHAnsi" w:hAnsiTheme="majorHAnsi"/>
          <w:sz w:val="22"/>
          <w:szCs w:val="22"/>
          <w:lang w:val="sq-AL"/>
        </w:rPr>
        <w:t xml:space="preserve"> q</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 xml:space="preserve"> u mund</w:t>
      </w:r>
      <w:r w:rsidR="004516AC" w:rsidRPr="000F540A">
        <w:rPr>
          <w:rFonts w:asciiTheme="majorHAnsi" w:hAnsiTheme="majorHAnsi"/>
          <w:sz w:val="22"/>
          <w:szCs w:val="22"/>
          <w:lang w:val="sq-AL"/>
        </w:rPr>
        <w:t>ë</w:t>
      </w:r>
      <w:r w:rsidR="001549DF" w:rsidRPr="000F540A">
        <w:rPr>
          <w:rFonts w:asciiTheme="majorHAnsi" w:hAnsiTheme="majorHAnsi"/>
          <w:sz w:val="22"/>
          <w:szCs w:val="22"/>
          <w:lang w:val="sq-AL"/>
        </w:rPr>
        <w:t xml:space="preserve">sua nga shtesa </w:t>
      </w:r>
      <w:r w:rsidR="001549DF" w:rsidRPr="000F540A">
        <w:rPr>
          <w:rFonts w:asciiTheme="majorHAnsi" w:hAnsiTheme="majorHAnsi"/>
          <w:i/>
          <w:sz w:val="22"/>
          <w:szCs w:val="22"/>
          <w:lang w:val="sq-AL"/>
        </w:rPr>
        <w:t>(400 milion EUR)</w:t>
      </w:r>
      <w:r w:rsidR="001549DF" w:rsidRPr="000F540A">
        <w:rPr>
          <w:rFonts w:asciiTheme="majorHAnsi" w:hAnsiTheme="majorHAnsi"/>
          <w:sz w:val="22"/>
          <w:szCs w:val="22"/>
          <w:lang w:val="sq-AL"/>
        </w:rPr>
        <w:t xml:space="preserve"> e financimit nga instrumenti i PBG dhe Eurobond</w:t>
      </w:r>
      <w:r w:rsidR="00ED6013" w:rsidRPr="000F540A">
        <w:rPr>
          <w:rFonts w:asciiTheme="majorHAnsi" w:hAnsiTheme="majorHAnsi"/>
          <w:sz w:val="22"/>
          <w:szCs w:val="22"/>
          <w:lang w:val="sq-AL"/>
        </w:rPr>
        <w:t xml:space="preserve">. </w:t>
      </w:r>
    </w:p>
    <w:p w:rsidR="003623F3" w:rsidRPr="000F540A" w:rsidRDefault="003623F3" w:rsidP="000F540A">
      <w:pPr>
        <w:tabs>
          <w:tab w:val="left" w:pos="2730"/>
        </w:tabs>
        <w:jc w:val="both"/>
        <w:rPr>
          <w:rFonts w:asciiTheme="majorHAnsi" w:hAnsiTheme="majorHAnsi"/>
          <w:sz w:val="22"/>
          <w:szCs w:val="22"/>
          <w:lang w:val="sq-AL"/>
        </w:rPr>
      </w:pPr>
    </w:p>
    <w:p w:rsidR="00336589" w:rsidRPr="000F540A" w:rsidRDefault="00006D26" w:rsidP="000F540A">
      <w:pPr>
        <w:tabs>
          <w:tab w:val="left" w:pos="2730"/>
        </w:tabs>
        <w:jc w:val="both"/>
        <w:rPr>
          <w:rFonts w:asciiTheme="majorHAnsi" w:hAnsiTheme="majorHAnsi"/>
          <w:sz w:val="22"/>
          <w:szCs w:val="22"/>
          <w:lang w:val="sq-AL"/>
        </w:rPr>
      </w:pPr>
      <w:r w:rsidRPr="000F540A">
        <w:rPr>
          <w:rFonts w:asciiTheme="majorHAnsi" w:hAnsiTheme="majorHAnsi"/>
          <w:sz w:val="22"/>
          <w:szCs w:val="22"/>
          <w:lang w:val="sq-AL"/>
        </w:rPr>
        <w:t xml:space="preserve">Ulja e ekspozimit ndaj </w:t>
      </w:r>
      <w:r w:rsidR="00E0380D" w:rsidRPr="000F540A">
        <w:rPr>
          <w:rFonts w:asciiTheme="majorHAnsi" w:hAnsiTheme="majorHAnsi"/>
          <w:sz w:val="22"/>
          <w:szCs w:val="22"/>
          <w:lang w:val="sq-AL"/>
        </w:rPr>
        <w:t>rreziqeve</w:t>
      </w:r>
      <w:r w:rsidR="00A238D9" w:rsidRPr="000F540A">
        <w:rPr>
          <w:rFonts w:asciiTheme="majorHAnsi" w:hAnsiTheme="majorHAnsi"/>
          <w:sz w:val="22"/>
          <w:szCs w:val="22"/>
          <w:lang w:val="sq-AL"/>
        </w:rPr>
        <w:t xml:space="preserve"> zakonisht shoqë</w:t>
      </w:r>
      <w:r w:rsidRPr="000F540A">
        <w:rPr>
          <w:rFonts w:asciiTheme="majorHAnsi" w:hAnsiTheme="majorHAnsi"/>
          <w:sz w:val="22"/>
          <w:szCs w:val="22"/>
          <w:lang w:val="sq-AL"/>
        </w:rPr>
        <w:t>rohet me rritje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kostos, por gjat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vitit 2015 men</w:t>
      </w:r>
      <w:r w:rsidR="00FF056B" w:rsidRPr="000F540A">
        <w:rPr>
          <w:rFonts w:asciiTheme="majorHAnsi" w:hAnsiTheme="majorHAnsi"/>
          <w:sz w:val="22"/>
          <w:szCs w:val="22"/>
          <w:lang w:val="sq-AL"/>
        </w:rPr>
        <w:t>a</w:t>
      </w:r>
      <w:r w:rsidRPr="000F540A">
        <w:rPr>
          <w:rFonts w:asciiTheme="majorHAnsi" w:hAnsiTheme="majorHAnsi"/>
          <w:sz w:val="22"/>
          <w:szCs w:val="22"/>
          <w:lang w:val="sq-AL"/>
        </w:rPr>
        <w:t>xh</w:t>
      </w:r>
      <w:r w:rsidR="00FF056B" w:rsidRPr="000F540A">
        <w:rPr>
          <w:rFonts w:asciiTheme="majorHAnsi" w:hAnsiTheme="majorHAnsi"/>
          <w:sz w:val="22"/>
          <w:szCs w:val="22"/>
          <w:lang w:val="sq-AL"/>
        </w:rPr>
        <w:t>i</w:t>
      </w:r>
      <w:r w:rsidR="00575CA1" w:rsidRPr="000F540A">
        <w:rPr>
          <w:rFonts w:asciiTheme="majorHAnsi" w:hAnsiTheme="majorHAnsi"/>
          <w:sz w:val="22"/>
          <w:szCs w:val="22"/>
          <w:lang w:val="sq-AL"/>
        </w:rPr>
        <w:t>mi i borxhit</w:t>
      </w:r>
      <w:r w:rsidRPr="000F540A">
        <w:rPr>
          <w:rFonts w:asciiTheme="majorHAnsi" w:hAnsiTheme="majorHAnsi"/>
          <w:sz w:val="22"/>
          <w:szCs w:val="22"/>
          <w:lang w:val="sq-AL"/>
        </w:rPr>
        <w:t xml:space="preserve"> e ka </w:t>
      </w:r>
      <w:r w:rsidR="00825733" w:rsidRPr="000F540A">
        <w:rPr>
          <w:rFonts w:asciiTheme="majorHAnsi" w:hAnsiTheme="majorHAnsi"/>
          <w:sz w:val="22"/>
          <w:szCs w:val="22"/>
          <w:lang w:val="sq-AL"/>
        </w:rPr>
        <w:t>realizuar</w:t>
      </w:r>
      <w:r w:rsidR="006528BB" w:rsidRPr="000F540A">
        <w:rPr>
          <w:rFonts w:asciiTheme="majorHAnsi" w:hAnsiTheme="majorHAnsi"/>
          <w:sz w:val="22"/>
          <w:szCs w:val="22"/>
          <w:lang w:val="sq-AL"/>
        </w:rPr>
        <w:t xml:space="preserve"> k</w:t>
      </w:r>
      <w:r w:rsidR="004516AC" w:rsidRPr="000F540A">
        <w:rPr>
          <w:rFonts w:asciiTheme="majorHAnsi" w:hAnsiTheme="majorHAnsi"/>
          <w:sz w:val="22"/>
          <w:szCs w:val="22"/>
          <w:lang w:val="sq-AL"/>
        </w:rPr>
        <w:t>ë</w:t>
      </w:r>
      <w:r w:rsidR="006528BB" w:rsidRPr="000F540A">
        <w:rPr>
          <w:rFonts w:asciiTheme="majorHAnsi" w:hAnsiTheme="majorHAnsi"/>
          <w:sz w:val="22"/>
          <w:szCs w:val="22"/>
          <w:lang w:val="sq-AL"/>
        </w:rPr>
        <w:t>t</w:t>
      </w:r>
      <w:r w:rsidR="00825733" w:rsidRPr="000F540A">
        <w:rPr>
          <w:rFonts w:asciiTheme="majorHAnsi" w:hAnsiTheme="majorHAnsi"/>
          <w:sz w:val="22"/>
          <w:szCs w:val="22"/>
          <w:lang w:val="sq-AL"/>
        </w:rPr>
        <w:t>ë objektiv</w:t>
      </w:r>
      <w:r w:rsidR="006528BB" w:rsidRPr="000F540A">
        <w:rPr>
          <w:rFonts w:asciiTheme="majorHAnsi" w:hAnsiTheme="majorHAnsi"/>
          <w:sz w:val="22"/>
          <w:szCs w:val="22"/>
          <w:lang w:val="sq-AL"/>
        </w:rPr>
        <w:t xml:space="preserve"> me nj</w:t>
      </w:r>
      <w:r w:rsidR="004516AC" w:rsidRPr="000F540A">
        <w:rPr>
          <w:rFonts w:asciiTheme="majorHAnsi" w:hAnsiTheme="majorHAnsi"/>
          <w:sz w:val="22"/>
          <w:szCs w:val="22"/>
          <w:lang w:val="sq-AL"/>
        </w:rPr>
        <w:t>ë</w:t>
      </w:r>
      <w:r w:rsidR="006528BB" w:rsidRPr="000F540A">
        <w:rPr>
          <w:rFonts w:asciiTheme="majorHAnsi" w:hAnsiTheme="majorHAnsi"/>
          <w:sz w:val="22"/>
          <w:szCs w:val="22"/>
          <w:lang w:val="sq-AL"/>
        </w:rPr>
        <w:t xml:space="preserve"> kosto relativisht t</w:t>
      </w:r>
      <w:r w:rsidR="004516AC" w:rsidRPr="000F540A">
        <w:rPr>
          <w:rFonts w:asciiTheme="majorHAnsi" w:hAnsiTheme="majorHAnsi"/>
          <w:sz w:val="22"/>
          <w:szCs w:val="22"/>
          <w:lang w:val="sq-AL"/>
        </w:rPr>
        <w:t>ë</w:t>
      </w:r>
      <w:r w:rsidR="006528BB" w:rsidRPr="000F540A">
        <w:rPr>
          <w:rFonts w:asciiTheme="majorHAnsi" w:hAnsiTheme="majorHAnsi"/>
          <w:sz w:val="22"/>
          <w:szCs w:val="22"/>
          <w:lang w:val="sq-AL"/>
        </w:rPr>
        <w:t xml:space="preserve"> ul</w:t>
      </w:r>
      <w:r w:rsidR="004516AC" w:rsidRPr="000F540A">
        <w:rPr>
          <w:rFonts w:asciiTheme="majorHAnsi" w:hAnsiTheme="majorHAnsi"/>
          <w:sz w:val="22"/>
          <w:szCs w:val="22"/>
          <w:lang w:val="sq-AL"/>
        </w:rPr>
        <w:t>ë</w:t>
      </w:r>
      <w:r w:rsidR="006528BB" w:rsidRPr="000F540A">
        <w:rPr>
          <w:rFonts w:asciiTheme="majorHAnsi" w:hAnsiTheme="majorHAnsi"/>
          <w:sz w:val="22"/>
          <w:szCs w:val="22"/>
          <w:lang w:val="sq-AL"/>
        </w:rPr>
        <w:t>t, duke shfryt</w:t>
      </w:r>
      <w:r w:rsidR="004516AC" w:rsidRPr="000F540A">
        <w:rPr>
          <w:rFonts w:asciiTheme="majorHAnsi" w:hAnsiTheme="majorHAnsi"/>
          <w:sz w:val="22"/>
          <w:szCs w:val="22"/>
          <w:lang w:val="sq-AL"/>
        </w:rPr>
        <w:t>ë</w:t>
      </w:r>
      <w:r w:rsidR="006528BB" w:rsidRPr="000F540A">
        <w:rPr>
          <w:rFonts w:asciiTheme="majorHAnsi" w:hAnsiTheme="majorHAnsi"/>
          <w:sz w:val="22"/>
          <w:szCs w:val="22"/>
          <w:lang w:val="sq-AL"/>
        </w:rPr>
        <w:t>zuar r</w:t>
      </w:r>
      <w:r w:rsidR="004516AC" w:rsidRPr="000F540A">
        <w:rPr>
          <w:rFonts w:asciiTheme="majorHAnsi" w:hAnsiTheme="majorHAnsi"/>
          <w:sz w:val="22"/>
          <w:szCs w:val="22"/>
          <w:lang w:val="sq-AL"/>
        </w:rPr>
        <w:t>ë</w:t>
      </w:r>
      <w:r w:rsidR="006528BB" w:rsidRPr="000F540A">
        <w:rPr>
          <w:rFonts w:asciiTheme="majorHAnsi" w:hAnsiTheme="majorHAnsi"/>
          <w:sz w:val="22"/>
          <w:szCs w:val="22"/>
          <w:lang w:val="sq-AL"/>
        </w:rPr>
        <w:t>nien e normave t</w:t>
      </w:r>
      <w:r w:rsidR="004516AC" w:rsidRPr="000F540A">
        <w:rPr>
          <w:rFonts w:asciiTheme="majorHAnsi" w:hAnsiTheme="majorHAnsi"/>
          <w:sz w:val="22"/>
          <w:szCs w:val="22"/>
          <w:lang w:val="sq-AL"/>
        </w:rPr>
        <w:t>ë</w:t>
      </w:r>
      <w:r w:rsidR="006528BB" w:rsidRPr="000F540A">
        <w:rPr>
          <w:rFonts w:asciiTheme="majorHAnsi" w:hAnsiTheme="majorHAnsi"/>
          <w:sz w:val="22"/>
          <w:szCs w:val="22"/>
          <w:lang w:val="sq-AL"/>
        </w:rPr>
        <w:t xml:space="preserve"> interesit p</w:t>
      </w:r>
      <w:r w:rsidR="004516AC" w:rsidRPr="000F540A">
        <w:rPr>
          <w:rFonts w:asciiTheme="majorHAnsi" w:hAnsiTheme="majorHAnsi"/>
          <w:sz w:val="22"/>
          <w:szCs w:val="22"/>
          <w:lang w:val="sq-AL"/>
        </w:rPr>
        <w:t>ë</w:t>
      </w:r>
      <w:r w:rsidR="006528BB" w:rsidRPr="000F540A">
        <w:rPr>
          <w:rFonts w:asciiTheme="majorHAnsi" w:hAnsiTheme="majorHAnsi"/>
          <w:sz w:val="22"/>
          <w:szCs w:val="22"/>
          <w:lang w:val="sq-AL"/>
        </w:rPr>
        <w:t>r titujt afatgjat</w:t>
      </w:r>
      <w:r w:rsidR="004516AC" w:rsidRPr="000F540A">
        <w:rPr>
          <w:rFonts w:asciiTheme="majorHAnsi" w:hAnsiTheme="majorHAnsi"/>
          <w:sz w:val="22"/>
          <w:szCs w:val="22"/>
          <w:lang w:val="sq-AL"/>
        </w:rPr>
        <w:t>ë</w:t>
      </w:r>
      <w:r w:rsidR="006528BB" w:rsidRPr="000F540A">
        <w:rPr>
          <w:rFonts w:asciiTheme="majorHAnsi" w:hAnsiTheme="majorHAnsi"/>
          <w:sz w:val="22"/>
          <w:szCs w:val="22"/>
          <w:lang w:val="sq-AL"/>
        </w:rPr>
        <w:t xml:space="preserve"> n</w:t>
      </w:r>
      <w:r w:rsidR="004516AC" w:rsidRPr="000F540A">
        <w:rPr>
          <w:rFonts w:asciiTheme="majorHAnsi" w:hAnsiTheme="majorHAnsi"/>
          <w:sz w:val="22"/>
          <w:szCs w:val="22"/>
          <w:lang w:val="sq-AL"/>
        </w:rPr>
        <w:t>ë</w:t>
      </w:r>
      <w:r w:rsidR="006528BB" w:rsidRPr="000F540A">
        <w:rPr>
          <w:rFonts w:asciiTheme="majorHAnsi" w:hAnsiTheme="majorHAnsi"/>
          <w:sz w:val="22"/>
          <w:szCs w:val="22"/>
          <w:lang w:val="sq-AL"/>
        </w:rPr>
        <w:t xml:space="preserve"> tregun</w:t>
      </w:r>
      <w:r w:rsidR="000C2177" w:rsidRPr="000F540A">
        <w:rPr>
          <w:rFonts w:asciiTheme="majorHAnsi" w:hAnsiTheme="majorHAnsi"/>
          <w:sz w:val="22"/>
          <w:szCs w:val="22"/>
          <w:lang w:val="sq-AL"/>
        </w:rPr>
        <w:t xml:space="preserve"> </w:t>
      </w:r>
      <w:r w:rsidR="006528BB" w:rsidRPr="000F540A">
        <w:rPr>
          <w:rFonts w:asciiTheme="majorHAnsi" w:hAnsiTheme="majorHAnsi"/>
          <w:sz w:val="22"/>
          <w:szCs w:val="22"/>
          <w:lang w:val="sq-AL"/>
        </w:rPr>
        <w:t>e brendsh</w:t>
      </w:r>
      <w:r w:rsidR="004516AC" w:rsidRPr="000F540A">
        <w:rPr>
          <w:rFonts w:asciiTheme="majorHAnsi" w:hAnsiTheme="majorHAnsi"/>
          <w:sz w:val="22"/>
          <w:szCs w:val="22"/>
          <w:lang w:val="sq-AL"/>
        </w:rPr>
        <w:t>ë</w:t>
      </w:r>
      <w:r w:rsidR="006528BB" w:rsidRPr="000F540A">
        <w:rPr>
          <w:rFonts w:asciiTheme="majorHAnsi" w:hAnsiTheme="majorHAnsi"/>
          <w:sz w:val="22"/>
          <w:szCs w:val="22"/>
          <w:lang w:val="sq-AL"/>
        </w:rPr>
        <w:t>m</w:t>
      </w:r>
      <w:r w:rsidR="00522977" w:rsidRPr="000F540A">
        <w:rPr>
          <w:rFonts w:asciiTheme="majorHAnsi" w:hAnsiTheme="majorHAnsi"/>
          <w:sz w:val="22"/>
          <w:szCs w:val="22"/>
          <w:lang w:val="sq-AL"/>
        </w:rPr>
        <w:t>,</w:t>
      </w:r>
      <w:r w:rsidR="006528BB" w:rsidRPr="000F540A">
        <w:rPr>
          <w:rFonts w:asciiTheme="majorHAnsi" w:hAnsiTheme="majorHAnsi"/>
          <w:sz w:val="22"/>
          <w:szCs w:val="22"/>
          <w:lang w:val="sq-AL"/>
        </w:rPr>
        <w:t xml:space="preserve"> si edhe duke financuar </w:t>
      </w:r>
      <w:r w:rsidR="00522977" w:rsidRPr="000F540A">
        <w:rPr>
          <w:rFonts w:asciiTheme="majorHAnsi" w:hAnsiTheme="majorHAnsi"/>
          <w:sz w:val="22"/>
          <w:szCs w:val="22"/>
          <w:lang w:val="sq-AL"/>
        </w:rPr>
        <w:t>700</w:t>
      </w:r>
      <w:r w:rsidR="006528BB" w:rsidRPr="000F540A">
        <w:rPr>
          <w:rFonts w:asciiTheme="majorHAnsi" w:hAnsiTheme="majorHAnsi"/>
          <w:sz w:val="22"/>
          <w:szCs w:val="22"/>
          <w:lang w:val="sq-AL"/>
        </w:rPr>
        <w:t xml:space="preserve"> </w:t>
      </w:r>
      <w:r w:rsidR="00522977" w:rsidRPr="000F540A">
        <w:rPr>
          <w:rFonts w:asciiTheme="majorHAnsi" w:hAnsiTheme="majorHAnsi"/>
          <w:sz w:val="22"/>
          <w:szCs w:val="22"/>
          <w:lang w:val="sq-AL"/>
        </w:rPr>
        <w:t xml:space="preserve">milion EUR </w:t>
      </w:r>
      <w:r w:rsidR="00522977" w:rsidRPr="000F540A">
        <w:rPr>
          <w:rFonts w:asciiTheme="majorHAnsi" w:hAnsiTheme="majorHAnsi"/>
          <w:i/>
          <w:sz w:val="22"/>
          <w:szCs w:val="22"/>
          <w:lang w:val="sq-AL"/>
        </w:rPr>
        <w:t xml:space="preserve">(PBG+Eurobond) </w:t>
      </w:r>
      <w:r w:rsidR="00522977" w:rsidRPr="000F540A">
        <w:rPr>
          <w:rFonts w:asciiTheme="majorHAnsi" w:hAnsiTheme="majorHAnsi"/>
          <w:sz w:val="22"/>
          <w:szCs w:val="22"/>
          <w:lang w:val="sq-AL"/>
        </w:rPr>
        <w:t>n</w:t>
      </w:r>
      <w:r w:rsidR="004516AC" w:rsidRPr="000F540A">
        <w:rPr>
          <w:rFonts w:asciiTheme="majorHAnsi" w:hAnsiTheme="majorHAnsi"/>
          <w:sz w:val="22"/>
          <w:szCs w:val="22"/>
          <w:lang w:val="sq-AL"/>
        </w:rPr>
        <w:t>ë</w:t>
      </w:r>
      <w:r w:rsidR="00522977" w:rsidRPr="000F540A">
        <w:rPr>
          <w:rFonts w:asciiTheme="majorHAnsi" w:hAnsiTheme="majorHAnsi"/>
          <w:sz w:val="22"/>
          <w:szCs w:val="22"/>
          <w:lang w:val="sq-AL"/>
        </w:rPr>
        <w:t xml:space="preserve"> tregun e jasht</w:t>
      </w:r>
      <w:r w:rsidR="004516AC" w:rsidRPr="000F540A">
        <w:rPr>
          <w:rFonts w:asciiTheme="majorHAnsi" w:hAnsiTheme="majorHAnsi"/>
          <w:sz w:val="22"/>
          <w:szCs w:val="22"/>
          <w:lang w:val="sq-AL"/>
        </w:rPr>
        <w:t>ë</w:t>
      </w:r>
      <w:r w:rsidR="00522977" w:rsidRPr="000F540A">
        <w:rPr>
          <w:rFonts w:asciiTheme="majorHAnsi" w:hAnsiTheme="majorHAnsi"/>
          <w:sz w:val="22"/>
          <w:szCs w:val="22"/>
          <w:lang w:val="sq-AL"/>
        </w:rPr>
        <w:t>m me nj</w:t>
      </w:r>
      <w:r w:rsidR="004516AC" w:rsidRPr="000F540A">
        <w:rPr>
          <w:rFonts w:asciiTheme="majorHAnsi" w:hAnsiTheme="majorHAnsi"/>
          <w:sz w:val="22"/>
          <w:szCs w:val="22"/>
          <w:lang w:val="sq-AL"/>
        </w:rPr>
        <w:t>ë</w:t>
      </w:r>
      <w:r w:rsidR="00522977" w:rsidRPr="000F540A">
        <w:rPr>
          <w:rFonts w:asciiTheme="majorHAnsi" w:hAnsiTheme="majorHAnsi"/>
          <w:sz w:val="22"/>
          <w:szCs w:val="22"/>
          <w:lang w:val="sq-AL"/>
        </w:rPr>
        <w:t xml:space="preserve"> kosto mesatare prej 3.5%</w:t>
      </w:r>
      <w:r w:rsidR="008F38EF" w:rsidRPr="000F540A">
        <w:rPr>
          <w:rStyle w:val="FootnoteReference"/>
          <w:rFonts w:asciiTheme="majorHAnsi" w:hAnsiTheme="majorHAnsi"/>
          <w:sz w:val="22"/>
          <w:szCs w:val="22"/>
          <w:lang w:val="sq-AL"/>
        </w:rPr>
        <w:footnoteReference w:id="1"/>
      </w:r>
      <w:r w:rsidR="00522977" w:rsidRPr="000F540A">
        <w:rPr>
          <w:rFonts w:asciiTheme="majorHAnsi" w:hAnsiTheme="majorHAnsi"/>
          <w:sz w:val="22"/>
          <w:szCs w:val="22"/>
          <w:lang w:val="sq-AL"/>
        </w:rPr>
        <w:t xml:space="preserve"> </w:t>
      </w:r>
      <w:r w:rsidR="00856996" w:rsidRPr="000F540A">
        <w:rPr>
          <w:rFonts w:asciiTheme="majorHAnsi" w:hAnsiTheme="majorHAnsi"/>
          <w:sz w:val="22"/>
          <w:szCs w:val="22"/>
          <w:lang w:val="sq-AL"/>
        </w:rPr>
        <w:t>dhe jet</w:t>
      </w:r>
      <w:r w:rsidR="00643654" w:rsidRPr="000F540A">
        <w:rPr>
          <w:rFonts w:asciiTheme="majorHAnsi" w:hAnsiTheme="majorHAnsi"/>
          <w:sz w:val="22"/>
          <w:szCs w:val="22"/>
          <w:lang w:val="sq-AL"/>
        </w:rPr>
        <w:t>ë</w:t>
      </w:r>
      <w:r w:rsidR="00856996" w:rsidRPr="000F540A">
        <w:rPr>
          <w:rFonts w:asciiTheme="majorHAnsi" w:hAnsiTheme="majorHAnsi"/>
          <w:sz w:val="22"/>
          <w:szCs w:val="22"/>
          <w:lang w:val="sq-AL"/>
        </w:rPr>
        <w:t>gjat</w:t>
      </w:r>
      <w:r w:rsidR="004516AC" w:rsidRPr="000F540A">
        <w:rPr>
          <w:rFonts w:asciiTheme="majorHAnsi" w:hAnsiTheme="majorHAnsi"/>
          <w:sz w:val="22"/>
          <w:szCs w:val="22"/>
          <w:lang w:val="sq-AL"/>
        </w:rPr>
        <w:t>ë</w:t>
      </w:r>
      <w:r w:rsidR="00856996" w:rsidRPr="000F540A">
        <w:rPr>
          <w:rFonts w:asciiTheme="majorHAnsi" w:hAnsiTheme="majorHAnsi"/>
          <w:sz w:val="22"/>
          <w:szCs w:val="22"/>
          <w:lang w:val="sq-AL"/>
        </w:rPr>
        <w:t>si mesatare prej 7.25 vite</w:t>
      </w:r>
      <w:r w:rsidR="00D546A9" w:rsidRPr="000F540A">
        <w:rPr>
          <w:rFonts w:asciiTheme="majorHAnsi" w:hAnsiTheme="majorHAnsi"/>
          <w:sz w:val="22"/>
          <w:szCs w:val="22"/>
          <w:lang w:val="sq-AL"/>
        </w:rPr>
        <w:t xml:space="preserve"> </w:t>
      </w:r>
      <w:r w:rsidR="00D546A9" w:rsidRPr="000F540A">
        <w:rPr>
          <w:rFonts w:asciiTheme="majorHAnsi" w:hAnsiTheme="majorHAnsi"/>
          <w:i/>
          <w:sz w:val="22"/>
          <w:szCs w:val="22"/>
          <w:lang w:val="sq-AL"/>
        </w:rPr>
        <w:t>(</w:t>
      </w:r>
      <w:r w:rsidR="000D0FAE" w:rsidRPr="000F540A">
        <w:rPr>
          <w:rFonts w:asciiTheme="majorHAnsi" w:hAnsiTheme="majorHAnsi"/>
          <w:i/>
          <w:sz w:val="22"/>
          <w:szCs w:val="22"/>
          <w:lang w:val="sq-AL"/>
        </w:rPr>
        <w:t>Ref.</w:t>
      </w:r>
      <w:r w:rsidR="00643654" w:rsidRPr="000F540A">
        <w:rPr>
          <w:rFonts w:asciiTheme="majorHAnsi" w:hAnsiTheme="majorHAnsi"/>
          <w:i/>
          <w:sz w:val="22"/>
          <w:szCs w:val="22"/>
          <w:lang w:val="sq-AL"/>
        </w:rPr>
        <w:t xml:space="preserve"> </w:t>
      </w:r>
      <w:r w:rsidR="000D0FAE" w:rsidRPr="000F540A">
        <w:rPr>
          <w:rFonts w:asciiTheme="majorHAnsi" w:hAnsiTheme="majorHAnsi"/>
          <w:i/>
          <w:sz w:val="22"/>
          <w:szCs w:val="22"/>
          <w:lang w:val="sq-AL"/>
        </w:rPr>
        <w:t>P</w:t>
      </w:r>
      <w:r w:rsidR="00D546A9" w:rsidRPr="000F540A">
        <w:rPr>
          <w:rFonts w:asciiTheme="majorHAnsi" w:hAnsiTheme="majorHAnsi"/>
          <w:i/>
          <w:sz w:val="22"/>
          <w:szCs w:val="22"/>
          <w:lang w:val="sq-AL"/>
        </w:rPr>
        <w:t>i</w:t>
      </w:r>
      <w:r w:rsidR="000D0FAE" w:rsidRPr="000F540A">
        <w:rPr>
          <w:rFonts w:asciiTheme="majorHAnsi" w:hAnsiTheme="majorHAnsi"/>
          <w:i/>
          <w:sz w:val="22"/>
          <w:szCs w:val="22"/>
          <w:lang w:val="sq-AL"/>
        </w:rPr>
        <w:t>ka</w:t>
      </w:r>
      <w:r w:rsidR="00643654" w:rsidRPr="000F540A">
        <w:rPr>
          <w:rFonts w:asciiTheme="majorHAnsi" w:hAnsiTheme="majorHAnsi"/>
          <w:i/>
          <w:sz w:val="22"/>
          <w:szCs w:val="22"/>
          <w:lang w:val="sq-AL"/>
        </w:rPr>
        <w:t xml:space="preserve"> 3.</w:t>
      </w:r>
      <w:r w:rsidR="000D0FAE" w:rsidRPr="000F540A">
        <w:rPr>
          <w:rFonts w:asciiTheme="majorHAnsi" w:hAnsiTheme="majorHAnsi"/>
          <w:i/>
          <w:sz w:val="22"/>
          <w:szCs w:val="22"/>
          <w:lang w:val="sq-AL"/>
        </w:rPr>
        <w:t>, Shtojca 1</w:t>
      </w:r>
      <w:r w:rsidR="00D546A9" w:rsidRPr="000F540A">
        <w:rPr>
          <w:rFonts w:asciiTheme="majorHAnsi" w:hAnsiTheme="majorHAnsi"/>
          <w:i/>
          <w:sz w:val="22"/>
          <w:szCs w:val="22"/>
          <w:lang w:val="sq-AL"/>
        </w:rPr>
        <w:t>)</w:t>
      </w:r>
      <w:r w:rsidR="003D72D8" w:rsidRPr="000F540A">
        <w:rPr>
          <w:rFonts w:asciiTheme="majorHAnsi" w:hAnsiTheme="majorHAnsi"/>
          <w:i/>
          <w:sz w:val="22"/>
          <w:szCs w:val="22"/>
          <w:lang w:val="sq-AL"/>
        </w:rPr>
        <w:t>.</w:t>
      </w:r>
    </w:p>
    <w:p w:rsidR="00EC085E" w:rsidRPr="000F540A" w:rsidRDefault="003623F3" w:rsidP="000F540A">
      <w:pPr>
        <w:tabs>
          <w:tab w:val="left" w:pos="2730"/>
        </w:tabs>
        <w:jc w:val="both"/>
        <w:rPr>
          <w:rFonts w:asciiTheme="majorHAnsi" w:hAnsiTheme="majorHAnsi"/>
          <w:sz w:val="22"/>
          <w:szCs w:val="22"/>
          <w:lang w:val="sq-AL"/>
        </w:rPr>
      </w:pPr>
      <w:r w:rsidRPr="000F540A">
        <w:rPr>
          <w:rFonts w:asciiTheme="majorHAnsi" w:hAnsiTheme="majorHAnsi"/>
          <w:sz w:val="22"/>
          <w:szCs w:val="22"/>
          <w:lang w:val="sq-AL"/>
        </w:rPr>
        <w:t>Nga ana tjet</w:t>
      </w:r>
      <w:r w:rsidR="004516AC" w:rsidRPr="000F540A">
        <w:rPr>
          <w:rFonts w:asciiTheme="majorHAnsi" w:hAnsiTheme="majorHAnsi"/>
          <w:sz w:val="22"/>
          <w:szCs w:val="22"/>
          <w:lang w:val="sq-AL"/>
        </w:rPr>
        <w:t>ë</w:t>
      </w:r>
      <w:r w:rsidRPr="000F540A">
        <w:rPr>
          <w:rFonts w:asciiTheme="majorHAnsi" w:hAnsiTheme="majorHAnsi"/>
          <w:sz w:val="22"/>
          <w:szCs w:val="22"/>
          <w:lang w:val="sq-AL"/>
        </w:rPr>
        <w:t>r, vet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shtesa e financimit nga PBG dhe Eurobond ka b</w:t>
      </w:r>
      <w:r w:rsidR="004516AC" w:rsidRPr="000F540A">
        <w:rPr>
          <w:rFonts w:asciiTheme="majorHAnsi" w:hAnsiTheme="majorHAnsi"/>
          <w:sz w:val="22"/>
          <w:szCs w:val="22"/>
          <w:lang w:val="sq-AL"/>
        </w:rPr>
        <w:t>ë</w:t>
      </w:r>
      <w:r w:rsidRPr="000F540A">
        <w:rPr>
          <w:rFonts w:asciiTheme="majorHAnsi" w:hAnsiTheme="majorHAnsi"/>
          <w:sz w:val="22"/>
          <w:szCs w:val="22"/>
          <w:lang w:val="sq-AL"/>
        </w:rPr>
        <w:t>r</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mundur uljen e ofert</w:t>
      </w:r>
      <w:r w:rsidR="004516AC" w:rsidRPr="000F540A">
        <w:rPr>
          <w:rFonts w:asciiTheme="majorHAnsi" w:hAnsiTheme="majorHAnsi"/>
          <w:sz w:val="22"/>
          <w:szCs w:val="22"/>
          <w:lang w:val="sq-AL"/>
        </w:rPr>
        <w:t>ë</w:t>
      </w:r>
      <w:r w:rsidRPr="000F540A">
        <w:rPr>
          <w:rFonts w:asciiTheme="majorHAnsi" w:hAnsiTheme="majorHAnsi"/>
          <w:sz w:val="22"/>
          <w:szCs w:val="22"/>
          <w:lang w:val="sq-AL"/>
        </w:rPr>
        <w:t>s p</w:t>
      </w:r>
      <w:r w:rsidR="004516AC" w:rsidRPr="000F540A">
        <w:rPr>
          <w:rFonts w:asciiTheme="majorHAnsi" w:hAnsiTheme="majorHAnsi"/>
          <w:sz w:val="22"/>
          <w:szCs w:val="22"/>
          <w:lang w:val="sq-AL"/>
        </w:rPr>
        <w:t>ë</w:t>
      </w:r>
      <w:r w:rsidRPr="000F540A">
        <w:rPr>
          <w:rFonts w:asciiTheme="majorHAnsi" w:hAnsiTheme="majorHAnsi"/>
          <w:sz w:val="22"/>
          <w:szCs w:val="22"/>
          <w:lang w:val="sq-AL"/>
        </w:rPr>
        <w:t>r hua n</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tregun e brendsh</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m, duke </w:t>
      </w:r>
      <w:r w:rsidR="003B7685" w:rsidRPr="000F540A">
        <w:rPr>
          <w:rFonts w:asciiTheme="majorHAnsi" w:hAnsiTheme="majorHAnsi"/>
          <w:sz w:val="22"/>
          <w:szCs w:val="22"/>
          <w:lang w:val="sq-AL"/>
        </w:rPr>
        <w:t>ulur</w:t>
      </w:r>
      <w:r w:rsidRPr="000F540A">
        <w:rPr>
          <w:rFonts w:asciiTheme="majorHAnsi" w:hAnsiTheme="majorHAnsi"/>
          <w:sz w:val="22"/>
          <w:szCs w:val="22"/>
          <w:lang w:val="sq-AL"/>
        </w:rPr>
        <w:t xml:space="preserve"> presion</w:t>
      </w:r>
      <w:r w:rsidR="003B7685" w:rsidRPr="000F540A">
        <w:rPr>
          <w:rFonts w:asciiTheme="majorHAnsi" w:hAnsiTheme="majorHAnsi"/>
          <w:sz w:val="22"/>
          <w:szCs w:val="22"/>
          <w:lang w:val="sq-AL"/>
        </w:rPr>
        <w:t>in</w:t>
      </w:r>
      <w:r w:rsidRPr="000F540A">
        <w:rPr>
          <w:rFonts w:asciiTheme="majorHAnsi" w:hAnsiTheme="majorHAnsi"/>
          <w:sz w:val="22"/>
          <w:szCs w:val="22"/>
          <w:lang w:val="sq-AL"/>
        </w:rPr>
        <w:t xml:space="preserve"> mbi normat e interesit</w:t>
      </w:r>
      <w:r w:rsidR="008961CC" w:rsidRPr="000F540A">
        <w:rPr>
          <w:rFonts w:asciiTheme="majorHAnsi" w:hAnsiTheme="majorHAnsi"/>
          <w:sz w:val="22"/>
          <w:szCs w:val="22"/>
          <w:lang w:val="sq-AL"/>
        </w:rPr>
        <w:t xml:space="preserve"> </w:t>
      </w:r>
      <w:r w:rsidR="008961CC" w:rsidRPr="000F540A">
        <w:rPr>
          <w:rFonts w:asciiTheme="majorHAnsi" w:hAnsiTheme="majorHAnsi"/>
          <w:i/>
          <w:sz w:val="22"/>
          <w:szCs w:val="22"/>
          <w:lang w:val="sq-AL"/>
        </w:rPr>
        <w:t xml:space="preserve">(në vitin 2015 si edhe </w:t>
      </w:r>
      <w:r w:rsidR="00FD7719" w:rsidRPr="000F540A">
        <w:rPr>
          <w:rFonts w:asciiTheme="majorHAnsi" w:hAnsiTheme="majorHAnsi"/>
          <w:i/>
          <w:sz w:val="22"/>
          <w:szCs w:val="22"/>
          <w:lang w:val="sq-AL"/>
        </w:rPr>
        <w:t>gjat</w:t>
      </w:r>
      <w:r w:rsidR="00EA14F0" w:rsidRPr="000F540A">
        <w:rPr>
          <w:rFonts w:asciiTheme="majorHAnsi" w:hAnsiTheme="majorHAnsi"/>
          <w:i/>
          <w:sz w:val="22"/>
          <w:szCs w:val="22"/>
          <w:lang w:val="sq-AL"/>
        </w:rPr>
        <w:t>ë</w:t>
      </w:r>
      <w:r w:rsidR="00FD7719" w:rsidRPr="000F540A">
        <w:rPr>
          <w:rFonts w:asciiTheme="majorHAnsi" w:hAnsiTheme="majorHAnsi"/>
          <w:i/>
          <w:sz w:val="22"/>
          <w:szCs w:val="22"/>
          <w:lang w:val="sq-AL"/>
        </w:rPr>
        <w:t xml:space="preserve"> gjysm</w:t>
      </w:r>
      <w:r w:rsidR="00EA14F0" w:rsidRPr="000F540A">
        <w:rPr>
          <w:rFonts w:asciiTheme="majorHAnsi" w:hAnsiTheme="majorHAnsi"/>
          <w:i/>
          <w:sz w:val="22"/>
          <w:szCs w:val="22"/>
          <w:lang w:val="sq-AL"/>
        </w:rPr>
        <w:t>ë</w:t>
      </w:r>
      <w:r w:rsidR="00FD7719" w:rsidRPr="000F540A">
        <w:rPr>
          <w:rFonts w:asciiTheme="majorHAnsi" w:hAnsiTheme="majorHAnsi"/>
          <w:i/>
          <w:sz w:val="22"/>
          <w:szCs w:val="22"/>
          <w:lang w:val="sq-AL"/>
        </w:rPr>
        <w:t>s s</w:t>
      </w:r>
      <w:r w:rsidR="00EA14F0" w:rsidRPr="000F540A">
        <w:rPr>
          <w:rFonts w:asciiTheme="majorHAnsi" w:hAnsiTheme="majorHAnsi"/>
          <w:i/>
          <w:sz w:val="22"/>
          <w:szCs w:val="22"/>
          <w:lang w:val="sq-AL"/>
        </w:rPr>
        <w:t>ë</w:t>
      </w:r>
      <w:r w:rsidR="00FD7719" w:rsidRPr="000F540A">
        <w:rPr>
          <w:rFonts w:asciiTheme="majorHAnsi" w:hAnsiTheme="majorHAnsi"/>
          <w:i/>
          <w:sz w:val="22"/>
          <w:szCs w:val="22"/>
          <w:lang w:val="sq-AL"/>
        </w:rPr>
        <w:t xml:space="preserve"> par</w:t>
      </w:r>
      <w:r w:rsidR="00EA14F0" w:rsidRPr="000F540A">
        <w:rPr>
          <w:rFonts w:asciiTheme="majorHAnsi" w:hAnsiTheme="majorHAnsi"/>
          <w:i/>
          <w:sz w:val="22"/>
          <w:szCs w:val="22"/>
          <w:lang w:val="sq-AL"/>
        </w:rPr>
        <w:t>ë</w:t>
      </w:r>
      <w:r w:rsidR="00FD7719" w:rsidRPr="000F540A">
        <w:rPr>
          <w:rFonts w:asciiTheme="majorHAnsi" w:hAnsiTheme="majorHAnsi"/>
          <w:i/>
          <w:sz w:val="22"/>
          <w:szCs w:val="22"/>
          <w:lang w:val="sq-AL"/>
        </w:rPr>
        <w:t xml:space="preserve"> t</w:t>
      </w:r>
      <w:r w:rsidR="00EA14F0" w:rsidRPr="000F540A">
        <w:rPr>
          <w:rFonts w:asciiTheme="majorHAnsi" w:hAnsiTheme="majorHAnsi"/>
          <w:i/>
          <w:sz w:val="22"/>
          <w:szCs w:val="22"/>
          <w:lang w:val="sq-AL"/>
        </w:rPr>
        <w:t>ë</w:t>
      </w:r>
      <w:r w:rsidR="00FD7719" w:rsidRPr="000F540A">
        <w:rPr>
          <w:rFonts w:asciiTheme="majorHAnsi" w:hAnsiTheme="majorHAnsi"/>
          <w:i/>
          <w:sz w:val="22"/>
          <w:szCs w:val="22"/>
          <w:lang w:val="sq-AL"/>
        </w:rPr>
        <w:t xml:space="preserve"> vitit </w:t>
      </w:r>
      <w:r w:rsidR="008961CC" w:rsidRPr="000F540A">
        <w:rPr>
          <w:rFonts w:asciiTheme="majorHAnsi" w:hAnsiTheme="majorHAnsi"/>
          <w:i/>
          <w:sz w:val="22"/>
          <w:szCs w:val="22"/>
          <w:lang w:val="sq-AL"/>
        </w:rPr>
        <w:t>2016)</w:t>
      </w:r>
      <w:r w:rsidR="00576106" w:rsidRPr="000F540A">
        <w:rPr>
          <w:rFonts w:asciiTheme="majorHAnsi" w:hAnsiTheme="majorHAnsi"/>
          <w:i/>
          <w:sz w:val="22"/>
          <w:szCs w:val="22"/>
          <w:lang w:val="sq-AL"/>
        </w:rPr>
        <w:t xml:space="preserve"> </w:t>
      </w:r>
      <w:r w:rsidR="00576106" w:rsidRPr="000F540A">
        <w:rPr>
          <w:rFonts w:asciiTheme="majorHAnsi" w:hAnsiTheme="majorHAnsi"/>
          <w:sz w:val="22"/>
          <w:szCs w:val="22"/>
          <w:lang w:val="sq-AL"/>
        </w:rPr>
        <w:t>dhe duke stimuluar rritjen e kreditimit t</w:t>
      </w:r>
      <w:r w:rsidR="004516AC" w:rsidRPr="000F540A">
        <w:rPr>
          <w:rFonts w:asciiTheme="majorHAnsi" w:hAnsiTheme="majorHAnsi"/>
          <w:sz w:val="22"/>
          <w:szCs w:val="22"/>
          <w:lang w:val="sq-AL"/>
        </w:rPr>
        <w:t>ë</w:t>
      </w:r>
      <w:r w:rsidR="00576106" w:rsidRPr="000F540A">
        <w:rPr>
          <w:rFonts w:asciiTheme="majorHAnsi" w:hAnsiTheme="majorHAnsi"/>
          <w:sz w:val="22"/>
          <w:szCs w:val="22"/>
          <w:lang w:val="sq-AL"/>
        </w:rPr>
        <w:t xml:space="preserve"> sektorit privat.</w:t>
      </w:r>
    </w:p>
    <w:p w:rsidR="00336589" w:rsidRPr="000F540A" w:rsidRDefault="00336589" w:rsidP="000F540A">
      <w:pPr>
        <w:tabs>
          <w:tab w:val="left" w:pos="2730"/>
        </w:tabs>
        <w:jc w:val="both"/>
        <w:rPr>
          <w:rFonts w:asciiTheme="majorHAnsi" w:hAnsiTheme="majorHAnsi"/>
          <w:sz w:val="22"/>
          <w:szCs w:val="22"/>
          <w:lang w:val="sq-AL"/>
        </w:rPr>
      </w:pPr>
    </w:p>
    <w:p w:rsidR="0039681B" w:rsidRPr="000F540A" w:rsidRDefault="0039681B" w:rsidP="000F540A">
      <w:pPr>
        <w:tabs>
          <w:tab w:val="left" w:pos="2730"/>
        </w:tabs>
        <w:jc w:val="both"/>
        <w:rPr>
          <w:rFonts w:asciiTheme="majorHAnsi" w:hAnsiTheme="majorHAnsi"/>
          <w:sz w:val="22"/>
          <w:szCs w:val="22"/>
          <w:lang w:val="sq-AL"/>
        </w:rPr>
      </w:pPr>
      <w:r w:rsidRPr="000F540A">
        <w:rPr>
          <w:rFonts w:asciiTheme="majorHAnsi" w:hAnsiTheme="majorHAnsi"/>
          <w:sz w:val="22"/>
          <w:szCs w:val="22"/>
          <w:lang w:val="sq-AL"/>
        </w:rPr>
        <w:t>Emetimi i Eurobond-it n</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muajin n</w:t>
      </w:r>
      <w:r w:rsidR="004516AC" w:rsidRPr="000F540A">
        <w:rPr>
          <w:rFonts w:asciiTheme="majorHAnsi" w:hAnsiTheme="majorHAnsi"/>
          <w:sz w:val="22"/>
          <w:szCs w:val="22"/>
          <w:lang w:val="sq-AL"/>
        </w:rPr>
        <w:t>ë</w:t>
      </w:r>
      <w:r w:rsidRPr="000F540A">
        <w:rPr>
          <w:rFonts w:asciiTheme="majorHAnsi" w:hAnsiTheme="majorHAnsi"/>
          <w:sz w:val="22"/>
          <w:szCs w:val="22"/>
          <w:lang w:val="sq-AL"/>
        </w:rPr>
        <w:t>ntor, p</w:t>
      </w:r>
      <w:r w:rsidR="004516AC" w:rsidRPr="000F540A">
        <w:rPr>
          <w:rFonts w:asciiTheme="majorHAnsi" w:hAnsiTheme="majorHAnsi"/>
          <w:sz w:val="22"/>
          <w:szCs w:val="22"/>
          <w:lang w:val="sq-AL"/>
        </w:rPr>
        <w:t>ë</w:t>
      </w:r>
      <w:r w:rsidR="003D72D8" w:rsidRPr="000F540A">
        <w:rPr>
          <w:rFonts w:asciiTheme="majorHAnsi" w:hAnsiTheme="majorHAnsi"/>
          <w:sz w:val="22"/>
          <w:szCs w:val="22"/>
          <w:lang w:val="sq-AL"/>
        </w:rPr>
        <w:t>rveç</w:t>
      </w:r>
      <w:r w:rsidRPr="000F540A">
        <w:rPr>
          <w:rFonts w:asciiTheme="majorHAnsi" w:hAnsiTheme="majorHAnsi"/>
          <w:sz w:val="22"/>
          <w:szCs w:val="22"/>
          <w:lang w:val="sq-AL"/>
        </w:rPr>
        <w:t>se mund</w:t>
      </w:r>
      <w:r w:rsidR="004516AC" w:rsidRPr="000F540A">
        <w:rPr>
          <w:rFonts w:asciiTheme="majorHAnsi" w:hAnsiTheme="majorHAnsi"/>
          <w:sz w:val="22"/>
          <w:szCs w:val="22"/>
          <w:lang w:val="sq-AL"/>
        </w:rPr>
        <w:t>ë</w:t>
      </w:r>
      <w:r w:rsidRPr="000F540A">
        <w:rPr>
          <w:rFonts w:asciiTheme="majorHAnsi" w:hAnsiTheme="majorHAnsi"/>
          <w:sz w:val="22"/>
          <w:szCs w:val="22"/>
          <w:lang w:val="sq-AL"/>
        </w:rPr>
        <w:t>soi rifinancimin e Eurobondit ekzistues</w:t>
      </w:r>
      <w:r w:rsidR="003D72D8" w:rsidRPr="000F540A">
        <w:rPr>
          <w:rFonts w:asciiTheme="majorHAnsi" w:hAnsiTheme="majorHAnsi"/>
          <w:sz w:val="22"/>
          <w:szCs w:val="22"/>
          <w:lang w:val="sq-AL"/>
        </w:rPr>
        <w:t xml:space="preserve"> dhe</w:t>
      </w:r>
      <w:r w:rsidR="00251F46" w:rsidRPr="000F540A">
        <w:rPr>
          <w:rFonts w:asciiTheme="majorHAnsi" w:hAnsiTheme="majorHAnsi"/>
          <w:sz w:val="22"/>
          <w:szCs w:val="22"/>
          <w:lang w:val="sq-AL"/>
        </w:rPr>
        <w:t xml:space="preserve"> mundësoi përmir</w:t>
      </w:r>
      <w:r w:rsidR="00DC3821" w:rsidRPr="000F540A">
        <w:rPr>
          <w:rFonts w:asciiTheme="majorHAnsi" w:hAnsiTheme="majorHAnsi"/>
          <w:sz w:val="22"/>
          <w:szCs w:val="22"/>
          <w:lang w:val="sq-AL"/>
        </w:rPr>
        <w:t>ë</w:t>
      </w:r>
      <w:r w:rsidR="00251F46" w:rsidRPr="000F540A">
        <w:rPr>
          <w:rFonts w:asciiTheme="majorHAnsi" w:hAnsiTheme="majorHAnsi"/>
          <w:sz w:val="22"/>
          <w:szCs w:val="22"/>
          <w:lang w:val="sq-AL"/>
        </w:rPr>
        <w:t>simin e strukturës së borxhit të brendshëm,</w:t>
      </w:r>
      <w:r w:rsidRPr="000F540A">
        <w:rPr>
          <w:rFonts w:asciiTheme="majorHAnsi" w:hAnsiTheme="majorHAnsi"/>
          <w:sz w:val="22"/>
          <w:szCs w:val="22"/>
          <w:lang w:val="sq-AL"/>
        </w:rPr>
        <w:t xml:space="preserve"> sh</w:t>
      </w:r>
      <w:r w:rsidR="004516AC" w:rsidRPr="000F540A">
        <w:rPr>
          <w:rFonts w:asciiTheme="majorHAnsi" w:hAnsiTheme="majorHAnsi"/>
          <w:sz w:val="22"/>
          <w:szCs w:val="22"/>
          <w:lang w:val="sq-AL"/>
        </w:rPr>
        <w:t>ë</w:t>
      </w:r>
      <w:r w:rsidRPr="000F540A">
        <w:rPr>
          <w:rFonts w:asciiTheme="majorHAnsi" w:hAnsiTheme="majorHAnsi"/>
          <w:sz w:val="22"/>
          <w:szCs w:val="22"/>
          <w:lang w:val="sq-AL"/>
        </w:rPr>
        <w:t>rbeu edhe si instrument p</w:t>
      </w:r>
      <w:r w:rsidR="004516AC" w:rsidRPr="000F540A">
        <w:rPr>
          <w:rFonts w:asciiTheme="majorHAnsi" w:hAnsiTheme="majorHAnsi"/>
          <w:sz w:val="22"/>
          <w:szCs w:val="22"/>
          <w:lang w:val="sq-AL"/>
        </w:rPr>
        <w:t>ë</w:t>
      </w:r>
      <w:r w:rsidRPr="000F540A">
        <w:rPr>
          <w:rFonts w:asciiTheme="majorHAnsi" w:hAnsiTheme="majorHAnsi"/>
          <w:sz w:val="22"/>
          <w:szCs w:val="22"/>
          <w:lang w:val="sq-AL"/>
        </w:rPr>
        <w:t>r p</w:t>
      </w:r>
      <w:r w:rsidR="004516AC" w:rsidRPr="000F540A">
        <w:rPr>
          <w:rFonts w:asciiTheme="majorHAnsi" w:hAnsiTheme="majorHAnsi"/>
          <w:sz w:val="22"/>
          <w:szCs w:val="22"/>
          <w:lang w:val="sq-AL"/>
        </w:rPr>
        <w:t>ë</w:t>
      </w:r>
      <w:r w:rsidRPr="000F540A">
        <w:rPr>
          <w:rFonts w:asciiTheme="majorHAnsi" w:hAnsiTheme="majorHAnsi"/>
          <w:sz w:val="22"/>
          <w:szCs w:val="22"/>
          <w:lang w:val="sq-AL"/>
        </w:rPr>
        <w:t>rmir</w:t>
      </w:r>
      <w:r w:rsidR="004516AC" w:rsidRPr="000F540A">
        <w:rPr>
          <w:rFonts w:asciiTheme="majorHAnsi" w:hAnsiTheme="majorHAnsi"/>
          <w:sz w:val="22"/>
          <w:szCs w:val="22"/>
          <w:lang w:val="sq-AL"/>
        </w:rPr>
        <w:t>ë</w:t>
      </w:r>
      <w:r w:rsidRPr="000F540A">
        <w:rPr>
          <w:rFonts w:asciiTheme="majorHAnsi" w:hAnsiTheme="majorHAnsi"/>
          <w:sz w:val="22"/>
          <w:szCs w:val="22"/>
          <w:lang w:val="sq-AL"/>
        </w:rPr>
        <w:t>simin e imazhit dhe ri</w:t>
      </w:r>
      <w:r w:rsidR="005670F3" w:rsidRPr="000F540A">
        <w:rPr>
          <w:rFonts w:asciiTheme="majorHAnsi" w:hAnsiTheme="majorHAnsi"/>
          <w:sz w:val="22"/>
          <w:szCs w:val="22"/>
          <w:lang w:val="sq-AL"/>
        </w:rPr>
        <w:t>-</w:t>
      </w:r>
      <w:r w:rsidRPr="000F540A">
        <w:rPr>
          <w:rFonts w:asciiTheme="majorHAnsi" w:hAnsiTheme="majorHAnsi"/>
          <w:sz w:val="22"/>
          <w:szCs w:val="22"/>
          <w:lang w:val="sq-AL"/>
        </w:rPr>
        <w:t>afirmi</w:t>
      </w:r>
      <w:r w:rsidR="001C4FB4" w:rsidRPr="000F540A">
        <w:rPr>
          <w:rFonts w:asciiTheme="majorHAnsi" w:hAnsiTheme="majorHAnsi"/>
          <w:sz w:val="22"/>
          <w:szCs w:val="22"/>
          <w:lang w:val="sq-AL"/>
        </w:rPr>
        <w:t>min</w:t>
      </w:r>
      <w:r w:rsidRPr="000F540A">
        <w:rPr>
          <w:rFonts w:asciiTheme="majorHAnsi" w:hAnsiTheme="majorHAnsi"/>
          <w:sz w:val="22"/>
          <w:szCs w:val="22"/>
          <w:lang w:val="sq-AL"/>
        </w:rPr>
        <w:t xml:space="preserve"> e vendit n</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tregjet nd</w:t>
      </w:r>
      <w:r w:rsidR="004516AC" w:rsidRPr="000F540A">
        <w:rPr>
          <w:rFonts w:asciiTheme="majorHAnsi" w:hAnsiTheme="majorHAnsi"/>
          <w:sz w:val="22"/>
          <w:szCs w:val="22"/>
          <w:lang w:val="sq-AL"/>
        </w:rPr>
        <w:t>ë</w:t>
      </w:r>
      <w:r w:rsidRPr="000F540A">
        <w:rPr>
          <w:rFonts w:asciiTheme="majorHAnsi" w:hAnsiTheme="majorHAnsi"/>
          <w:sz w:val="22"/>
          <w:szCs w:val="22"/>
          <w:lang w:val="sq-AL"/>
        </w:rPr>
        <w:t>rkomb</w:t>
      </w:r>
      <w:r w:rsidR="004516AC" w:rsidRPr="000F540A">
        <w:rPr>
          <w:rFonts w:asciiTheme="majorHAnsi" w:hAnsiTheme="majorHAnsi"/>
          <w:sz w:val="22"/>
          <w:szCs w:val="22"/>
          <w:lang w:val="sq-AL"/>
        </w:rPr>
        <w:t>ë</w:t>
      </w:r>
      <w:r w:rsidRPr="000F540A">
        <w:rPr>
          <w:rFonts w:asciiTheme="majorHAnsi" w:hAnsiTheme="majorHAnsi"/>
          <w:sz w:val="22"/>
          <w:szCs w:val="22"/>
          <w:lang w:val="sq-AL"/>
        </w:rPr>
        <w:t>tare t</w:t>
      </w:r>
      <w:r w:rsidR="004516AC" w:rsidRPr="000F540A">
        <w:rPr>
          <w:rFonts w:asciiTheme="majorHAnsi" w:hAnsiTheme="majorHAnsi"/>
          <w:sz w:val="22"/>
          <w:szCs w:val="22"/>
          <w:lang w:val="sq-AL"/>
        </w:rPr>
        <w:t>ë</w:t>
      </w:r>
      <w:r w:rsidRPr="000F540A">
        <w:rPr>
          <w:rFonts w:asciiTheme="majorHAnsi" w:hAnsiTheme="majorHAnsi"/>
          <w:sz w:val="22"/>
          <w:szCs w:val="22"/>
          <w:lang w:val="sq-AL"/>
        </w:rPr>
        <w:t xml:space="preserve"> kapitalit.</w:t>
      </w:r>
    </w:p>
    <w:p w:rsidR="00297E24" w:rsidRPr="000F540A" w:rsidRDefault="00297E24" w:rsidP="000F540A">
      <w:pPr>
        <w:tabs>
          <w:tab w:val="left" w:pos="2730"/>
        </w:tabs>
        <w:jc w:val="both"/>
        <w:rPr>
          <w:rFonts w:asciiTheme="majorHAnsi" w:hAnsiTheme="majorHAnsi"/>
          <w:sz w:val="22"/>
          <w:szCs w:val="22"/>
          <w:lang w:val="sq-AL"/>
        </w:rPr>
      </w:pPr>
    </w:p>
    <w:p w:rsidR="00297E24" w:rsidRPr="000F540A" w:rsidRDefault="00297E24" w:rsidP="000F540A">
      <w:pPr>
        <w:tabs>
          <w:tab w:val="left" w:pos="2730"/>
        </w:tabs>
        <w:jc w:val="both"/>
        <w:rPr>
          <w:rFonts w:asciiTheme="majorHAnsi" w:hAnsiTheme="majorHAnsi"/>
          <w:sz w:val="22"/>
          <w:szCs w:val="22"/>
          <w:lang w:val="sq-AL"/>
        </w:rPr>
      </w:pPr>
    </w:p>
    <w:p w:rsidR="00297E24" w:rsidRPr="000F540A" w:rsidRDefault="00297E24" w:rsidP="000F540A">
      <w:pPr>
        <w:tabs>
          <w:tab w:val="left" w:pos="2730"/>
        </w:tabs>
        <w:jc w:val="both"/>
        <w:rPr>
          <w:rFonts w:asciiTheme="majorHAnsi" w:hAnsiTheme="majorHAnsi"/>
          <w:sz w:val="22"/>
          <w:szCs w:val="22"/>
          <w:lang w:val="sq-AL"/>
        </w:rPr>
      </w:pPr>
    </w:p>
    <w:p w:rsidR="00297E24" w:rsidRPr="000F540A" w:rsidRDefault="00297E24" w:rsidP="000F540A">
      <w:pPr>
        <w:tabs>
          <w:tab w:val="left" w:pos="2730"/>
        </w:tabs>
        <w:jc w:val="both"/>
        <w:rPr>
          <w:rFonts w:asciiTheme="majorHAnsi" w:hAnsiTheme="majorHAnsi"/>
          <w:sz w:val="22"/>
          <w:szCs w:val="22"/>
          <w:lang w:val="sq-AL"/>
        </w:rPr>
      </w:pPr>
    </w:p>
    <w:p w:rsidR="00297E24" w:rsidRPr="000F540A" w:rsidRDefault="00297E24" w:rsidP="000F540A">
      <w:pPr>
        <w:tabs>
          <w:tab w:val="left" w:pos="2730"/>
        </w:tabs>
        <w:jc w:val="both"/>
        <w:rPr>
          <w:rFonts w:asciiTheme="majorHAnsi" w:hAnsiTheme="majorHAnsi"/>
          <w:sz w:val="22"/>
          <w:szCs w:val="22"/>
          <w:lang w:val="sq-AL"/>
        </w:rPr>
      </w:pPr>
    </w:p>
    <w:p w:rsidR="000F540A" w:rsidRDefault="000F540A" w:rsidP="000F540A">
      <w:pPr>
        <w:tabs>
          <w:tab w:val="left" w:pos="2730"/>
        </w:tabs>
        <w:jc w:val="both"/>
        <w:rPr>
          <w:rFonts w:asciiTheme="majorHAnsi" w:hAnsiTheme="majorHAnsi"/>
          <w:sz w:val="22"/>
          <w:szCs w:val="22"/>
          <w:lang w:val="sq-AL"/>
        </w:rPr>
      </w:pPr>
    </w:p>
    <w:p w:rsidR="000105BE" w:rsidRDefault="000105BE" w:rsidP="000F540A">
      <w:pPr>
        <w:tabs>
          <w:tab w:val="left" w:pos="2730"/>
        </w:tabs>
        <w:jc w:val="both"/>
        <w:rPr>
          <w:rFonts w:asciiTheme="majorHAnsi" w:hAnsiTheme="majorHAnsi"/>
          <w:sz w:val="22"/>
          <w:szCs w:val="22"/>
          <w:lang w:val="sq-AL"/>
        </w:rPr>
      </w:pPr>
    </w:p>
    <w:p w:rsidR="000105BE" w:rsidRPr="000F540A" w:rsidRDefault="000105BE" w:rsidP="000F540A">
      <w:pPr>
        <w:tabs>
          <w:tab w:val="left" w:pos="2730"/>
        </w:tabs>
        <w:jc w:val="both"/>
        <w:rPr>
          <w:rFonts w:asciiTheme="majorHAnsi" w:hAnsiTheme="majorHAnsi"/>
          <w:b/>
          <w:sz w:val="22"/>
          <w:szCs w:val="22"/>
          <w:lang w:val="sq-AL"/>
        </w:rPr>
      </w:pPr>
    </w:p>
    <w:p w:rsidR="00297E24" w:rsidRPr="000F540A" w:rsidRDefault="00BF7148" w:rsidP="000F540A">
      <w:pPr>
        <w:tabs>
          <w:tab w:val="left" w:pos="2730"/>
        </w:tabs>
        <w:jc w:val="both"/>
        <w:rPr>
          <w:rFonts w:asciiTheme="majorHAnsi" w:hAnsiTheme="majorHAnsi"/>
          <w:b/>
          <w:sz w:val="22"/>
          <w:szCs w:val="22"/>
          <w:lang w:val="sq-AL"/>
        </w:rPr>
      </w:pPr>
      <w:r w:rsidRPr="000F540A">
        <w:rPr>
          <w:rFonts w:asciiTheme="majorHAnsi" w:hAnsiTheme="majorHAnsi"/>
          <w:b/>
          <w:sz w:val="22"/>
          <w:szCs w:val="22"/>
          <w:lang w:val="sq-AL"/>
        </w:rPr>
        <w:t>Shtojca 1</w:t>
      </w:r>
      <w:r w:rsidR="00C81BF8" w:rsidRPr="000F540A">
        <w:rPr>
          <w:rFonts w:asciiTheme="majorHAnsi" w:hAnsiTheme="majorHAnsi"/>
          <w:b/>
          <w:sz w:val="22"/>
          <w:szCs w:val="22"/>
          <w:lang w:val="sq-AL"/>
        </w:rPr>
        <w:t xml:space="preserve"> </w:t>
      </w:r>
      <w:r w:rsidR="00610F07" w:rsidRPr="000105BE">
        <w:rPr>
          <w:rFonts w:asciiTheme="majorHAnsi" w:hAnsiTheme="majorHAnsi"/>
          <w:b/>
          <w:sz w:val="22"/>
          <w:szCs w:val="22"/>
          <w:lang w:val="sq-AL"/>
        </w:rPr>
        <w:t>(Detajim i aktiviteteve)</w:t>
      </w:r>
      <w:r w:rsidR="000105BE" w:rsidRPr="000105BE">
        <w:rPr>
          <w:rFonts w:asciiTheme="majorHAnsi" w:hAnsiTheme="majorHAnsi"/>
          <w:b/>
          <w:sz w:val="22"/>
          <w:szCs w:val="22"/>
          <w:lang w:val="sq-AL"/>
        </w:rPr>
        <w:t xml:space="preserve"> Drejtoria e Pergjithshme e Borxhit</w:t>
      </w:r>
      <w:r w:rsidR="000105BE">
        <w:rPr>
          <w:rFonts w:asciiTheme="majorHAnsi" w:hAnsiTheme="majorHAnsi"/>
          <w:i/>
          <w:sz w:val="22"/>
          <w:szCs w:val="22"/>
          <w:lang w:val="sq-AL"/>
        </w:rPr>
        <w:t xml:space="preserve"> </w:t>
      </w:r>
    </w:p>
    <w:p w:rsidR="004D1F43" w:rsidRPr="000F540A" w:rsidRDefault="004D1F43" w:rsidP="000F540A">
      <w:pPr>
        <w:tabs>
          <w:tab w:val="left" w:pos="2730"/>
        </w:tabs>
        <w:jc w:val="both"/>
        <w:rPr>
          <w:rFonts w:asciiTheme="majorHAnsi" w:hAnsiTheme="majorHAnsi"/>
          <w:b/>
          <w:sz w:val="22"/>
          <w:szCs w:val="22"/>
          <w:lang w:val="sq-AL"/>
        </w:rPr>
      </w:pPr>
    </w:p>
    <w:p w:rsidR="00C81BF8" w:rsidRPr="000F540A" w:rsidRDefault="001C4FB0" w:rsidP="000F540A">
      <w:pPr>
        <w:pStyle w:val="ListParagraph"/>
        <w:numPr>
          <w:ilvl w:val="0"/>
          <w:numId w:val="24"/>
        </w:numPr>
        <w:tabs>
          <w:tab w:val="left" w:pos="2730"/>
        </w:tabs>
        <w:ind w:left="426" w:hanging="426"/>
        <w:jc w:val="both"/>
        <w:rPr>
          <w:rFonts w:asciiTheme="majorHAnsi" w:hAnsiTheme="majorHAnsi"/>
          <w:b/>
          <w:sz w:val="22"/>
          <w:szCs w:val="22"/>
          <w:lang w:val="sq-AL"/>
        </w:rPr>
      </w:pPr>
      <w:r w:rsidRPr="000F540A">
        <w:rPr>
          <w:rFonts w:asciiTheme="majorHAnsi" w:hAnsiTheme="majorHAnsi"/>
          <w:b/>
          <w:sz w:val="22"/>
          <w:szCs w:val="22"/>
          <w:lang w:val="sq-AL"/>
        </w:rPr>
        <w:t>Burimet e financimit</w:t>
      </w:r>
    </w:p>
    <w:p w:rsidR="00FD7719" w:rsidRPr="000F540A" w:rsidRDefault="00FD7719" w:rsidP="000F540A">
      <w:pPr>
        <w:tabs>
          <w:tab w:val="left" w:pos="2730"/>
        </w:tabs>
        <w:jc w:val="both"/>
        <w:rPr>
          <w:rFonts w:asciiTheme="majorHAnsi" w:hAnsiTheme="majorHAnsi"/>
          <w:b/>
          <w:sz w:val="22"/>
          <w:szCs w:val="22"/>
          <w:lang w:val="sq-AL"/>
        </w:rPr>
      </w:pPr>
    </w:p>
    <w:p w:rsidR="00FD7719" w:rsidRPr="000F540A" w:rsidRDefault="00FD7719" w:rsidP="000F540A">
      <w:pPr>
        <w:jc w:val="both"/>
        <w:rPr>
          <w:rFonts w:asciiTheme="majorHAnsi" w:hAnsiTheme="majorHAnsi"/>
          <w:sz w:val="22"/>
          <w:szCs w:val="22"/>
        </w:rPr>
      </w:pPr>
      <w:proofErr w:type="gramStart"/>
      <w:r w:rsidRPr="000F540A">
        <w:rPr>
          <w:rFonts w:asciiTheme="majorHAnsi" w:hAnsiTheme="majorHAnsi"/>
          <w:sz w:val="22"/>
          <w:szCs w:val="22"/>
        </w:rPr>
        <w:t>Gjatë vitit 2015 financimi me borxh ka shërbyer për të realizuar rifinancimin e instrumenteve të borxhit që u maturuan si edhe për të mbuluar defiçitin buxhetor.</w:t>
      </w:r>
      <w:proofErr w:type="gramEnd"/>
      <w:r w:rsidRPr="000F540A">
        <w:rPr>
          <w:rFonts w:asciiTheme="majorHAnsi" w:hAnsiTheme="majorHAnsi"/>
          <w:sz w:val="22"/>
          <w:szCs w:val="22"/>
        </w:rPr>
        <w:t xml:space="preserve"> </w:t>
      </w:r>
    </w:p>
    <w:p w:rsidR="00FD7719" w:rsidRPr="000F540A" w:rsidRDefault="00FD7719" w:rsidP="000F540A">
      <w:pPr>
        <w:jc w:val="both"/>
        <w:rPr>
          <w:rFonts w:asciiTheme="majorHAnsi" w:hAnsiTheme="majorHAnsi"/>
          <w:sz w:val="22"/>
          <w:szCs w:val="22"/>
        </w:rPr>
      </w:pPr>
      <w:proofErr w:type="gramStart"/>
      <w:r w:rsidRPr="000F540A">
        <w:rPr>
          <w:rFonts w:asciiTheme="majorHAnsi" w:hAnsiTheme="majorHAnsi"/>
          <w:sz w:val="22"/>
          <w:szCs w:val="22"/>
        </w:rPr>
        <w:t xml:space="preserve">Në dallim nga vitet e mëparshme, në vitin 2015 risi ka qenë përdorimi i instrumentit të garancisë pjesore të Bankës Botërore </w:t>
      </w:r>
      <w:r w:rsidRPr="000F540A">
        <w:rPr>
          <w:rFonts w:asciiTheme="majorHAnsi" w:hAnsiTheme="majorHAnsi"/>
          <w:i/>
          <w:sz w:val="22"/>
          <w:szCs w:val="22"/>
        </w:rPr>
        <w:t>(PBG)</w:t>
      </w:r>
      <w:r w:rsidRPr="000F540A">
        <w:rPr>
          <w:rFonts w:asciiTheme="majorHAnsi" w:hAnsiTheme="majorHAnsi"/>
          <w:sz w:val="22"/>
          <w:szCs w:val="22"/>
        </w:rPr>
        <w:t xml:space="preserve"> si edhe emetimi i Eurobondit në tregjet ndërkombëtare të kapitalit.</w:t>
      </w:r>
      <w:proofErr w:type="gramEnd"/>
      <w:r w:rsidRPr="000F540A">
        <w:rPr>
          <w:rFonts w:asciiTheme="majorHAnsi" w:hAnsiTheme="majorHAnsi"/>
          <w:sz w:val="22"/>
          <w:szCs w:val="22"/>
        </w:rPr>
        <w:t xml:space="preserve"> </w:t>
      </w:r>
    </w:p>
    <w:p w:rsidR="00FD7719" w:rsidRPr="000F540A" w:rsidRDefault="00FD7719" w:rsidP="000F540A">
      <w:pPr>
        <w:jc w:val="both"/>
        <w:rPr>
          <w:rFonts w:asciiTheme="majorHAnsi" w:hAnsiTheme="majorHAnsi"/>
          <w:sz w:val="22"/>
          <w:szCs w:val="22"/>
        </w:rPr>
      </w:pPr>
      <w:r w:rsidRPr="000F540A">
        <w:rPr>
          <w:rFonts w:asciiTheme="majorHAnsi" w:hAnsiTheme="majorHAnsi"/>
          <w:sz w:val="22"/>
          <w:szCs w:val="22"/>
        </w:rPr>
        <w:t xml:space="preserve">Këto instrumente u emetuan me </w:t>
      </w:r>
      <w:proofErr w:type="gramStart"/>
      <w:r w:rsidRPr="000F540A">
        <w:rPr>
          <w:rFonts w:asciiTheme="majorHAnsi" w:hAnsiTheme="majorHAnsi"/>
          <w:sz w:val="22"/>
          <w:szCs w:val="22"/>
        </w:rPr>
        <w:t>norma</w:t>
      </w:r>
      <w:proofErr w:type="gramEnd"/>
      <w:r w:rsidRPr="000F540A">
        <w:rPr>
          <w:rFonts w:asciiTheme="majorHAnsi" w:hAnsiTheme="majorHAnsi"/>
          <w:sz w:val="22"/>
          <w:szCs w:val="22"/>
        </w:rPr>
        <w:t xml:space="preserve"> interesi të favorshme dhe mundësuan uljen e presionit të huamarrjes në tregun e brendshëm, me qëllim përmirësimin e strukturës së borxhit të brendshëm. </w:t>
      </w:r>
      <w:proofErr w:type="gramStart"/>
      <w:r w:rsidRPr="000F540A">
        <w:rPr>
          <w:rFonts w:asciiTheme="majorHAnsi" w:hAnsiTheme="majorHAnsi"/>
          <w:sz w:val="22"/>
          <w:szCs w:val="22"/>
        </w:rPr>
        <w:t xml:space="preserve">Gjithashtu, emetimi i këtyre instrumenteve synoi zëvendësimin e një pjese të borxhit të brendshëm me borxh më të favorshëm përsa i përket </w:t>
      </w:r>
      <w:r w:rsidRPr="000F540A">
        <w:rPr>
          <w:rFonts w:asciiTheme="majorHAnsi" w:hAnsiTheme="majorHAnsi"/>
          <w:sz w:val="22"/>
          <w:szCs w:val="22"/>
          <w:lang w:val="sq-AL"/>
        </w:rPr>
        <w:t>rrezikut</w:t>
      </w:r>
      <w:r w:rsidRPr="000F540A">
        <w:rPr>
          <w:rFonts w:asciiTheme="majorHAnsi" w:hAnsiTheme="majorHAnsi"/>
          <w:sz w:val="22"/>
          <w:szCs w:val="22"/>
        </w:rPr>
        <w:t xml:space="preserve"> dhe kostos.</w:t>
      </w:r>
      <w:proofErr w:type="gramEnd"/>
      <w:r w:rsidRPr="000F540A">
        <w:rPr>
          <w:rFonts w:asciiTheme="majorHAnsi" w:hAnsiTheme="majorHAnsi"/>
          <w:sz w:val="22"/>
          <w:szCs w:val="22"/>
        </w:rPr>
        <w:t xml:space="preserve"> </w:t>
      </w:r>
    </w:p>
    <w:p w:rsidR="00FD7719" w:rsidRPr="000F540A" w:rsidRDefault="00FD7719" w:rsidP="000F540A">
      <w:pPr>
        <w:jc w:val="both"/>
        <w:rPr>
          <w:rFonts w:asciiTheme="majorHAnsi" w:hAnsiTheme="majorHAnsi"/>
          <w:sz w:val="22"/>
          <w:szCs w:val="22"/>
        </w:rPr>
      </w:pPr>
    </w:p>
    <w:p w:rsidR="00FD7719" w:rsidRPr="000F540A" w:rsidRDefault="00FD7719" w:rsidP="000F540A">
      <w:pPr>
        <w:jc w:val="both"/>
        <w:rPr>
          <w:rFonts w:asciiTheme="majorHAnsi" w:hAnsiTheme="majorHAnsi"/>
          <w:sz w:val="22"/>
          <w:szCs w:val="22"/>
          <w:lang w:val="sq-AL"/>
        </w:rPr>
      </w:pPr>
      <w:r w:rsidRPr="000F540A">
        <w:rPr>
          <w:rFonts w:asciiTheme="majorHAnsi" w:hAnsiTheme="majorHAnsi"/>
          <w:sz w:val="22"/>
          <w:szCs w:val="22"/>
          <w:lang w:val="sq-AL"/>
        </w:rPr>
        <w:t>Për vitin 2015 financimi</w:t>
      </w:r>
      <w:r w:rsidRPr="000F540A">
        <w:rPr>
          <w:rStyle w:val="FootnoteReference"/>
          <w:rFonts w:asciiTheme="majorHAnsi" w:hAnsiTheme="majorHAnsi"/>
          <w:sz w:val="22"/>
          <w:szCs w:val="22"/>
          <w:lang w:val="sq-AL"/>
        </w:rPr>
        <w:footnoteReference w:id="2"/>
      </w:r>
      <w:r w:rsidRPr="000F540A">
        <w:rPr>
          <w:rFonts w:asciiTheme="majorHAnsi" w:hAnsiTheme="majorHAnsi"/>
          <w:sz w:val="22"/>
          <w:szCs w:val="22"/>
          <w:lang w:val="sq-AL"/>
        </w:rPr>
        <w:t xml:space="preserve"> total ka qënë në vlerën e 545.7 miliard </w:t>
      </w:r>
      <w:r w:rsidR="00561C3B" w:rsidRPr="000F540A">
        <w:rPr>
          <w:rFonts w:asciiTheme="majorHAnsi" w:hAnsiTheme="majorHAnsi"/>
          <w:sz w:val="22"/>
          <w:szCs w:val="22"/>
          <w:lang w:val="sq-AL"/>
        </w:rPr>
        <w:t>L</w:t>
      </w:r>
      <w:r w:rsidRPr="000F540A">
        <w:rPr>
          <w:rFonts w:asciiTheme="majorHAnsi" w:hAnsiTheme="majorHAnsi"/>
          <w:sz w:val="22"/>
          <w:szCs w:val="22"/>
          <w:lang w:val="sq-AL"/>
        </w:rPr>
        <w:t xml:space="preserve">ek ose 37.8% e PBB, përkatësisht 410.4 miliard </w:t>
      </w:r>
      <w:r w:rsidR="003A7637" w:rsidRPr="000F540A">
        <w:rPr>
          <w:rFonts w:asciiTheme="majorHAnsi" w:hAnsiTheme="majorHAnsi"/>
          <w:sz w:val="22"/>
          <w:szCs w:val="22"/>
          <w:lang w:val="sq-AL"/>
        </w:rPr>
        <w:t>Lek</w:t>
      </w:r>
      <w:r w:rsidRPr="000F540A">
        <w:rPr>
          <w:rFonts w:asciiTheme="majorHAnsi" w:hAnsiTheme="majorHAnsi"/>
          <w:sz w:val="22"/>
          <w:szCs w:val="22"/>
          <w:lang w:val="sq-AL"/>
        </w:rPr>
        <w:t xml:space="preserve"> nëpërmjet burimeve të brendshme dhe 135.3 miliard </w:t>
      </w:r>
      <w:r w:rsidR="003A7637" w:rsidRPr="000F540A">
        <w:rPr>
          <w:rFonts w:asciiTheme="majorHAnsi" w:hAnsiTheme="majorHAnsi"/>
          <w:sz w:val="22"/>
          <w:szCs w:val="22"/>
          <w:lang w:val="sq-AL"/>
        </w:rPr>
        <w:t>Lek</w:t>
      </w:r>
      <w:r w:rsidRPr="000F540A">
        <w:rPr>
          <w:rFonts w:asciiTheme="majorHAnsi" w:hAnsiTheme="majorHAnsi"/>
          <w:sz w:val="22"/>
          <w:szCs w:val="22"/>
          <w:lang w:val="sq-AL"/>
        </w:rPr>
        <w:t xml:space="preserve"> nëpërmjet burimeve të huaja. Rreth 489.4</w:t>
      </w:r>
      <w:r w:rsidR="003A7637" w:rsidRPr="000F540A">
        <w:rPr>
          <w:rFonts w:asciiTheme="majorHAnsi" w:hAnsiTheme="majorHAnsi"/>
          <w:sz w:val="22"/>
          <w:szCs w:val="22"/>
          <w:lang w:val="sq-AL"/>
        </w:rPr>
        <w:t xml:space="preserve"> miliard Lek</w:t>
      </w:r>
      <w:r w:rsidRPr="000F540A">
        <w:rPr>
          <w:rFonts w:asciiTheme="majorHAnsi" w:hAnsiTheme="majorHAnsi"/>
          <w:sz w:val="22"/>
          <w:szCs w:val="22"/>
          <w:lang w:val="sq-AL"/>
        </w:rPr>
        <w:t xml:space="preserve"> kanë shërbyer për rifinancimin e borxhit ekzistues dhe pjesa tjetër për të mbuluar defiçitin buxhetor. Krahasuar me vitin e kaluar, financimi i borxhit ka qënë rreth 62.5 miliard </w:t>
      </w:r>
      <w:r w:rsidR="00DC36FD" w:rsidRPr="000F540A">
        <w:rPr>
          <w:rFonts w:asciiTheme="majorHAnsi" w:hAnsiTheme="majorHAnsi"/>
          <w:sz w:val="22"/>
          <w:szCs w:val="22"/>
          <w:lang w:val="sq-AL"/>
        </w:rPr>
        <w:t>L</w:t>
      </w:r>
      <w:r w:rsidRPr="000F540A">
        <w:rPr>
          <w:rFonts w:asciiTheme="majorHAnsi" w:hAnsiTheme="majorHAnsi"/>
          <w:sz w:val="22"/>
          <w:szCs w:val="22"/>
          <w:lang w:val="sq-AL"/>
        </w:rPr>
        <w:t xml:space="preserve">ek më i lartë, kryesisht për shkak të rifinancimit të Eurobondit të emetuar në vitin 2010. </w:t>
      </w:r>
      <w:r w:rsidRPr="000F540A">
        <w:rPr>
          <w:rFonts w:asciiTheme="majorHAnsi" w:hAnsiTheme="majorHAnsi"/>
          <w:i/>
          <w:sz w:val="22"/>
          <w:szCs w:val="22"/>
          <w:lang w:val="sq-AL"/>
        </w:rPr>
        <w:t>(Tabela 1)</w:t>
      </w:r>
    </w:p>
    <w:p w:rsidR="00FD7719" w:rsidRPr="000F540A" w:rsidRDefault="00FD7719" w:rsidP="000F540A">
      <w:pPr>
        <w:jc w:val="both"/>
        <w:rPr>
          <w:rFonts w:asciiTheme="majorHAnsi" w:hAnsiTheme="majorHAnsi"/>
          <w:sz w:val="22"/>
          <w:szCs w:val="22"/>
          <w:lang w:val="sq-AL"/>
        </w:rPr>
      </w:pPr>
      <w:r w:rsidRPr="000F540A">
        <w:rPr>
          <w:rFonts w:asciiTheme="majorHAnsi" w:hAnsiTheme="majorHAnsi"/>
          <w:sz w:val="22"/>
          <w:szCs w:val="22"/>
          <w:lang w:val="sq-AL"/>
        </w:rPr>
        <w:t xml:space="preserve">Megjithëse vlera për t’u financuar me borxh ka qenë relativisht e lartë, Ministria e Financave </w:t>
      </w:r>
      <w:r w:rsidR="00DC36FD" w:rsidRPr="000F540A">
        <w:rPr>
          <w:rFonts w:asciiTheme="majorHAnsi" w:hAnsiTheme="majorHAnsi"/>
          <w:sz w:val="22"/>
          <w:szCs w:val="22"/>
          <w:lang w:val="sq-AL"/>
        </w:rPr>
        <w:t>i</w:t>
      </w:r>
      <w:r w:rsidRPr="000F540A">
        <w:rPr>
          <w:rFonts w:asciiTheme="majorHAnsi" w:hAnsiTheme="majorHAnsi"/>
          <w:sz w:val="22"/>
          <w:szCs w:val="22"/>
          <w:lang w:val="sq-AL"/>
        </w:rPr>
        <w:t xml:space="preserve"> ka menaxhuar me sukses</w:t>
      </w:r>
      <w:r w:rsidR="003B7EAE" w:rsidRPr="000F540A">
        <w:rPr>
          <w:rFonts w:asciiTheme="majorHAnsi" w:hAnsiTheme="majorHAnsi"/>
          <w:sz w:val="22"/>
          <w:szCs w:val="22"/>
          <w:lang w:val="sq-AL"/>
        </w:rPr>
        <w:t>,</w:t>
      </w:r>
      <w:r w:rsidRPr="000F540A">
        <w:rPr>
          <w:rFonts w:asciiTheme="majorHAnsi" w:hAnsiTheme="majorHAnsi"/>
          <w:sz w:val="22"/>
          <w:szCs w:val="22"/>
          <w:lang w:val="sq-AL"/>
        </w:rPr>
        <w:t xml:space="preserve"> duke përdorur në mënyrë efiçente dhe në kohën e duhur</w:t>
      </w:r>
      <w:r w:rsidR="003B7EAE" w:rsidRPr="000F540A">
        <w:rPr>
          <w:rFonts w:asciiTheme="majorHAnsi" w:hAnsiTheme="majorHAnsi"/>
          <w:sz w:val="22"/>
          <w:szCs w:val="22"/>
          <w:lang w:val="sq-AL"/>
        </w:rPr>
        <w:t>,</w:t>
      </w:r>
      <w:r w:rsidRPr="000F540A">
        <w:rPr>
          <w:rFonts w:asciiTheme="majorHAnsi" w:hAnsiTheme="majorHAnsi"/>
          <w:sz w:val="22"/>
          <w:szCs w:val="22"/>
          <w:lang w:val="sq-AL"/>
        </w:rPr>
        <w:t xml:space="preserve"> burimet e brendshme dhe të huaja të financimit. </w:t>
      </w:r>
    </w:p>
    <w:p w:rsidR="00C81BF8" w:rsidRPr="000F540A" w:rsidRDefault="00C81BF8" w:rsidP="000F540A">
      <w:pPr>
        <w:tabs>
          <w:tab w:val="left" w:pos="2730"/>
        </w:tabs>
        <w:jc w:val="both"/>
        <w:rPr>
          <w:rFonts w:asciiTheme="majorHAnsi" w:hAnsiTheme="majorHAnsi"/>
          <w:b/>
          <w:sz w:val="22"/>
          <w:szCs w:val="22"/>
          <w:lang w:val="sq-AL"/>
        </w:rPr>
      </w:pPr>
    </w:p>
    <w:p w:rsidR="00297E24" w:rsidRPr="000F540A" w:rsidRDefault="00297E24" w:rsidP="000F540A">
      <w:pPr>
        <w:pStyle w:val="ListParagraph"/>
        <w:ind w:left="0"/>
        <w:jc w:val="both"/>
        <w:rPr>
          <w:rFonts w:asciiTheme="majorHAnsi" w:hAnsiTheme="majorHAnsi"/>
          <w:i/>
          <w:color w:val="632423" w:themeColor="accent2" w:themeShade="80"/>
          <w:sz w:val="22"/>
          <w:szCs w:val="22"/>
          <w:lang w:val="sq-AL"/>
        </w:rPr>
      </w:pPr>
      <w:r w:rsidRPr="000F540A">
        <w:rPr>
          <w:rFonts w:asciiTheme="majorHAnsi" w:hAnsiTheme="majorHAnsi"/>
          <w:b/>
          <w:color w:val="632423" w:themeColor="accent2" w:themeShade="80"/>
          <w:sz w:val="22"/>
          <w:szCs w:val="22"/>
          <w:lang w:val="sq-AL"/>
        </w:rPr>
        <w:t>Tabela 1:</w:t>
      </w:r>
      <w:r w:rsidRPr="000F540A">
        <w:rPr>
          <w:rFonts w:asciiTheme="majorHAnsi" w:hAnsiTheme="majorHAnsi"/>
          <w:color w:val="632423" w:themeColor="accent2" w:themeShade="80"/>
          <w:sz w:val="22"/>
          <w:szCs w:val="22"/>
          <w:lang w:val="sq-AL"/>
        </w:rPr>
        <w:t xml:space="preserve"> </w:t>
      </w:r>
      <w:r w:rsidRPr="000F540A">
        <w:rPr>
          <w:rFonts w:asciiTheme="majorHAnsi" w:hAnsiTheme="majorHAnsi"/>
          <w:i/>
          <w:color w:val="632423" w:themeColor="accent2" w:themeShade="80"/>
          <w:sz w:val="22"/>
          <w:szCs w:val="22"/>
          <w:lang w:val="sq-AL"/>
        </w:rPr>
        <w:t>Financimi sipas instrumenteve të brendshme dhe të huaja</w:t>
      </w:r>
      <w:r w:rsidR="00C81BF8" w:rsidRPr="000F540A">
        <w:rPr>
          <w:rFonts w:asciiTheme="majorHAnsi" w:hAnsiTheme="majorHAnsi"/>
          <w:i/>
          <w:color w:val="632423" w:themeColor="accent2" w:themeShade="80"/>
          <w:sz w:val="22"/>
          <w:szCs w:val="22"/>
          <w:lang w:val="sq-AL"/>
        </w:rPr>
        <w:t xml:space="preserve"> (2014-2015)</w:t>
      </w:r>
    </w:p>
    <w:tbl>
      <w:tblPr>
        <w:tblW w:w="0" w:type="auto"/>
        <w:jc w:val="center"/>
        <w:tblLook w:val="04A0" w:firstRow="1" w:lastRow="0" w:firstColumn="1" w:lastColumn="0" w:noHBand="0" w:noVBand="1"/>
      </w:tblPr>
      <w:tblGrid>
        <w:gridCol w:w="3652"/>
        <w:gridCol w:w="1486"/>
        <w:gridCol w:w="992"/>
        <w:gridCol w:w="1671"/>
        <w:gridCol w:w="992"/>
      </w:tblGrid>
      <w:tr w:rsidR="00297E24" w:rsidRPr="000F540A" w:rsidTr="00297E24">
        <w:trPr>
          <w:trHeight w:val="315"/>
          <w:jc w:val="center"/>
        </w:trPr>
        <w:tc>
          <w:tcPr>
            <w:tcW w:w="3703" w:type="dxa"/>
            <w:vMerge w:val="restart"/>
            <w:tcBorders>
              <w:top w:val="nil"/>
              <w:left w:val="nil"/>
              <w:bottom w:val="nil"/>
              <w:right w:val="single" w:sz="8" w:space="0" w:color="FFFFFF"/>
            </w:tcBorders>
            <w:shd w:val="clear" w:color="000000" w:fill="953735"/>
            <w:noWrap/>
            <w:vAlign w:val="center"/>
            <w:hideMark/>
          </w:tcPr>
          <w:p w:rsidR="00297E24" w:rsidRPr="000F540A" w:rsidRDefault="00297E24"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Instrumente të Financimit</w:t>
            </w:r>
          </w:p>
        </w:tc>
        <w:tc>
          <w:tcPr>
            <w:tcW w:w="0" w:type="auto"/>
            <w:gridSpan w:val="2"/>
            <w:tcBorders>
              <w:top w:val="nil"/>
              <w:left w:val="nil"/>
              <w:bottom w:val="single" w:sz="8" w:space="0" w:color="FFFFFF"/>
              <w:right w:val="single" w:sz="8" w:space="0" w:color="FFFFFF"/>
            </w:tcBorders>
            <w:shd w:val="clear" w:color="000000" w:fill="953735"/>
            <w:noWrap/>
            <w:vAlign w:val="center"/>
            <w:hideMark/>
          </w:tcPr>
          <w:p w:rsidR="00297E24" w:rsidRPr="000F540A" w:rsidRDefault="00297E24"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Dhj-2014</w:t>
            </w:r>
          </w:p>
        </w:tc>
        <w:tc>
          <w:tcPr>
            <w:tcW w:w="0" w:type="auto"/>
            <w:gridSpan w:val="2"/>
            <w:tcBorders>
              <w:top w:val="nil"/>
              <w:left w:val="single" w:sz="8" w:space="0" w:color="FFFFFF"/>
              <w:bottom w:val="single" w:sz="8" w:space="0" w:color="FFFFFF"/>
              <w:right w:val="nil"/>
            </w:tcBorders>
            <w:shd w:val="clear" w:color="000000" w:fill="953735"/>
            <w:noWrap/>
            <w:vAlign w:val="center"/>
            <w:hideMark/>
          </w:tcPr>
          <w:p w:rsidR="00297E24" w:rsidRPr="000F540A" w:rsidRDefault="00297E24"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Dhj-2015</w:t>
            </w:r>
          </w:p>
        </w:tc>
      </w:tr>
      <w:tr w:rsidR="00297E24" w:rsidRPr="000F540A" w:rsidTr="00297E24">
        <w:trPr>
          <w:trHeight w:val="300"/>
          <w:jc w:val="center"/>
        </w:trPr>
        <w:tc>
          <w:tcPr>
            <w:tcW w:w="3703" w:type="dxa"/>
            <w:vMerge/>
            <w:tcBorders>
              <w:top w:val="nil"/>
              <w:left w:val="nil"/>
              <w:bottom w:val="nil"/>
              <w:right w:val="single" w:sz="8" w:space="0" w:color="FFFFFF"/>
            </w:tcBorders>
            <w:vAlign w:val="center"/>
            <w:hideMark/>
          </w:tcPr>
          <w:p w:rsidR="00297E24" w:rsidRPr="000F540A" w:rsidRDefault="00297E24" w:rsidP="000F540A">
            <w:pPr>
              <w:jc w:val="both"/>
              <w:rPr>
                <w:rFonts w:asciiTheme="majorHAnsi" w:hAnsiTheme="majorHAnsi"/>
                <w:b/>
                <w:bCs/>
                <w:color w:val="FFFFFF"/>
                <w:sz w:val="22"/>
                <w:szCs w:val="22"/>
              </w:rPr>
            </w:pPr>
          </w:p>
        </w:tc>
        <w:tc>
          <w:tcPr>
            <w:tcW w:w="0" w:type="auto"/>
            <w:tcBorders>
              <w:top w:val="nil"/>
              <w:left w:val="nil"/>
              <w:bottom w:val="nil"/>
              <w:right w:val="nil"/>
            </w:tcBorders>
            <w:shd w:val="clear" w:color="000000" w:fill="953735"/>
            <w:noWrap/>
            <w:vAlign w:val="center"/>
            <w:hideMark/>
          </w:tcPr>
          <w:p w:rsidR="00297E24" w:rsidRPr="000F540A" w:rsidRDefault="000D678C"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milion L</w:t>
            </w:r>
            <w:r w:rsidR="00297E24" w:rsidRPr="000F540A">
              <w:rPr>
                <w:rFonts w:asciiTheme="majorHAnsi" w:hAnsiTheme="majorHAnsi"/>
                <w:b/>
                <w:bCs/>
                <w:color w:val="FFFFFF"/>
                <w:sz w:val="22"/>
                <w:szCs w:val="22"/>
              </w:rPr>
              <w:t>ek</w:t>
            </w:r>
          </w:p>
        </w:tc>
        <w:tc>
          <w:tcPr>
            <w:tcW w:w="0" w:type="auto"/>
            <w:tcBorders>
              <w:top w:val="nil"/>
              <w:left w:val="nil"/>
              <w:bottom w:val="nil"/>
              <w:right w:val="single" w:sz="8" w:space="0" w:color="FFFFFF"/>
            </w:tcBorders>
            <w:shd w:val="clear" w:color="000000" w:fill="953735"/>
            <w:noWrap/>
            <w:vAlign w:val="center"/>
            <w:hideMark/>
          </w:tcPr>
          <w:p w:rsidR="00297E24" w:rsidRPr="000F540A" w:rsidRDefault="00297E24"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w:t>
            </w:r>
          </w:p>
        </w:tc>
        <w:tc>
          <w:tcPr>
            <w:tcW w:w="0" w:type="auto"/>
            <w:tcBorders>
              <w:top w:val="nil"/>
              <w:left w:val="nil"/>
              <w:bottom w:val="nil"/>
              <w:right w:val="nil"/>
            </w:tcBorders>
            <w:shd w:val="clear" w:color="000000" w:fill="953735"/>
            <w:noWrap/>
            <w:vAlign w:val="center"/>
            <w:hideMark/>
          </w:tcPr>
          <w:p w:rsidR="00297E24" w:rsidRPr="000F540A" w:rsidRDefault="00297E24"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 xml:space="preserve">milion </w:t>
            </w:r>
            <w:r w:rsidR="000D678C" w:rsidRPr="000F540A">
              <w:rPr>
                <w:rFonts w:asciiTheme="majorHAnsi" w:hAnsiTheme="majorHAnsi"/>
                <w:b/>
                <w:bCs/>
                <w:color w:val="FFFFFF"/>
                <w:sz w:val="22"/>
                <w:szCs w:val="22"/>
              </w:rPr>
              <w:t>L</w:t>
            </w:r>
            <w:r w:rsidRPr="000F540A">
              <w:rPr>
                <w:rFonts w:asciiTheme="majorHAnsi" w:hAnsiTheme="majorHAnsi"/>
                <w:b/>
                <w:bCs/>
                <w:color w:val="FFFFFF"/>
                <w:sz w:val="22"/>
                <w:szCs w:val="22"/>
              </w:rPr>
              <w:t>ek</w:t>
            </w:r>
          </w:p>
        </w:tc>
        <w:tc>
          <w:tcPr>
            <w:tcW w:w="0" w:type="auto"/>
            <w:tcBorders>
              <w:top w:val="nil"/>
              <w:left w:val="nil"/>
              <w:bottom w:val="nil"/>
              <w:right w:val="nil"/>
            </w:tcBorders>
            <w:shd w:val="clear" w:color="000000" w:fill="953735"/>
            <w:noWrap/>
            <w:vAlign w:val="center"/>
            <w:hideMark/>
          </w:tcPr>
          <w:p w:rsidR="00297E24" w:rsidRPr="000F540A" w:rsidRDefault="00297E24"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w:t>
            </w:r>
          </w:p>
        </w:tc>
      </w:tr>
      <w:tr w:rsidR="00297E24" w:rsidRPr="000F540A" w:rsidTr="00297E24">
        <w:trPr>
          <w:trHeight w:val="300"/>
          <w:jc w:val="center"/>
        </w:trPr>
        <w:tc>
          <w:tcPr>
            <w:tcW w:w="3703" w:type="dxa"/>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I. Financimi me Borxh të Brendshëm</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 xml:space="preserve">     429,391.9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88.9%</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 xml:space="preserve">        410,368.4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75.2%</w:t>
            </w:r>
          </w:p>
        </w:tc>
      </w:tr>
      <w:tr w:rsidR="00297E24" w:rsidRPr="000F540A" w:rsidTr="00297E24">
        <w:trPr>
          <w:trHeight w:val="300"/>
          <w:jc w:val="center"/>
        </w:trPr>
        <w:tc>
          <w:tcPr>
            <w:tcW w:w="3703" w:type="dxa"/>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iCs/>
                <w:color w:val="000000"/>
                <w:sz w:val="22"/>
                <w:szCs w:val="22"/>
              </w:rPr>
            </w:pPr>
            <w:r w:rsidRPr="000F540A">
              <w:rPr>
                <w:rFonts w:asciiTheme="majorHAnsi" w:hAnsiTheme="majorHAnsi"/>
                <w:i/>
                <w:iCs/>
                <w:color w:val="000000"/>
                <w:sz w:val="22"/>
                <w:szCs w:val="22"/>
              </w:rPr>
              <w:t xml:space="preserve">       i. Bono Thesari</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color w:val="000000"/>
                <w:sz w:val="22"/>
                <w:szCs w:val="22"/>
              </w:rPr>
            </w:pPr>
            <w:r w:rsidRPr="000F540A">
              <w:rPr>
                <w:rFonts w:asciiTheme="majorHAnsi" w:hAnsiTheme="majorHAnsi"/>
                <w:i/>
                <w:color w:val="000000"/>
                <w:sz w:val="22"/>
                <w:szCs w:val="22"/>
              </w:rPr>
              <w:t xml:space="preserve">        337,433.2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color w:val="000000"/>
                <w:sz w:val="22"/>
                <w:szCs w:val="22"/>
              </w:rPr>
            </w:pPr>
            <w:r w:rsidRPr="000F540A">
              <w:rPr>
                <w:rFonts w:asciiTheme="majorHAnsi" w:hAnsiTheme="majorHAnsi"/>
                <w:i/>
                <w:color w:val="000000"/>
                <w:sz w:val="22"/>
                <w:szCs w:val="22"/>
              </w:rPr>
              <w:t>69.8%</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color w:val="000000"/>
                <w:sz w:val="22"/>
                <w:szCs w:val="22"/>
              </w:rPr>
            </w:pPr>
            <w:r w:rsidRPr="000F540A">
              <w:rPr>
                <w:rFonts w:asciiTheme="majorHAnsi" w:hAnsiTheme="majorHAnsi"/>
                <w:color w:val="000000"/>
                <w:sz w:val="22"/>
                <w:szCs w:val="22"/>
              </w:rPr>
              <w:t xml:space="preserve">           318,042.0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color w:val="000000"/>
                <w:sz w:val="22"/>
                <w:szCs w:val="22"/>
              </w:rPr>
            </w:pPr>
            <w:r w:rsidRPr="000F540A">
              <w:rPr>
                <w:rFonts w:asciiTheme="majorHAnsi" w:hAnsiTheme="majorHAnsi"/>
                <w:color w:val="000000"/>
                <w:sz w:val="22"/>
                <w:szCs w:val="22"/>
              </w:rPr>
              <w:t>58.3%</w:t>
            </w:r>
          </w:p>
        </w:tc>
      </w:tr>
      <w:tr w:rsidR="00297E24" w:rsidRPr="000F540A" w:rsidTr="00297E24">
        <w:trPr>
          <w:trHeight w:val="300"/>
          <w:jc w:val="center"/>
        </w:trPr>
        <w:tc>
          <w:tcPr>
            <w:tcW w:w="3703" w:type="dxa"/>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iCs/>
                <w:color w:val="000000"/>
                <w:sz w:val="22"/>
                <w:szCs w:val="22"/>
              </w:rPr>
            </w:pPr>
            <w:r w:rsidRPr="000F540A">
              <w:rPr>
                <w:rFonts w:asciiTheme="majorHAnsi" w:hAnsiTheme="majorHAnsi"/>
                <w:i/>
                <w:iCs/>
                <w:color w:val="000000"/>
                <w:sz w:val="22"/>
                <w:szCs w:val="22"/>
              </w:rPr>
              <w:t xml:space="preserve">       ii.Obliagcione</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color w:val="000000"/>
                <w:sz w:val="22"/>
                <w:szCs w:val="22"/>
              </w:rPr>
            </w:pPr>
            <w:r w:rsidRPr="000F540A">
              <w:rPr>
                <w:rFonts w:asciiTheme="majorHAnsi" w:hAnsiTheme="majorHAnsi"/>
                <w:i/>
                <w:color w:val="000000"/>
                <w:sz w:val="22"/>
                <w:szCs w:val="22"/>
              </w:rPr>
              <w:t xml:space="preserve">          91,958.7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color w:val="000000"/>
                <w:sz w:val="22"/>
                <w:szCs w:val="22"/>
              </w:rPr>
            </w:pPr>
            <w:r w:rsidRPr="000F540A">
              <w:rPr>
                <w:rFonts w:asciiTheme="majorHAnsi" w:hAnsiTheme="majorHAnsi"/>
                <w:i/>
                <w:color w:val="000000"/>
                <w:sz w:val="22"/>
                <w:szCs w:val="22"/>
              </w:rPr>
              <w:t>19.0%</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color w:val="000000"/>
                <w:sz w:val="22"/>
                <w:szCs w:val="22"/>
              </w:rPr>
            </w:pPr>
            <w:r w:rsidRPr="000F540A">
              <w:rPr>
                <w:rFonts w:asciiTheme="majorHAnsi" w:hAnsiTheme="majorHAnsi"/>
                <w:color w:val="000000"/>
                <w:sz w:val="22"/>
                <w:szCs w:val="22"/>
              </w:rPr>
              <w:t xml:space="preserve">             92,326.4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color w:val="000000"/>
                <w:sz w:val="22"/>
                <w:szCs w:val="22"/>
              </w:rPr>
            </w:pPr>
            <w:r w:rsidRPr="000F540A">
              <w:rPr>
                <w:rFonts w:asciiTheme="majorHAnsi" w:hAnsiTheme="majorHAnsi"/>
                <w:color w:val="000000"/>
                <w:sz w:val="22"/>
                <w:szCs w:val="22"/>
              </w:rPr>
              <w:t>16.9%</w:t>
            </w:r>
          </w:p>
        </w:tc>
      </w:tr>
      <w:tr w:rsidR="00297E24" w:rsidRPr="000F540A" w:rsidTr="00297E24">
        <w:trPr>
          <w:trHeight w:val="300"/>
          <w:jc w:val="center"/>
        </w:trPr>
        <w:tc>
          <w:tcPr>
            <w:tcW w:w="3703" w:type="dxa"/>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II. Financimi me Borxh të Jashtëm</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 xml:space="preserve">        53,770.5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11.1%</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 xml:space="preserve">        135,287.0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24.8%</w:t>
            </w:r>
          </w:p>
        </w:tc>
      </w:tr>
      <w:tr w:rsidR="00297E24" w:rsidRPr="000F540A" w:rsidTr="00297E24">
        <w:trPr>
          <w:trHeight w:val="300"/>
          <w:jc w:val="center"/>
        </w:trPr>
        <w:tc>
          <w:tcPr>
            <w:tcW w:w="3703" w:type="dxa"/>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iCs/>
                <w:color w:val="000000"/>
                <w:sz w:val="22"/>
                <w:szCs w:val="22"/>
              </w:rPr>
            </w:pPr>
            <w:r w:rsidRPr="000F540A">
              <w:rPr>
                <w:rFonts w:asciiTheme="majorHAnsi" w:hAnsiTheme="majorHAnsi"/>
                <w:i/>
                <w:iCs/>
                <w:color w:val="000000"/>
                <w:sz w:val="22"/>
                <w:szCs w:val="22"/>
              </w:rPr>
              <w:t xml:space="preserve">       i. Mbështetje Buxhetore</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color w:val="000000"/>
                <w:sz w:val="22"/>
                <w:szCs w:val="22"/>
              </w:rPr>
            </w:pPr>
            <w:r w:rsidRPr="000F540A">
              <w:rPr>
                <w:rFonts w:asciiTheme="majorHAnsi" w:hAnsiTheme="majorHAnsi"/>
                <w:i/>
                <w:color w:val="000000"/>
                <w:sz w:val="22"/>
                <w:szCs w:val="22"/>
              </w:rPr>
              <w:t xml:space="preserve">          30,508.6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color w:val="000000"/>
                <w:sz w:val="22"/>
                <w:szCs w:val="22"/>
              </w:rPr>
            </w:pPr>
            <w:r w:rsidRPr="000F540A">
              <w:rPr>
                <w:rFonts w:asciiTheme="majorHAnsi" w:hAnsiTheme="majorHAnsi"/>
                <w:i/>
                <w:color w:val="000000"/>
                <w:sz w:val="22"/>
                <w:szCs w:val="22"/>
              </w:rPr>
              <w:t>6.3%</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color w:val="000000"/>
                <w:sz w:val="22"/>
                <w:szCs w:val="22"/>
              </w:rPr>
            </w:pPr>
            <w:r w:rsidRPr="000F540A">
              <w:rPr>
                <w:rFonts w:asciiTheme="majorHAnsi" w:hAnsiTheme="majorHAnsi"/>
                <w:color w:val="000000"/>
                <w:sz w:val="22"/>
                <w:szCs w:val="22"/>
              </w:rPr>
              <w:t xml:space="preserve">             14,591.6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color w:val="000000"/>
                <w:sz w:val="22"/>
                <w:szCs w:val="22"/>
              </w:rPr>
            </w:pPr>
            <w:r w:rsidRPr="000F540A">
              <w:rPr>
                <w:rFonts w:asciiTheme="majorHAnsi" w:hAnsiTheme="majorHAnsi"/>
                <w:color w:val="000000"/>
                <w:sz w:val="22"/>
                <w:szCs w:val="22"/>
              </w:rPr>
              <w:t>2.7%</w:t>
            </w:r>
          </w:p>
        </w:tc>
      </w:tr>
      <w:tr w:rsidR="00297E24" w:rsidRPr="000F540A" w:rsidTr="00297E24">
        <w:trPr>
          <w:trHeight w:val="300"/>
          <w:jc w:val="center"/>
        </w:trPr>
        <w:tc>
          <w:tcPr>
            <w:tcW w:w="3703" w:type="dxa"/>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iCs/>
                <w:color w:val="000000"/>
                <w:sz w:val="22"/>
                <w:szCs w:val="22"/>
              </w:rPr>
            </w:pPr>
            <w:r w:rsidRPr="000F540A">
              <w:rPr>
                <w:rFonts w:asciiTheme="majorHAnsi" w:hAnsiTheme="majorHAnsi"/>
                <w:i/>
                <w:iCs/>
                <w:color w:val="000000"/>
                <w:sz w:val="22"/>
                <w:szCs w:val="22"/>
              </w:rPr>
              <w:t xml:space="preserve">       ii.PBG</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color w:val="000000"/>
                <w:sz w:val="22"/>
                <w:szCs w:val="22"/>
              </w:rPr>
            </w:pPr>
            <w:r w:rsidRPr="000F540A">
              <w:rPr>
                <w:rFonts w:asciiTheme="majorHAnsi" w:hAnsiTheme="majorHAnsi"/>
                <w:i/>
                <w:color w:val="000000"/>
                <w:sz w:val="22"/>
                <w:szCs w:val="22"/>
              </w:rPr>
              <w:t xml:space="preserve">                       -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color w:val="000000"/>
                <w:sz w:val="22"/>
                <w:szCs w:val="22"/>
              </w:rPr>
            </w:pPr>
            <w:r w:rsidRPr="000F540A">
              <w:rPr>
                <w:rFonts w:asciiTheme="majorHAnsi" w:hAnsiTheme="majorHAnsi"/>
                <w:i/>
                <w:color w:val="000000"/>
                <w:sz w:val="22"/>
                <w:szCs w:val="22"/>
              </w:rPr>
              <w:t>0.0%</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color w:val="000000"/>
                <w:sz w:val="22"/>
                <w:szCs w:val="22"/>
              </w:rPr>
            </w:pPr>
            <w:r w:rsidRPr="000F540A">
              <w:rPr>
                <w:rFonts w:asciiTheme="majorHAnsi" w:hAnsiTheme="majorHAnsi"/>
                <w:color w:val="000000"/>
                <w:sz w:val="22"/>
                <w:szCs w:val="22"/>
              </w:rPr>
              <w:t xml:space="preserve">             34,897.5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color w:val="000000"/>
                <w:sz w:val="22"/>
                <w:szCs w:val="22"/>
              </w:rPr>
            </w:pPr>
            <w:r w:rsidRPr="000F540A">
              <w:rPr>
                <w:rFonts w:asciiTheme="majorHAnsi" w:hAnsiTheme="majorHAnsi"/>
                <w:color w:val="000000"/>
                <w:sz w:val="22"/>
                <w:szCs w:val="22"/>
              </w:rPr>
              <w:t>6.4%</w:t>
            </w:r>
          </w:p>
        </w:tc>
      </w:tr>
      <w:tr w:rsidR="00297E24" w:rsidRPr="000F540A" w:rsidTr="00297E24">
        <w:trPr>
          <w:trHeight w:val="300"/>
          <w:jc w:val="center"/>
        </w:trPr>
        <w:tc>
          <w:tcPr>
            <w:tcW w:w="3703" w:type="dxa"/>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iCs/>
                <w:color w:val="000000"/>
                <w:sz w:val="22"/>
                <w:szCs w:val="22"/>
              </w:rPr>
            </w:pPr>
            <w:r w:rsidRPr="000F540A">
              <w:rPr>
                <w:rFonts w:asciiTheme="majorHAnsi" w:hAnsiTheme="majorHAnsi"/>
                <w:i/>
                <w:iCs/>
                <w:color w:val="000000"/>
                <w:sz w:val="22"/>
                <w:szCs w:val="22"/>
              </w:rPr>
              <w:t xml:space="preserve">       iii.Eurobond</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color w:val="000000"/>
                <w:sz w:val="22"/>
                <w:szCs w:val="22"/>
              </w:rPr>
            </w:pPr>
            <w:r w:rsidRPr="000F540A">
              <w:rPr>
                <w:rFonts w:asciiTheme="majorHAnsi" w:hAnsiTheme="majorHAnsi"/>
                <w:i/>
                <w:color w:val="000000"/>
                <w:sz w:val="22"/>
                <w:szCs w:val="22"/>
              </w:rPr>
              <w:t xml:space="preserve">                       -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color w:val="000000"/>
                <w:sz w:val="22"/>
                <w:szCs w:val="22"/>
              </w:rPr>
            </w:pPr>
            <w:r w:rsidRPr="000F540A">
              <w:rPr>
                <w:rFonts w:asciiTheme="majorHAnsi" w:hAnsiTheme="majorHAnsi"/>
                <w:i/>
                <w:color w:val="000000"/>
                <w:sz w:val="22"/>
                <w:szCs w:val="22"/>
              </w:rPr>
              <w:t>0.0%</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color w:val="000000"/>
                <w:sz w:val="22"/>
                <w:szCs w:val="22"/>
              </w:rPr>
            </w:pPr>
            <w:r w:rsidRPr="000F540A">
              <w:rPr>
                <w:rFonts w:asciiTheme="majorHAnsi" w:hAnsiTheme="majorHAnsi"/>
                <w:color w:val="000000"/>
                <w:sz w:val="22"/>
                <w:szCs w:val="22"/>
              </w:rPr>
              <w:t xml:space="preserve">             62,009.4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color w:val="000000"/>
                <w:sz w:val="22"/>
                <w:szCs w:val="22"/>
              </w:rPr>
            </w:pPr>
            <w:r w:rsidRPr="000F540A">
              <w:rPr>
                <w:rFonts w:asciiTheme="majorHAnsi" w:hAnsiTheme="majorHAnsi"/>
                <w:color w:val="000000"/>
                <w:sz w:val="22"/>
                <w:szCs w:val="22"/>
              </w:rPr>
              <w:t>11.4%</w:t>
            </w:r>
          </w:p>
        </w:tc>
      </w:tr>
      <w:tr w:rsidR="00297E24" w:rsidRPr="000F540A" w:rsidTr="00297E24">
        <w:trPr>
          <w:trHeight w:val="300"/>
          <w:jc w:val="center"/>
        </w:trPr>
        <w:tc>
          <w:tcPr>
            <w:tcW w:w="3703" w:type="dxa"/>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iCs/>
                <w:color w:val="000000"/>
                <w:sz w:val="22"/>
                <w:szCs w:val="22"/>
              </w:rPr>
            </w:pPr>
            <w:r w:rsidRPr="000F540A">
              <w:rPr>
                <w:rFonts w:asciiTheme="majorHAnsi" w:hAnsiTheme="majorHAnsi"/>
                <w:i/>
                <w:iCs/>
                <w:color w:val="000000"/>
                <w:sz w:val="22"/>
                <w:szCs w:val="22"/>
              </w:rPr>
              <w:t xml:space="preserve">       iv.Kredi për Financim Projektesh</w:t>
            </w:r>
            <w:r w:rsidRPr="000F540A">
              <w:rPr>
                <w:rStyle w:val="FootnoteReference"/>
                <w:rFonts w:asciiTheme="majorHAnsi" w:hAnsiTheme="majorHAnsi"/>
                <w:i/>
                <w:iCs/>
                <w:color w:val="000000"/>
                <w:sz w:val="22"/>
                <w:szCs w:val="22"/>
              </w:rPr>
              <w:footnoteReference w:id="3"/>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color w:val="000000"/>
                <w:sz w:val="22"/>
                <w:szCs w:val="22"/>
              </w:rPr>
            </w:pPr>
            <w:r w:rsidRPr="000F540A">
              <w:rPr>
                <w:rFonts w:asciiTheme="majorHAnsi" w:hAnsiTheme="majorHAnsi"/>
                <w:i/>
                <w:color w:val="000000"/>
                <w:sz w:val="22"/>
                <w:szCs w:val="22"/>
              </w:rPr>
              <w:t xml:space="preserve">          23,261.9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i/>
                <w:color w:val="000000"/>
                <w:sz w:val="22"/>
                <w:szCs w:val="22"/>
              </w:rPr>
            </w:pPr>
            <w:r w:rsidRPr="000F540A">
              <w:rPr>
                <w:rFonts w:asciiTheme="majorHAnsi" w:hAnsiTheme="majorHAnsi"/>
                <w:i/>
                <w:color w:val="000000"/>
                <w:sz w:val="22"/>
                <w:szCs w:val="22"/>
              </w:rPr>
              <w:t>4.8%</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color w:val="000000"/>
                <w:sz w:val="22"/>
                <w:szCs w:val="22"/>
              </w:rPr>
            </w:pPr>
            <w:r w:rsidRPr="000F540A">
              <w:rPr>
                <w:rFonts w:asciiTheme="majorHAnsi" w:hAnsiTheme="majorHAnsi"/>
                <w:color w:val="000000"/>
                <w:sz w:val="22"/>
                <w:szCs w:val="22"/>
              </w:rPr>
              <w:t xml:space="preserve">             23,788.5 </w:t>
            </w:r>
          </w:p>
        </w:tc>
        <w:tc>
          <w:tcPr>
            <w:tcW w:w="0" w:type="auto"/>
            <w:tcBorders>
              <w:top w:val="nil"/>
              <w:left w:val="nil"/>
              <w:bottom w:val="nil"/>
              <w:right w:val="nil"/>
            </w:tcBorders>
            <w:shd w:val="clear" w:color="auto" w:fill="auto"/>
            <w:noWrap/>
            <w:vAlign w:val="bottom"/>
            <w:hideMark/>
          </w:tcPr>
          <w:p w:rsidR="00297E24" w:rsidRPr="000F540A" w:rsidRDefault="00297E24" w:rsidP="000F540A">
            <w:pPr>
              <w:jc w:val="both"/>
              <w:rPr>
                <w:rFonts w:asciiTheme="majorHAnsi" w:hAnsiTheme="majorHAnsi"/>
                <w:color w:val="000000"/>
                <w:sz w:val="22"/>
                <w:szCs w:val="22"/>
              </w:rPr>
            </w:pPr>
            <w:r w:rsidRPr="000F540A">
              <w:rPr>
                <w:rFonts w:asciiTheme="majorHAnsi" w:hAnsiTheme="majorHAnsi"/>
                <w:color w:val="000000"/>
                <w:sz w:val="22"/>
                <w:szCs w:val="22"/>
              </w:rPr>
              <w:t>4.4%</w:t>
            </w:r>
          </w:p>
        </w:tc>
      </w:tr>
      <w:tr w:rsidR="00297E24" w:rsidRPr="000F540A" w:rsidTr="00297E24">
        <w:trPr>
          <w:trHeight w:val="315"/>
          <w:jc w:val="center"/>
        </w:trPr>
        <w:tc>
          <w:tcPr>
            <w:tcW w:w="3703" w:type="dxa"/>
            <w:tcBorders>
              <w:top w:val="nil"/>
              <w:left w:val="nil"/>
              <w:bottom w:val="double" w:sz="6" w:space="0" w:color="auto"/>
              <w:right w:val="nil"/>
            </w:tcBorders>
            <w:shd w:val="clear" w:color="auto" w:fill="auto"/>
            <w:noWrap/>
            <w:vAlign w:val="bottom"/>
            <w:hideMark/>
          </w:tcPr>
          <w:p w:rsidR="00297E24" w:rsidRPr="000F540A" w:rsidRDefault="00297E24" w:rsidP="000F540A">
            <w:pPr>
              <w:jc w:val="both"/>
              <w:rPr>
                <w:rFonts w:asciiTheme="majorHAnsi" w:hAnsiTheme="majorHAnsi"/>
                <w:b/>
                <w:bCs/>
                <w:iCs/>
                <w:color w:val="632523"/>
                <w:sz w:val="22"/>
                <w:szCs w:val="22"/>
              </w:rPr>
            </w:pPr>
            <w:r w:rsidRPr="000F540A">
              <w:rPr>
                <w:rFonts w:asciiTheme="majorHAnsi" w:hAnsiTheme="majorHAnsi"/>
                <w:b/>
                <w:bCs/>
                <w:iCs/>
                <w:color w:val="632523"/>
                <w:sz w:val="22"/>
                <w:szCs w:val="22"/>
              </w:rPr>
              <w:t>Total Financimi</w:t>
            </w:r>
          </w:p>
        </w:tc>
        <w:tc>
          <w:tcPr>
            <w:tcW w:w="0" w:type="auto"/>
            <w:tcBorders>
              <w:top w:val="nil"/>
              <w:left w:val="nil"/>
              <w:bottom w:val="double" w:sz="6" w:space="0" w:color="auto"/>
              <w:right w:val="nil"/>
            </w:tcBorders>
            <w:shd w:val="clear" w:color="auto" w:fill="auto"/>
            <w:noWrap/>
            <w:vAlign w:val="bottom"/>
            <w:hideMark/>
          </w:tcPr>
          <w:p w:rsidR="00297E24" w:rsidRPr="000F540A" w:rsidRDefault="00297E24" w:rsidP="000F540A">
            <w:pPr>
              <w:jc w:val="both"/>
              <w:rPr>
                <w:rFonts w:asciiTheme="majorHAnsi" w:hAnsiTheme="majorHAnsi"/>
                <w:b/>
                <w:bCs/>
                <w:color w:val="632523"/>
                <w:sz w:val="22"/>
                <w:szCs w:val="22"/>
              </w:rPr>
            </w:pPr>
            <w:r w:rsidRPr="000F540A">
              <w:rPr>
                <w:rFonts w:asciiTheme="majorHAnsi" w:hAnsiTheme="majorHAnsi"/>
                <w:b/>
                <w:bCs/>
                <w:color w:val="632523"/>
                <w:sz w:val="22"/>
                <w:szCs w:val="22"/>
              </w:rPr>
              <w:t xml:space="preserve">     483,162.5 </w:t>
            </w:r>
          </w:p>
        </w:tc>
        <w:tc>
          <w:tcPr>
            <w:tcW w:w="0" w:type="auto"/>
            <w:tcBorders>
              <w:top w:val="nil"/>
              <w:left w:val="nil"/>
              <w:bottom w:val="double" w:sz="6" w:space="0" w:color="auto"/>
              <w:right w:val="nil"/>
            </w:tcBorders>
            <w:shd w:val="clear" w:color="auto" w:fill="auto"/>
            <w:noWrap/>
            <w:vAlign w:val="bottom"/>
            <w:hideMark/>
          </w:tcPr>
          <w:p w:rsidR="00297E24" w:rsidRPr="000F540A" w:rsidRDefault="00297E24" w:rsidP="000F540A">
            <w:pPr>
              <w:jc w:val="both"/>
              <w:rPr>
                <w:rFonts w:asciiTheme="majorHAnsi" w:hAnsiTheme="majorHAnsi"/>
                <w:b/>
                <w:bCs/>
                <w:color w:val="632523"/>
                <w:sz w:val="22"/>
                <w:szCs w:val="22"/>
              </w:rPr>
            </w:pPr>
            <w:r w:rsidRPr="000F540A">
              <w:rPr>
                <w:rFonts w:asciiTheme="majorHAnsi" w:hAnsiTheme="majorHAnsi"/>
                <w:b/>
                <w:bCs/>
                <w:color w:val="632523"/>
                <w:sz w:val="22"/>
                <w:szCs w:val="22"/>
              </w:rPr>
              <w:t>100.0%</w:t>
            </w:r>
          </w:p>
        </w:tc>
        <w:tc>
          <w:tcPr>
            <w:tcW w:w="0" w:type="auto"/>
            <w:tcBorders>
              <w:top w:val="nil"/>
              <w:left w:val="nil"/>
              <w:bottom w:val="double" w:sz="6" w:space="0" w:color="auto"/>
              <w:right w:val="nil"/>
            </w:tcBorders>
            <w:shd w:val="clear" w:color="auto" w:fill="auto"/>
            <w:noWrap/>
            <w:vAlign w:val="bottom"/>
            <w:hideMark/>
          </w:tcPr>
          <w:p w:rsidR="00297E24" w:rsidRPr="000F540A" w:rsidRDefault="00297E24" w:rsidP="000F540A">
            <w:pPr>
              <w:jc w:val="both"/>
              <w:rPr>
                <w:rFonts w:asciiTheme="majorHAnsi" w:hAnsiTheme="majorHAnsi"/>
                <w:b/>
                <w:bCs/>
                <w:color w:val="632523"/>
                <w:sz w:val="22"/>
                <w:szCs w:val="22"/>
              </w:rPr>
            </w:pPr>
            <w:r w:rsidRPr="000F540A">
              <w:rPr>
                <w:rFonts w:asciiTheme="majorHAnsi" w:hAnsiTheme="majorHAnsi"/>
                <w:b/>
                <w:bCs/>
                <w:color w:val="632523"/>
                <w:sz w:val="22"/>
                <w:szCs w:val="22"/>
              </w:rPr>
              <w:t xml:space="preserve">        545,655.4 </w:t>
            </w:r>
          </w:p>
        </w:tc>
        <w:tc>
          <w:tcPr>
            <w:tcW w:w="0" w:type="auto"/>
            <w:tcBorders>
              <w:top w:val="nil"/>
              <w:left w:val="nil"/>
              <w:bottom w:val="double" w:sz="6" w:space="0" w:color="auto"/>
              <w:right w:val="nil"/>
            </w:tcBorders>
            <w:shd w:val="clear" w:color="auto" w:fill="auto"/>
            <w:noWrap/>
            <w:vAlign w:val="bottom"/>
            <w:hideMark/>
          </w:tcPr>
          <w:p w:rsidR="00297E24" w:rsidRPr="000F540A" w:rsidRDefault="00297E24" w:rsidP="000F540A">
            <w:pPr>
              <w:jc w:val="both"/>
              <w:rPr>
                <w:rFonts w:asciiTheme="majorHAnsi" w:hAnsiTheme="majorHAnsi"/>
                <w:b/>
                <w:bCs/>
                <w:color w:val="632523"/>
                <w:sz w:val="22"/>
                <w:szCs w:val="22"/>
              </w:rPr>
            </w:pPr>
            <w:r w:rsidRPr="000F540A">
              <w:rPr>
                <w:rFonts w:asciiTheme="majorHAnsi" w:hAnsiTheme="majorHAnsi"/>
                <w:b/>
                <w:bCs/>
                <w:color w:val="632523"/>
                <w:sz w:val="22"/>
                <w:szCs w:val="22"/>
              </w:rPr>
              <w:t>100.0%</w:t>
            </w:r>
          </w:p>
        </w:tc>
      </w:tr>
    </w:tbl>
    <w:p w:rsidR="00297E24" w:rsidRPr="000F540A" w:rsidRDefault="00297E24" w:rsidP="000F540A">
      <w:pPr>
        <w:jc w:val="both"/>
        <w:rPr>
          <w:rFonts w:asciiTheme="majorHAnsi" w:hAnsiTheme="majorHAnsi"/>
          <w:i/>
          <w:sz w:val="22"/>
          <w:szCs w:val="22"/>
        </w:rPr>
      </w:pPr>
      <w:r w:rsidRPr="000F540A">
        <w:rPr>
          <w:rFonts w:asciiTheme="majorHAnsi" w:hAnsiTheme="majorHAnsi"/>
          <w:b/>
          <w:sz w:val="22"/>
          <w:szCs w:val="22"/>
        </w:rPr>
        <w:t>Burimi:</w:t>
      </w:r>
      <w:r w:rsidRPr="000F540A">
        <w:rPr>
          <w:rFonts w:asciiTheme="majorHAnsi" w:hAnsiTheme="majorHAnsi"/>
          <w:b/>
          <w:i/>
          <w:sz w:val="22"/>
          <w:szCs w:val="22"/>
        </w:rPr>
        <w:t xml:space="preserve"> </w:t>
      </w:r>
      <w:r w:rsidRPr="000F540A">
        <w:rPr>
          <w:rFonts w:asciiTheme="majorHAnsi" w:hAnsiTheme="majorHAnsi"/>
          <w:i/>
          <w:sz w:val="22"/>
          <w:szCs w:val="22"/>
        </w:rPr>
        <w:t>Ministria e Financave</w:t>
      </w:r>
      <w:r w:rsidR="00C81BF8" w:rsidRPr="000F540A">
        <w:rPr>
          <w:rFonts w:asciiTheme="majorHAnsi" w:hAnsiTheme="majorHAnsi"/>
          <w:i/>
          <w:sz w:val="22"/>
          <w:szCs w:val="22"/>
        </w:rPr>
        <w:t xml:space="preserve"> (201</w:t>
      </w:r>
      <w:r w:rsidR="00AE4BE6" w:rsidRPr="000F540A">
        <w:rPr>
          <w:rFonts w:asciiTheme="majorHAnsi" w:hAnsiTheme="majorHAnsi"/>
          <w:i/>
          <w:sz w:val="22"/>
          <w:szCs w:val="22"/>
        </w:rPr>
        <w:t>5</w:t>
      </w:r>
      <w:r w:rsidR="00C81BF8" w:rsidRPr="000F540A">
        <w:rPr>
          <w:rFonts w:asciiTheme="majorHAnsi" w:hAnsiTheme="majorHAnsi"/>
          <w:i/>
          <w:sz w:val="22"/>
          <w:szCs w:val="22"/>
        </w:rPr>
        <w:t>)</w:t>
      </w:r>
    </w:p>
    <w:p w:rsidR="009C2312" w:rsidRPr="000F540A" w:rsidRDefault="009C2312" w:rsidP="000F540A">
      <w:pPr>
        <w:tabs>
          <w:tab w:val="left" w:pos="2730"/>
        </w:tabs>
        <w:jc w:val="both"/>
        <w:rPr>
          <w:rFonts w:asciiTheme="majorHAnsi" w:hAnsiTheme="majorHAnsi"/>
          <w:sz w:val="22"/>
          <w:szCs w:val="22"/>
          <w:lang w:val="sq-AL"/>
        </w:rPr>
      </w:pPr>
    </w:p>
    <w:p w:rsidR="00FD7719" w:rsidRPr="000F540A" w:rsidRDefault="00FD7719" w:rsidP="000F540A">
      <w:pPr>
        <w:jc w:val="both"/>
        <w:rPr>
          <w:rFonts w:asciiTheme="majorHAnsi" w:hAnsiTheme="majorHAnsi"/>
          <w:sz w:val="22"/>
          <w:szCs w:val="22"/>
          <w:lang w:val="sq-AL"/>
        </w:rPr>
      </w:pPr>
      <w:r w:rsidRPr="000F540A">
        <w:rPr>
          <w:rFonts w:asciiTheme="majorHAnsi" w:hAnsiTheme="majorHAnsi"/>
          <w:sz w:val="22"/>
          <w:szCs w:val="22"/>
          <w:lang w:val="sq-AL"/>
        </w:rPr>
        <w:t xml:space="preserve">Në tregun e brendshëm si burim financimi janë përdorur bonot e thesarit dhe obligacionet ku është synuar rritja e peshës së instrumenteve afatgjata dhe maturimi i instrumenteve </w:t>
      </w:r>
      <w:r w:rsidRPr="000F540A">
        <w:rPr>
          <w:rFonts w:asciiTheme="majorHAnsi" w:hAnsiTheme="majorHAnsi"/>
          <w:sz w:val="22"/>
          <w:szCs w:val="22"/>
          <w:lang w:val="sq-AL"/>
        </w:rPr>
        <w:lastRenderedPageBreak/>
        <w:t xml:space="preserve">afatshkurtra. Ky synim u realizua plotësisht pas emetimit të Eurobondit në muajin nëntor, i cili siguroi likuiditetin e nevojshëm dhe mundësoi tërheqjen nga tregu i brendshëm të titujve në vlerën e 51.7 miliard </w:t>
      </w:r>
      <w:r w:rsidR="009E4871" w:rsidRPr="000F540A">
        <w:rPr>
          <w:rFonts w:asciiTheme="majorHAnsi" w:hAnsiTheme="majorHAnsi"/>
          <w:sz w:val="22"/>
          <w:szCs w:val="22"/>
          <w:lang w:val="sq-AL"/>
        </w:rPr>
        <w:t>L</w:t>
      </w:r>
      <w:r w:rsidRPr="000F540A">
        <w:rPr>
          <w:rFonts w:asciiTheme="majorHAnsi" w:hAnsiTheme="majorHAnsi"/>
          <w:sz w:val="22"/>
          <w:szCs w:val="22"/>
          <w:lang w:val="sq-AL"/>
        </w:rPr>
        <w:t xml:space="preserve">ek. Alternativat që mundësuan këtë tërheqje ishin procedura e tërheqjes parakohe </w:t>
      </w:r>
      <w:r w:rsidRPr="000F540A">
        <w:rPr>
          <w:rFonts w:asciiTheme="majorHAnsi" w:hAnsiTheme="majorHAnsi"/>
          <w:i/>
          <w:sz w:val="22"/>
          <w:szCs w:val="22"/>
          <w:lang w:val="sq-AL"/>
        </w:rPr>
        <w:t>(buyback)</w:t>
      </w:r>
      <w:r w:rsidRPr="000F540A">
        <w:rPr>
          <w:rFonts w:asciiTheme="majorHAnsi" w:hAnsiTheme="majorHAnsi"/>
          <w:sz w:val="22"/>
          <w:szCs w:val="22"/>
          <w:lang w:val="sq-AL"/>
        </w:rPr>
        <w:t xml:space="preserve"> dhe maturimi pa rifinancim ose pjesërisht pa rifinancim i titujve. Nëpërmjet procedurës së buyback u tërhoqën nga tregu 19.7 miliard </w:t>
      </w:r>
      <w:r w:rsidR="00EF7A18" w:rsidRPr="000F540A">
        <w:rPr>
          <w:rFonts w:asciiTheme="majorHAnsi" w:hAnsiTheme="majorHAnsi"/>
          <w:sz w:val="22"/>
          <w:szCs w:val="22"/>
          <w:lang w:val="sq-AL"/>
        </w:rPr>
        <w:t>L</w:t>
      </w:r>
      <w:r w:rsidRPr="000F540A">
        <w:rPr>
          <w:rFonts w:asciiTheme="majorHAnsi" w:hAnsiTheme="majorHAnsi"/>
          <w:sz w:val="22"/>
          <w:szCs w:val="22"/>
          <w:lang w:val="sq-AL"/>
        </w:rPr>
        <w:t xml:space="preserve">ek, kryesisht bono thesari dhe obligacione me maturitet të mbetur relativisht të ulët. Ndërkohë, nëpërmjet maturimeve u tërhoqën 32.0 miliard </w:t>
      </w:r>
      <w:r w:rsidR="00EF7A18" w:rsidRPr="000F540A">
        <w:rPr>
          <w:rFonts w:asciiTheme="majorHAnsi" w:hAnsiTheme="majorHAnsi"/>
          <w:sz w:val="22"/>
          <w:szCs w:val="22"/>
          <w:lang w:val="sq-AL"/>
        </w:rPr>
        <w:t>L</w:t>
      </w:r>
      <w:r w:rsidRPr="000F540A">
        <w:rPr>
          <w:rFonts w:asciiTheme="majorHAnsi" w:hAnsiTheme="majorHAnsi"/>
          <w:sz w:val="22"/>
          <w:szCs w:val="22"/>
          <w:lang w:val="sq-AL"/>
        </w:rPr>
        <w:t xml:space="preserve">ek, nga të cilat 21.5 miliard </w:t>
      </w:r>
      <w:r w:rsidR="00EF7A18" w:rsidRPr="000F540A">
        <w:rPr>
          <w:rFonts w:asciiTheme="majorHAnsi" w:hAnsiTheme="majorHAnsi"/>
          <w:sz w:val="22"/>
          <w:szCs w:val="22"/>
          <w:lang w:val="sq-AL"/>
        </w:rPr>
        <w:t>L</w:t>
      </w:r>
      <w:r w:rsidRPr="000F540A">
        <w:rPr>
          <w:rFonts w:asciiTheme="majorHAnsi" w:hAnsiTheme="majorHAnsi"/>
          <w:sz w:val="22"/>
          <w:szCs w:val="22"/>
          <w:lang w:val="sq-AL"/>
        </w:rPr>
        <w:t xml:space="preserve">ek nëpërmjet maturimeve të plota dhe 10.5 miliard </w:t>
      </w:r>
      <w:r w:rsidR="00EF7A18" w:rsidRPr="000F540A">
        <w:rPr>
          <w:rFonts w:asciiTheme="majorHAnsi" w:hAnsiTheme="majorHAnsi"/>
          <w:sz w:val="22"/>
          <w:szCs w:val="22"/>
          <w:lang w:val="sq-AL"/>
        </w:rPr>
        <w:t>L</w:t>
      </w:r>
      <w:r w:rsidRPr="000F540A">
        <w:rPr>
          <w:rFonts w:asciiTheme="majorHAnsi" w:hAnsiTheme="majorHAnsi"/>
          <w:sz w:val="22"/>
          <w:szCs w:val="22"/>
          <w:lang w:val="sq-AL"/>
        </w:rPr>
        <w:t>ek nëpërmjet maturimeve të pjesshme.</w:t>
      </w:r>
    </w:p>
    <w:p w:rsidR="00FD7719" w:rsidRPr="000F540A" w:rsidRDefault="00FD7719" w:rsidP="000F540A">
      <w:pPr>
        <w:jc w:val="both"/>
        <w:rPr>
          <w:rFonts w:asciiTheme="majorHAnsi" w:hAnsiTheme="majorHAnsi"/>
          <w:sz w:val="22"/>
          <w:szCs w:val="22"/>
          <w:lang w:val="sq-AL"/>
        </w:rPr>
      </w:pPr>
      <w:r w:rsidRPr="000F540A">
        <w:rPr>
          <w:rFonts w:asciiTheme="majorHAnsi" w:hAnsiTheme="majorHAnsi"/>
          <w:sz w:val="22"/>
          <w:szCs w:val="22"/>
          <w:lang w:val="sq-AL"/>
        </w:rPr>
        <w:t>Në tregun e huaj</w:t>
      </w:r>
      <w:r w:rsidR="00EF7A18" w:rsidRPr="000F540A">
        <w:rPr>
          <w:rFonts w:asciiTheme="majorHAnsi" w:hAnsiTheme="majorHAnsi"/>
          <w:sz w:val="22"/>
          <w:szCs w:val="22"/>
          <w:lang w:val="sq-AL"/>
        </w:rPr>
        <w:t>,</w:t>
      </w:r>
      <w:r w:rsidRPr="000F540A">
        <w:rPr>
          <w:rFonts w:asciiTheme="majorHAnsi" w:hAnsiTheme="majorHAnsi"/>
          <w:sz w:val="22"/>
          <w:szCs w:val="22"/>
          <w:lang w:val="sq-AL"/>
        </w:rPr>
        <w:t xml:space="preserve"> përveç instrumenteve të lartpërmendura </w:t>
      </w:r>
      <w:r w:rsidRPr="000F540A">
        <w:rPr>
          <w:rFonts w:asciiTheme="majorHAnsi" w:hAnsiTheme="majorHAnsi"/>
          <w:i/>
          <w:sz w:val="22"/>
          <w:szCs w:val="22"/>
          <w:lang w:val="sq-AL"/>
        </w:rPr>
        <w:t>(PBG, Eurobond)</w:t>
      </w:r>
      <w:r w:rsidR="00EF7A18" w:rsidRPr="000F540A">
        <w:rPr>
          <w:rFonts w:asciiTheme="majorHAnsi" w:hAnsiTheme="majorHAnsi"/>
          <w:sz w:val="22"/>
          <w:szCs w:val="22"/>
          <w:lang w:val="sq-AL"/>
        </w:rPr>
        <w:t>,</w:t>
      </w:r>
      <w:r w:rsidRPr="000F540A">
        <w:rPr>
          <w:rFonts w:asciiTheme="majorHAnsi" w:hAnsiTheme="majorHAnsi"/>
          <w:i/>
          <w:sz w:val="22"/>
          <w:szCs w:val="22"/>
          <w:lang w:val="sq-AL"/>
        </w:rPr>
        <w:t xml:space="preserve"> </w:t>
      </w:r>
      <w:r w:rsidRPr="000F540A">
        <w:rPr>
          <w:rFonts w:asciiTheme="majorHAnsi" w:hAnsiTheme="majorHAnsi"/>
          <w:sz w:val="22"/>
          <w:szCs w:val="22"/>
          <w:lang w:val="sq-AL"/>
        </w:rPr>
        <w:t>është përdorur mbështetja buxhetore në kuadër të marrëveshjes me FMN dhe BB për likujdimin e detyrimeve të prapambetura, si edhe disbursimi i kredive ekzistuese në kuadër të financimit të projekteve zhvillimore. Krahasuar me vitin e kaluar disbursimet për financimin e projekteve kanë qenë rreth 5.5% më të ulta. Sektorët që kanë përfituar më shumë kanë qenë transporti, energjia dhe ujësjellës kanalizime, përkatësisht me 31.8%, 28.7% dhe 20.1% të totalit të disbursimeve.</w:t>
      </w:r>
    </w:p>
    <w:p w:rsidR="00FD7719" w:rsidRPr="000F540A" w:rsidRDefault="00FD7719" w:rsidP="000F540A">
      <w:pPr>
        <w:spacing w:line="276" w:lineRule="auto"/>
        <w:jc w:val="both"/>
        <w:rPr>
          <w:rFonts w:asciiTheme="majorHAnsi" w:hAnsiTheme="majorHAnsi"/>
          <w:sz w:val="22"/>
          <w:szCs w:val="22"/>
          <w:lang w:val="sq-AL"/>
        </w:rPr>
      </w:pPr>
      <w:r w:rsidRPr="000F540A">
        <w:rPr>
          <w:rFonts w:asciiTheme="majorHAnsi" w:hAnsiTheme="majorHAnsi"/>
          <w:sz w:val="22"/>
          <w:szCs w:val="22"/>
          <w:lang w:val="sq-AL"/>
        </w:rPr>
        <w:t>Gjatë këtij viti në kuadër të financimit të projekteve, Republika e Shqipërisë ka pasur marrëdhënie dinamike me kreditorë të tillë si: Kf</w:t>
      </w:r>
      <w:r w:rsidR="00AE4BE6" w:rsidRPr="000F540A">
        <w:rPr>
          <w:rFonts w:asciiTheme="majorHAnsi" w:hAnsiTheme="majorHAnsi"/>
          <w:sz w:val="22"/>
          <w:szCs w:val="22"/>
          <w:lang w:val="sq-AL"/>
        </w:rPr>
        <w:t>W</w:t>
      </w:r>
      <w:r w:rsidRPr="000F540A">
        <w:rPr>
          <w:rFonts w:asciiTheme="majorHAnsi" w:hAnsiTheme="majorHAnsi"/>
          <w:sz w:val="22"/>
          <w:szCs w:val="22"/>
          <w:lang w:val="sq-AL"/>
        </w:rPr>
        <w:t>, IDB, IDA, IBRD, BERZH, CEB, etj, duke nënshkruar projekte të reja në vlerën e  526.0 milion Euro.</w:t>
      </w:r>
    </w:p>
    <w:p w:rsidR="00FD7719" w:rsidRPr="000F540A" w:rsidRDefault="00FD7719" w:rsidP="000F540A">
      <w:pPr>
        <w:ind w:right="-540"/>
        <w:jc w:val="both"/>
        <w:rPr>
          <w:rFonts w:asciiTheme="majorHAnsi" w:hAnsiTheme="majorHAnsi"/>
          <w:b/>
          <w:sz w:val="22"/>
          <w:szCs w:val="22"/>
          <w:u w:val="single"/>
        </w:rPr>
      </w:pPr>
    </w:p>
    <w:p w:rsidR="00FD7719" w:rsidRPr="000F540A" w:rsidRDefault="00FD7719" w:rsidP="000F540A">
      <w:pPr>
        <w:pStyle w:val="ListParagraph"/>
        <w:ind w:left="0"/>
        <w:jc w:val="both"/>
        <w:rPr>
          <w:rFonts w:asciiTheme="majorHAnsi" w:hAnsiTheme="majorHAnsi"/>
          <w:i/>
          <w:color w:val="632423" w:themeColor="accent2" w:themeShade="80"/>
          <w:sz w:val="22"/>
          <w:szCs w:val="22"/>
          <w:lang w:val="sq-AL"/>
        </w:rPr>
      </w:pPr>
      <w:r w:rsidRPr="000F540A">
        <w:rPr>
          <w:rFonts w:asciiTheme="majorHAnsi" w:hAnsiTheme="majorHAnsi"/>
          <w:b/>
          <w:color w:val="632423" w:themeColor="accent2" w:themeShade="80"/>
          <w:sz w:val="22"/>
          <w:szCs w:val="22"/>
          <w:lang w:val="sq-AL"/>
        </w:rPr>
        <w:t>Tabela 2:</w:t>
      </w:r>
      <w:r w:rsidRPr="000F540A">
        <w:rPr>
          <w:rFonts w:asciiTheme="majorHAnsi" w:hAnsiTheme="majorHAnsi"/>
          <w:color w:val="632423" w:themeColor="accent2" w:themeShade="80"/>
          <w:sz w:val="22"/>
          <w:szCs w:val="22"/>
          <w:lang w:val="sq-AL"/>
        </w:rPr>
        <w:t xml:space="preserve"> </w:t>
      </w:r>
      <w:r w:rsidRPr="000F540A">
        <w:rPr>
          <w:rFonts w:asciiTheme="majorHAnsi" w:hAnsiTheme="majorHAnsi"/>
          <w:i/>
          <w:color w:val="632423" w:themeColor="accent2" w:themeShade="80"/>
          <w:sz w:val="22"/>
          <w:szCs w:val="22"/>
          <w:lang w:val="sq-AL"/>
        </w:rPr>
        <w:t>Projekte me financim të huaj të nënshkruara gjatë vitit 2015</w:t>
      </w:r>
    </w:p>
    <w:tbl>
      <w:tblPr>
        <w:tblW w:w="0" w:type="auto"/>
        <w:jc w:val="center"/>
        <w:tblLayout w:type="fixed"/>
        <w:tblLook w:val="04A0" w:firstRow="1" w:lastRow="0" w:firstColumn="1" w:lastColumn="0" w:noHBand="0" w:noVBand="1"/>
      </w:tblPr>
      <w:tblGrid>
        <w:gridCol w:w="1169"/>
        <w:gridCol w:w="3061"/>
        <w:gridCol w:w="1701"/>
        <w:gridCol w:w="1559"/>
        <w:gridCol w:w="1041"/>
      </w:tblGrid>
      <w:tr w:rsidR="00FD7719" w:rsidRPr="000F540A" w:rsidTr="00FD7719">
        <w:trPr>
          <w:trHeight w:val="309"/>
          <w:jc w:val="center"/>
        </w:trPr>
        <w:tc>
          <w:tcPr>
            <w:tcW w:w="1169" w:type="dxa"/>
            <w:tcBorders>
              <w:top w:val="single" w:sz="8" w:space="0" w:color="FFFFFF"/>
              <w:left w:val="single" w:sz="8" w:space="0" w:color="FFFFFF"/>
              <w:bottom w:val="single" w:sz="8" w:space="0" w:color="FFFFFF"/>
              <w:right w:val="single" w:sz="8" w:space="0" w:color="FFFFFF"/>
            </w:tcBorders>
            <w:shd w:val="clear" w:color="000000" w:fill="943634" w:themeFill="accent2" w:themeFillShade="BF"/>
            <w:noWrap/>
            <w:vAlign w:val="center"/>
            <w:hideMark/>
          </w:tcPr>
          <w:p w:rsidR="00FD7719" w:rsidRPr="000F540A" w:rsidRDefault="00FD7719" w:rsidP="000F540A">
            <w:pPr>
              <w:jc w:val="both"/>
              <w:rPr>
                <w:rFonts w:asciiTheme="majorHAnsi" w:hAnsiTheme="majorHAnsi"/>
                <w:b/>
                <w:bCs/>
                <w:color w:val="FFFFFF"/>
                <w:sz w:val="22"/>
                <w:szCs w:val="22"/>
                <w:lang w:val="sq-AL" w:eastAsia="sq-AL"/>
              </w:rPr>
            </w:pPr>
            <w:r w:rsidRPr="000F540A">
              <w:rPr>
                <w:rFonts w:asciiTheme="majorHAnsi" w:eastAsia="Batang" w:hAnsiTheme="majorHAnsi"/>
                <w:b/>
                <w:bCs/>
                <w:color w:val="FFFFFF"/>
                <w:sz w:val="22"/>
                <w:szCs w:val="22"/>
              </w:rPr>
              <w:t>Kreditori</w:t>
            </w:r>
          </w:p>
        </w:tc>
        <w:tc>
          <w:tcPr>
            <w:tcW w:w="3061" w:type="dxa"/>
            <w:tcBorders>
              <w:top w:val="single" w:sz="8" w:space="0" w:color="FFFFFF"/>
              <w:left w:val="nil"/>
              <w:bottom w:val="single" w:sz="8" w:space="0" w:color="FFFFFF"/>
              <w:right w:val="single" w:sz="8" w:space="0" w:color="FFFFFF"/>
            </w:tcBorders>
            <w:shd w:val="clear" w:color="000000" w:fill="943634" w:themeFill="accent2" w:themeFillShade="BF"/>
            <w:noWrap/>
            <w:vAlign w:val="center"/>
            <w:hideMark/>
          </w:tcPr>
          <w:p w:rsidR="00FD7719" w:rsidRPr="000F540A" w:rsidRDefault="00FD7719" w:rsidP="000F540A">
            <w:pPr>
              <w:jc w:val="both"/>
              <w:rPr>
                <w:rFonts w:asciiTheme="majorHAnsi" w:hAnsiTheme="majorHAnsi"/>
                <w:b/>
                <w:bCs/>
                <w:color w:val="FFFFFF"/>
                <w:sz w:val="22"/>
                <w:szCs w:val="22"/>
                <w:lang w:val="sq-AL" w:eastAsia="sq-AL"/>
              </w:rPr>
            </w:pPr>
            <w:r w:rsidRPr="000F540A">
              <w:rPr>
                <w:rFonts w:asciiTheme="majorHAnsi" w:eastAsia="Batang" w:hAnsiTheme="majorHAnsi"/>
                <w:b/>
                <w:bCs/>
                <w:color w:val="FFFFFF"/>
                <w:sz w:val="22"/>
                <w:szCs w:val="22"/>
              </w:rPr>
              <w:t>Emri i projektit</w:t>
            </w:r>
          </w:p>
        </w:tc>
        <w:tc>
          <w:tcPr>
            <w:tcW w:w="1701" w:type="dxa"/>
            <w:tcBorders>
              <w:top w:val="single" w:sz="8" w:space="0" w:color="FFFFFF"/>
              <w:left w:val="nil"/>
              <w:bottom w:val="single" w:sz="8" w:space="0" w:color="FFFFFF"/>
              <w:right w:val="single" w:sz="8" w:space="0" w:color="FFFFFF"/>
            </w:tcBorders>
            <w:shd w:val="clear" w:color="000000" w:fill="943634" w:themeFill="accent2" w:themeFillShade="BF"/>
            <w:noWrap/>
            <w:vAlign w:val="center"/>
            <w:hideMark/>
          </w:tcPr>
          <w:p w:rsidR="00FD7719" w:rsidRPr="000F540A" w:rsidRDefault="00FD7719" w:rsidP="000F540A">
            <w:pPr>
              <w:jc w:val="both"/>
              <w:rPr>
                <w:rFonts w:asciiTheme="majorHAnsi" w:hAnsiTheme="majorHAnsi"/>
                <w:b/>
                <w:bCs/>
                <w:color w:val="FFFFFF"/>
                <w:sz w:val="22"/>
                <w:szCs w:val="22"/>
                <w:lang w:val="sq-AL" w:eastAsia="sq-AL"/>
              </w:rPr>
            </w:pPr>
            <w:r w:rsidRPr="000F540A">
              <w:rPr>
                <w:rFonts w:asciiTheme="majorHAnsi" w:eastAsia="Batang" w:hAnsiTheme="majorHAnsi"/>
                <w:b/>
                <w:bCs/>
                <w:color w:val="FFFFFF"/>
                <w:sz w:val="22"/>
                <w:szCs w:val="22"/>
              </w:rPr>
              <w:t>Dat</w:t>
            </w:r>
            <w:r w:rsidR="00477292" w:rsidRPr="000F540A">
              <w:rPr>
                <w:rFonts w:asciiTheme="majorHAnsi" w:eastAsia="Batang" w:hAnsiTheme="majorHAnsi"/>
                <w:b/>
                <w:bCs/>
                <w:color w:val="FFFFFF"/>
                <w:sz w:val="22"/>
                <w:szCs w:val="22"/>
              </w:rPr>
              <w:t xml:space="preserve">a e </w:t>
            </w:r>
            <w:r w:rsidRPr="000F540A">
              <w:rPr>
                <w:rFonts w:asciiTheme="majorHAnsi" w:eastAsia="Batang" w:hAnsiTheme="majorHAnsi"/>
                <w:b/>
                <w:bCs/>
                <w:color w:val="FFFFFF"/>
                <w:sz w:val="22"/>
                <w:szCs w:val="22"/>
              </w:rPr>
              <w:t>nënshkrimi</w:t>
            </w:r>
            <w:r w:rsidR="00477292" w:rsidRPr="000F540A">
              <w:rPr>
                <w:rFonts w:asciiTheme="majorHAnsi" w:eastAsia="Batang" w:hAnsiTheme="majorHAnsi"/>
                <w:b/>
                <w:bCs/>
                <w:color w:val="FFFFFF"/>
                <w:sz w:val="22"/>
                <w:szCs w:val="22"/>
              </w:rPr>
              <w:t>t</w:t>
            </w:r>
          </w:p>
        </w:tc>
        <w:tc>
          <w:tcPr>
            <w:tcW w:w="1559" w:type="dxa"/>
            <w:tcBorders>
              <w:top w:val="single" w:sz="8" w:space="0" w:color="FFFFFF"/>
              <w:left w:val="nil"/>
              <w:bottom w:val="single" w:sz="8" w:space="0" w:color="FFFFFF"/>
              <w:right w:val="single" w:sz="8" w:space="0" w:color="FFFFFF"/>
            </w:tcBorders>
            <w:shd w:val="clear" w:color="000000" w:fill="943634" w:themeFill="accent2" w:themeFillShade="BF"/>
            <w:noWrap/>
            <w:vAlign w:val="center"/>
            <w:hideMark/>
          </w:tcPr>
          <w:p w:rsidR="00FD7719" w:rsidRPr="000F540A" w:rsidRDefault="00FD7719" w:rsidP="000F540A">
            <w:pPr>
              <w:jc w:val="both"/>
              <w:rPr>
                <w:rFonts w:asciiTheme="majorHAnsi" w:hAnsiTheme="majorHAnsi"/>
                <w:b/>
                <w:bCs/>
                <w:color w:val="FFFFFF"/>
                <w:sz w:val="22"/>
                <w:szCs w:val="22"/>
                <w:lang w:val="sq-AL" w:eastAsia="sq-AL"/>
              </w:rPr>
            </w:pPr>
            <w:r w:rsidRPr="000F540A">
              <w:rPr>
                <w:rFonts w:asciiTheme="majorHAnsi" w:eastAsia="Batang" w:hAnsiTheme="majorHAnsi"/>
                <w:b/>
                <w:bCs/>
                <w:color w:val="FFFFFF"/>
                <w:sz w:val="22"/>
                <w:szCs w:val="22"/>
              </w:rPr>
              <w:t xml:space="preserve">Shuma </w:t>
            </w:r>
          </w:p>
        </w:tc>
        <w:tc>
          <w:tcPr>
            <w:tcW w:w="1041" w:type="dxa"/>
            <w:tcBorders>
              <w:top w:val="single" w:sz="8" w:space="0" w:color="FFFFFF"/>
              <w:left w:val="nil"/>
              <w:bottom w:val="single" w:sz="8" w:space="0" w:color="FFFFFF"/>
              <w:right w:val="single" w:sz="8" w:space="0" w:color="FFFFFF"/>
            </w:tcBorders>
            <w:shd w:val="clear" w:color="000000" w:fill="943634" w:themeFill="accent2" w:themeFillShade="BF"/>
            <w:noWrap/>
            <w:vAlign w:val="center"/>
            <w:hideMark/>
          </w:tcPr>
          <w:p w:rsidR="00FD7719" w:rsidRPr="000F540A" w:rsidRDefault="00FD7719" w:rsidP="000F540A">
            <w:pPr>
              <w:jc w:val="both"/>
              <w:rPr>
                <w:rFonts w:asciiTheme="majorHAnsi" w:hAnsiTheme="majorHAnsi"/>
                <w:b/>
                <w:bCs/>
                <w:color w:val="FFFFFF"/>
                <w:sz w:val="22"/>
                <w:szCs w:val="22"/>
                <w:lang w:val="sq-AL" w:eastAsia="sq-AL"/>
              </w:rPr>
            </w:pPr>
            <w:r w:rsidRPr="000F540A">
              <w:rPr>
                <w:rFonts w:asciiTheme="majorHAnsi" w:eastAsia="Batang" w:hAnsiTheme="majorHAnsi"/>
                <w:b/>
                <w:bCs/>
                <w:color w:val="FFFFFF"/>
                <w:sz w:val="22"/>
                <w:szCs w:val="22"/>
              </w:rPr>
              <w:t>Monedha</w:t>
            </w:r>
          </w:p>
        </w:tc>
      </w:tr>
      <w:tr w:rsidR="00FD7719" w:rsidRPr="000F540A" w:rsidTr="00FD7719">
        <w:trPr>
          <w:trHeight w:val="309"/>
          <w:jc w:val="center"/>
        </w:trPr>
        <w:tc>
          <w:tcPr>
            <w:tcW w:w="1169" w:type="dxa"/>
            <w:tcBorders>
              <w:top w:val="nil"/>
              <w:left w:val="double" w:sz="6" w:space="0" w:color="FFFFFF"/>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CEB</w:t>
            </w:r>
          </w:p>
        </w:tc>
        <w:tc>
          <w:tcPr>
            <w:tcW w:w="306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Reformimi i Qendrës Spitalore Universitare të Tiranës</w:t>
            </w:r>
          </w:p>
        </w:tc>
        <w:tc>
          <w:tcPr>
            <w:tcW w:w="170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27/01/2015</w:t>
            </w:r>
          </w:p>
        </w:tc>
        <w:tc>
          <w:tcPr>
            <w:tcW w:w="1559"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15,930,000.00</w:t>
            </w:r>
          </w:p>
        </w:tc>
        <w:tc>
          <w:tcPr>
            <w:tcW w:w="104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EUR</w:t>
            </w:r>
          </w:p>
        </w:tc>
      </w:tr>
      <w:tr w:rsidR="00FD7719" w:rsidRPr="000F540A" w:rsidTr="00FD7719">
        <w:trPr>
          <w:trHeight w:val="324"/>
          <w:jc w:val="center"/>
        </w:trPr>
        <w:tc>
          <w:tcPr>
            <w:tcW w:w="1169" w:type="dxa"/>
            <w:tcBorders>
              <w:top w:val="nil"/>
              <w:left w:val="double" w:sz="6" w:space="0" w:color="FFFFFF"/>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Kf</w:t>
            </w:r>
            <w:r w:rsidR="00AE4BE6" w:rsidRPr="000F540A">
              <w:rPr>
                <w:rFonts w:asciiTheme="majorHAnsi" w:eastAsia="Batang" w:hAnsiTheme="majorHAnsi"/>
                <w:color w:val="000000"/>
                <w:sz w:val="22"/>
                <w:szCs w:val="22"/>
              </w:rPr>
              <w:t>W</w:t>
            </w:r>
          </w:p>
        </w:tc>
        <w:tc>
          <w:tcPr>
            <w:tcW w:w="306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hAnsiTheme="majorHAnsi"/>
                <w:color w:val="000000"/>
                <w:sz w:val="22"/>
                <w:szCs w:val="22"/>
                <w:lang w:eastAsia="sq-AL"/>
              </w:rPr>
              <w:t>Furnizimi me uj</w:t>
            </w:r>
            <w:r w:rsidR="00C419FA" w:rsidRPr="000F540A">
              <w:rPr>
                <w:rFonts w:asciiTheme="majorHAnsi" w:hAnsiTheme="majorHAnsi"/>
                <w:color w:val="000000"/>
                <w:sz w:val="22"/>
                <w:szCs w:val="22"/>
                <w:lang w:eastAsia="sq-AL"/>
              </w:rPr>
              <w:t>ë</w:t>
            </w:r>
            <w:r w:rsidRPr="000F540A">
              <w:rPr>
                <w:rFonts w:asciiTheme="majorHAnsi" w:hAnsiTheme="majorHAnsi"/>
                <w:color w:val="000000"/>
                <w:sz w:val="22"/>
                <w:szCs w:val="22"/>
                <w:lang w:eastAsia="sq-AL"/>
              </w:rPr>
              <w:t xml:space="preserve"> i zonave rurale III</w:t>
            </w:r>
          </w:p>
        </w:tc>
        <w:tc>
          <w:tcPr>
            <w:tcW w:w="1701" w:type="dxa"/>
            <w:tcBorders>
              <w:top w:val="nil"/>
              <w:left w:val="nil"/>
              <w:bottom w:val="double" w:sz="6" w:space="0" w:color="FFFFFF"/>
              <w:right w:val="double" w:sz="6" w:space="0" w:color="FFFFFF"/>
            </w:tcBorders>
            <w:shd w:val="clear" w:color="auto" w:fill="auto"/>
            <w:noWrap/>
            <w:vAlign w:val="center"/>
            <w:hideMark/>
          </w:tcPr>
          <w:p w:rsidR="00FD7719" w:rsidRPr="000F540A" w:rsidRDefault="00AE4BE6"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0</w:t>
            </w:r>
            <w:r w:rsidR="00FD7719" w:rsidRPr="000F540A">
              <w:rPr>
                <w:rFonts w:asciiTheme="majorHAnsi" w:eastAsia="Batang" w:hAnsiTheme="majorHAnsi"/>
                <w:color w:val="000000"/>
                <w:sz w:val="22"/>
                <w:szCs w:val="22"/>
              </w:rPr>
              <w:t>7/</w:t>
            </w:r>
            <w:r w:rsidRPr="000F540A">
              <w:rPr>
                <w:rFonts w:asciiTheme="majorHAnsi" w:eastAsia="Batang" w:hAnsiTheme="majorHAnsi"/>
                <w:color w:val="000000"/>
                <w:sz w:val="22"/>
                <w:szCs w:val="22"/>
              </w:rPr>
              <w:t>0</w:t>
            </w:r>
            <w:r w:rsidR="00FD7719" w:rsidRPr="000F540A">
              <w:rPr>
                <w:rFonts w:asciiTheme="majorHAnsi" w:eastAsia="Batang" w:hAnsiTheme="majorHAnsi"/>
                <w:color w:val="000000"/>
                <w:sz w:val="22"/>
                <w:szCs w:val="22"/>
              </w:rPr>
              <w:t>1/2015</w:t>
            </w:r>
          </w:p>
        </w:tc>
        <w:tc>
          <w:tcPr>
            <w:tcW w:w="1559"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24,000,000.00</w:t>
            </w:r>
          </w:p>
        </w:tc>
        <w:tc>
          <w:tcPr>
            <w:tcW w:w="104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EUR</w:t>
            </w:r>
          </w:p>
        </w:tc>
      </w:tr>
      <w:tr w:rsidR="00FD7719" w:rsidRPr="000F540A" w:rsidTr="00FD7719">
        <w:trPr>
          <w:trHeight w:val="324"/>
          <w:jc w:val="center"/>
        </w:trPr>
        <w:tc>
          <w:tcPr>
            <w:tcW w:w="1169" w:type="dxa"/>
            <w:tcBorders>
              <w:top w:val="nil"/>
              <w:left w:val="double" w:sz="6" w:space="0" w:color="FFFFFF"/>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IBRD</w:t>
            </w:r>
          </w:p>
        </w:tc>
        <w:tc>
          <w:tcPr>
            <w:tcW w:w="306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Përmirësimi i sistemit shendetësor</w:t>
            </w:r>
          </w:p>
        </w:tc>
        <w:tc>
          <w:tcPr>
            <w:tcW w:w="170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24/03/2015</w:t>
            </w:r>
          </w:p>
        </w:tc>
        <w:tc>
          <w:tcPr>
            <w:tcW w:w="1559"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32,100,000.00</w:t>
            </w:r>
          </w:p>
        </w:tc>
        <w:tc>
          <w:tcPr>
            <w:tcW w:w="104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EUR</w:t>
            </w:r>
          </w:p>
        </w:tc>
      </w:tr>
      <w:tr w:rsidR="00FD7719" w:rsidRPr="000F540A" w:rsidTr="00FD7719">
        <w:trPr>
          <w:trHeight w:val="324"/>
          <w:jc w:val="center"/>
        </w:trPr>
        <w:tc>
          <w:tcPr>
            <w:tcW w:w="1169" w:type="dxa"/>
            <w:tcBorders>
              <w:top w:val="nil"/>
              <w:left w:val="double" w:sz="6" w:space="0" w:color="FFFFFF"/>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IBRD</w:t>
            </w:r>
          </w:p>
        </w:tc>
        <w:tc>
          <w:tcPr>
            <w:tcW w:w="306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Mirëmbajtja dhe siguria rrugore</w:t>
            </w:r>
          </w:p>
        </w:tc>
        <w:tc>
          <w:tcPr>
            <w:tcW w:w="170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10/</w:t>
            </w:r>
            <w:r w:rsidR="00AE4BE6" w:rsidRPr="000F540A">
              <w:rPr>
                <w:rFonts w:asciiTheme="majorHAnsi" w:eastAsia="Batang" w:hAnsiTheme="majorHAnsi"/>
                <w:color w:val="000000"/>
                <w:sz w:val="22"/>
                <w:szCs w:val="22"/>
              </w:rPr>
              <w:t>0</w:t>
            </w:r>
            <w:r w:rsidRPr="000F540A">
              <w:rPr>
                <w:rFonts w:asciiTheme="majorHAnsi" w:eastAsia="Batang" w:hAnsiTheme="majorHAnsi"/>
                <w:color w:val="000000"/>
                <w:sz w:val="22"/>
                <w:szCs w:val="22"/>
              </w:rPr>
              <w:t>4/2015</w:t>
            </w:r>
          </w:p>
        </w:tc>
        <w:tc>
          <w:tcPr>
            <w:tcW w:w="1559"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65,900,000.00</w:t>
            </w:r>
          </w:p>
        </w:tc>
        <w:tc>
          <w:tcPr>
            <w:tcW w:w="104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EUR</w:t>
            </w:r>
          </w:p>
        </w:tc>
      </w:tr>
      <w:tr w:rsidR="00FD7719" w:rsidRPr="000F540A" w:rsidTr="00FD7719">
        <w:trPr>
          <w:trHeight w:val="324"/>
          <w:jc w:val="center"/>
        </w:trPr>
        <w:tc>
          <w:tcPr>
            <w:tcW w:w="1169" w:type="dxa"/>
            <w:tcBorders>
              <w:top w:val="nil"/>
              <w:left w:val="double" w:sz="6" w:space="0" w:color="FFFFFF"/>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CEB</w:t>
            </w:r>
          </w:p>
        </w:tc>
        <w:tc>
          <w:tcPr>
            <w:tcW w:w="306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Punët e komunitetit IV</w:t>
            </w:r>
          </w:p>
        </w:tc>
        <w:tc>
          <w:tcPr>
            <w:tcW w:w="170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21/</w:t>
            </w:r>
            <w:r w:rsidR="00AE4BE6" w:rsidRPr="000F540A">
              <w:rPr>
                <w:rFonts w:asciiTheme="majorHAnsi" w:eastAsia="Batang" w:hAnsiTheme="majorHAnsi"/>
                <w:color w:val="000000"/>
                <w:sz w:val="22"/>
                <w:szCs w:val="22"/>
              </w:rPr>
              <w:t>0</w:t>
            </w:r>
            <w:r w:rsidRPr="000F540A">
              <w:rPr>
                <w:rFonts w:asciiTheme="majorHAnsi" w:eastAsia="Batang" w:hAnsiTheme="majorHAnsi"/>
                <w:color w:val="000000"/>
                <w:sz w:val="22"/>
                <w:szCs w:val="22"/>
              </w:rPr>
              <w:t>5/2015</w:t>
            </w:r>
          </w:p>
        </w:tc>
        <w:tc>
          <w:tcPr>
            <w:tcW w:w="1559"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28,700,000.00</w:t>
            </w:r>
          </w:p>
        </w:tc>
        <w:tc>
          <w:tcPr>
            <w:tcW w:w="104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EUR</w:t>
            </w:r>
          </w:p>
        </w:tc>
      </w:tr>
      <w:tr w:rsidR="00FD7719" w:rsidRPr="000F540A" w:rsidTr="00FD7719">
        <w:trPr>
          <w:trHeight w:val="309"/>
          <w:jc w:val="center"/>
        </w:trPr>
        <w:tc>
          <w:tcPr>
            <w:tcW w:w="1169" w:type="dxa"/>
            <w:tcBorders>
              <w:top w:val="nil"/>
              <w:left w:val="double" w:sz="6" w:space="0" w:color="FFFFFF"/>
              <w:bottom w:val="nil"/>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hAnsiTheme="majorHAnsi"/>
                <w:color w:val="000000"/>
                <w:sz w:val="22"/>
                <w:szCs w:val="22"/>
                <w:lang w:val="sq-AL" w:eastAsia="sq-AL"/>
              </w:rPr>
              <w:t xml:space="preserve">Deutsche Bank  </w:t>
            </w:r>
          </w:p>
        </w:tc>
        <w:tc>
          <w:tcPr>
            <w:tcW w:w="3061" w:type="dxa"/>
            <w:tcBorders>
              <w:top w:val="nil"/>
              <w:left w:val="nil"/>
              <w:bottom w:val="nil"/>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hAnsiTheme="majorHAnsi"/>
                <w:color w:val="000000"/>
                <w:sz w:val="22"/>
                <w:szCs w:val="22"/>
                <w:lang w:val="sq-AL" w:eastAsia="sq-AL"/>
              </w:rPr>
              <w:t>Radio Televizioni Shqiptar</w:t>
            </w:r>
          </w:p>
        </w:tc>
        <w:tc>
          <w:tcPr>
            <w:tcW w:w="1701" w:type="dxa"/>
            <w:tcBorders>
              <w:top w:val="nil"/>
              <w:left w:val="nil"/>
              <w:bottom w:val="nil"/>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hAnsiTheme="majorHAnsi"/>
                <w:color w:val="000000"/>
                <w:sz w:val="22"/>
                <w:szCs w:val="22"/>
                <w:lang w:val="sq-AL" w:eastAsia="sq-AL"/>
              </w:rPr>
              <w:t>11/06/2015</w:t>
            </w:r>
          </w:p>
        </w:tc>
        <w:tc>
          <w:tcPr>
            <w:tcW w:w="1559" w:type="dxa"/>
            <w:tcBorders>
              <w:top w:val="nil"/>
              <w:left w:val="nil"/>
              <w:bottom w:val="nil"/>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hAnsiTheme="majorHAnsi"/>
                <w:color w:val="000000"/>
                <w:sz w:val="22"/>
                <w:szCs w:val="22"/>
                <w:lang w:val="sq-AL" w:eastAsia="sq-AL"/>
              </w:rPr>
              <w:t>20,064,590.55</w:t>
            </w:r>
          </w:p>
        </w:tc>
        <w:tc>
          <w:tcPr>
            <w:tcW w:w="1041" w:type="dxa"/>
            <w:tcBorders>
              <w:top w:val="nil"/>
              <w:left w:val="nil"/>
              <w:bottom w:val="nil"/>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hAnsiTheme="majorHAnsi"/>
                <w:color w:val="000000"/>
                <w:sz w:val="22"/>
                <w:szCs w:val="22"/>
                <w:lang w:val="sq-AL" w:eastAsia="sq-AL"/>
              </w:rPr>
              <w:t>EUR</w:t>
            </w:r>
          </w:p>
        </w:tc>
      </w:tr>
      <w:tr w:rsidR="00FD7719" w:rsidRPr="000F540A" w:rsidTr="00FD7719">
        <w:trPr>
          <w:trHeight w:val="309"/>
          <w:jc w:val="center"/>
        </w:trPr>
        <w:tc>
          <w:tcPr>
            <w:tcW w:w="1169" w:type="dxa"/>
            <w:tcBorders>
              <w:top w:val="nil"/>
              <w:left w:val="double" w:sz="6" w:space="0" w:color="FFFFFF"/>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hAnsiTheme="majorHAnsi"/>
                <w:color w:val="000000"/>
                <w:sz w:val="22"/>
                <w:szCs w:val="22"/>
                <w:lang w:val="sq-AL" w:eastAsia="sq-AL"/>
              </w:rPr>
              <w:t xml:space="preserve">Deutsche Bank  </w:t>
            </w:r>
          </w:p>
        </w:tc>
        <w:tc>
          <w:tcPr>
            <w:tcW w:w="306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Garancia e bazuar në politika</w:t>
            </w:r>
          </w:p>
        </w:tc>
        <w:tc>
          <w:tcPr>
            <w:tcW w:w="170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15/06/2015</w:t>
            </w:r>
          </w:p>
        </w:tc>
        <w:tc>
          <w:tcPr>
            <w:tcW w:w="1559"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250,000,000.00</w:t>
            </w:r>
          </w:p>
        </w:tc>
        <w:tc>
          <w:tcPr>
            <w:tcW w:w="1041" w:type="dxa"/>
            <w:tcBorders>
              <w:top w:val="nil"/>
              <w:left w:val="nil"/>
              <w:bottom w:val="double" w:sz="6" w:space="0" w:color="FFFFFF"/>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EUR</w:t>
            </w:r>
          </w:p>
        </w:tc>
      </w:tr>
      <w:tr w:rsidR="00FD7719" w:rsidRPr="000F540A" w:rsidTr="00FD7719">
        <w:trPr>
          <w:trHeight w:val="309"/>
          <w:jc w:val="center"/>
        </w:trPr>
        <w:tc>
          <w:tcPr>
            <w:tcW w:w="1169" w:type="dxa"/>
            <w:tcBorders>
              <w:top w:val="nil"/>
              <w:left w:val="double" w:sz="6" w:space="0" w:color="FFFFFF"/>
              <w:bottom w:val="nil"/>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Kf</w:t>
            </w:r>
            <w:r w:rsidR="00AE4BE6" w:rsidRPr="000F540A">
              <w:rPr>
                <w:rFonts w:asciiTheme="majorHAnsi" w:eastAsia="Batang" w:hAnsiTheme="majorHAnsi"/>
                <w:color w:val="000000"/>
                <w:sz w:val="22"/>
                <w:szCs w:val="22"/>
              </w:rPr>
              <w:t>W</w:t>
            </w:r>
          </w:p>
        </w:tc>
        <w:tc>
          <w:tcPr>
            <w:tcW w:w="3061" w:type="dxa"/>
            <w:tcBorders>
              <w:top w:val="nil"/>
              <w:left w:val="nil"/>
              <w:bottom w:val="nil"/>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Projekti i eficencës në energji</w:t>
            </w:r>
          </w:p>
        </w:tc>
        <w:tc>
          <w:tcPr>
            <w:tcW w:w="1701" w:type="dxa"/>
            <w:tcBorders>
              <w:top w:val="nil"/>
              <w:left w:val="nil"/>
              <w:bottom w:val="nil"/>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15/06/2015</w:t>
            </w:r>
          </w:p>
        </w:tc>
        <w:tc>
          <w:tcPr>
            <w:tcW w:w="1559" w:type="dxa"/>
            <w:tcBorders>
              <w:top w:val="nil"/>
              <w:left w:val="nil"/>
              <w:bottom w:val="nil"/>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40,000,000.00</w:t>
            </w:r>
          </w:p>
        </w:tc>
        <w:tc>
          <w:tcPr>
            <w:tcW w:w="1041" w:type="dxa"/>
            <w:tcBorders>
              <w:top w:val="nil"/>
              <w:left w:val="nil"/>
              <w:bottom w:val="nil"/>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EUR</w:t>
            </w:r>
          </w:p>
        </w:tc>
      </w:tr>
      <w:tr w:rsidR="00FD7719" w:rsidRPr="000F540A" w:rsidTr="00FD7719">
        <w:trPr>
          <w:trHeight w:val="295"/>
          <w:jc w:val="center"/>
        </w:trPr>
        <w:tc>
          <w:tcPr>
            <w:tcW w:w="1169" w:type="dxa"/>
            <w:tcBorders>
              <w:top w:val="nil"/>
              <w:left w:val="nil"/>
              <w:bottom w:val="nil"/>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Kf</w:t>
            </w:r>
            <w:r w:rsidR="00AE4BE6" w:rsidRPr="000F540A">
              <w:rPr>
                <w:rFonts w:asciiTheme="majorHAnsi" w:eastAsia="Batang" w:hAnsiTheme="majorHAnsi"/>
                <w:color w:val="000000"/>
                <w:sz w:val="22"/>
                <w:szCs w:val="22"/>
              </w:rPr>
              <w:t>W</w:t>
            </w:r>
          </w:p>
        </w:tc>
        <w:tc>
          <w:tcPr>
            <w:tcW w:w="3061" w:type="dxa"/>
            <w:tcBorders>
              <w:top w:val="nil"/>
              <w:left w:val="nil"/>
              <w:bottom w:val="nil"/>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lang w:val="sq-AL"/>
              </w:rPr>
              <w:t>Fuqia energjitike dhe siguria e digës në kaskadën e Drinit</w:t>
            </w:r>
          </w:p>
        </w:tc>
        <w:tc>
          <w:tcPr>
            <w:tcW w:w="1701" w:type="dxa"/>
            <w:tcBorders>
              <w:top w:val="nil"/>
              <w:left w:val="nil"/>
              <w:bottom w:val="nil"/>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30/06/2015</w:t>
            </w:r>
          </w:p>
        </w:tc>
        <w:tc>
          <w:tcPr>
            <w:tcW w:w="1559" w:type="dxa"/>
            <w:tcBorders>
              <w:top w:val="nil"/>
              <w:left w:val="nil"/>
              <w:bottom w:val="nil"/>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20,000,000.00</w:t>
            </w:r>
          </w:p>
        </w:tc>
        <w:tc>
          <w:tcPr>
            <w:tcW w:w="1041" w:type="dxa"/>
            <w:tcBorders>
              <w:top w:val="nil"/>
              <w:left w:val="nil"/>
              <w:bottom w:val="nil"/>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EUR</w:t>
            </w:r>
          </w:p>
        </w:tc>
      </w:tr>
      <w:tr w:rsidR="00FD7719" w:rsidRPr="000F540A" w:rsidTr="00FD7719">
        <w:trPr>
          <w:trHeight w:val="309"/>
          <w:jc w:val="center"/>
        </w:trPr>
        <w:tc>
          <w:tcPr>
            <w:tcW w:w="1169" w:type="dxa"/>
            <w:tcBorders>
              <w:top w:val="nil"/>
              <w:left w:val="nil"/>
              <w:bottom w:val="double" w:sz="6" w:space="0" w:color="auto"/>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IBRD</w:t>
            </w:r>
          </w:p>
        </w:tc>
        <w:tc>
          <w:tcPr>
            <w:tcW w:w="3061" w:type="dxa"/>
            <w:tcBorders>
              <w:top w:val="nil"/>
              <w:left w:val="nil"/>
              <w:bottom w:val="double" w:sz="6" w:space="0" w:color="auto"/>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hAnsiTheme="majorHAnsi"/>
                <w:color w:val="000000"/>
                <w:sz w:val="22"/>
                <w:szCs w:val="22"/>
                <w:lang w:val="sq-AL" w:eastAsia="sq-AL"/>
              </w:rPr>
              <w:t>Ofrimi i Shërbimeve me në qëndër qytetarin</w:t>
            </w:r>
          </w:p>
        </w:tc>
        <w:tc>
          <w:tcPr>
            <w:tcW w:w="1701" w:type="dxa"/>
            <w:tcBorders>
              <w:top w:val="nil"/>
              <w:left w:val="nil"/>
              <w:bottom w:val="double" w:sz="6" w:space="0" w:color="auto"/>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hAnsiTheme="majorHAnsi"/>
                <w:color w:val="000000"/>
                <w:sz w:val="22"/>
                <w:szCs w:val="22"/>
                <w:lang w:val="sq-AL" w:eastAsia="sq-AL"/>
              </w:rPr>
              <w:t>23/09/2015</w:t>
            </w:r>
          </w:p>
        </w:tc>
        <w:tc>
          <w:tcPr>
            <w:tcW w:w="1559" w:type="dxa"/>
            <w:tcBorders>
              <w:top w:val="nil"/>
              <w:left w:val="nil"/>
              <w:bottom w:val="double" w:sz="6" w:space="0" w:color="auto"/>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hAnsiTheme="majorHAnsi"/>
                <w:color w:val="000000"/>
                <w:sz w:val="22"/>
                <w:szCs w:val="22"/>
                <w:lang w:val="sq-AL" w:eastAsia="sq-AL"/>
              </w:rPr>
              <w:t>29,300,000.00</w:t>
            </w:r>
          </w:p>
        </w:tc>
        <w:tc>
          <w:tcPr>
            <w:tcW w:w="1041" w:type="dxa"/>
            <w:tcBorders>
              <w:top w:val="nil"/>
              <w:left w:val="nil"/>
              <w:bottom w:val="double" w:sz="6" w:space="0" w:color="auto"/>
              <w:right w:val="nil"/>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hAnsiTheme="majorHAnsi"/>
                <w:color w:val="000000"/>
                <w:sz w:val="22"/>
                <w:szCs w:val="22"/>
                <w:lang w:val="sq-AL" w:eastAsia="sq-AL"/>
              </w:rPr>
              <w:t>EUR</w:t>
            </w:r>
          </w:p>
        </w:tc>
      </w:tr>
      <w:tr w:rsidR="00FD7719" w:rsidRPr="000F540A" w:rsidTr="00FD7719">
        <w:trPr>
          <w:trHeight w:val="324"/>
          <w:jc w:val="center"/>
        </w:trPr>
        <w:tc>
          <w:tcPr>
            <w:tcW w:w="1169" w:type="dxa"/>
            <w:tcBorders>
              <w:top w:val="nil"/>
              <w:left w:val="double" w:sz="6" w:space="0" w:color="FFFFFF"/>
              <w:bottom w:val="double" w:sz="6" w:space="0" w:color="auto"/>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 </w:t>
            </w:r>
          </w:p>
        </w:tc>
        <w:tc>
          <w:tcPr>
            <w:tcW w:w="3061" w:type="dxa"/>
            <w:tcBorders>
              <w:top w:val="nil"/>
              <w:left w:val="nil"/>
              <w:bottom w:val="double" w:sz="6" w:space="0" w:color="auto"/>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 </w:t>
            </w:r>
          </w:p>
        </w:tc>
        <w:tc>
          <w:tcPr>
            <w:tcW w:w="1701" w:type="dxa"/>
            <w:tcBorders>
              <w:top w:val="nil"/>
              <w:left w:val="nil"/>
              <w:bottom w:val="double" w:sz="6" w:space="0" w:color="auto"/>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 </w:t>
            </w:r>
          </w:p>
        </w:tc>
        <w:tc>
          <w:tcPr>
            <w:tcW w:w="1559" w:type="dxa"/>
            <w:tcBorders>
              <w:top w:val="nil"/>
              <w:left w:val="nil"/>
              <w:bottom w:val="double" w:sz="6" w:space="0" w:color="auto"/>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b/>
                <w:bCs/>
                <w:color w:val="000000"/>
                <w:sz w:val="22"/>
                <w:szCs w:val="22"/>
                <w:lang w:val="sq-AL" w:eastAsia="sq-AL"/>
              </w:rPr>
            </w:pPr>
            <w:r w:rsidRPr="000F540A">
              <w:rPr>
                <w:rFonts w:asciiTheme="majorHAnsi" w:hAnsiTheme="majorHAnsi"/>
                <w:b/>
                <w:bCs/>
                <w:color w:val="000000"/>
                <w:sz w:val="22"/>
                <w:szCs w:val="22"/>
                <w:lang w:val="sq-AL" w:eastAsia="sq-AL"/>
              </w:rPr>
              <w:t>525.994.590,55</w:t>
            </w:r>
          </w:p>
        </w:tc>
        <w:tc>
          <w:tcPr>
            <w:tcW w:w="1041" w:type="dxa"/>
            <w:tcBorders>
              <w:top w:val="nil"/>
              <w:left w:val="nil"/>
              <w:bottom w:val="double" w:sz="6" w:space="0" w:color="auto"/>
              <w:right w:val="double" w:sz="6" w:space="0" w:color="FFFFFF"/>
            </w:tcBorders>
            <w:shd w:val="clear" w:color="auto" w:fill="auto"/>
            <w:noWrap/>
            <w:vAlign w:val="center"/>
            <w:hideMark/>
          </w:tcPr>
          <w:p w:rsidR="00FD7719" w:rsidRPr="000F540A" w:rsidRDefault="00FD7719" w:rsidP="000F540A">
            <w:pPr>
              <w:jc w:val="both"/>
              <w:rPr>
                <w:rFonts w:asciiTheme="majorHAnsi" w:hAnsiTheme="majorHAnsi"/>
                <w:color w:val="000000"/>
                <w:sz w:val="22"/>
                <w:szCs w:val="22"/>
                <w:lang w:val="sq-AL" w:eastAsia="sq-AL"/>
              </w:rPr>
            </w:pPr>
            <w:r w:rsidRPr="000F540A">
              <w:rPr>
                <w:rFonts w:asciiTheme="majorHAnsi" w:eastAsia="Batang" w:hAnsiTheme="majorHAnsi"/>
                <w:color w:val="000000"/>
                <w:sz w:val="22"/>
                <w:szCs w:val="22"/>
              </w:rPr>
              <w:t>EUR</w:t>
            </w:r>
          </w:p>
        </w:tc>
      </w:tr>
    </w:tbl>
    <w:p w:rsidR="00FD7719" w:rsidRPr="000F540A" w:rsidRDefault="00FD7719" w:rsidP="000F540A">
      <w:pPr>
        <w:tabs>
          <w:tab w:val="left" w:pos="2730"/>
        </w:tabs>
        <w:jc w:val="both"/>
        <w:rPr>
          <w:rFonts w:asciiTheme="majorHAnsi" w:hAnsiTheme="majorHAnsi"/>
          <w:i/>
          <w:sz w:val="22"/>
          <w:szCs w:val="22"/>
        </w:rPr>
      </w:pPr>
      <w:r w:rsidRPr="000F540A">
        <w:rPr>
          <w:rFonts w:asciiTheme="majorHAnsi" w:hAnsiTheme="majorHAnsi"/>
          <w:b/>
          <w:sz w:val="22"/>
          <w:szCs w:val="22"/>
        </w:rPr>
        <w:t>Burimi:</w:t>
      </w:r>
      <w:r w:rsidRPr="000F540A">
        <w:rPr>
          <w:rFonts w:asciiTheme="majorHAnsi" w:hAnsiTheme="majorHAnsi"/>
          <w:b/>
          <w:i/>
          <w:sz w:val="22"/>
          <w:szCs w:val="22"/>
        </w:rPr>
        <w:t xml:space="preserve"> </w:t>
      </w:r>
      <w:r w:rsidRPr="000F540A">
        <w:rPr>
          <w:rFonts w:asciiTheme="majorHAnsi" w:hAnsiTheme="majorHAnsi"/>
          <w:i/>
          <w:sz w:val="22"/>
          <w:szCs w:val="22"/>
        </w:rPr>
        <w:t>Ministria e Financave (201</w:t>
      </w:r>
      <w:r w:rsidR="00AE4BE6" w:rsidRPr="000F540A">
        <w:rPr>
          <w:rFonts w:asciiTheme="majorHAnsi" w:hAnsiTheme="majorHAnsi"/>
          <w:i/>
          <w:sz w:val="22"/>
          <w:szCs w:val="22"/>
        </w:rPr>
        <w:t>5</w:t>
      </w:r>
      <w:r w:rsidRPr="000F540A">
        <w:rPr>
          <w:rFonts w:asciiTheme="majorHAnsi" w:hAnsiTheme="majorHAnsi"/>
          <w:i/>
          <w:sz w:val="22"/>
          <w:szCs w:val="22"/>
        </w:rPr>
        <w:t>)</w:t>
      </w:r>
    </w:p>
    <w:p w:rsidR="00610F07" w:rsidRPr="000F540A" w:rsidRDefault="00610F07" w:rsidP="000F540A">
      <w:pPr>
        <w:tabs>
          <w:tab w:val="left" w:pos="2730"/>
        </w:tabs>
        <w:jc w:val="both"/>
        <w:rPr>
          <w:rFonts w:asciiTheme="majorHAnsi" w:hAnsiTheme="majorHAnsi"/>
          <w:i/>
          <w:sz w:val="22"/>
          <w:szCs w:val="22"/>
        </w:rPr>
      </w:pPr>
    </w:p>
    <w:p w:rsidR="00FD7719" w:rsidRPr="000F540A" w:rsidRDefault="00610F07" w:rsidP="000F540A">
      <w:pPr>
        <w:tabs>
          <w:tab w:val="left" w:pos="2730"/>
        </w:tabs>
        <w:jc w:val="both"/>
        <w:rPr>
          <w:rFonts w:asciiTheme="majorHAnsi" w:hAnsiTheme="majorHAnsi"/>
          <w:b/>
          <w:sz w:val="22"/>
          <w:szCs w:val="22"/>
          <w:lang w:val="sq-AL"/>
        </w:rPr>
      </w:pPr>
      <w:r w:rsidRPr="000F540A">
        <w:rPr>
          <w:rFonts w:asciiTheme="majorHAnsi" w:hAnsiTheme="majorHAnsi"/>
          <w:b/>
          <w:sz w:val="22"/>
          <w:szCs w:val="22"/>
          <w:lang w:val="sq-AL"/>
        </w:rPr>
        <w:t>2.</w:t>
      </w:r>
      <w:r w:rsidRPr="000F540A">
        <w:rPr>
          <w:rFonts w:asciiTheme="majorHAnsi" w:hAnsiTheme="majorHAnsi"/>
          <w:b/>
          <w:color w:val="FFFFFF" w:themeColor="background1"/>
          <w:sz w:val="22"/>
          <w:szCs w:val="22"/>
          <w:lang w:val="sq-AL"/>
        </w:rPr>
        <w:t>...</w:t>
      </w:r>
      <w:r w:rsidRPr="000F540A">
        <w:rPr>
          <w:rFonts w:asciiTheme="majorHAnsi" w:hAnsiTheme="majorHAnsi"/>
          <w:b/>
          <w:sz w:val="22"/>
          <w:szCs w:val="22"/>
          <w:lang w:val="sq-AL"/>
        </w:rPr>
        <w:t>Menaxhimi i rreziqeve</w:t>
      </w:r>
    </w:p>
    <w:p w:rsidR="00C81BF8" w:rsidRPr="000F540A" w:rsidRDefault="00C81BF8" w:rsidP="000F540A">
      <w:pPr>
        <w:jc w:val="both"/>
        <w:rPr>
          <w:rFonts w:asciiTheme="majorHAnsi" w:hAnsiTheme="majorHAnsi"/>
          <w:sz w:val="22"/>
          <w:szCs w:val="22"/>
          <w:lang w:val="sq-AL"/>
        </w:rPr>
      </w:pPr>
    </w:p>
    <w:p w:rsidR="00C81BF8" w:rsidRPr="000F540A" w:rsidRDefault="00C81BF8" w:rsidP="000F540A">
      <w:pPr>
        <w:jc w:val="both"/>
        <w:rPr>
          <w:rFonts w:asciiTheme="majorHAnsi" w:hAnsiTheme="majorHAnsi"/>
          <w:sz w:val="22"/>
          <w:szCs w:val="22"/>
          <w:lang w:val="sq-AL"/>
        </w:rPr>
      </w:pPr>
      <w:r w:rsidRPr="000F540A">
        <w:rPr>
          <w:rFonts w:asciiTheme="majorHAnsi" w:hAnsiTheme="majorHAnsi"/>
          <w:sz w:val="22"/>
          <w:szCs w:val="22"/>
          <w:lang w:val="sq-AL"/>
        </w:rPr>
        <w:t>Viti 2015 ka qënë një vit mjaft pozitiv në kuadër të uljes së ekspozimit ndaj rreziqeve që mbart borxhi. Rreziqet që lidhen me borxhin janë ulur ose janë mbajtur nën kontroll në përputhje me objektivat strategjik</w:t>
      </w:r>
      <w:r w:rsidR="00107342" w:rsidRPr="000F540A">
        <w:rPr>
          <w:rFonts w:asciiTheme="majorHAnsi" w:hAnsiTheme="majorHAnsi"/>
          <w:sz w:val="22"/>
          <w:szCs w:val="22"/>
          <w:lang w:val="sq-AL"/>
        </w:rPr>
        <w:t>e</w:t>
      </w:r>
      <w:r w:rsidRPr="000F540A">
        <w:rPr>
          <w:rFonts w:asciiTheme="majorHAnsi" w:hAnsiTheme="majorHAnsi"/>
          <w:sz w:val="22"/>
          <w:szCs w:val="22"/>
          <w:lang w:val="sq-AL"/>
        </w:rPr>
        <w:t xml:space="preserve"> të vendosura në strategjinë paraardhëse. </w:t>
      </w:r>
    </w:p>
    <w:p w:rsidR="00C81BF8" w:rsidRPr="000F540A" w:rsidRDefault="00C81BF8" w:rsidP="000F540A">
      <w:pPr>
        <w:jc w:val="both"/>
        <w:rPr>
          <w:rFonts w:asciiTheme="majorHAnsi" w:hAnsiTheme="majorHAnsi"/>
          <w:sz w:val="22"/>
          <w:szCs w:val="22"/>
          <w:lang w:val="sq-AL"/>
        </w:rPr>
      </w:pPr>
      <w:r w:rsidRPr="000F540A">
        <w:rPr>
          <w:rFonts w:asciiTheme="majorHAnsi" w:hAnsiTheme="majorHAnsi"/>
          <w:sz w:val="22"/>
          <w:szCs w:val="22"/>
          <w:lang w:val="sq-AL"/>
        </w:rPr>
        <w:lastRenderedPageBreak/>
        <w:t xml:space="preserve">Ulja e rrezikut të rifinancimit dhe atij të normave të interesit kanë ardhur kryesisht si rezultat i uljes së peshës së titujve afatshkurtër dhe uljes së peshës së titujve me norma interesi të ndryshueshme në portofolin e borxhit të brendshëm. Në këtë drejtim ka kontribuar ulja e financimit të brendshëm si rezultat i shtesës së financimit të huaj nga instrumenti i PBG </w:t>
      </w:r>
      <w:r w:rsidRPr="000F540A">
        <w:rPr>
          <w:rFonts w:asciiTheme="majorHAnsi" w:hAnsiTheme="majorHAnsi"/>
          <w:i/>
          <w:sz w:val="22"/>
          <w:szCs w:val="22"/>
          <w:lang w:val="sq-AL"/>
        </w:rPr>
        <w:t>(+250 milion Euro)</w:t>
      </w:r>
      <w:r w:rsidRPr="000F540A">
        <w:rPr>
          <w:rFonts w:asciiTheme="majorHAnsi" w:hAnsiTheme="majorHAnsi"/>
          <w:sz w:val="22"/>
          <w:szCs w:val="22"/>
          <w:lang w:val="sq-AL"/>
        </w:rPr>
        <w:t xml:space="preserve"> dhe Eurobondi </w:t>
      </w:r>
      <w:r w:rsidRPr="000F540A">
        <w:rPr>
          <w:rFonts w:asciiTheme="majorHAnsi" w:hAnsiTheme="majorHAnsi"/>
          <w:i/>
          <w:sz w:val="22"/>
          <w:szCs w:val="22"/>
          <w:lang w:val="sq-AL"/>
        </w:rPr>
        <w:t>(+150 milion Euro),</w:t>
      </w:r>
      <w:r w:rsidRPr="000F540A">
        <w:rPr>
          <w:rFonts w:asciiTheme="majorHAnsi" w:hAnsiTheme="majorHAnsi"/>
          <w:sz w:val="22"/>
          <w:szCs w:val="22"/>
          <w:lang w:val="sq-AL"/>
        </w:rPr>
        <w:t xml:space="preserve"> si edhe kërkesa e kënaqshme për titujt shtetërorë afatgjatë. Ulja e</w:t>
      </w:r>
      <w:r w:rsidR="000F2E94" w:rsidRPr="000F540A">
        <w:rPr>
          <w:rFonts w:asciiTheme="majorHAnsi" w:hAnsiTheme="majorHAnsi"/>
          <w:sz w:val="22"/>
          <w:szCs w:val="22"/>
          <w:lang w:val="sq-AL"/>
        </w:rPr>
        <w:t xml:space="preserve"> financimit të brendshëm përveç</w:t>
      </w:r>
      <w:r w:rsidRPr="000F540A">
        <w:rPr>
          <w:rFonts w:asciiTheme="majorHAnsi" w:hAnsiTheme="majorHAnsi"/>
          <w:sz w:val="22"/>
          <w:szCs w:val="22"/>
          <w:lang w:val="sq-AL"/>
        </w:rPr>
        <w:t xml:space="preserve">se ka ulur presionin e ofertës për titujt shtetërorë nga ana e Qeverisë, ka bërë të mundur edhe maturimin e titujve </w:t>
      </w:r>
      <w:r w:rsidRPr="000F540A">
        <w:rPr>
          <w:rFonts w:asciiTheme="majorHAnsi" w:hAnsiTheme="majorHAnsi"/>
          <w:i/>
          <w:sz w:val="22"/>
          <w:szCs w:val="22"/>
          <w:lang w:val="sq-AL"/>
        </w:rPr>
        <w:t xml:space="preserve">(maturimi nëpërmjet procedurës Buyback) </w:t>
      </w:r>
      <w:r w:rsidRPr="000F540A">
        <w:rPr>
          <w:rFonts w:asciiTheme="majorHAnsi" w:hAnsiTheme="majorHAnsi"/>
          <w:sz w:val="22"/>
          <w:szCs w:val="22"/>
          <w:lang w:val="sq-AL"/>
        </w:rPr>
        <w:t xml:space="preserve">me maturitet të mbetur relativisht të ulët, duke kontribuar në përmirësimin e strukturës së borxhit të brendshëm përtej pritshmërive.   </w:t>
      </w:r>
    </w:p>
    <w:p w:rsidR="00C81BF8" w:rsidRPr="000F540A" w:rsidRDefault="00C81BF8" w:rsidP="000F540A">
      <w:pPr>
        <w:jc w:val="both"/>
        <w:rPr>
          <w:rFonts w:asciiTheme="majorHAnsi" w:hAnsiTheme="majorHAnsi"/>
          <w:sz w:val="22"/>
          <w:szCs w:val="22"/>
          <w:lang w:val="sq-AL"/>
        </w:rPr>
      </w:pPr>
      <w:r w:rsidRPr="000F540A">
        <w:rPr>
          <w:rFonts w:asciiTheme="majorHAnsi" w:hAnsiTheme="majorHAnsi"/>
          <w:sz w:val="22"/>
          <w:szCs w:val="22"/>
          <w:lang w:val="sq-AL"/>
        </w:rPr>
        <w:t>Megjithëse rreziku i kursit të këmbimit ka devijuar nga objektivi fillestar i strategjisë, ai mbetet nën kontroll. Devijimi ka qënë i moderuar dhe përfitimet  nga ky devijim në kuadër të uljes së ekspozimit ndaj rrezikut të rifinancimit dhe rrezikut të normave të interesit në tregun e brendshëm kanë qënë më të larta. Nga ana tjetër, rritja e financimit të huaj ka kontribuar edhe në uljen e presionit të normave të interesit në tregun e brendshëm duke ulur kostot e borxhit.</w:t>
      </w:r>
    </w:p>
    <w:p w:rsidR="00C81BF8" w:rsidRPr="000F540A" w:rsidRDefault="00C81BF8" w:rsidP="000F540A">
      <w:pPr>
        <w:jc w:val="both"/>
        <w:rPr>
          <w:rFonts w:asciiTheme="majorHAnsi" w:hAnsiTheme="majorHAnsi"/>
          <w:sz w:val="22"/>
          <w:szCs w:val="22"/>
          <w:lang w:val="sq-AL"/>
        </w:rPr>
      </w:pPr>
    </w:p>
    <w:p w:rsidR="00C81BF8" w:rsidRPr="000F540A" w:rsidRDefault="00C81BF8" w:rsidP="000F540A">
      <w:pPr>
        <w:pStyle w:val="Heading4"/>
        <w:numPr>
          <w:ilvl w:val="1"/>
          <w:numId w:val="25"/>
        </w:numPr>
        <w:ind w:left="567" w:hanging="567"/>
        <w:jc w:val="both"/>
        <w:rPr>
          <w:sz w:val="22"/>
          <w:szCs w:val="22"/>
        </w:rPr>
      </w:pPr>
      <w:r w:rsidRPr="000F540A">
        <w:rPr>
          <w:sz w:val="22"/>
          <w:szCs w:val="22"/>
        </w:rPr>
        <w:t>Rreziku i rifinancimit</w:t>
      </w:r>
    </w:p>
    <w:p w:rsidR="00C81BF8" w:rsidRPr="000F540A" w:rsidRDefault="00C81BF8" w:rsidP="000F540A">
      <w:pPr>
        <w:ind w:right="-540"/>
        <w:jc w:val="both"/>
        <w:rPr>
          <w:rFonts w:asciiTheme="majorHAnsi" w:hAnsiTheme="majorHAnsi"/>
          <w:b/>
          <w:sz w:val="22"/>
          <w:szCs w:val="22"/>
          <w:u w:val="single"/>
        </w:rPr>
      </w:pPr>
    </w:p>
    <w:p w:rsidR="00C81BF8" w:rsidRPr="000F540A" w:rsidRDefault="00C81BF8" w:rsidP="000F540A">
      <w:pPr>
        <w:jc w:val="both"/>
        <w:rPr>
          <w:rFonts w:asciiTheme="majorHAnsi" w:hAnsiTheme="majorHAnsi"/>
          <w:sz w:val="22"/>
          <w:szCs w:val="22"/>
        </w:rPr>
      </w:pPr>
      <w:proofErr w:type="gramStart"/>
      <w:r w:rsidRPr="000F540A">
        <w:rPr>
          <w:rFonts w:asciiTheme="majorHAnsi" w:hAnsiTheme="majorHAnsi"/>
          <w:sz w:val="22"/>
          <w:szCs w:val="22"/>
        </w:rPr>
        <w:t xml:space="preserve">Ulja e </w:t>
      </w:r>
      <w:r w:rsidRPr="000F540A">
        <w:rPr>
          <w:rFonts w:asciiTheme="majorHAnsi" w:hAnsiTheme="majorHAnsi"/>
          <w:sz w:val="22"/>
          <w:szCs w:val="22"/>
          <w:lang w:val="sq-AL"/>
        </w:rPr>
        <w:t>rrezikut</w:t>
      </w:r>
      <w:r w:rsidRPr="000F540A">
        <w:rPr>
          <w:rFonts w:asciiTheme="majorHAnsi" w:hAnsiTheme="majorHAnsi"/>
          <w:sz w:val="22"/>
          <w:szCs w:val="22"/>
        </w:rPr>
        <w:t xml:space="preserve"> të rifinancimit, veçanërisht në portofolin e borxhit të brendshëm, është një nga objektivat kryesore të menaxhimit të borxhit.</w:t>
      </w:r>
      <w:proofErr w:type="gramEnd"/>
      <w:r w:rsidRPr="000F540A">
        <w:rPr>
          <w:rFonts w:asciiTheme="majorHAnsi" w:hAnsiTheme="majorHAnsi"/>
          <w:sz w:val="22"/>
          <w:szCs w:val="22"/>
        </w:rPr>
        <w:t xml:space="preserve"> </w:t>
      </w:r>
    </w:p>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 xml:space="preserve">Borxhi i jashtëm paraqet më pak </w:t>
      </w:r>
      <w:r w:rsidRPr="000F540A">
        <w:rPr>
          <w:rFonts w:asciiTheme="majorHAnsi" w:hAnsiTheme="majorHAnsi"/>
          <w:sz w:val="22"/>
          <w:szCs w:val="22"/>
          <w:lang w:val="sq-AL"/>
        </w:rPr>
        <w:t>rrezik</w:t>
      </w:r>
      <w:r w:rsidRPr="000F540A">
        <w:rPr>
          <w:rFonts w:asciiTheme="majorHAnsi" w:hAnsiTheme="majorHAnsi"/>
          <w:sz w:val="22"/>
          <w:szCs w:val="22"/>
        </w:rPr>
        <w:t xml:space="preserve"> pasi është i përbërë nga instrumente me afat të gjatë maturimi dhe me profile amortizimi të shtrira gjatë në kohë. </w:t>
      </w:r>
      <w:proofErr w:type="gramStart"/>
      <w:r w:rsidRPr="000F540A">
        <w:rPr>
          <w:rFonts w:asciiTheme="majorHAnsi" w:hAnsiTheme="majorHAnsi"/>
          <w:sz w:val="22"/>
          <w:szCs w:val="22"/>
        </w:rPr>
        <w:t xml:space="preserve">Ndërkohë borxhi i brendshëm është i ekspozuar në shkallë më të lartë ndaj këtij </w:t>
      </w:r>
      <w:r w:rsidRPr="000F540A">
        <w:rPr>
          <w:rFonts w:asciiTheme="majorHAnsi" w:hAnsiTheme="majorHAnsi"/>
          <w:sz w:val="22"/>
          <w:szCs w:val="22"/>
          <w:lang w:val="sq-AL"/>
        </w:rPr>
        <w:t>rreziku</w:t>
      </w:r>
      <w:r w:rsidRPr="000F540A">
        <w:rPr>
          <w:rFonts w:asciiTheme="majorHAnsi" w:hAnsiTheme="majorHAnsi"/>
          <w:sz w:val="22"/>
          <w:szCs w:val="22"/>
        </w:rPr>
        <w:t xml:space="preserve"> për shkak të peshës së konsiderueshme që zenë instrumentet afatshkurtra.</w:t>
      </w:r>
      <w:proofErr w:type="gramEnd"/>
      <w:r w:rsidRPr="000F540A">
        <w:rPr>
          <w:rFonts w:asciiTheme="majorHAnsi" w:hAnsiTheme="majorHAnsi"/>
          <w:sz w:val="22"/>
          <w:szCs w:val="22"/>
        </w:rPr>
        <w:t xml:space="preserve"> </w:t>
      </w:r>
      <w:r w:rsidRPr="000F540A">
        <w:rPr>
          <w:rFonts w:asciiTheme="majorHAnsi" w:hAnsiTheme="majorHAnsi"/>
          <w:i/>
          <w:sz w:val="22"/>
          <w:szCs w:val="22"/>
        </w:rPr>
        <w:t xml:space="preserve">(Paraqitje grafike </w:t>
      </w:r>
      <w:r w:rsidR="00EB3E13" w:rsidRPr="000F540A">
        <w:rPr>
          <w:rFonts w:asciiTheme="majorHAnsi" w:hAnsiTheme="majorHAnsi"/>
          <w:i/>
          <w:sz w:val="22"/>
          <w:szCs w:val="22"/>
        </w:rPr>
        <w:t>1</w:t>
      </w:r>
      <w:r w:rsidRPr="000F540A">
        <w:rPr>
          <w:rFonts w:asciiTheme="majorHAnsi" w:hAnsiTheme="majorHAnsi"/>
          <w:i/>
          <w:sz w:val="22"/>
          <w:szCs w:val="22"/>
        </w:rPr>
        <w:t>)</w:t>
      </w:r>
    </w:p>
    <w:p w:rsidR="00C81BF8" w:rsidRPr="000F540A" w:rsidRDefault="00C81BF8" w:rsidP="000F540A">
      <w:pPr>
        <w:jc w:val="both"/>
        <w:rPr>
          <w:rFonts w:asciiTheme="majorHAnsi" w:hAnsiTheme="majorHAnsi"/>
          <w:i/>
          <w:sz w:val="22"/>
          <w:szCs w:val="22"/>
        </w:rPr>
      </w:pPr>
      <w:proofErr w:type="gramStart"/>
      <w:r w:rsidRPr="000F540A">
        <w:rPr>
          <w:rFonts w:asciiTheme="majorHAnsi" w:hAnsiTheme="majorHAnsi"/>
          <w:sz w:val="22"/>
          <w:szCs w:val="22"/>
        </w:rPr>
        <w:t xml:space="preserve">Në dhjetor 2015 struktura e borxhit të brendshëm paraqitet më pak e ekspozuar kundrejt </w:t>
      </w:r>
      <w:r w:rsidRPr="000F540A">
        <w:rPr>
          <w:rFonts w:asciiTheme="majorHAnsi" w:hAnsiTheme="majorHAnsi"/>
          <w:sz w:val="22"/>
          <w:szCs w:val="22"/>
          <w:lang w:val="sq-AL"/>
        </w:rPr>
        <w:t>rrezikut</w:t>
      </w:r>
      <w:r w:rsidRPr="000F540A">
        <w:rPr>
          <w:rFonts w:asciiTheme="majorHAnsi" w:hAnsiTheme="majorHAnsi"/>
          <w:sz w:val="22"/>
          <w:szCs w:val="22"/>
        </w:rPr>
        <w:t xml:space="preserve"> të rifinancimit, pasi ka një përmirësim në shpërndarjen e detyrimeve që lindin nga ripagesat e borxhit ekzistues.</w:t>
      </w:r>
      <w:proofErr w:type="gramEnd"/>
      <w:r w:rsidRPr="000F540A">
        <w:rPr>
          <w:rFonts w:asciiTheme="majorHAnsi" w:hAnsiTheme="majorHAnsi"/>
          <w:sz w:val="22"/>
          <w:szCs w:val="22"/>
        </w:rPr>
        <w:t xml:space="preserve"> </w:t>
      </w:r>
      <w:proofErr w:type="gramStart"/>
      <w:r w:rsidRPr="000F540A">
        <w:rPr>
          <w:rFonts w:asciiTheme="majorHAnsi" w:hAnsiTheme="majorHAnsi"/>
          <w:sz w:val="22"/>
          <w:szCs w:val="22"/>
        </w:rPr>
        <w:t xml:space="preserve">Pesha e instrumenteve </w:t>
      </w:r>
      <w:r w:rsidRPr="000F540A">
        <w:rPr>
          <w:rFonts w:asciiTheme="majorHAnsi" w:hAnsiTheme="majorHAnsi"/>
          <w:i/>
          <w:sz w:val="22"/>
          <w:szCs w:val="22"/>
        </w:rPr>
        <w:t>(në përqindje të totalit),</w:t>
      </w:r>
      <w:r w:rsidRPr="000F540A">
        <w:rPr>
          <w:rFonts w:asciiTheme="majorHAnsi" w:hAnsiTheme="majorHAnsi"/>
          <w:sz w:val="22"/>
          <w:szCs w:val="22"/>
        </w:rPr>
        <w:t xml:space="preserve"> që rifinancohen në harkun kohor të një viti është 55.9%</w:t>
      </w:r>
      <w:r w:rsidR="000F2E94" w:rsidRPr="000F540A">
        <w:rPr>
          <w:rFonts w:asciiTheme="majorHAnsi" w:hAnsiTheme="majorHAnsi"/>
          <w:sz w:val="22"/>
          <w:szCs w:val="22"/>
        </w:rPr>
        <w:t>, rreth</w:t>
      </w:r>
      <w:r w:rsidRPr="000F540A">
        <w:rPr>
          <w:rFonts w:asciiTheme="majorHAnsi" w:hAnsiTheme="majorHAnsi"/>
          <w:sz w:val="22"/>
          <w:szCs w:val="22"/>
        </w:rPr>
        <w:t xml:space="preserve"> 4.4 pp më e ulët se fundi </w:t>
      </w:r>
      <w:r w:rsidR="000F2E94" w:rsidRPr="000F540A">
        <w:rPr>
          <w:rFonts w:asciiTheme="majorHAnsi" w:hAnsiTheme="majorHAnsi"/>
          <w:sz w:val="22"/>
          <w:szCs w:val="22"/>
        </w:rPr>
        <w:t>i</w:t>
      </w:r>
      <w:r w:rsidRPr="000F540A">
        <w:rPr>
          <w:rFonts w:asciiTheme="majorHAnsi" w:hAnsiTheme="majorHAnsi"/>
          <w:sz w:val="22"/>
          <w:szCs w:val="22"/>
        </w:rPr>
        <w:t xml:space="preserve"> vitit të kaluar dhe 3.5 pp përtej objektivit strategjik.</w:t>
      </w:r>
      <w:proofErr w:type="gramEnd"/>
      <w:r w:rsidRPr="000F540A">
        <w:rPr>
          <w:rFonts w:asciiTheme="majorHAnsi" w:hAnsiTheme="majorHAnsi"/>
          <w:sz w:val="22"/>
          <w:szCs w:val="22"/>
        </w:rPr>
        <w:t xml:space="preserve"> </w:t>
      </w:r>
      <w:r w:rsidRPr="000F540A">
        <w:rPr>
          <w:rFonts w:asciiTheme="majorHAnsi" w:hAnsiTheme="majorHAnsi"/>
          <w:i/>
          <w:sz w:val="22"/>
          <w:szCs w:val="22"/>
        </w:rPr>
        <w:t xml:space="preserve">(Paraqitje grafike </w:t>
      </w:r>
      <w:r w:rsidR="00EB3E13" w:rsidRPr="000F540A">
        <w:rPr>
          <w:rFonts w:asciiTheme="majorHAnsi" w:hAnsiTheme="majorHAnsi"/>
          <w:i/>
          <w:sz w:val="22"/>
          <w:szCs w:val="22"/>
        </w:rPr>
        <w:t>1</w:t>
      </w:r>
      <w:r w:rsidRPr="000F540A">
        <w:rPr>
          <w:rFonts w:asciiTheme="majorHAnsi" w:hAnsiTheme="majorHAnsi"/>
          <w:i/>
          <w:sz w:val="22"/>
          <w:szCs w:val="22"/>
        </w:rPr>
        <w:t>)</w:t>
      </w:r>
    </w:p>
    <w:p w:rsidR="00C81BF8" w:rsidRPr="000F540A" w:rsidRDefault="00C81BF8" w:rsidP="000F540A">
      <w:pPr>
        <w:jc w:val="both"/>
        <w:rPr>
          <w:rFonts w:asciiTheme="majorHAnsi" w:hAnsiTheme="majorHAnsi"/>
          <w:sz w:val="22"/>
          <w:szCs w:val="22"/>
        </w:rPr>
      </w:pPr>
    </w:p>
    <w:p w:rsidR="00C81BF8" w:rsidRPr="000F540A" w:rsidRDefault="00C81BF8" w:rsidP="000F540A">
      <w:pPr>
        <w:jc w:val="both"/>
        <w:rPr>
          <w:rFonts w:asciiTheme="majorHAnsi" w:hAnsiTheme="majorHAnsi"/>
          <w:sz w:val="22"/>
          <w:szCs w:val="22"/>
        </w:rPr>
      </w:pPr>
    </w:p>
    <w:p w:rsidR="00C81BF8" w:rsidRPr="000F540A" w:rsidRDefault="00C81BF8" w:rsidP="000F540A">
      <w:pPr>
        <w:jc w:val="both"/>
        <w:rPr>
          <w:rFonts w:asciiTheme="majorHAnsi" w:hAnsiTheme="majorHAnsi"/>
          <w:i/>
          <w:color w:val="632423" w:themeColor="accent2" w:themeShade="80"/>
          <w:sz w:val="22"/>
          <w:szCs w:val="22"/>
        </w:rPr>
      </w:pPr>
      <w:r w:rsidRPr="000F540A">
        <w:rPr>
          <w:rFonts w:asciiTheme="majorHAnsi" w:hAnsiTheme="majorHAnsi"/>
          <w:b/>
          <w:color w:val="632423" w:themeColor="accent2" w:themeShade="80"/>
          <w:sz w:val="22"/>
          <w:szCs w:val="22"/>
        </w:rPr>
        <w:t xml:space="preserve">Paraqitje Grafike </w:t>
      </w:r>
      <w:r w:rsidR="009C2312" w:rsidRPr="000F540A">
        <w:rPr>
          <w:rFonts w:asciiTheme="majorHAnsi" w:hAnsiTheme="majorHAnsi"/>
          <w:b/>
          <w:color w:val="632423" w:themeColor="accent2" w:themeShade="80"/>
          <w:sz w:val="22"/>
          <w:szCs w:val="22"/>
        </w:rPr>
        <w:t>1</w:t>
      </w:r>
      <w:r w:rsidRPr="000F540A">
        <w:rPr>
          <w:rFonts w:asciiTheme="majorHAnsi" w:hAnsiTheme="majorHAnsi"/>
          <w:b/>
          <w:color w:val="632423" w:themeColor="accent2" w:themeShade="80"/>
          <w:sz w:val="22"/>
          <w:szCs w:val="22"/>
        </w:rPr>
        <w:t xml:space="preserve">: </w:t>
      </w:r>
      <w:r w:rsidRPr="000F540A">
        <w:rPr>
          <w:rFonts w:asciiTheme="majorHAnsi" w:hAnsiTheme="majorHAnsi"/>
          <w:i/>
          <w:color w:val="632423" w:themeColor="accent2" w:themeShade="80"/>
          <w:sz w:val="22"/>
          <w:szCs w:val="22"/>
        </w:rPr>
        <w:t xml:space="preserve">Profilet e amortizimit të borxhit shtetëror </w:t>
      </w:r>
    </w:p>
    <w:p w:rsidR="00C81BF8" w:rsidRPr="000F540A" w:rsidRDefault="00C81BF8" w:rsidP="000F540A">
      <w:pPr>
        <w:jc w:val="both"/>
        <w:rPr>
          <w:rFonts w:asciiTheme="majorHAnsi" w:hAnsiTheme="majorHAnsi"/>
          <w:sz w:val="22"/>
          <w:szCs w:val="22"/>
        </w:rPr>
      </w:pPr>
    </w:p>
    <w:p w:rsidR="00C81BF8" w:rsidRPr="000F540A" w:rsidRDefault="00C81BF8" w:rsidP="000F540A">
      <w:pPr>
        <w:jc w:val="both"/>
        <w:rPr>
          <w:rFonts w:asciiTheme="majorHAnsi" w:hAnsiTheme="majorHAnsi"/>
          <w:b/>
          <w:sz w:val="22"/>
          <w:szCs w:val="22"/>
        </w:rPr>
      </w:pPr>
      <w:r w:rsidRPr="000F540A">
        <w:rPr>
          <w:rFonts w:asciiTheme="majorHAnsi" w:hAnsiTheme="majorHAnsi"/>
          <w:b/>
          <w:sz w:val="22"/>
          <w:szCs w:val="22"/>
        </w:rPr>
        <w:t>Borxhi Total</w:t>
      </w:r>
    </w:p>
    <w:p w:rsidR="00C81BF8" w:rsidRPr="000F540A" w:rsidRDefault="00C81BF8" w:rsidP="000F540A">
      <w:pPr>
        <w:jc w:val="both"/>
        <w:rPr>
          <w:rFonts w:asciiTheme="majorHAnsi" w:hAnsiTheme="majorHAnsi"/>
          <w:sz w:val="22"/>
          <w:szCs w:val="22"/>
        </w:rPr>
      </w:pPr>
      <w:r w:rsidRPr="000F540A">
        <w:rPr>
          <w:rFonts w:asciiTheme="majorHAnsi" w:hAnsiTheme="majorHAnsi"/>
          <w:noProof/>
          <w:sz w:val="22"/>
          <w:szCs w:val="22"/>
        </w:rPr>
        <w:drawing>
          <wp:inline distT="0" distB="0" distL="0" distR="0" wp14:anchorId="04F2535D" wp14:editId="5F74CD8E">
            <wp:extent cx="5467350" cy="2524125"/>
            <wp:effectExtent l="0" t="0" r="0"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81BF8" w:rsidRPr="000F540A" w:rsidRDefault="00C81BF8" w:rsidP="000F540A">
      <w:pPr>
        <w:jc w:val="both"/>
        <w:rPr>
          <w:rFonts w:asciiTheme="majorHAnsi" w:hAnsiTheme="majorHAnsi"/>
          <w:sz w:val="22"/>
          <w:szCs w:val="22"/>
        </w:rPr>
      </w:pPr>
    </w:p>
    <w:p w:rsidR="00C81BF8" w:rsidRPr="000F540A" w:rsidRDefault="00C81BF8" w:rsidP="000F540A">
      <w:pPr>
        <w:jc w:val="both"/>
        <w:rPr>
          <w:rFonts w:asciiTheme="majorHAnsi" w:hAnsiTheme="majorHAnsi"/>
          <w:b/>
          <w:sz w:val="22"/>
          <w:szCs w:val="22"/>
        </w:rPr>
      </w:pPr>
    </w:p>
    <w:p w:rsidR="00C81BF8" w:rsidRPr="000F540A" w:rsidRDefault="00C81BF8" w:rsidP="000F540A">
      <w:pPr>
        <w:jc w:val="both"/>
        <w:rPr>
          <w:rFonts w:asciiTheme="majorHAnsi" w:hAnsiTheme="majorHAnsi"/>
          <w:b/>
          <w:sz w:val="22"/>
          <w:szCs w:val="22"/>
        </w:rPr>
      </w:pPr>
    </w:p>
    <w:p w:rsidR="00C81BF8" w:rsidRPr="000F540A" w:rsidRDefault="00C81BF8" w:rsidP="000F540A">
      <w:pPr>
        <w:jc w:val="both"/>
        <w:rPr>
          <w:rFonts w:asciiTheme="majorHAnsi" w:hAnsiTheme="majorHAnsi"/>
          <w:b/>
          <w:sz w:val="22"/>
          <w:szCs w:val="22"/>
        </w:rPr>
      </w:pPr>
    </w:p>
    <w:p w:rsidR="00EB3E13" w:rsidRPr="000F540A" w:rsidRDefault="00EB3E13" w:rsidP="000F540A">
      <w:pPr>
        <w:jc w:val="both"/>
        <w:rPr>
          <w:rFonts w:asciiTheme="majorHAnsi" w:hAnsiTheme="majorHAnsi"/>
          <w:b/>
          <w:sz w:val="22"/>
          <w:szCs w:val="22"/>
        </w:rPr>
      </w:pPr>
    </w:p>
    <w:p w:rsidR="00C81BF8" w:rsidRPr="000F540A" w:rsidRDefault="00C81BF8" w:rsidP="000F540A">
      <w:pPr>
        <w:jc w:val="both"/>
        <w:rPr>
          <w:rFonts w:asciiTheme="majorHAnsi" w:hAnsiTheme="majorHAnsi"/>
          <w:b/>
          <w:sz w:val="22"/>
          <w:szCs w:val="22"/>
        </w:rPr>
      </w:pPr>
      <w:r w:rsidRPr="000F540A">
        <w:rPr>
          <w:rFonts w:asciiTheme="majorHAnsi" w:hAnsiTheme="majorHAnsi"/>
          <w:b/>
          <w:sz w:val="22"/>
          <w:szCs w:val="22"/>
        </w:rPr>
        <w:t>Borxhi Brendshëm</w:t>
      </w:r>
    </w:p>
    <w:p w:rsidR="00C81BF8" w:rsidRPr="000F540A" w:rsidRDefault="00C81BF8" w:rsidP="000F540A">
      <w:pPr>
        <w:ind w:right="-720"/>
        <w:jc w:val="both"/>
        <w:rPr>
          <w:rFonts w:asciiTheme="majorHAnsi" w:hAnsiTheme="majorHAnsi"/>
          <w:sz w:val="22"/>
          <w:szCs w:val="22"/>
        </w:rPr>
      </w:pPr>
      <w:r w:rsidRPr="000F540A">
        <w:rPr>
          <w:rFonts w:asciiTheme="majorHAnsi" w:hAnsiTheme="majorHAnsi"/>
          <w:noProof/>
          <w:sz w:val="22"/>
          <w:szCs w:val="22"/>
        </w:rPr>
        <w:drawing>
          <wp:inline distT="0" distB="0" distL="0" distR="0" wp14:anchorId="1EFEB853" wp14:editId="2CF205AC">
            <wp:extent cx="5514975" cy="20097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1BF8" w:rsidRPr="000F540A" w:rsidRDefault="00C81BF8" w:rsidP="000F540A">
      <w:pPr>
        <w:jc w:val="both"/>
        <w:rPr>
          <w:rFonts w:asciiTheme="majorHAnsi" w:hAnsiTheme="majorHAnsi"/>
          <w:i/>
          <w:sz w:val="22"/>
          <w:szCs w:val="22"/>
        </w:rPr>
      </w:pPr>
      <w:r w:rsidRPr="000F540A">
        <w:rPr>
          <w:rFonts w:asciiTheme="majorHAnsi" w:hAnsiTheme="majorHAnsi"/>
          <w:b/>
          <w:sz w:val="22"/>
          <w:szCs w:val="22"/>
        </w:rPr>
        <w:t xml:space="preserve">     Burimi:</w:t>
      </w:r>
      <w:r w:rsidRPr="000F540A">
        <w:rPr>
          <w:rFonts w:asciiTheme="majorHAnsi" w:hAnsiTheme="majorHAnsi"/>
          <w:b/>
          <w:i/>
          <w:sz w:val="22"/>
          <w:szCs w:val="22"/>
        </w:rPr>
        <w:t xml:space="preserve"> </w:t>
      </w:r>
      <w:r w:rsidRPr="000F540A">
        <w:rPr>
          <w:rFonts w:asciiTheme="majorHAnsi" w:hAnsiTheme="majorHAnsi"/>
          <w:i/>
          <w:sz w:val="22"/>
          <w:szCs w:val="22"/>
        </w:rPr>
        <w:t>Ministria e Financave</w:t>
      </w:r>
      <w:r w:rsidR="009C2312" w:rsidRPr="000F540A">
        <w:rPr>
          <w:rFonts w:asciiTheme="majorHAnsi" w:hAnsiTheme="majorHAnsi"/>
          <w:i/>
          <w:sz w:val="22"/>
          <w:szCs w:val="22"/>
        </w:rPr>
        <w:t xml:space="preserve"> (201</w:t>
      </w:r>
      <w:r w:rsidR="00EB3E13" w:rsidRPr="000F540A">
        <w:rPr>
          <w:rFonts w:asciiTheme="majorHAnsi" w:hAnsiTheme="majorHAnsi"/>
          <w:i/>
          <w:sz w:val="22"/>
          <w:szCs w:val="22"/>
        </w:rPr>
        <w:t>5</w:t>
      </w:r>
      <w:r w:rsidR="009C2312" w:rsidRPr="000F540A">
        <w:rPr>
          <w:rFonts w:asciiTheme="majorHAnsi" w:hAnsiTheme="majorHAnsi"/>
          <w:i/>
          <w:sz w:val="22"/>
          <w:szCs w:val="22"/>
        </w:rPr>
        <w:t>)</w:t>
      </w:r>
    </w:p>
    <w:p w:rsidR="00C81BF8" w:rsidRPr="000F540A" w:rsidRDefault="00C81BF8" w:rsidP="000F540A">
      <w:pPr>
        <w:jc w:val="both"/>
        <w:rPr>
          <w:rFonts w:asciiTheme="majorHAnsi" w:hAnsiTheme="majorHAnsi"/>
          <w:b/>
          <w:i/>
          <w:sz w:val="22"/>
          <w:szCs w:val="22"/>
        </w:rPr>
      </w:pPr>
    </w:p>
    <w:p w:rsidR="004D1F43" w:rsidRPr="000F540A" w:rsidRDefault="004D1F43" w:rsidP="000F540A">
      <w:pPr>
        <w:jc w:val="both"/>
        <w:rPr>
          <w:rFonts w:asciiTheme="majorHAnsi" w:hAnsiTheme="majorHAnsi"/>
          <w:b/>
          <w:i/>
          <w:sz w:val="22"/>
          <w:szCs w:val="22"/>
        </w:rPr>
      </w:pPr>
    </w:p>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 xml:space="preserve">Në dhjetor 2015 koha mesatare në maturim </w:t>
      </w:r>
      <w:r w:rsidRPr="000F540A">
        <w:rPr>
          <w:rFonts w:asciiTheme="majorHAnsi" w:hAnsiTheme="majorHAnsi"/>
          <w:i/>
          <w:sz w:val="22"/>
          <w:szCs w:val="22"/>
        </w:rPr>
        <w:t>(KMM)</w:t>
      </w:r>
      <w:r w:rsidRPr="000F540A">
        <w:rPr>
          <w:rFonts w:asciiTheme="majorHAnsi" w:hAnsiTheme="majorHAnsi"/>
          <w:sz w:val="22"/>
          <w:szCs w:val="22"/>
        </w:rPr>
        <w:t xml:space="preserve"> e portofolit të borxhit shtetëror rezulton në 4.9 vite, përkatësisht 2.0 vite për borxhin e brendshëm dhe 8.0 vite për borxhin e jashtëm.  Krahasuar me fundin e vitit të kaluar ky tregues ka një përmirësim prej 0.7 vitesh, përkatësisht 0.2 vite për borxhin e brendshëm dhe 0.5 vite për borxhin e jashtëm. Objektivat strategjik</w:t>
      </w:r>
      <w:r w:rsidR="009A4930" w:rsidRPr="000F540A">
        <w:rPr>
          <w:rFonts w:asciiTheme="majorHAnsi" w:hAnsiTheme="majorHAnsi"/>
          <w:sz w:val="22"/>
          <w:szCs w:val="22"/>
        </w:rPr>
        <w:t>e</w:t>
      </w:r>
      <w:r w:rsidRPr="000F540A">
        <w:rPr>
          <w:rFonts w:asciiTheme="majorHAnsi" w:hAnsiTheme="majorHAnsi"/>
          <w:sz w:val="22"/>
          <w:szCs w:val="22"/>
        </w:rPr>
        <w:t xml:space="preserve"> janë realizuar duke u tejkaluar me 0.2 vite për borxhin e brendshëm dhe 0.1 vite për borxhin e jashtëm. </w:t>
      </w:r>
      <w:r w:rsidRPr="000F540A">
        <w:rPr>
          <w:rFonts w:asciiTheme="majorHAnsi" w:hAnsiTheme="majorHAnsi"/>
          <w:i/>
          <w:sz w:val="22"/>
          <w:szCs w:val="22"/>
        </w:rPr>
        <w:t>(Tabela 3)</w:t>
      </w:r>
    </w:p>
    <w:p w:rsidR="00C81BF8" w:rsidRPr="000F540A" w:rsidRDefault="00C81BF8" w:rsidP="000F540A">
      <w:pPr>
        <w:jc w:val="both"/>
        <w:rPr>
          <w:rFonts w:asciiTheme="majorHAnsi" w:hAnsiTheme="majorHAnsi"/>
          <w:sz w:val="22"/>
          <w:szCs w:val="22"/>
        </w:rPr>
      </w:pPr>
      <w:proofErr w:type="gramStart"/>
      <w:r w:rsidRPr="000F540A">
        <w:rPr>
          <w:rFonts w:asciiTheme="majorHAnsi" w:hAnsiTheme="majorHAnsi"/>
          <w:sz w:val="22"/>
          <w:szCs w:val="22"/>
        </w:rPr>
        <w:t>Jet</w:t>
      </w:r>
      <w:r w:rsidR="0071751F" w:rsidRPr="000F540A">
        <w:rPr>
          <w:rFonts w:asciiTheme="majorHAnsi" w:hAnsiTheme="majorHAnsi"/>
          <w:sz w:val="22"/>
          <w:szCs w:val="22"/>
        </w:rPr>
        <w:t>ë</w:t>
      </w:r>
      <w:r w:rsidRPr="000F540A">
        <w:rPr>
          <w:rFonts w:asciiTheme="majorHAnsi" w:hAnsiTheme="majorHAnsi"/>
          <w:sz w:val="22"/>
          <w:szCs w:val="22"/>
        </w:rPr>
        <w:t xml:space="preserve">gjatësia e borxhit të brendshëm është rritur si pasojë e maturimit të instrumenteve afatshkurtra nëpërmjet procedurave të buyback si edhe për shkak të shtimit të peshës së instrumenteve afatgjata </w:t>
      </w:r>
      <w:r w:rsidRPr="000F540A">
        <w:rPr>
          <w:rFonts w:asciiTheme="majorHAnsi" w:hAnsiTheme="majorHAnsi"/>
          <w:i/>
          <w:sz w:val="22"/>
          <w:szCs w:val="22"/>
        </w:rPr>
        <w:t xml:space="preserve">(kryesisht obligacioneve 7 dhe 10 vjecare) </w:t>
      </w:r>
      <w:r w:rsidRPr="000F540A">
        <w:rPr>
          <w:rFonts w:asciiTheme="majorHAnsi" w:hAnsiTheme="majorHAnsi"/>
          <w:sz w:val="22"/>
          <w:szCs w:val="22"/>
        </w:rPr>
        <w:t>në portofol.</w:t>
      </w:r>
      <w:proofErr w:type="gramEnd"/>
      <w:r w:rsidRPr="000F540A">
        <w:rPr>
          <w:rFonts w:asciiTheme="majorHAnsi" w:hAnsiTheme="majorHAnsi"/>
          <w:sz w:val="22"/>
          <w:szCs w:val="22"/>
        </w:rPr>
        <w:t xml:space="preserve"> </w:t>
      </w:r>
      <w:proofErr w:type="gramStart"/>
      <w:r w:rsidRPr="000F540A">
        <w:rPr>
          <w:rFonts w:asciiTheme="majorHAnsi" w:hAnsiTheme="majorHAnsi"/>
          <w:sz w:val="22"/>
          <w:szCs w:val="22"/>
        </w:rPr>
        <w:t>Ndërkohë jet</w:t>
      </w:r>
      <w:r w:rsidR="00A01ECA" w:rsidRPr="000F540A">
        <w:rPr>
          <w:rFonts w:asciiTheme="majorHAnsi" w:hAnsiTheme="majorHAnsi"/>
          <w:sz w:val="22"/>
          <w:szCs w:val="22"/>
        </w:rPr>
        <w:t>ë</w:t>
      </w:r>
      <w:r w:rsidRPr="000F540A">
        <w:rPr>
          <w:rFonts w:asciiTheme="majorHAnsi" w:hAnsiTheme="majorHAnsi"/>
          <w:sz w:val="22"/>
          <w:szCs w:val="22"/>
        </w:rPr>
        <w:t>gjatësia e borxhit të jashtëm është rritur për shkak të maturimit të disa instrumenteve me jet</w:t>
      </w:r>
      <w:r w:rsidR="00A01ECA" w:rsidRPr="000F540A">
        <w:rPr>
          <w:rFonts w:asciiTheme="majorHAnsi" w:hAnsiTheme="majorHAnsi"/>
          <w:sz w:val="22"/>
          <w:szCs w:val="22"/>
        </w:rPr>
        <w:t>ë</w:t>
      </w:r>
      <w:r w:rsidRPr="000F540A">
        <w:rPr>
          <w:rFonts w:asciiTheme="majorHAnsi" w:hAnsiTheme="majorHAnsi"/>
          <w:sz w:val="22"/>
          <w:szCs w:val="22"/>
        </w:rPr>
        <w:t xml:space="preserve">gjatësi të mbetur relativisht të ulët </w:t>
      </w:r>
      <w:r w:rsidRPr="000F540A">
        <w:rPr>
          <w:rFonts w:asciiTheme="majorHAnsi" w:hAnsiTheme="majorHAnsi"/>
          <w:i/>
          <w:sz w:val="22"/>
          <w:szCs w:val="22"/>
        </w:rPr>
        <w:t>(Eurobondi 2010)</w:t>
      </w:r>
      <w:r w:rsidRPr="000F540A">
        <w:rPr>
          <w:rFonts w:asciiTheme="majorHAnsi" w:hAnsiTheme="majorHAnsi"/>
          <w:sz w:val="22"/>
          <w:szCs w:val="22"/>
        </w:rPr>
        <w:t xml:space="preserve"> dhe zëvendësimi me instrumente të reja me jetgjatësi më të lartë </w:t>
      </w:r>
      <w:r w:rsidRPr="000F540A">
        <w:rPr>
          <w:rFonts w:asciiTheme="majorHAnsi" w:hAnsiTheme="majorHAnsi"/>
          <w:i/>
          <w:sz w:val="22"/>
          <w:szCs w:val="22"/>
        </w:rPr>
        <w:t>(Eurobondi 2015)</w:t>
      </w:r>
      <w:r w:rsidRPr="000F540A">
        <w:rPr>
          <w:rFonts w:asciiTheme="majorHAnsi" w:hAnsiTheme="majorHAnsi"/>
          <w:sz w:val="22"/>
          <w:szCs w:val="22"/>
        </w:rPr>
        <w:t>.</w:t>
      </w:r>
      <w:proofErr w:type="gramEnd"/>
      <w:r w:rsidRPr="000F540A">
        <w:rPr>
          <w:rFonts w:asciiTheme="majorHAnsi" w:hAnsiTheme="majorHAnsi"/>
          <w:sz w:val="22"/>
          <w:szCs w:val="22"/>
        </w:rPr>
        <w:t xml:space="preserve"> </w:t>
      </w:r>
      <w:proofErr w:type="gramStart"/>
      <w:r w:rsidRPr="000F540A">
        <w:rPr>
          <w:rFonts w:asciiTheme="majorHAnsi" w:hAnsiTheme="majorHAnsi"/>
          <w:sz w:val="22"/>
          <w:szCs w:val="22"/>
        </w:rPr>
        <w:t>Gjithashtu edhe emetimi i PBG në vlerën e 250 milion Euro dhe me maturitet mesatar prej 8.75 vite ka luajtur një rol të rëndësishëm në rritjen e jet</w:t>
      </w:r>
      <w:r w:rsidR="00A01ECA" w:rsidRPr="000F540A">
        <w:rPr>
          <w:rFonts w:asciiTheme="majorHAnsi" w:hAnsiTheme="majorHAnsi"/>
          <w:sz w:val="22"/>
          <w:szCs w:val="22"/>
        </w:rPr>
        <w:t>ë</w:t>
      </w:r>
      <w:r w:rsidRPr="000F540A">
        <w:rPr>
          <w:rFonts w:asciiTheme="majorHAnsi" w:hAnsiTheme="majorHAnsi"/>
          <w:sz w:val="22"/>
          <w:szCs w:val="22"/>
        </w:rPr>
        <w:t>gjatësisë së borxhit të jashtëm.</w:t>
      </w:r>
      <w:proofErr w:type="gramEnd"/>
      <w:r w:rsidRPr="000F540A">
        <w:rPr>
          <w:rFonts w:asciiTheme="majorHAnsi" w:hAnsiTheme="majorHAnsi"/>
          <w:sz w:val="22"/>
          <w:szCs w:val="22"/>
        </w:rPr>
        <w:t xml:space="preserve"> </w:t>
      </w:r>
    </w:p>
    <w:p w:rsidR="00C81BF8" w:rsidRPr="000F540A" w:rsidRDefault="00C81BF8" w:rsidP="000F540A">
      <w:pPr>
        <w:jc w:val="both"/>
        <w:rPr>
          <w:rFonts w:asciiTheme="majorHAnsi" w:hAnsiTheme="majorHAnsi"/>
          <w:sz w:val="22"/>
          <w:szCs w:val="22"/>
        </w:rPr>
      </w:pPr>
    </w:p>
    <w:p w:rsidR="00C81BF8" w:rsidRPr="000F540A" w:rsidRDefault="00C81BF8" w:rsidP="000F540A">
      <w:pPr>
        <w:pStyle w:val="ListParagraph"/>
        <w:ind w:left="0"/>
        <w:jc w:val="both"/>
        <w:rPr>
          <w:rFonts w:asciiTheme="majorHAnsi" w:hAnsiTheme="majorHAnsi"/>
          <w:i/>
          <w:color w:val="632423" w:themeColor="accent2" w:themeShade="80"/>
          <w:sz w:val="22"/>
          <w:szCs w:val="22"/>
          <w:lang w:val="sq-AL"/>
        </w:rPr>
      </w:pPr>
      <w:r w:rsidRPr="000F540A">
        <w:rPr>
          <w:rFonts w:asciiTheme="majorHAnsi" w:hAnsiTheme="majorHAnsi"/>
          <w:b/>
          <w:color w:val="632423" w:themeColor="accent2" w:themeShade="80"/>
          <w:sz w:val="22"/>
          <w:szCs w:val="22"/>
          <w:lang w:val="sq-AL"/>
        </w:rPr>
        <w:t xml:space="preserve">Tabela </w:t>
      </w:r>
      <w:r w:rsidR="004D1F43" w:rsidRPr="000F540A">
        <w:rPr>
          <w:rFonts w:asciiTheme="majorHAnsi" w:hAnsiTheme="majorHAnsi"/>
          <w:b/>
          <w:color w:val="632423" w:themeColor="accent2" w:themeShade="80"/>
          <w:sz w:val="22"/>
          <w:szCs w:val="22"/>
          <w:lang w:val="sq-AL"/>
        </w:rPr>
        <w:t>3</w:t>
      </w:r>
      <w:r w:rsidRPr="000F540A">
        <w:rPr>
          <w:rFonts w:asciiTheme="majorHAnsi" w:hAnsiTheme="majorHAnsi"/>
          <w:b/>
          <w:color w:val="632423" w:themeColor="accent2" w:themeShade="80"/>
          <w:sz w:val="22"/>
          <w:szCs w:val="22"/>
          <w:lang w:val="sq-AL"/>
        </w:rPr>
        <w:t>:</w:t>
      </w:r>
      <w:r w:rsidRPr="000F540A">
        <w:rPr>
          <w:rFonts w:asciiTheme="majorHAnsi" w:hAnsiTheme="majorHAnsi"/>
          <w:color w:val="632423" w:themeColor="accent2" w:themeShade="80"/>
          <w:sz w:val="22"/>
          <w:szCs w:val="22"/>
          <w:lang w:val="sq-AL"/>
        </w:rPr>
        <w:t xml:space="preserve"> </w:t>
      </w:r>
      <w:r w:rsidRPr="000F540A">
        <w:rPr>
          <w:rFonts w:asciiTheme="majorHAnsi" w:hAnsiTheme="majorHAnsi"/>
          <w:i/>
          <w:color w:val="632423" w:themeColor="accent2" w:themeShade="80"/>
          <w:sz w:val="22"/>
          <w:szCs w:val="22"/>
          <w:lang w:val="sq-AL"/>
        </w:rPr>
        <w:t>Treguesit e rrezikut të rifinancimit</w:t>
      </w:r>
    </w:p>
    <w:tbl>
      <w:tblPr>
        <w:tblW w:w="0" w:type="auto"/>
        <w:jc w:val="center"/>
        <w:tblLook w:val="04A0" w:firstRow="1" w:lastRow="0" w:firstColumn="1" w:lastColumn="0" w:noHBand="0" w:noVBand="1"/>
      </w:tblPr>
      <w:tblGrid>
        <w:gridCol w:w="1959"/>
        <w:gridCol w:w="1511"/>
        <w:gridCol w:w="1158"/>
        <w:gridCol w:w="748"/>
        <w:gridCol w:w="1511"/>
        <w:gridCol w:w="1158"/>
        <w:gridCol w:w="748"/>
      </w:tblGrid>
      <w:tr w:rsidR="00C81BF8" w:rsidRPr="000F540A" w:rsidTr="001B35D0">
        <w:trPr>
          <w:trHeight w:val="269"/>
          <w:jc w:val="center"/>
        </w:trPr>
        <w:tc>
          <w:tcPr>
            <w:tcW w:w="0" w:type="auto"/>
            <w:vMerge w:val="restart"/>
            <w:tcBorders>
              <w:top w:val="nil"/>
              <w:left w:val="nil"/>
              <w:bottom w:val="nil"/>
              <w:right w:val="single" w:sz="8" w:space="0" w:color="FFFFFF"/>
            </w:tcBorders>
            <w:shd w:val="clear" w:color="000000" w:fill="953735"/>
            <w:noWrap/>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Treguesi</w:t>
            </w:r>
          </w:p>
        </w:tc>
        <w:tc>
          <w:tcPr>
            <w:tcW w:w="0" w:type="auto"/>
            <w:gridSpan w:val="3"/>
            <w:tcBorders>
              <w:top w:val="nil"/>
              <w:left w:val="nil"/>
              <w:bottom w:val="single" w:sz="8" w:space="0" w:color="FFFFFF"/>
              <w:right w:val="single" w:sz="8" w:space="0" w:color="FFFFFF"/>
            </w:tcBorders>
            <w:shd w:val="clear" w:color="000000" w:fill="953735"/>
            <w:noWrap/>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2015</w:t>
            </w:r>
          </w:p>
        </w:tc>
        <w:tc>
          <w:tcPr>
            <w:tcW w:w="0" w:type="auto"/>
            <w:gridSpan w:val="3"/>
            <w:tcBorders>
              <w:top w:val="nil"/>
              <w:left w:val="nil"/>
              <w:bottom w:val="single" w:sz="8" w:space="0" w:color="FFFFFF"/>
              <w:right w:val="single" w:sz="8" w:space="0" w:color="FFFFFF"/>
            </w:tcBorders>
            <w:shd w:val="clear" w:color="000000" w:fill="953735"/>
            <w:noWrap/>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Objektivi Strategjik</w:t>
            </w:r>
          </w:p>
        </w:tc>
      </w:tr>
      <w:tr w:rsidR="00C81BF8" w:rsidRPr="000F540A" w:rsidTr="00EB3E13">
        <w:trPr>
          <w:trHeight w:val="434"/>
          <w:jc w:val="center"/>
        </w:trPr>
        <w:tc>
          <w:tcPr>
            <w:tcW w:w="0" w:type="auto"/>
            <w:vMerge/>
            <w:tcBorders>
              <w:top w:val="nil"/>
              <w:left w:val="nil"/>
              <w:right w:val="single" w:sz="8" w:space="0" w:color="FFFFFF"/>
            </w:tcBorders>
            <w:vAlign w:val="center"/>
            <w:hideMark/>
          </w:tcPr>
          <w:p w:rsidR="00C81BF8" w:rsidRPr="000F540A" w:rsidRDefault="00C81BF8" w:rsidP="000F540A">
            <w:pPr>
              <w:jc w:val="both"/>
              <w:rPr>
                <w:rFonts w:asciiTheme="majorHAnsi" w:hAnsiTheme="majorHAnsi"/>
                <w:b/>
                <w:bCs/>
                <w:color w:val="FFFFFF"/>
                <w:sz w:val="22"/>
                <w:szCs w:val="22"/>
              </w:rPr>
            </w:pPr>
          </w:p>
        </w:tc>
        <w:tc>
          <w:tcPr>
            <w:tcW w:w="0" w:type="auto"/>
            <w:tcBorders>
              <w:top w:val="nil"/>
              <w:left w:val="nil"/>
              <w:right w:val="nil"/>
            </w:tcBorders>
            <w:shd w:val="clear" w:color="000000" w:fill="953735"/>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Borxh i Brendshëm</w:t>
            </w:r>
          </w:p>
        </w:tc>
        <w:tc>
          <w:tcPr>
            <w:tcW w:w="0" w:type="auto"/>
            <w:tcBorders>
              <w:top w:val="nil"/>
              <w:left w:val="nil"/>
              <w:right w:val="nil"/>
            </w:tcBorders>
            <w:shd w:val="clear" w:color="000000" w:fill="953735"/>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Borxh i Jashtëm</w:t>
            </w:r>
          </w:p>
        </w:tc>
        <w:tc>
          <w:tcPr>
            <w:tcW w:w="0" w:type="auto"/>
            <w:tcBorders>
              <w:top w:val="nil"/>
              <w:left w:val="nil"/>
              <w:right w:val="single" w:sz="8" w:space="0" w:color="FFFFFF"/>
            </w:tcBorders>
            <w:shd w:val="clear" w:color="000000" w:fill="953735"/>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Total</w:t>
            </w:r>
          </w:p>
        </w:tc>
        <w:tc>
          <w:tcPr>
            <w:tcW w:w="0" w:type="auto"/>
            <w:tcBorders>
              <w:top w:val="nil"/>
              <w:left w:val="nil"/>
              <w:right w:val="nil"/>
            </w:tcBorders>
            <w:shd w:val="clear" w:color="000000" w:fill="953735"/>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Borxh i Brendshëm</w:t>
            </w:r>
          </w:p>
        </w:tc>
        <w:tc>
          <w:tcPr>
            <w:tcW w:w="0" w:type="auto"/>
            <w:tcBorders>
              <w:top w:val="nil"/>
              <w:left w:val="nil"/>
              <w:right w:val="nil"/>
            </w:tcBorders>
            <w:shd w:val="clear" w:color="000000" w:fill="953735"/>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Borxh i Jashtëm</w:t>
            </w:r>
          </w:p>
        </w:tc>
        <w:tc>
          <w:tcPr>
            <w:tcW w:w="0" w:type="auto"/>
            <w:tcBorders>
              <w:top w:val="nil"/>
              <w:left w:val="nil"/>
              <w:right w:val="single" w:sz="8" w:space="0" w:color="FFFFFF"/>
            </w:tcBorders>
            <w:shd w:val="clear" w:color="000000" w:fill="953735"/>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Total</w:t>
            </w:r>
          </w:p>
        </w:tc>
      </w:tr>
      <w:tr w:rsidR="00C81BF8" w:rsidRPr="000F540A" w:rsidTr="00EB3E13">
        <w:trPr>
          <w:trHeight w:val="512"/>
          <w:jc w:val="center"/>
        </w:trPr>
        <w:tc>
          <w:tcPr>
            <w:tcW w:w="0" w:type="auto"/>
            <w:tcBorders>
              <w:top w:val="nil"/>
              <w:left w:val="nil"/>
              <w:bottom w:val="single" w:sz="4" w:space="0" w:color="auto"/>
              <w:right w:val="nil"/>
            </w:tcBorders>
            <w:shd w:val="clear" w:color="auto" w:fill="auto"/>
            <w:vAlign w:val="bottom"/>
            <w:hideMark/>
          </w:tcPr>
          <w:p w:rsidR="00C81BF8" w:rsidRPr="000F540A" w:rsidRDefault="00C81BF8"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 xml:space="preserve">Borxh që maturohet brenda një viti  </w:t>
            </w:r>
            <w:r w:rsidRPr="000F540A">
              <w:rPr>
                <w:rFonts w:asciiTheme="majorHAnsi" w:hAnsiTheme="majorHAnsi"/>
                <w:bCs/>
                <w:i/>
                <w:color w:val="000000"/>
                <w:sz w:val="22"/>
                <w:szCs w:val="22"/>
              </w:rPr>
              <w:t>(Në % të totalit)</w:t>
            </w:r>
          </w:p>
        </w:tc>
        <w:tc>
          <w:tcPr>
            <w:tcW w:w="0" w:type="auto"/>
            <w:tcBorders>
              <w:top w:val="nil"/>
              <w:left w:val="nil"/>
              <w:bottom w:val="single" w:sz="4" w:space="0" w:color="auto"/>
              <w:right w:val="nil"/>
            </w:tcBorders>
            <w:shd w:val="clear" w:color="auto" w:fill="auto"/>
            <w:noWrap/>
            <w:vAlign w:val="center"/>
            <w:hideMark/>
          </w:tcPr>
          <w:p w:rsidR="00C81BF8" w:rsidRPr="000F540A" w:rsidRDefault="00C81BF8" w:rsidP="000F540A">
            <w:pPr>
              <w:jc w:val="both"/>
              <w:rPr>
                <w:rFonts w:asciiTheme="majorHAnsi" w:hAnsiTheme="majorHAnsi"/>
                <w:color w:val="000000"/>
                <w:sz w:val="22"/>
                <w:szCs w:val="22"/>
              </w:rPr>
            </w:pPr>
            <w:r w:rsidRPr="000F540A">
              <w:rPr>
                <w:rFonts w:asciiTheme="majorHAnsi" w:hAnsiTheme="majorHAnsi"/>
                <w:color w:val="000000"/>
                <w:sz w:val="22"/>
                <w:szCs w:val="22"/>
              </w:rPr>
              <w:t>55.9</w:t>
            </w:r>
          </w:p>
        </w:tc>
        <w:tc>
          <w:tcPr>
            <w:tcW w:w="0" w:type="auto"/>
            <w:tcBorders>
              <w:top w:val="nil"/>
              <w:left w:val="nil"/>
              <w:bottom w:val="single" w:sz="4" w:space="0" w:color="auto"/>
              <w:right w:val="nil"/>
            </w:tcBorders>
            <w:shd w:val="clear" w:color="auto" w:fill="auto"/>
            <w:noWrap/>
            <w:vAlign w:val="center"/>
            <w:hideMark/>
          </w:tcPr>
          <w:p w:rsidR="00C81BF8" w:rsidRPr="000F540A" w:rsidRDefault="00C81BF8" w:rsidP="000F540A">
            <w:pPr>
              <w:jc w:val="both"/>
              <w:rPr>
                <w:rFonts w:asciiTheme="majorHAnsi" w:hAnsiTheme="majorHAnsi"/>
                <w:color w:val="000000"/>
                <w:sz w:val="22"/>
                <w:szCs w:val="22"/>
              </w:rPr>
            </w:pPr>
            <w:r w:rsidRPr="000F540A">
              <w:rPr>
                <w:rFonts w:asciiTheme="majorHAnsi" w:hAnsiTheme="majorHAnsi"/>
                <w:color w:val="000000"/>
                <w:sz w:val="22"/>
                <w:szCs w:val="22"/>
              </w:rPr>
              <w:t>4.3</w:t>
            </w:r>
          </w:p>
        </w:tc>
        <w:tc>
          <w:tcPr>
            <w:tcW w:w="0" w:type="auto"/>
            <w:tcBorders>
              <w:top w:val="nil"/>
              <w:left w:val="nil"/>
              <w:bottom w:val="single" w:sz="4" w:space="0" w:color="auto"/>
              <w:right w:val="nil"/>
            </w:tcBorders>
            <w:shd w:val="clear" w:color="auto" w:fill="auto"/>
            <w:noWrap/>
            <w:vAlign w:val="center"/>
            <w:hideMark/>
          </w:tcPr>
          <w:p w:rsidR="00C81BF8" w:rsidRPr="000F540A" w:rsidRDefault="00C81BF8" w:rsidP="000F540A">
            <w:pPr>
              <w:jc w:val="both"/>
              <w:rPr>
                <w:rFonts w:asciiTheme="majorHAnsi" w:hAnsiTheme="majorHAnsi"/>
                <w:b/>
                <w:color w:val="000000"/>
                <w:sz w:val="22"/>
                <w:szCs w:val="22"/>
              </w:rPr>
            </w:pPr>
            <w:r w:rsidRPr="000F540A">
              <w:rPr>
                <w:rFonts w:asciiTheme="majorHAnsi" w:hAnsiTheme="majorHAnsi"/>
                <w:b/>
                <w:color w:val="000000"/>
                <w:sz w:val="22"/>
                <w:szCs w:val="22"/>
              </w:rPr>
              <w:t>31.6</w:t>
            </w:r>
          </w:p>
        </w:tc>
        <w:tc>
          <w:tcPr>
            <w:tcW w:w="0" w:type="auto"/>
            <w:tcBorders>
              <w:top w:val="nil"/>
              <w:left w:val="nil"/>
              <w:bottom w:val="single" w:sz="4" w:space="0" w:color="auto"/>
              <w:right w:val="nil"/>
            </w:tcBorders>
            <w:shd w:val="clear" w:color="auto" w:fill="auto"/>
            <w:noWrap/>
            <w:vAlign w:val="center"/>
            <w:hideMark/>
          </w:tcPr>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59.4</w:t>
            </w:r>
          </w:p>
        </w:tc>
        <w:tc>
          <w:tcPr>
            <w:tcW w:w="0" w:type="auto"/>
            <w:tcBorders>
              <w:top w:val="nil"/>
              <w:left w:val="nil"/>
              <w:bottom w:val="single" w:sz="4" w:space="0" w:color="auto"/>
              <w:right w:val="nil"/>
            </w:tcBorders>
            <w:shd w:val="clear" w:color="auto" w:fill="auto"/>
            <w:noWrap/>
            <w:vAlign w:val="center"/>
            <w:hideMark/>
          </w:tcPr>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5.5</w:t>
            </w:r>
          </w:p>
        </w:tc>
        <w:tc>
          <w:tcPr>
            <w:tcW w:w="0" w:type="auto"/>
            <w:tcBorders>
              <w:top w:val="nil"/>
              <w:left w:val="nil"/>
              <w:bottom w:val="single" w:sz="4" w:space="0" w:color="auto"/>
              <w:right w:val="nil"/>
            </w:tcBorders>
            <w:shd w:val="clear" w:color="auto" w:fill="auto"/>
            <w:noWrap/>
            <w:vAlign w:val="center"/>
            <w:hideMark/>
          </w:tcPr>
          <w:p w:rsidR="00C81BF8" w:rsidRPr="000F540A" w:rsidRDefault="00C81BF8" w:rsidP="000F540A">
            <w:pPr>
              <w:jc w:val="both"/>
              <w:rPr>
                <w:rFonts w:asciiTheme="majorHAnsi" w:hAnsiTheme="majorHAnsi"/>
                <w:b/>
                <w:sz w:val="22"/>
                <w:szCs w:val="22"/>
              </w:rPr>
            </w:pPr>
            <w:r w:rsidRPr="000F540A">
              <w:rPr>
                <w:rFonts w:asciiTheme="majorHAnsi" w:hAnsiTheme="majorHAnsi"/>
                <w:b/>
                <w:sz w:val="22"/>
                <w:szCs w:val="22"/>
              </w:rPr>
              <w:t>35.4</w:t>
            </w:r>
          </w:p>
        </w:tc>
      </w:tr>
      <w:tr w:rsidR="00C81BF8" w:rsidRPr="000F540A" w:rsidTr="00EB3E13">
        <w:trPr>
          <w:trHeight w:val="358"/>
          <w:jc w:val="center"/>
        </w:trPr>
        <w:tc>
          <w:tcPr>
            <w:tcW w:w="0" w:type="auto"/>
            <w:tcBorders>
              <w:top w:val="single" w:sz="4" w:space="0" w:color="auto"/>
              <w:left w:val="nil"/>
              <w:bottom w:val="double" w:sz="6" w:space="0" w:color="auto"/>
              <w:right w:val="nil"/>
            </w:tcBorders>
            <w:shd w:val="clear" w:color="auto" w:fill="auto"/>
            <w:noWrap/>
            <w:vAlign w:val="bottom"/>
            <w:hideMark/>
          </w:tcPr>
          <w:p w:rsidR="00C81BF8" w:rsidRPr="000F540A" w:rsidRDefault="00C81BF8"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 xml:space="preserve">KMM </w:t>
            </w:r>
            <w:r w:rsidRPr="000F540A">
              <w:rPr>
                <w:rFonts w:asciiTheme="majorHAnsi" w:hAnsiTheme="majorHAnsi"/>
                <w:bCs/>
                <w:i/>
                <w:color w:val="000000"/>
                <w:sz w:val="22"/>
                <w:szCs w:val="22"/>
              </w:rPr>
              <w:t>(Vite)</w:t>
            </w:r>
          </w:p>
        </w:tc>
        <w:tc>
          <w:tcPr>
            <w:tcW w:w="0" w:type="auto"/>
            <w:tcBorders>
              <w:top w:val="single" w:sz="4" w:space="0" w:color="auto"/>
              <w:left w:val="nil"/>
              <w:bottom w:val="double" w:sz="6" w:space="0" w:color="auto"/>
              <w:right w:val="nil"/>
            </w:tcBorders>
            <w:shd w:val="clear" w:color="auto" w:fill="auto"/>
            <w:noWrap/>
            <w:vAlign w:val="center"/>
            <w:hideMark/>
          </w:tcPr>
          <w:p w:rsidR="00C81BF8" w:rsidRPr="000F540A" w:rsidRDefault="00C81BF8" w:rsidP="000F540A">
            <w:pPr>
              <w:jc w:val="both"/>
              <w:rPr>
                <w:rFonts w:asciiTheme="majorHAnsi" w:hAnsiTheme="majorHAnsi"/>
                <w:color w:val="000000"/>
                <w:sz w:val="22"/>
                <w:szCs w:val="22"/>
              </w:rPr>
            </w:pPr>
            <w:r w:rsidRPr="000F540A">
              <w:rPr>
                <w:rFonts w:asciiTheme="majorHAnsi" w:hAnsiTheme="majorHAnsi"/>
                <w:color w:val="000000"/>
                <w:sz w:val="22"/>
                <w:szCs w:val="22"/>
              </w:rPr>
              <w:t>2.0</w:t>
            </w:r>
          </w:p>
        </w:tc>
        <w:tc>
          <w:tcPr>
            <w:tcW w:w="0" w:type="auto"/>
            <w:tcBorders>
              <w:top w:val="single" w:sz="4" w:space="0" w:color="auto"/>
              <w:left w:val="nil"/>
              <w:bottom w:val="double" w:sz="6" w:space="0" w:color="auto"/>
              <w:right w:val="nil"/>
            </w:tcBorders>
            <w:shd w:val="clear" w:color="auto" w:fill="auto"/>
            <w:noWrap/>
            <w:vAlign w:val="center"/>
            <w:hideMark/>
          </w:tcPr>
          <w:p w:rsidR="00C81BF8" w:rsidRPr="000F540A" w:rsidRDefault="00C81BF8" w:rsidP="000F540A">
            <w:pPr>
              <w:jc w:val="both"/>
              <w:rPr>
                <w:rFonts w:asciiTheme="majorHAnsi" w:hAnsiTheme="majorHAnsi"/>
                <w:color w:val="000000"/>
                <w:sz w:val="22"/>
                <w:szCs w:val="22"/>
              </w:rPr>
            </w:pPr>
            <w:r w:rsidRPr="000F540A">
              <w:rPr>
                <w:rFonts w:asciiTheme="majorHAnsi" w:hAnsiTheme="majorHAnsi"/>
                <w:color w:val="000000"/>
                <w:sz w:val="22"/>
                <w:szCs w:val="22"/>
              </w:rPr>
              <w:t>8.0</w:t>
            </w:r>
          </w:p>
        </w:tc>
        <w:tc>
          <w:tcPr>
            <w:tcW w:w="0" w:type="auto"/>
            <w:tcBorders>
              <w:top w:val="single" w:sz="4" w:space="0" w:color="auto"/>
              <w:left w:val="nil"/>
              <w:bottom w:val="double" w:sz="6" w:space="0" w:color="auto"/>
              <w:right w:val="nil"/>
            </w:tcBorders>
            <w:shd w:val="clear" w:color="auto" w:fill="auto"/>
            <w:noWrap/>
            <w:vAlign w:val="center"/>
            <w:hideMark/>
          </w:tcPr>
          <w:p w:rsidR="00C81BF8" w:rsidRPr="000F540A" w:rsidRDefault="00C81BF8" w:rsidP="000F540A">
            <w:pPr>
              <w:jc w:val="both"/>
              <w:rPr>
                <w:rFonts w:asciiTheme="majorHAnsi" w:hAnsiTheme="majorHAnsi"/>
                <w:b/>
                <w:color w:val="000000"/>
                <w:sz w:val="22"/>
                <w:szCs w:val="22"/>
              </w:rPr>
            </w:pPr>
            <w:r w:rsidRPr="000F540A">
              <w:rPr>
                <w:rFonts w:asciiTheme="majorHAnsi" w:hAnsiTheme="majorHAnsi"/>
                <w:b/>
                <w:color w:val="000000"/>
                <w:sz w:val="22"/>
                <w:szCs w:val="22"/>
              </w:rPr>
              <w:t>4.9</w:t>
            </w:r>
          </w:p>
        </w:tc>
        <w:tc>
          <w:tcPr>
            <w:tcW w:w="0" w:type="auto"/>
            <w:tcBorders>
              <w:top w:val="single" w:sz="4" w:space="0" w:color="auto"/>
              <w:left w:val="nil"/>
              <w:bottom w:val="double" w:sz="6" w:space="0" w:color="auto"/>
              <w:right w:val="nil"/>
            </w:tcBorders>
            <w:shd w:val="clear" w:color="auto" w:fill="auto"/>
            <w:noWrap/>
            <w:vAlign w:val="center"/>
            <w:hideMark/>
          </w:tcPr>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1.8</w:t>
            </w:r>
          </w:p>
        </w:tc>
        <w:tc>
          <w:tcPr>
            <w:tcW w:w="0" w:type="auto"/>
            <w:tcBorders>
              <w:top w:val="single" w:sz="4" w:space="0" w:color="auto"/>
              <w:left w:val="nil"/>
              <w:bottom w:val="double" w:sz="6" w:space="0" w:color="auto"/>
              <w:right w:val="nil"/>
            </w:tcBorders>
            <w:shd w:val="clear" w:color="auto" w:fill="auto"/>
            <w:noWrap/>
            <w:vAlign w:val="center"/>
            <w:hideMark/>
          </w:tcPr>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7.9</w:t>
            </w:r>
          </w:p>
        </w:tc>
        <w:tc>
          <w:tcPr>
            <w:tcW w:w="0" w:type="auto"/>
            <w:tcBorders>
              <w:top w:val="single" w:sz="4" w:space="0" w:color="auto"/>
              <w:left w:val="nil"/>
              <w:bottom w:val="double" w:sz="6" w:space="0" w:color="auto"/>
              <w:right w:val="nil"/>
            </w:tcBorders>
            <w:shd w:val="clear" w:color="auto" w:fill="auto"/>
            <w:noWrap/>
            <w:vAlign w:val="center"/>
            <w:hideMark/>
          </w:tcPr>
          <w:p w:rsidR="00C81BF8" w:rsidRPr="000F540A" w:rsidRDefault="00C81BF8" w:rsidP="000F540A">
            <w:pPr>
              <w:jc w:val="both"/>
              <w:rPr>
                <w:rFonts w:asciiTheme="majorHAnsi" w:hAnsiTheme="majorHAnsi"/>
                <w:b/>
                <w:sz w:val="22"/>
                <w:szCs w:val="22"/>
              </w:rPr>
            </w:pPr>
            <w:r w:rsidRPr="000F540A">
              <w:rPr>
                <w:rFonts w:asciiTheme="majorHAnsi" w:hAnsiTheme="majorHAnsi"/>
                <w:b/>
                <w:sz w:val="22"/>
                <w:szCs w:val="22"/>
              </w:rPr>
              <w:t>4.5</w:t>
            </w:r>
          </w:p>
        </w:tc>
      </w:tr>
    </w:tbl>
    <w:p w:rsidR="00C81BF8" w:rsidRPr="000F540A" w:rsidRDefault="00C81BF8" w:rsidP="000F540A">
      <w:pPr>
        <w:jc w:val="both"/>
        <w:rPr>
          <w:rFonts w:asciiTheme="majorHAnsi" w:hAnsiTheme="majorHAnsi"/>
          <w:b/>
          <w:i/>
          <w:sz w:val="22"/>
          <w:szCs w:val="22"/>
        </w:rPr>
      </w:pPr>
      <w:r w:rsidRPr="000F540A">
        <w:rPr>
          <w:rFonts w:asciiTheme="majorHAnsi" w:hAnsiTheme="majorHAnsi"/>
          <w:b/>
          <w:sz w:val="22"/>
          <w:szCs w:val="22"/>
        </w:rPr>
        <w:t>Burimi:</w:t>
      </w:r>
      <w:r w:rsidRPr="000F540A">
        <w:rPr>
          <w:rFonts w:asciiTheme="majorHAnsi" w:hAnsiTheme="majorHAnsi"/>
          <w:b/>
          <w:i/>
          <w:sz w:val="22"/>
          <w:szCs w:val="22"/>
        </w:rPr>
        <w:t xml:space="preserve"> </w:t>
      </w:r>
      <w:r w:rsidRPr="000F540A">
        <w:rPr>
          <w:rFonts w:asciiTheme="majorHAnsi" w:hAnsiTheme="majorHAnsi"/>
          <w:i/>
          <w:sz w:val="22"/>
          <w:szCs w:val="22"/>
        </w:rPr>
        <w:t>Ministria e Financave</w:t>
      </w:r>
      <w:r w:rsidR="009C2312" w:rsidRPr="000F540A">
        <w:rPr>
          <w:rFonts w:asciiTheme="majorHAnsi" w:hAnsiTheme="majorHAnsi"/>
          <w:i/>
          <w:sz w:val="22"/>
          <w:szCs w:val="22"/>
        </w:rPr>
        <w:t xml:space="preserve"> (201</w:t>
      </w:r>
      <w:r w:rsidR="004563A6" w:rsidRPr="000F540A">
        <w:rPr>
          <w:rFonts w:asciiTheme="majorHAnsi" w:hAnsiTheme="majorHAnsi"/>
          <w:i/>
          <w:sz w:val="22"/>
          <w:szCs w:val="22"/>
        </w:rPr>
        <w:t>5</w:t>
      </w:r>
      <w:r w:rsidR="009C2312" w:rsidRPr="000F540A">
        <w:rPr>
          <w:rFonts w:asciiTheme="majorHAnsi" w:hAnsiTheme="majorHAnsi"/>
          <w:i/>
          <w:sz w:val="22"/>
          <w:szCs w:val="22"/>
        </w:rPr>
        <w:t>)</w:t>
      </w:r>
    </w:p>
    <w:p w:rsidR="00C81BF8" w:rsidRPr="000F540A" w:rsidRDefault="00C81BF8" w:rsidP="000F540A">
      <w:pPr>
        <w:jc w:val="both"/>
        <w:rPr>
          <w:rFonts w:asciiTheme="majorHAnsi" w:hAnsiTheme="majorHAnsi"/>
          <w:sz w:val="22"/>
          <w:szCs w:val="22"/>
        </w:rPr>
      </w:pPr>
    </w:p>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 xml:space="preserve">Përpjekjet për uljen e </w:t>
      </w:r>
      <w:r w:rsidRPr="000F540A">
        <w:rPr>
          <w:rFonts w:asciiTheme="majorHAnsi" w:hAnsiTheme="majorHAnsi"/>
          <w:sz w:val="22"/>
          <w:szCs w:val="22"/>
          <w:lang w:val="sq-AL"/>
        </w:rPr>
        <w:t>rrezikut</w:t>
      </w:r>
      <w:r w:rsidRPr="000F540A">
        <w:rPr>
          <w:rFonts w:asciiTheme="majorHAnsi" w:hAnsiTheme="majorHAnsi"/>
          <w:sz w:val="22"/>
          <w:szCs w:val="22"/>
        </w:rPr>
        <w:t xml:space="preserve"> të rifinancimit do të vazhdojnë, pasi borxhi i brendshëm mbetet ende i ekspozuar ndaj </w:t>
      </w:r>
      <w:r w:rsidRPr="000F540A">
        <w:rPr>
          <w:rFonts w:asciiTheme="majorHAnsi" w:hAnsiTheme="majorHAnsi"/>
          <w:sz w:val="22"/>
          <w:szCs w:val="22"/>
          <w:lang w:val="sq-AL"/>
        </w:rPr>
        <w:t>rrezikut</w:t>
      </w:r>
      <w:r w:rsidRPr="000F540A">
        <w:rPr>
          <w:rFonts w:asciiTheme="majorHAnsi" w:hAnsiTheme="majorHAnsi"/>
          <w:sz w:val="22"/>
          <w:szCs w:val="22"/>
        </w:rPr>
        <w:t xml:space="preserve"> të rifinancimit dhe ka nevojë për përmirësime të mëtejshme në kuadër të rritjes së peshës së instrumenteve afatgjata dhe krijimit të një profili amortizimi me shpërndarje më të njëtrajtshme.</w:t>
      </w:r>
    </w:p>
    <w:p w:rsidR="00C81BF8" w:rsidRPr="000F540A" w:rsidRDefault="00C81BF8" w:rsidP="000F540A">
      <w:pPr>
        <w:ind w:right="-540"/>
        <w:jc w:val="both"/>
        <w:rPr>
          <w:rFonts w:asciiTheme="majorHAnsi" w:hAnsiTheme="majorHAnsi"/>
          <w:sz w:val="22"/>
          <w:szCs w:val="22"/>
        </w:rPr>
      </w:pPr>
    </w:p>
    <w:p w:rsidR="004D1F43" w:rsidRPr="000F540A" w:rsidRDefault="004D1F43" w:rsidP="000F540A">
      <w:pPr>
        <w:ind w:right="-540"/>
        <w:jc w:val="both"/>
        <w:rPr>
          <w:rFonts w:asciiTheme="majorHAnsi" w:hAnsiTheme="majorHAnsi"/>
          <w:sz w:val="22"/>
          <w:szCs w:val="22"/>
        </w:rPr>
      </w:pPr>
    </w:p>
    <w:p w:rsidR="004D1F43" w:rsidRPr="000F540A" w:rsidRDefault="004D1F43" w:rsidP="000F540A">
      <w:pPr>
        <w:ind w:right="-540"/>
        <w:jc w:val="both"/>
        <w:rPr>
          <w:rFonts w:asciiTheme="majorHAnsi" w:hAnsiTheme="majorHAnsi"/>
          <w:sz w:val="22"/>
          <w:szCs w:val="22"/>
        </w:rPr>
      </w:pPr>
    </w:p>
    <w:p w:rsidR="00EB3E13" w:rsidRPr="000F540A" w:rsidRDefault="00EB3E13" w:rsidP="000F540A">
      <w:pPr>
        <w:ind w:right="-540"/>
        <w:jc w:val="both"/>
        <w:rPr>
          <w:rFonts w:asciiTheme="majorHAnsi" w:hAnsiTheme="majorHAnsi"/>
          <w:sz w:val="22"/>
          <w:szCs w:val="22"/>
        </w:rPr>
      </w:pPr>
    </w:p>
    <w:p w:rsidR="00C81BF8" w:rsidRPr="000F540A" w:rsidRDefault="00C81BF8" w:rsidP="000F540A">
      <w:pPr>
        <w:pStyle w:val="Heading4"/>
        <w:numPr>
          <w:ilvl w:val="1"/>
          <w:numId w:val="25"/>
        </w:numPr>
        <w:ind w:left="567" w:hanging="567"/>
        <w:jc w:val="both"/>
        <w:rPr>
          <w:sz w:val="22"/>
          <w:szCs w:val="22"/>
        </w:rPr>
      </w:pPr>
      <w:r w:rsidRPr="000F540A">
        <w:rPr>
          <w:sz w:val="22"/>
          <w:szCs w:val="22"/>
        </w:rPr>
        <w:lastRenderedPageBreak/>
        <w:t>Rreziku i normave të interesit</w:t>
      </w:r>
    </w:p>
    <w:p w:rsidR="00C81BF8" w:rsidRPr="000F540A" w:rsidRDefault="00C81BF8" w:rsidP="000F540A">
      <w:pPr>
        <w:jc w:val="both"/>
        <w:rPr>
          <w:rFonts w:asciiTheme="majorHAnsi" w:hAnsiTheme="majorHAnsi"/>
          <w:b/>
          <w:sz w:val="22"/>
          <w:szCs w:val="22"/>
        </w:rPr>
      </w:pPr>
    </w:p>
    <w:p w:rsidR="00C81BF8" w:rsidRPr="000F540A" w:rsidRDefault="00C81BF8" w:rsidP="000F540A">
      <w:pPr>
        <w:jc w:val="both"/>
        <w:rPr>
          <w:rFonts w:asciiTheme="majorHAnsi" w:hAnsiTheme="majorHAnsi"/>
          <w:sz w:val="22"/>
          <w:szCs w:val="22"/>
        </w:rPr>
      </w:pPr>
      <w:proofErr w:type="gramStart"/>
      <w:r w:rsidRPr="000F540A">
        <w:rPr>
          <w:rFonts w:asciiTheme="majorHAnsi" w:hAnsiTheme="majorHAnsi"/>
          <w:sz w:val="22"/>
          <w:szCs w:val="22"/>
        </w:rPr>
        <w:t xml:space="preserve">Gjatë vitit 2015 është bërë progres i dukshëm në kuadër të uljes së ekspozimit ndaj </w:t>
      </w:r>
      <w:r w:rsidRPr="000F540A">
        <w:rPr>
          <w:rFonts w:asciiTheme="majorHAnsi" w:hAnsiTheme="majorHAnsi"/>
          <w:sz w:val="22"/>
          <w:szCs w:val="22"/>
          <w:lang w:val="sq-AL"/>
        </w:rPr>
        <w:t>rrezikut</w:t>
      </w:r>
      <w:r w:rsidRPr="000F540A">
        <w:rPr>
          <w:rFonts w:asciiTheme="majorHAnsi" w:hAnsiTheme="majorHAnsi"/>
          <w:sz w:val="22"/>
          <w:szCs w:val="22"/>
        </w:rPr>
        <w:t xml:space="preserve"> të normave të interesit.</w:t>
      </w:r>
      <w:proofErr w:type="gramEnd"/>
      <w:r w:rsidRPr="000F540A">
        <w:rPr>
          <w:rFonts w:asciiTheme="majorHAnsi" w:hAnsiTheme="majorHAnsi"/>
          <w:sz w:val="22"/>
          <w:szCs w:val="22"/>
        </w:rPr>
        <w:t xml:space="preserve"> Në këtë aspekt</w:t>
      </w:r>
      <w:r w:rsidR="00FC01D0" w:rsidRPr="000F540A">
        <w:rPr>
          <w:rFonts w:asciiTheme="majorHAnsi" w:hAnsiTheme="majorHAnsi"/>
          <w:sz w:val="22"/>
          <w:szCs w:val="22"/>
        </w:rPr>
        <w:t>,</w:t>
      </w:r>
      <w:r w:rsidRPr="000F540A">
        <w:rPr>
          <w:rFonts w:asciiTheme="majorHAnsi" w:hAnsiTheme="majorHAnsi"/>
          <w:sz w:val="22"/>
          <w:szCs w:val="22"/>
        </w:rPr>
        <w:t xml:space="preserve"> rol të rëndësishëm ka luajtur mbajtja nën kontroll e instrumenteve me </w:t>
      </w:r>
      <w:proofErr w:type="gramStart"/>
      <w:r w:rsidRPr="000F540A">
        <w:rPr>
          <w:rFonts w:asciiTheme="majorHAnsi" w:hAnsiTheme="majorHAnsi"/>
          <w:sz w:val="22"/>
          <w:szCs w:val="22"/>
        </w:rPr>
        <w:t>norma</w:t>
      </w:r>
      <w:proofErr w:type="gramEnd"/>
      <w:r w:rsidRPr="000F540A">
        <w:rPr>
          <w:rFonts w:asciiTheme="majorHAnsi" w:hAnsiTheme="majorHAnsi"/>
          <w:sz w:val="22"/>
          <w:szCs w:val="22"/>
        </w:rPr>
        <w:t xml:space="preserve"> interesi të ndryshueshme si edhe ulja e peshës së instrumenteve afatshkurtra në portofol, të cilat në aspektin e </w:t>
      </w:r>
      <w:r w:rsidRPr="000F540A">
        <w:rPr>
          <w:rFonts w:asciiTheme="majorHAnsi" w:hAnsiTheme="majorHAnsi"/>
          <w:sz w:val="22"/>
          <w:szCs w:val="22"/>
          <w:lang w:val="sq-AL"/>
        </w:rPr>
        <w:t>rrezikut</w:t>
      </w:r>
      <w:r w:rsidRPr="000F540A">
        <w:rPr>
          <w:rFonts w:asciiTheme="majorHAnsi" w:hAnsiTheme="majorHAnsi"/>
          <w:sz w:val="22"/>
          <w:szCs w:val="22"/>
        </w:rPr>
        <w:t xml:space="preserve"> të normave konsiderohen me norma të ndryshueshme. </w:t>
      </w:r>
    </w:p>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 xml:space="preserve">Borxhi me norma interesi fikse në fund të vitit 2015 vlerësohet rreth 48.6% e totalit të portofolit ose 6.1 pp më shumë se fundi </w:t>
      </w:r>
      <w:r w:rsidR="00FC01D0" w:rsidRPr="000F540A">
        <w:rPr>
          <w:rFonts w:asciiTheme="majorHAnsi" w:hAnsiTheme="majorHAnsi"/>
          <w:sz w:val="22"/>
          <w:szCs w:val="22"/>
        </w:rPr>
        <w:t>i</w:t>
      </w:r>
      <w:r w:rsidRPr="000F540A">
        <w:rPr>
          <w:rFonts w:asciiTheme="majorHAnsi" w:hAnsiTheme="majorHAnsi"/>
          <w:sz w:val="22"/>
          <w:szCs w:val="22"/>
        </w:rPr>
        <w:t xml:space="preserve"> vitit të kaluar. Për borxhin e brendshëm </w:t>
      </w:r>
      <w:proofErr w:type="gramStart"/>
      <w:r w:rsidRPr="000F540A">
        <w:rPr>
          <w:rFonts w:asciiTheme="majorHAnsi" w:hAnsiTheme="majorHAnsi"/>
          <w:sz w:val="22"/>
          <w:szCs w:val="22"/>
        </w:rPr>
        <w:t>ky</w:t>
      </w:r>
      <w:proofErr w:type="gramEnd"/>
      <w:r w:rsidRPr="000F540A">
        <w:rPr>
          <w:rFonts w:asciiTheme="majorHAnsi" w:hAnsiTheme="majorHAnsi"/>
          <w:sz w:val="22"/>
          <w:szCs w:val="22"/>
        </w:rPr>
        <w:t xml:space="preserve"> tregues është rritur me 6.2 pp krahasuar me fundin e vitit të kaluar, kryesisht për shkak të uljes së peshës së instrumenteve afatshkurtra nga 48.4% në 43.0%. </w:t>
      </w:r>
      <w:proofErr w:type="gramStart"/>
      <w:r w:rsidRPr="000F540A">
        <w:rPr>
          <w:rFonts w:asciiTheme="majorHAnsi" w:hAnsiTheme="majorHAnsi"/>
          <w:sz w:val="22"/>
          <w:szCs w:val="22"/>
        </w:rPr>
        <w:t>Gjithashtu edhe pesha e instrumenteve që rivlerësohen në harkun kohor të një viti është ulur nga 65.9% në 58.1%.</w:t>
      </w:r>
      <w:proofErr w:type="gramEnd"/>
      <w:r w:rsidRPr="000F540A">
        <w:rPr>
          <w:rFonts w:asciiTheme="majorHAnsi" w:hAnsiTheme="majorHAnsi"/>
          <w:sz w:val="22"/>
          <w:szCs w:val="22"/>
        </w:rPr>
        <w:t xml:space="preserve"> Kontribut në përmirësimin e këtij treguesi ka </w:t>
      </w:r>
      <w:proofErr w:type="gramStart"/>
      <w:r w:rsidRPr="000F540A">
        <w:rPr>
          <w:rFonts w:asciiTheme="majorHAnsi" w:hAnsiTheme="majorHAnsi"/>
          <w:sz w:val="22"/>
          <w:szCs w:val="22"/>
        </w:rPr>
        <w:t>jo</w:t>
      </w:r>
      <w:proofErr w:type="gramEnd"/>
      <w:r w:rsidRPr="000F540A">
        <w:rPr>
          <w:rFonts w:asciiTheme="majorHAnsi" w:hAnsiTheme="majorHAnsi"/>
          <w:sz w:val="22"/>
          <w:szCs w:val="22"/>
        </w:rPr>
        <w:t xml:space="preserve"> vetëm borxhi i brendshëm për arsyet e sipërpërmendura por edhe borxhi i jashtëm, i cili është më i qëndrueshëm pas maturimit të disa instrumenteve me peshë relativisht të lartë dhe zëvendësimit me instrumente të reja me jet</w:t>
      </w:r>
      <w:r w:rsidR="00FC01D0" w:rsidRPr="000F540A">
        <w:rPr>
          <w:rFonts w:asciiTheme="majorHAnsi" w:hAnsiTheme="majorHAnsi"/>
          <w:sz w:val="22"/>
          <w:szCs w:val="22"/>
        </w:rPr>
        <w:t>ë</w:t>
      </w:r>
      <w:r w:rsidRPr="000F540A">
        <w:rPr>
          <w:rFonts w:asciiTheme="majorHAnsi" w:hAnsiTheme="majorHAnsi"/>
          <w:sz w:val="22"/>
          <w:szCs w:val="22"/>
        </w:rPr>
        <w:t>gjatësi të mbetur dhe kohë rivlerësimi relativisht të lartë.</w:t>
      </w:r>
    </w:p>
    <w:p w:rsidR="00C653DB" w:rsidRPr="000F540A" w:rsidRDefault="00C653DB" w:rsidP="000F540A">
      <w:pPr>
        <w:jc w:val="both"/>
        <w:rPr>
          <w:rFonts w:asciiTheme="majorHAnsi" w:hAnsiTheme="majorHAnsi"/>
          <w:sz w:val="22"/>
          <w:szCs w:val="22"/>
        </w:rPr>
      </w:pPr>
    </w:p>
    <w:p w:rsidR="00C81BF8" w:rsidRPr="000F540A" w:rsidRDefault="00C81BF8" w:rsidP="000F540A">
      <w:pPr>
        <w:pStyle w:val="ListParagraph"/>
        <w:ind w:left="0"/>
        <w:jc w:val="both"/>
        <w:rPr>
          <w:rFonts w:asciiTheme="majorHAnsi" w:hAnsiTheme="majorHAnsi"/>
          <w:i/>
          <w:color w:val="632423" w:themeColor="accent2" w:themeShade="80"/>
          <w:sz w:val="22"/>
          <w:szCs w:val="22"/>
          <w:lang w:val="sq-AL"/>
        </w:rPr>
      </w:pPr>
      <w:r w:rsidRPr="000F540A">
        <w:rPr>
          <w:rFonts w:asciiTheme="majorHAnsi" w:hAnsiTheme="majorHAnsi"/>
          <w:b/>
          <w:color w:val="632423" w:themeColor="accent2" w:themeShade="80"/>
          <w:sz w:val="22"/>
          <w:szCs w:val="22"/>
          <w:lang w:val="sq-AL"/>
        </w:rPr>
        <w:t xml:space="preserve">Tabela </w:t>
      </w:r>
      <w:r w:rsidR="004D1F43" w:rsidRPr="000F540A">
        <w:rPr>
          <w:rFonts w:asciiTheme="majorHAnsi" w:hAnsiTheme="majorHAnsi"/>
          <w:b/>
          <w:color w:val="632423" w:themeColor="accent2" w:themeShade="80"/>
          <w:sz w:val="22"/>
          <w:szCs w:val="22"/>
          <w:lang w:val="sq-AL"/>
        </w:rPr>
        <w:t>4</w:t>
      </w:r>
      <w:r w:rsidRPr="000F540A">
        <w:rPr>
          <w:rFonts w:asciiTheme="majorHAnsi" w:hAnsiTheme="majorHAnsi"/>
          <w:b/>
          <w:color w:val="632423" w:themeColor="accent2" w:themeShade="80"/>
          <w:sz w:val="22"/>
          <w:szCs w:val="22"/>
          <w:lang w:val="sq-AL"/>
        </w:rPr>
        <w:t>:</w:t>
      </w:r>
      <w:r w:rsidRPr="000F540A">
        <w:rPr>
          <w:rFonts w:asciiTheme="majorHAnsi" w:hAnsiTheme="majorHAnsi"/>
          <w:color w:val="632423" w:themeColor="accent2" w:themeShade="80"/>
          <w:sz w:val="22"/>
          <w:szCs w:val="22"/>
          <w:lang w:val="sq-AL"/>
        </w:rPr>
        <w:t xml:space="preserve"> </w:t>
      </w:r>
      <w:r w:rsidRPr="000F540A">
        <w:rPr>
          <w:rFonts w:asciiTheme="majorHAnsi" w:hAnsiTheme="majorHAnsi"/>
          <w:i/>
          <w:color w:val="632423" w:themeColor="accent2" w:themeShade="80"/>
          <w:sz w:val="22"/>
          <w:szCs w:val="22"/>
          <w:lang w:val="sq-AL"/>
        </w:rPr>
        <w:t>Treguesit e rrezikut të normave të interesit</w:t>
      </w:r>
    </w:p>
    <w:tbl>
      <w:tblPr>
        <w:tblW w:w="8577" w:type="dxa"/>
        <w:jc w:val="center"/>
        <w:tblLook w:val="04A0" w:firstRow="1" w:lastRow="0" w:firstColumn="1" w:lastColumn="0" w:noHBand="0" w:noVBand="1"/>
      </w:tblPr>
      <w:tblGrid>
        <w:gridCol w:w="1765"/>
        <w:gridCol w:w="1443"/>
        <w:gridCol w:w="1090"/>
        <w:gridCol w:w="873"/>
        <w:gridCol w:w="1443"/>
        <w:gridCol w:w="1090"/>
        <w:gridCol w:w="873"/>
      </w:tblGrid>
      <w:tr w:rsidR="00C81BF8" w:rsidRPr="000F540A" w:rsidTr="001B35D0">
        <w:trPr>
          <w:trHeight w:val="205"/>
          <w:jc w:val="center"/>
        </w:trPr>
        <w:tc>
          <w:tcPr>
            <w:tcW w:w="1765" w:type="dxa"/>
            <w:vMerge w:val="restart"/>
            <w:tcBorders>
              <w:top w:val="nil"/>
              <w:left w:val="nil"/>
              <w:bottom w:val="nil"/>
              <w:right w:val="single" w:sz="8" w:space="0" w:color="FFFFFF"/>
            </w:tcBorders>
            <w:shd w:val="clear" w:color="000000" w:fill="953735"/>
            <w:noWrap/>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Treguesi</w:t>
            </w:r>
          </w:p>
        </w:tc>
        <w:tc>
          <w:tcPr>
            <w:tcW w:w="0" w:type="auto"/>
            <w:gridSpan w:val="3"/>
            <w:tcBorders>
              <w:top w:val="nil"/>
              <w:left w:val="nil"/>
              <w:bottom w:val="single" w:sz="8" w:space="0" w:color="FFFFFF"/>
              <w:right w:val="single" w:sz="8" w:space="0" w:color="FFFFFF"/>
            </w:tcBorders>
            <w:shd w:val="clear" w:color="000000" w:fill="953735"/>
            <w:noWrap/>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2015</w:t>
            </w:r>
          </w:p>
        </w:tc>
        <w:tc>
          <w:tcPr>
            <w:tcW w:w="0" w:type="auto"/>
            <w:gridSpan w:val="3"/>
            <w:tcBorders>
              <w:top w:val="nil"/>
              <w:left w:val="nil"/>
              <w:bottom w:val="single" w:sz="8" w:space="0" w:color="FFFFFF"/>
              <w:right w:val="single" w:sz="8" w:space="0" w:color="FFFFFF"/>
            </w:tcBorders>
            <w:shd w:val="clear" w:color="000000" w:fill="953735"/>
            <w:noWrap/>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Objektivi Strategjik</w:t>
            </w:r>
          </w:p>
        </w:tc>
      </w:tr>
      <w:tr w:rsidR="00C81BF8" w:rsidRPr="000F540A" w:rsidTr="001B35D0">
        <w:trPr>
          <w:trHeight w:val="334"/>
          <w:jc w:val="center"/>
        </w:trPr>
        <w:tc>
          <w:tcPr>
            <w:tcW w:w="1765" w:type="dxa"/>
            <w:vMerge/>
            <w:tcBorders>
              <w:top w:val="nil"/>
              <w:left w:val="nil"/>
              <w:bottom w:val="nil"/>
              <w:right w:val="single" w:sz="8" w:space="0" w:color="FFFFFF"/>
            </w:tcBorders>
            <w:vAlign w:val="center"/>
            <w:hideMark/>
          </w:tcPr>
          <w:p w:rsidR="00C81BF8" w:rsidRPr="000F540A" w:rsidRDefault="00C81BF8" w:rsidP="000F540A">
            <w:pPr>
              <w:jc w:val="both"/>
              <w:rPr>
                <w:rFonts w:asciiTheme="majorHAnsi" w:hAnsiTheme="majorHAnsi"/>
                <w:b/>
                <w:bCs/>
                <w:color w:val="FFFFFF"/>
                <w:sz w:val="22"/>
                <w:szCs w:val="22"/>
              </w:rPr>
            </w:pPr>
          </w:p>
        </w:tc>
        <w:tc>
          <w:tcPr>
            <w:tcW w:w="0" w:type="auto"/>
            <w:tcBorders>
              <w:top w:val="nil"/>
              <w:left w:val="nil"/>
              <w:bottom w:val="nil"/>
              <w:right w:val="nil"/>
            </w:tcBorders>
            <w:shd w:val="clear" w:color="000000" w:fill="953735"/>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Borxh i Brendshëm</w:t>
            </w:r>
          </w:p>
        </w:tc>
        <w:tc>
          <w:tcPr>
            <w:tcW w:w="0" w:type="auto"/>
            <w:tcBorders>
              <w:top w:val="nil"/>
              <w:left w:val="nil"/>
              <w:bottom w:val="nil"/>
              <w:right w:val="nil"/>
            </w:tcBorders>
            <w:shd w:val="clear" w:color="000000" w:fill="953735"/>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Borxh i Jashtëm</w:t>
            </w:r>
          </w:p>
        </w:tc>
        <w:tc>
          <w:tcPr>
            <w:tcW w:w="0" w:type="auto"/>
            <w:tcBorders>
              <w:top w:val="nil"/>
              <w:left w:val="nil"/>
              <w:bottom w:val="nil"/>
              <w:right w:val="single" w:sz="8" w:space="0" w:color="FFFFFF"/>
            </w:tcBorders>
            <w:shd w:val="clear" w:color="000000" w:fill="953735"/>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Total</w:t>
            </w:r>
          </w:p>
        </w:tc>
        <w:tc>
          <w:tcPr>
            <w:tcW w:w="0" w:type="auto"/>
            <w:tcBorders>
              <w:top w:val="nil"/>
              <w:left w:val="nil"/>
              <w:bottom w:val="nil"/>
              <w:right w:val="nil"/>
            </w:tcBorders>
            <w:shd w:val="clear" w:color="000000" w:fill="953735"/>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Borxh i Brendshëm</w:t>
            </w:r>
          </w:p>
        </w:tc>
        <w:tc>
          <w:tcPr>
            <w:tcW w:w="0" w:type="auto"/>
            <w:tcBorders>
              <w:top w:val="nil"/>
              <w:left w:val="nil"/>
              <w:bottom w:val="nil"/>
              <w:right w:val="nil"/>
            </w:tcBorders>
            <w:shd w:val="clear" w:color="000000" w:fill="953735"/>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Borxh i Jashtëm</w:t>
            </w:r>
          </w:p>
        </w:tc>
        <w:tc>
          <w:tcPr>
            <w:tcW w:w="0" w:type="auto"/>
            <w:tcBorders>
              <w:top w:val="nil"/>
              <w:left w:val="nil"/>
              <w:bottom w:val="nil"/>
              <w:right w:val="single" w:sz="8" w:space="0" w:color="FFFFFF"/>
            </w:tcBorders>
            <w:shd w:val="clear" w:color="000000" w:fill="953735"/>
            <w:vAlign w:val="center"/>
            <w:hideMark/>
          </w:tcPr>
          <w:p w:rsidR="00C81BF8" w:rsidRPr="000F540A" w:rsidRDefault="00C81BF8"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Total</w:t>
            </w:r>
          </w:p>
        </w:tc>
      </w:tr>
      <w:tr w:rsidR="00C81BF8" w:rsidRPr="000F540A" w:rsidTr="001B35D0">
        <w:trPr>
          <w:trHeight w:val="334"/>
          <w:jc w:val="center"/>
        </w:trPr>
        <w:tc>
          <w:tcPr>
            <w:tcW w:w="1765" w:type="dxa"/>
            <w:tcBorders>
              <w:top w:val="nil"/>
              <w:left w:val="nil"/>
              <w:bottom w:val="nil"/>
              <w:right w:val="nil"/>
            </w:tcBorders>
            <w:shd w:val="clear" w:color="auto" w:fill="auto"/>
            <w:vAlign w:val="center"/>
            <w:hideMark/>
          </w:tcPr>
          <w:p w:rsidR="00C81BF8" w:rsidRPr="000F540A" w:rsidRDefault="00C81BF8"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Borxh me normë fikse/total</w:t>
            </w:r>
          </w:p>
        </w:tc>
        <w:tc>
          <w:tcPr>
            <w:tcW w:w="0" w:type="auto"/>
            <w:tcBorders>
              <w:top w:val="nil"/>
              <w:left w:val="nil"/>
              <w:bottom w:val="nil"/>
              <w:right w:val="nil"/>
            </w:tcBorders>
            <w:shd w:val="clear" w:color="auto" w:fill="auto"/>
            <w:noWrap/>
            <w:vAlign w:val="center"/>
            <w:hideMark/>
          </w:tcPr>
          <w:p w:rsidR="00C81BF8" w:rsidRPr="000F540A" w:rsidRDefault="00C81BF8" w:rsidP="000F540A">
            <w:pPr>
              <w:jc w:val="both"/>
              <w:rPr>
                <w:rFonts w:asciiTheme="majorHAnsi" w:hAnsiTheme="majorHAnsi"/>
                <w:color w:val="000000"/>
                <w:sz w:val="22"/>
                <w:szCs w:val="22"/>
              </w:rPr>
            </w:pPr>
            <w:r w:rsidRPr="000F540A">
              <w:rPr>
                <w:rFonts w:asciiTheme="majorHAnsi" w:hAnsiTheme="majorHAnsi"/>
                <w:color w:val="000000"/>
                <w:sz w:val="22"/>
                <w:szCs w:val="22"/>
              </w:rPr>
              <w:t>43.2%</w:t>
            </w:r>
          </w:p>
        </w:tc>
        <w:tc>
          <w:tcPr>
            <w:tcW w:w="0" w:type="auto"/>
            <w:tcBorders>
              <w:top w:val="nil"/>
              <w:left w:val="nil"/>
              <w:bottom w:val="nil"/>
              <w:right w:val="nil"/>
            </w:tcBorders>
            <w:shd w:val="clear" w:color="auto" w:fill="auto"/>
            <w:noWrap/>
            <w:vAlign w:val="center"/>
            <w:hideMark/>
          </w:tcPr>
          <w:p w:rsidR="00C81BF8" w:rsidRPr="000F540A" w:rsidRDefault="00C81BF8" w:rsidP="000F540A">
            <w:pPr>
              <w:jc w:val="both"/>
              <w:rPr>
                <w:rFonts w:asciiTheme="majorHAnsi" w:hAnsiTheme="majorHAnsi"/>
                <w:color w:val="000000"/>
                <w:sz w:val="22"/>
                <w:szCs w:val="22"/>
              </w:rPr>
            </w:pPr>
            <w:r w:rsidRPr="000F540A">
              <w:rPr>
                <w:rFonts w:asciiTheme="majorHAnsi" w:hAnsiTheme="majorHAnsi"/>
                <w:color w:val="000000"/>
                <w:sz w:val="22"/>
                <w:szCs w:val="22"/>
              </w:rPr>
              <w:t>54.6%</w:t>
            </w:r>
          </w:p>
        </w:tc>
        <w:tc>
          <w:tcPr>
            <w:tcW w:w="0" w:type="auto"/>
            <w:tcBorders>
              <w:top w:val="nil"/>
              <w:left w:val="nil"/>
              <w:bottom w:val="nil"/>
              <w:right w:val="nil"/>
            </w:tcBorders>
            <w:shd w:val="clear" w:color="auto" w:fill="auto"/>
            <w:noWrap/>
            <w:vAlign w:val="center"/>
            <w:hideMark/>
          </w:tcPr>
          <w:p w:rsidR="00C81BF8" w:rsidRPr="000F540A" w:rsidRDefault="00C81BF8" w:rsidP="000F540A">
            <w:pPr>
              <w:jc w:val="both"/>
              <w:rPr>
                <w:rFonts w:asciiTheme="majorHAnsi" w:hAnsiTheme="majorHAnsi"/>
                <w:b/>
                <w:color w:val="000000"/>
                <w:sz w:val="22"/>
                <w:szCs w:val="22"/>
              </w:rPr>
            </w:pPr>
            <w:r w:rsidRPr="000F540A">
              <w:rPr>
                <w:rFonts w:asciiTheme="majorHAnsi" w:hAnsiTheme="majorHAnsi"/>
                <w:b/>
                <w:color w:val="000000"/>
                <w:sz w:val="22"/>
                <w:szCs w:val="22"/>
              </w:rPr>
              <w:t>48.6%</w:t>
            </w:r>
          </w:p>
        </w:tc>
        <w:tc>
          <w:tcPr>
            <w:tcW w:w="0" w:type="auto"/>
            <w:tcBorders>
              <w:top w:val="nil"/>
              <w:left w:val="nil"/>
              <w:bottom w:val="nil"/>
              <w:right w:val="nil"/>
            </w:tcBorders>
            <w:shd w:val="clear" w:color="auto" w:fill="auto"/>
            <w:noWrap/>
            <w:vAlign w:val="center"/>
            <w:hideMark/>
          </w:tcPr>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40.9%</w:t>
            </w:r>
          </w:p>
        </w:tc>
        <w:tc>
          <w:tcPr>
            <w:tcW w:w="0" w:type="auto"/>
            <w:tcBorders>
              <w:top w:val="nil"/>
              <w:left w:val="nil"/>
              <w:bottom w:val="nil"/>
              <w:right w:val="nil"/>
            </w:tcBorders>
            <w:shd w:val="clear" w:color="auto" w:fill="auto"/>
            <w:noWrap/>
            <w:vAlign w:val="center"/>
            <w:hideMark/>
          </w:tcPr>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55.8%</w:t>
            </w:r>
          </w:p>
        </w:tc>
        <w:tc>
          <w:tcPr>
            <w:tcW w:w="0" w:type="auto"/>
            <w:tcBorders>
              <w:top w:val="nil"/>
              <w:left w:val="nil"/>
              <w:bottom w:val="nil"/>
              <w:right w:val="nil"/>
            </w:tcBorders>
            <w:shd w:val="clear" w:color="auto" w:fill="auto"/>
            <w:noWrap/>
            <w:vAlign w:val="center"/>
            <w:hideMark/>
          </w:tcPr>
          <w:p w:rsidR="00C81BF8" w:rsidRPr="000F540A" w:rsidRDefault="00C81BF8" w:rsidP="000F540A">
            <w:pPr>
              <w:jc w:val="both"/>
              <w:rPr>
                <w:rFonts w:asciiTheme="majorHAnsi" w:hAnsiTheme="majorHAnsi"/>
                <w:b/>
                <w:sz w:val="22"/>
                <w:szCs w:val="22"/>
              </w:rPr>
            </w:pPr>
            <w:r w:rsidRPr="000F540A">
              <w:rPr>
                <w:rFonts w:asciiTheme="majorHAnsi" w:hAnsiTheme="majorHAnsi"/>
                <w:b/>
                <w:sz w:val="22"/>
                <w:szCs w:val="22"/>
              </w:rPr>
              <w:t>48.8%</w:t>
            </w:r>
          </w:p>
        </w:tc>
      </w:tr>
      <w:tr w:rsidR="00C81BF8" w:rsidRPr="000F540A" w:rsidTr="001B35D0">
        <w:trPr>
          <w:trHeight w:val="197"/>
          <w:jc w:val="center"/>
        </w:trPr>
        <w:tc>
          <w:tcPr>
            <w:tcW w:w="1765" w:type="dxa"/>
            <w:tcBorders>
              <w:top w:val="nil"/>
              <w:left w:val="nil"/>
              <w:bottom w:val="nil"/>
              <w:right w:val="nil"/>
            </w:tcBorders>
            <w:shd w:val="clear" w:color="auto" w:fill="auto"/>
            <w:vAlign w:val="center"/>
            <w:hideMark/>
          </w:tcPr>
          <w:p w:rsidR="00C81BF8" w:rsidRPr="000F540A" w:rsidRDefault="00C81BF8"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Borxhi i rivlerësuar          në një vit</w:t>
            </w:r>
          </w:p>
        </w:tc>
        <w:tc>
          <w:tcPr>
            <w:tcW w:w="0" w:type="auto"/>
            <w:tcBorders>
              <w:top w:val="nil"/>
              <w:left w:val="nil"/>
              <w:bottom w:val="nil"/>
              <w:right w:val="nil"/>
            </w:tcBorders>
            <w:shd w:val="clear" w:color="auto" w:fill="auto"/>
            <w:noWrap/>
            <w:vAlign w:val="center"/>
            <w:hideMark/>
          </w:tcPr>
          <w:p w:rsidR="00C81BF8" w:rsidRPr="000F540A" w:rsidRDefault="00C81BF8" w:rsidP="000F540A">
            <w:pPr>
              <w:jc w:val="both"/>
              <w:rPr>
                <w:rFonts w:asciiTheme="majorHAnsi" w:hAnsiTheme="majorHAnsi"/>
                <w:color w:val="000000"/>
                <w:sz w:val="22"/>
                <w:szCs w:val="22"/>
              </w:rPr>
            </w:pPr>
            <w:r w:rsidRPr="000F540A">
              <w:rPr>
                <w:rFonts w:asciiTheme="majorHAnsi" w:hAnsiTheme="majorHAnsi"/>
                <w:color w:val="000000"/>
                <w:sz w:val="22"/>
                <w:szCs w:val="22"/>
              </w:rPr>
              <w:t>67.7%</w:t>
            </w:r>
          </w:p>
        </w:tc>
        <w:tc>
          <w:tcPr>
            <w:tcW w:w="0" w:type="auto"/>
            <w:tcBorders>
              <w:top w:val="nil"/>
              <w:left w:val="nil"/>
              <w:bottom w:val="nil"/>
              <w:right w:val="nil"/>
            </w:tcBorders>
            <w:shd w:val="clear" w:color="auto" w:fill="auto"/>
            <w:noWrap/>
            <w:vAlign w:val="center"/>
            <w:hideMark/>
          </w:tcPr>
          <w:p w:rsidR="00C81BF8" w:rsidRPr="000F540A" w:rsidRDefault="00C81BF8" w:rsidP="000F540A">
            <w:pPr>
              <w:jc w:val="both"/>
              <w:rPr>
                <w:rFonts w:asciiTheme="majorHAnsi" w:hAnsiTheme="majorHAnsi"/>
                <w:color w:val="000000"/>
                <w:sz w:val="22"/>
                <w:szCs w:val="22"/>
              </w:rPr>
            </w:pPr>
            <w:r w:rsidRPr="000F540A">
              <w:rPr>
                <w:rFonts w:asciiTheme="majorHAnsi" w:hAnsiTheme="majorHAnsi"/>
                <w:color w:val="000000"/>
                <w:sz w:val="22"/>
                <w:szCs w:val="22"/>
              </w:rPr>
              <w:t>47.3%</w:t>
            </w:r>
          </w:p>
        </w:tc>
        <w:tc>
          <w:tcPr>
            <w:tcW w:w="0" w:type="auto"/>
            <w:tcBorders>
              <w:top w:val="nil"/>
              <w:left w:val="nil"/>
              <w:bottom w:val="nil"/>
              <w:right w:val="nil"/>
            </w:tcBorders>
            <w:shd w:val="clear" w:color="auto" w:fill="auto"/>
            <w:noWrap/>
            <w:vAlign w:val="center"/>
            <w:hideMark/>
          </w:tcPr>
          <w:p w:rsidR="00C81BF8" w:rsidRPr="000F540A" w:rsidRDefault="00C81BF8" w:rsidP="000F540A">
            <w:pPr>
              <w:jc w:val="both"/>
              <w:rPr>
                <w:rFonts w:asciiTheme="majorHAnsi" w:hAnsiTheme="majorHAnsi"/>
                <w:b/>
                <w:color w:val="000000"/>
                <w:sz w:val="22"/>
                <w:szCs w:val="22"/>
              </w:rPr>
            </w:pPr>
            <w:r w:rsidRPr="000F540A">
              <w:rPr>
                <w:rFonts w:asciiTheme="majorHAnsi" w:hAnsiTheme="majorHAnsi"/>
                <w:b/>
                <w:color w:val="000000"/>
                <w:sz w:val="22"/>
                <w:szCs w:val="22"/>
              </w:rPr>
              <w:t>58.1%</w:t>
            </w:r>
          </w:p>
        </w:tc>
        <w:tc>
          <w:tcPr>
            <w:tcW w:w="0" w:type="auto"/>
            <w:tcBorders>
              <w:top w:val="nil"/>
              <w:left w:val="nil"/>
              <w:bottom w:val="nil"/>
              <w:right w:val="nil"/>
            </w:tcBorders>
            <w:shd w:val="clear" w:color="auto" w:fill="auto"/>
            <w:noWrap/>
            <w:vAlign w:val="center"/>
            <w:hideMark/>
          </w:tcPr>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70.8%</w:t>
            </w:r>
          </w:p>
        </w:tc>
        <w:tc>
          <w:tcPr>
            <w:tcW w:w="0" w:type="auto"/>
            <w:tcBorders>
              <w:top w:val="nil"/>
              <w:left w:val="nil"/>
              <w:bottom w:val="nil"/>
              <w:right w:val="nil"/>
            </w:tcBorders>
            <w:shd w:val="clear" w:color="auto" w:fill="auto"/>
            <w:noWrap/>
            <w:vAlign w:val="center"/>
            <w:hideMark/>
          </w:tcPr>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46.7%</w:t>
            </w:r>
          </w:p>
        </w:tc>
        <w:tc>
          <w:tcPr>
            <w:tcW w:w="0" w:type="auto"/>
            <w:tcBorders>
              <w:top w:val="nil"/>
              <w:left w:val="nil"/>
              <w:bottom w:val="nil"/>
              <w:right w:val="nil"/>
            </w:tcBorders>
            <w:shd w:val="clear" w:color="auto" w:fill="auto"/>
            <w:noWrap/>
            <w:vAlign w:val="center"/>
            <w:hideMark/>
          </w:tcPr>
          <w:p w:rsidR="00C81BF8" w:rsidRPr="000F540A" w:rsidRDefault="00C81BF8" w:rsidP="000F540A">
            <w:pPr>
              <w:jc w:val="both"/>
              <w:rPr>
                <w:rFonts w:asciiTheme="majorHAnsi" w:hAnsiTheme="majorHAnsi"/>
                <w:b/>
                <w:sz w:val="22"/>
                <w:szCs w:val="22"/>
              </w:rPr>
            </w:pPr>
            <w:r w:rsidRPr="000F540A">
              <w:rPr>
                <w:rFonts w:asciiTheme="majorHAnsi" w:hAnsiTheme="majorHAnsi"/>
                <w:b/>
                <w:sz w:val="22"/>
                <w:szCs w:val="22"/>
              </w:rPr>
              <w:t>60.1%</w:t>
            </w:r>
          </w:p>
        </w:tc>
      </w:tr>
      <w:tr w:rsidR="00C81BF8" w:rsidRPr="000F540A" w:rsidTr="001B35D0">
        <w:trPr>
          <w:trHeight w:val="205"/>
          <w:jc w:val="center"/>
        </w:trPr>
        <w:tc>
          <w:tcPr>
            <w:tcW w:w="1765" w:type="dxa"/>
            <w:tcBorders>
              <w:top w:val="nil"/>
              <w:left w:val="nil"/>
              <w:bottom w:val="double" w:sz="6" w:space="0" w:color="auto"/>
              <w:right w:val="nil"/>
            </w:tcBorders>
            <w:shd w:val="clear" w:color="auto" w:fill="auto"/>
            <w:noWrap/>
            <w:vAlign w:val="center"/>
            <w:hideMark/>
          </w:tcPr>
          <w:p w:rsidR="00C81BF8" w:rsidRPr="000F540A" w:rsidRDefault="00C81BF8" w:rsidP="000F540A">
            <w:pPr>
              <w:jc w:val="both"/>
              <w:rPr>
                <w:rFonts w:asciiTheme="majorHAnsi" w:hAnsiTheme="majorHAnsi"/>
                <w:b/>
                <w:bCs/>
                <w:color w:val="000000"/>
                <w:sz w:val="22"/>
                <w:szCs w:val="22"/>
              </w:rPr>
            </w:pPr>
            <w:r w:rsidRPr="000F540A">
              <w:rPr>
                <w:rFonts w:asciiTheme="majorHAnsi" w:hAnsiTheme="majorHAnsi"/>
                <w:b/>
                <w:bCs/>
                <w:color w:val="000000"/>
                <w:sz w:val="22"/>
                <w:szCs w:val="22"/>
              </w:rPr>
              <w:t>KMR</w:t>
            </w:r>
          </w:p>
        </w:tc>
        <w:tc>
          <w:tcPr>
            <w:tcW w:w="0" w:type="auto"/>
            <w:tcBorders>
              <w:top w:val="nil"/>
              <w:left w:val="nil"/>
              <w:bottom w:val="double" w:sz="6" w:space="0" w:color="auto"/>
              <w:right w:val="nil"/>
            </w:tcBorders>
            <w:shd w:val="clear" w:color="auto" w:fill="auto"/>
            <w:noWrap/>
            <w:vAlign w:val="center"/>
            <w:hideMark/>
          </w:tcPr>
          <w:p w:rsidR="00C81BF8" w:rsidRPr="000F540A" w:rsidRDefault="00C81BF8" w:rsidP="000F540A">
            <w:pPr>
              <w:jc w:val="both"/>
              <w:rPr>
                <w:rFonts w:asciiTheme="majorHAnsi" w:hAnsiTheme="majorHAnsi"/>
                <w:color w:val="000000"/>
                <w:sz w:val="22"/>
                <w:szCs w:val="22"/>
              </w:rPr>
            </w:pPr>
            <w:r w:rsidRPr="000F540A">
              <w:rPr>
                <w:rFonts w:asciiTheme="majorHAnsi" w:hAnsiTheme="majorHAnsi"/>
                <w:color w:val="000000"/>
                <w:sz w:val="22"/>
                <w:szCs w:val="22"/>
              </w:rPr>
              <w:t>1.82</w:t>
            </w:r>
          </w:p>
        </w:tc>
        <w:tc>
          <w:tcPr>
            <w:tcW w:w="0" w:type="auto"/>
            <w:tcBorders>
              <w:top w:val="nil"/>
              <w:left w:val="nil"/>
              <w:bottom w:val="double" w:sz="6" w:space="0" w:color="auto"/>
              <w:right w:val="nil"/>
            </w:tcBorders>
            <w:shd w:val="clear" w:color="auto" w:fill="auto"/>
            <w:noWrap/>
            <w:vAlign w:val="center"/>
            <w:hideMark/>
          </w:tcPr>
          <w:p w:rsidR="00C81BF8" w:rsidRPr="000F540A" w:rsidRDefault="00C81BF8" w:rsidP="000F540A">
            <w:pPr>
              <w:jc w:val="both"/>
              <w:rPr>
                <w:rFonts w:asciiTheme="majorHAnsi" w:hAnsiTheme="majorHAnsi"/>
                <w:color w:val="000000"/>
                <w:sz w:val="22"/>
                <w:szCs w:val="22"/>
              </w:rPr>
            </w:pPr>
            <w:r w:rsidRPr="000F540A">
              <w:rPr>
                <w:rFonts w:asciiTheme="majorHAnsi" w:hAnsiTheme="majorHAnsi"/>
                <w:color w:val="000000"/>
                <w:sz w:val="22"/>
                <w:szCs w:val="22"/>
              </w:rPr>
              <w:t>4.8</w:t>
            </w:r>
          </w:p>
        </w:tc>
        <w:tc>
          <w:tcPr>
            <w:tcW w:w="0" w:type="auto"/>
            <w:tcBorders>
              <w:top w:val="nil"/>
              <w:left w:val="nil"/>
              <w:bottom w:val="double" w:sz="6" w:space="0" w:color="auto"/>
              <w:right w:val="nil"/>
            </w:tcBorders>
            <w:shd w:val="clear" w:color="auto" w:fill="auto"/>
            <w:noWrap/>
            <w:vAlign w:val="center"/>
            <w:hideMark/>
          </w:tcPr>
          <w:p w:rsidR="00C81BF8" w:rsidRPr="000F540A" w:rsidRDefault="00C81BF8" w:rsidP="000F540A">
            <w:pPr>
              <w:jc w:val="both"/>
              <w:rPr>
                <w:rFonts w:asciiTheme="majorHAnsi" w:hAnsiTheme="majorHAnsi"/>
                <w:b/>
                <w:color w:val="000000"/>
                <w:sz w:val="22"/>
                <w:szCs w:val="22"/>
              </w:rPr>
            </w:pPr>
            <w:r w:rsidRPr="000F540A">
              <w:rPr>
                <w:rFonts w:asciiTheme="majorHAnsi" w:hAnsiTheme="majorHAnsi"/>
                <w:b/>
                <w:color w:val="000000"/>
                <w:sz w:val="22"/>
                <w:szCs w:val="22"/>
              </w:rPr>
              <w:t>3.2</w:t>
            </w:r>
          </w:p>
        </w:tc>
        <w:tc>
          <w:tcPr>
            <w:tcW w:w="0" w:type="auto"/>
            <w:tcBorders>
              <w:top w:val="nil"/>
              <w:left w:val="nil"/>
              <w:bottom w:val="double" w:sz="6" w:space="0" w:color="auto"/>
              <w:right w:val="nil"/>
            </w:tcBorders>
            <w:shd w:val="clear" w:color="auto" w:fill="auto"/>
            <w:noWrap/>
            <w:vAlign w:val="center"/>
            <w:hideMark/>
          </w:tcPr>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1.63</w:t>
            </w:r>
          </w:p>
        </w:tc>
        <w:tc>
          <w:tcPr>
            <w:tcW w:w="0" w:type="auto"/>
            <w:tcBorders>
              <w:top w:val="nil"/>
              <w:left w:val="nil"/>
              <w:bottom w:val="double" w:sz="6" w:space="0" w:color="auto"/>
              <w:right w:val="nil"/>
            </w:tcBorders>
            <w:shd w:val="clear" w:color="auto" w:fill="auto"/>
            <w:noWrap/>
            <w:vAlign w:val="center"/>
            <w:hideMark/>
          </w:tcPr>
          <w:p w:rsidR="00C81BF8" w:rsidRPr="000F540A" w:rsidRDefault="00C81BF8" w:rsidP="000F540A">
            <w:pPr>
              <w:jc w:val="both"/>
              <w:rPr>
                <w:rFonts w:asciiTheme="majorHAnsi" w:hAnsiTheme="majorHAnsi"/>
                <w:sz w:val="22"/>
                <w:szCs w:val="22"/>
              </w:rPr>
            </w:pPr>
            <w:r w:rsidRPr="000F540A">
              <w:rPr>
                <w:rFonts w:asciiTheme="majorHAnsi" w:hAnsiTheme="majorHAnsi"/>
                <w:sz w:val="22"/>
                <w:szCs w:val="22"/>
              </w:rPr>
              <w:t>4.6</w:t>
            </w:r>
          </w:p>
        </w:tc>
        <w:tc>
          <w:tcPr>
            <w:tcW w:w="0" w:type="auto"/>
            <w:tcBorders>
              <w:top w:val="nil"/>
              <w:left w:val="nil"/>
              <w:bottom w:val="double" w:sz="6" w:space="0" w:color="auto"/>
              <w:right w:val="nil"/>
            </w:tcBorders>
            <w:shd w:val="clear" w:color="auto" w:fill="auto"/>
            <w:noWrap/>
            <w:vAlign w:val="center"/>
            <w:hideMark/>
          </w:tcPr>
          <w:p w:rsidR="00C81BF8" w:rsidRPr="000F540A" w:rsidRDefault="00C81BF8" w:rsidP="000F540A">
            <w:pPr>
              <w:jc w:val="both"/>
              <w:rPr>
                <w:rFonts w:asciiTheme="majorHAnsi" w:hAnsiTheme="majorHAnsi"/>
                <w:b/>
                <w:sz w:val="22"/>
                <w:szCs w:val="22"/>
              </w:rPr>
            </w:pPr>
            <w:r w:rsidRPr="000F540A">
              <w:rPr>
                <w:rFonts w:asciiTheme="majorHAnsi" w:hAnsiTheme="majorHAnsi"/>
                <w:b/>
                <w:sz w:val="22"/>
                <w:szCs w:val="22"/>
              </w:rPr>
              <w:t>3.0</w:t>
            </w:r>
          </w:p>
        </w:tc>
      </w:tr>
    </w:tbl>
    <w:p w:rsidR="00C81BF8" w:rsidRPr="000F540A" w:rsidRDefault="00C81BF8" w:rsidP="000F540A">
      <w:pPr>
        <w:jc w:val="both"/>
        <w:rPr>
          <w:rFonts w:asciiTheme="majorHAnsi" w:hAnsiTheme="majorHAnsi"/>
          <w:i/>
          <w:sz w:val="22"/>
          <w:szCs w:val="22"/>
        </w:rPr>
      </w:pPr>
      <w:r w:rsidRPr="000F540A">
        <w:rPr>
          <w:rFonts w:asciiTheme="majorHAnsi" w:hAnsiTheme="majorHAnsi"/>
          <w:b/>
          <w:sz w:val="22"/>
          <w:szCs w:val="22"/>
        </w:rPr>
        <w:t>Burimi:</w:t>
      </w:r>
      <w:r w:rsidRPr="000F540A">
        <w:rPr>
          <w:rFonts w:asciiTheme="majorHAnsi" w:hAnsiTheme="majorHAnsi"/>
          <w:b/>
          <w:i/>
          <w:sz w:val="22"/>
          <w:szCs w:val="22"/>
        </w:rPr>
        <w:t xml:space="preserve"> </w:t>
      </w:r>
      <w:r w:rsidRPr="000F540A">
        <w:rPr>
          <w:rFonts w:asciiTheme="majorHAnsi" w:hAnsiTheme="majorHAnsi"/>
          <w:i/>
          <w:sz w:val="22"/>
          <w:szCs w:val="22"/>
        </w:rPr>
        <w:t>Ministria e Financave</w:t>
      </w:r>
      <w:r w:rsidR="009C2312" w:rsidRPr="000F540A">
        <w:rPr>
          <w:rFonts w:asciiTheme="majorHAnsi" w:hAnsiTheme="majorHAnsi"/>
          <w:i/>
          <w:sz w:val="22"/>
          <w:szCs w:val="22"/>
        </w:rPr>
        <w:t xml:space="preserve"> (201</w:t>
      </w:r>
      <w:r w:rsidR="0017449A" w:rsidRPr="000F540A">
        <w:rPr>
          <w:rFonts w:asciiTheme="majorHAnsi" w:hAnsiTheme="majorHAnsi"/>
          <w:i/>
          <w:sz w:val="22"/>
          <w:szCs w:val="22"/>
        </w:rPr>
        <w:t>5</w:t>
      </w:r>
      <w:r w:rsidR="009C2312" w:rsidRPr="000F540A">
        <w:rPr>
          <w:rFonts w:asciiTheme="majorHAnsi" w:hAnsiTheme="majorHAnsi"/>
          <w:i/>
          <w:sz w:val="22"/>
          <w:szCs w:val="22"/>
        </w:rPr>
        <w:t>)</w:t>
      </w:r>
    </w:p>
    <w:p w:rsidR="00C81BF8" w:rsidRPr="000F540A" w:rsidRDefault="00C81BF8" w:rsidP="000F540A">
      <w:pPr>
        <w:jc w:val="both"/>
        <w:rPr>
          <w:rFonts w:asciiTheme="majorHAnsi" w:hAnsiTheme="majorHAnsi"/>
          <w:b/>
          <w:i/>
          <w:sz w:val="22"/>
          <w:szCs w:val="22"/>
        </w:rPr>
      </w:pPr>
    </w:p>
    <w:p w:rsidR="00C81BF8" w:rsidRPr="000F540A" w:rsidRDefault="00C81BF8" w:rsidP="000F540A">
      <w:pPr>
        <w:jc w:val="both"/>
        <w:rPr>
          <w:rFonts w:asciiTheme="majorHAnsi" w:hAnsiTheme="majorHAnsi"/>
          <w:sz w:val="22"/>
          <w:szCs w:val="22"/>
        </w:rPr>
      </w:pPr>
      <w:proofErr w:type="gramStart"/>
      <w:r w:rsidRPr="000F540A">
        <w:rPr>
          <w:rFonts w:asciiTheme="majorHAnsi" w:hAnsiTheme="majorHAnsi"/>
          <w:sz w:val="22"/>
          <w:szCs w:val="22"/>
        </w:rPr>
        <w:t xml:space="preserve">Referuar tabelës </w:t>
      </w:r>
      <w:r w:rsidR="00EB3E13" w:rsidRPr="000F540A">
        <w:rPr>
          <w:rFonts w:asciiTheme="majorHAnsi" w:hAnsiTheme="majorHAnsi"/>
          <w:sz w:val="22"/>
          <w:szCs w:val="22"/>
        </w:rPr>
        <w:t>4</w:t>
      </w:r>
      <w:r w:rsidRPr="000F540A">
        <w:rPr>
          <w:rFonts w:asciiTheme="majorHAnsi" w:hAnsiTheme="majorHAnsi"/>
          <w:i/>
          <w:sz w:val="22"/>
          <w:szCs w:val="22"/>
        </w:rPr>
        <w:t xml:space="preserve"> </w:t>
      </w:r>
      <w:r w:rsidRPr="000F540A">
        <w:rPr>
          <w:rFonts w:asciiTheme="majorHAnsi" w:hAnsiTheme="majorHAnsi"/>
          <w:sz w:val="22"/>
          <w:szCs w:val="22"/>
        </w:rPr>
        <w:t>rezulton se objektivat strategjik</w:t>
      </w:r>
      <w:r w:rsidR="005C53FD" w:rsidRPr="000F540A">
        <w:rPr>
          <w:rFonts w:asciiTheme="majorHAnsi" w:hAnsiTheme="majorHAnsi"/>
          <w:sz w:val="22"/>
          <w:szCs w:val="22"/>
        </w:rPr>
        <w:t>e</w:t>
      </w:r>
      <w:r w:rsidRPr="000F540A">
        <w:rPr>
          <w:rFonts w:asciiTheme="majorHAnsi" w:hAnsiTheme="majorHAnsi"/>
          <w:sz w:val="22"/>
          <w:szCs w:val="22"/>
        </w:rPr>
        <w:t xml:space="preserve"> për mbajtjen nën kontroll të </w:t>
      </w:r>
      <w:r w:rsidRPr="000F540A">
        <w:rPr>
          <w:rFonts w:asciiTheme="majorHAnsi" w:hAnsiTheme="majorHAnsi"/>
          <w:sz w:val="22"/>
          <w:szCs w:val="22"/>
          <w:lang w:val="sq-AL"/>
        </w:rPr>
        <w:t>rrezikut</w:t>
      </w:r>
      <w:r w:rsidRPr="000F540A">
        <w:rPr>
          <w:rFonts w:asciiTheme="majorHAnsi" w:hAnsiTheme="majorHAnsi"/>
          <w:sz w:val="22"/>
          <w:szCs w:val="22"/>
        </w:rPr>
        <w:t xml:space="preserve"> të normave të interesit janë realizuar me sukses.</w:t>
      </w:r>
      <w:proofErr w:type="gramEnd"/>
      <w:r w:rsidRPr="000F540A">
        <w:rPr>
          <w:rFonts w:asciiTheme="majorHAnsi" w:hAnsiTheme="majorHAnsi"/>
          <w:sz w:val="22"/>
          <w:szCs w:val="22"/>
        </w:rPr>
        <w:t xml:space="preserve"> </w:t>
      </w:r>
    </w:p>
    <w:p w:rsidR="00C81BF8" w:rsidRPr="000F540A" w:rsidRDefault="00C81BF8" w:rsidP="000F540A">
      <w:pPr>
        <w:jc w:val="both"/>
        <w:rPr>
          <w:rFonts w:asciiTheme="majorHAnsi" w:hAnsiTheme="majorHAnsi"/>
          <w:sz w:val="22"/>
          <w:szCs w:val="22"/>
        </w:rPr>
      </w:pPr>
    </w:p>
    <w:p w:rsidR="001C4FB0" w:rsidRPr="000F540A" w:rsidRDefault="00C81BF8" w:rsidP="000F540A">
      <w:pPr>
        <w:jc w:val="both"/>
        <w:rPr>
          <w:rFonts w:asciiTheme="majorHAnsi" w:hAnsiTheme="majorHAnsi"/>
          <w:sz w:val="22"/>
          <w:szCs w:val="22"/>
        </w:rPr>
      </w:pPr>
      <w:r w:rsidRPr="000F540A">
        <w:rPr>
          <w:rFonts w:asciiTheme="majorHAnsi" w:hAnsiTheme="majorHAnsi"/>
          <w:sz w:val="22"/>
          <w:szCs w:val="22"/>
        </w:rPr>
        <w:t xml:space="preserve">Objektivi i uljes së mëtejshme të ekspozimit ndaj </w:t>
      </w:r>
      <w:r w:rsidRPr="000F540A">
        <w:rPr>
          <w:rFonts w:asciiTheme="majorHAnsi" w:hAnsiTheme="majorHAnsi"/>
          <w:sz w:val="22"/>
          <w:szCs w:val="22"/>
          <w:lang w:val="sq-AL"/>
        </w:rPr>
        <w:t>rrezikut</w:t>
      </w:r>
      <w:r w:rsidRPr="000F540A">
        <w:rPr>
          <w:rFonts w:asciiTheme="majorHAnsi" w:hAnsiTheme="majorHAnsi"/>
          <w:sz w:val="22"/>
          <w:szCs w:val="22"/>
        </w:rPr>
        <w:t xml:space="preserve"> të normave të interesit, do të vazhdojë të jetë ndër objektivat bazë të SAMB 2016-2018, duke qënë se </w:t>
      </w:r>
      <w:r w:rsidR="00EB3E13" w:rsidRPr="000F540A">
        <w:rPr>
          <w:rFonts w:asciiTheme="majorHAnsi" w:hAnsiTheme="majorHAnsi"/>
          <w:sz w:val="22"/>
          <w:szCs w:val="22"/>
        </w:rPr>
        <w:t>rreth</w:t>
      </w:r>
      <w:r w:rsidRPr="000F540A">
        <w:rPr>
          <w:rFonts w:asciiTheme="majorHAnsi" w:hAnsiTheme="majorHAnsi"/>
          <w:sz w:val="22"/>
          <w:szCs w:val="22"/>
        </w:rPr>
        <w:t xml:space="preserve"> 58% e portofolit</w:t>
      </w:r>
      <w:r w:rsidR="00F62BEF" w:rsidRPr="000F540A">
        <w:rPr>
          <w:rFonts w:asciiTheme="majorHAnsi" w:hAnsiTheme="majorHAnsi"/>
          <w:sz w:val="22"/>
          <w:szCs w:val="22"/>
        </w:rPr>
        <w:t xml:space="preserve"> të borxhit shtetëror</w:t>
      </w:r>
      <w:r w:rsidRPr="000F540A">
        <w:rPr>
          <w:rFonts w:asciiTheme="majorHAnsi" w:hAnsiTheme="majorHAnsi"/>
          <w:sz w:val="22"/>
          <w:szCs w:val="22"/>
        </w:rPr>
        <w:t xml:space="preserve"> rivlerësohet në harkun kohor të një viti dhe borxhi publik vazhdon të ketë ekspozim relativisht të lartë ndaj lëvizjes së normave të interesit. </w:t>
      </w:r>
      <w:proofErr w:type="gramStart"/>
      <w:r w:rsidRPr="000F540A">
        <w:rPr>
          <w:rFonts w:asciiTheme="majorHAnsi" w:hAnsiTheme="majorHAnsi"/>
          <w:sz w:val="22"/>
          <w:szCs w:val="22"/>
        </w:rPr>
        <w:t>Goditjet në normat e interesit në tregun e brendshëm dhe të jashtëm mund të shoqërohen me rritje të shpenzimeve në buxhet dhe rritje të nivelit të borxhit.</w:t>
      </w:r>
      <w:proofErr w:type="gramEnd"/>
    </w:p>
    <w:p w:rsidR="004D1F43" w:rsidRPr="000F540A" w:rsidRDefault="004D1F43" w:rsidP="000F540A">
      <w:pPr>
        <w:jc w:val="both"/>
        <w:rPr>
          <w:rFonts w:asciiTheme="majorHAnsi" w:hAnsiTheme="majorHAnsi"/>
          <w:sz w:val="22"/>
          <w:szCs w:val="22"/>
        </w:rPr>
      </w:pPr>
    </w:p>
    <w:p w:rsidR="001C4FB0" w:rsidRPr="000F540A" w:rsidRDefault="001C4FB0" w:rsidP="000F540A">
      <w:pPr>
        <w:pStyle w:val="Heading4"/>
        <w:numPr>
          <w:ilvl w:val="1"/>
          <w:numId w:val="25"/>
        </w:numPr>
        <w:ind w:left="567" w:hanging="567"/>
        <w:jc w:val="both"/>
        <w:rPr>
          <w:sz w:val="22"/>
          <w:szCs w:val="22"/>
        </w:rPr>
      </w:pPr>
      <w:r w:rsidRPr="000F540A">
        <w:rPr>
          <w:sz w:val="22"/>
          <w:szCs w:val="22"/>
        </w:rPr>
        <w:t xml:space="preserve">Rreziku i likuiditetit </w:t>
      </w:r>
    </w:p>
    <w:p w:rsidR="001C4FB0" w:rsidRPr="000F540A" w:rsidRDefault="001C4FB0" w:rsidP="000F540A">
      <w:pPr>
        <w:jc w:val="both"/>
        <w:rPr>
          <w:rFonts w:asciiTheme="majorHAnsi" w:hAnsiTheme="majorHAnsi"/>
          <w:sz w:val="22"/>
          <w:szCs w:val="22"/>
        </w:rPr>
      </w:pPr>
    </w:p>
    <w:p w:rsidR="001C4FB0" w:rsidRPr="000F540A" w:rsidRDefault="001C4FB0" w:rsidP="000F540A">
      <w:pPr>
        <w:jc w:val="both"/>
        <w:rPr>
          <w:rFonts w:asciiTheme="majorHAnsi" w:hAnsiTheme="majorHAnsi"/>
          <w:sz w:val="22"/>
          <w:szCs w:val="22"/>
        </w:rPr>
      </w:pPr>
      <w:r w:rsidRPr="000F540A">
        <w:rPr>
          <w:rFonts w:asciiTheme="majorHAnsi" w:hAnsiTheme="majorHAnsi"/>
          <w:sz w:val="22"/>
          <w:szCs w:val="22"/>
        </w:rPr>
        <w:t>Viti 2015 ka qenë një vit me nevoja të larta likuiditeti kryesisht për shkak të nivelit të lartë të maturimeve të borxhit në vlerën e 489.</w:t>
      </w:r>
      <w:r w:rsidR="0017449A" w:rsidRPr="000F540A">
        <w:rPr>
          <w:rFonts w:asciiTheme="majorHAnsi" w:hAnsiTheme="majorHAnsi"/>
          <w:sz w:val="22"/>
          <w:szCs w:val="22"/>
        </w:rPr>
        <w:t>4</w:t>
      </w:r>
      <w:r w:rsidRPr="000F540A">
        <w:rPr>
          <w:rFonts w:asciiTheme="majorHAnsi" w:hAnsiTheme="majorHAnsi"/>
          <w:sz w:val="22"/>
          <w:szCs w:val="22"/>
        </w:rPr>
        <w:t xml:space="preserve"> miliard</w:t>
      </w:r>
      <w:r w:rsidRPr="000F540A">
        <w:rPr>
          <w:rFonts w:asciiTheme="majorHAnsi" w:hAnsiTheme="majorHAnsi"/>
          <w:i/>
          <w:sz w:val="22"/>
          <w:szCs w:val="22"/>
        </w:rPr>
        <w:t xml:space="preserve"> </w:t>
      </w:r>
      <w:r w:rsidR="00A35301" w:rsidRPr="000F540A">
        <w:rPr>
          <w:rFonts w:asciiTheme="majorHAnsi" w:hAnsiTheme="majorHAnsi"/>
          <w:sz w:val="22"/>
          <w:szCs w:val="22"/>
        </w:rPr>
        <w:t>L</w:t>
      </w:r>
      <w:r w:rsidRPr="000F540A">
        <w:rPr>
          <w:rFonts w:asciiTheme="majorHAnsi" w:hAnsiTheme="majorHAnsi"/>
          <w:sz w:val="22"/>
          <w:szCs w:val="22"/>
        </w:rPr>
        <w:t xml:space="preserve">ek, ose 80.0 miliard </w:t>
      </w:r>
      <w:r w:rsidR="00A35301" w:rsidRPr="000F540A">
        <w:rPr>
          <w:rFonts w:asciiTheme="majorHAnsi" w:hAnsiTheme="majorHAnsi"/>
          <w:sz w:val="22"/>
          <w:szCs w:val="22"/>
        </w:rPr>
        <w:t>L</w:t>
      </w:r>
      <w:r w:rsidRPr="000F540A">
        <w:rPr>
          <w:rFonts w:asciiTheme="majorHAnsi" w:hAnsiTheme="majorHAnsi"/>
          <w:sz w:val="22"/>
          <w:szCs w:val="22"/>
        </w:rPr>
        <w:t>ek</w:t>
      </w:r>
      <w:r w:rsidR="0017449A" w:rsidRPr="000F540A">
        <w:rPr>
          <w:rStyle w:val="FootnoteReference"/>
          <w:rFonts w:asciiTheme="majorHAnsi" w:hAnsiTheme="majorHAnsi"/>
          <w:sz w:val="22"/>
          <w:szCs w:val="22"/>
        </w:rPr>
        <w:footnoteReference w:id="4"/>
      </w:r>
      <w:r w:rsidRPr="000F540A">
        <w:rPr>
          <w:rFonts w:asciiTheme="majorHAnsi" w:hAnsiTheme="majorHAnsi"/>
          <w:sz w:val="22"/>
          <w:szCs w:val="22"/>
        </w:rPr>
        <w:t xml:space="preserve"> më shumë se në vitin 2014. </w:t>
      </w:r>
      <w:proofErr w:type="gramStart"/>
      <w:r w:rsidRPr="000F540A">
        <w:rPr>
          <w:rFonts w:asciiTheme="majorHAnsi" w:hAnsiTheme="majorHAnsi"/>
          <w:sz w:val="22"/>
          <w:szCs w:val="22"/>
        </w:rPr>
        <w:t xml:space="preserve">Kjo është e lidhur kryesisht me maturimin e Eurobondit në vlerën e 300 milion Euro </w:t>
      </w:r>
      <w:r w:rsidRPr="000F540A">
        <w:rPr>
          <w:rFonts w:asciiTheme="majorHAnsi" w:hAnsiTheme="majorHAnsi"/>
          <w:i/>
          <w:sz w:val="22"/>
          <w:szCs w:val="22"/>
        </w:rPr>
        <w:t xml:space="preserve">(rreth 41.4 miliard </w:t>
      </w:r>
      <w:r w:rsidR="00A35301" w:rsidRPr="000F540A">
        <w:rPr>
          <w:rFonts w:asciiTheme="majorHAnsi" w:hAnsiTheme="majorHAnsi"/>
          <w:i/>
          <w:sz w:val="22"/>
          <w:szCs w:val="22"/>
        </w:rPr>
        <w:t>Lek</w:t>
      </w:r>
      <w:r w:rsidRPr="000F540A">
        <w:rPr>
          <w:rFonts w:asciiTheme="majorHAnsi" w:hAnsiTheme="majorHAnsi"/>
          <w:i/>
          <w:sz w:val="22"/>
          <w:szCs w:val="22"/>
        </w:rPr>
        <w:t>)</w:t>
      </w:r>
      <w:r w:rsidRPr="000F540A">
        <w:rPr>
          <w:rFonts w:asciiTheme="majorHAnsi" w:hAnsiTheme="majorHAnsi"/>
          <w:sz w:val="22"/>
          <w:szCs w:val="22"/>
        </w:rPr>
        <w:t>.</w:t>
      </w:r>
      <w:proofErr w:type="gramEnd"/>
      <w:r w:rsidRPr="000F540A">
        <w:rPr>
          <w:rFonts w:asciiTheme="majorHAnsi" w:hAnsiTheme="majorHAnsi"/>
          <w:sz w:val="22"/>
          <w:szCs w:val="22"/>
        </w:rPr>
        <w:t xml:space="preserve"> Pavarësisht nevojave të larta të rifinancimit, ky vit u arrit të menaxhohej me sukses duke mos krijuar vonesa në pagesat e detyrimeve që lindin prej borxhit si edhe duke mos krijuar ankande të jashtzakonshme, të cilat mund të krijojnë konfuzion tek investitorët dhe presion rritës mbi normat e interesit. </w:t>
      </w:r>
      <w:proofErr w:type="gramStart"/>
      <w:r w:rsidRPr="000F540A">
        <w:rPr>
          <w:rFonts w:asciiTheme="majorHAnsi" w:hAnsiTheme="majorHAnsi"/>
          <w:sz w:val="22"/>
          <w:szCs w:val="22"/>
        </w:rPr>
        <w:t xml:space="preserve">Faktorë kyç në menaxhimin e suksesshëm ka qenë mirëplanifikimi i financimit, koordinimi i mirë me </w:t>
      </w:r>
      <w:r w:rsidRPr="000F540A">
        <w:rPr>
          <w:rFonts w:asciiTheme="majorHAnsi" w:hAnsiTheme="majorHAnsi"/>
          <w:sz w:val="22"/>
          <w:szCs w:val="22"/>
        </w:rPr>
        <w:lastRenderedPageBreak/>
        <w:t xml:space="preserve">njësinë </w:t>
      </w:r>
      <w:r w:rsidRPr="000F540A">
        <w:rPr>
          <w:rFonts w:asciiTheme="majorHAnsi" w:hAnsiTheme="majorHAnsi"/>
          <w:i/>
          <w:sz w:val="22"/>
          <w:szCs w:val="22"/>
        </w:rPr>
        <w:t xml:space="preserve">(Drejtorinë e Thesarit) </w:t>
      </w:r>
      <w:r w:rsidRPr="000F540A">
        <w:rPr>
          <w:rFonts w:asciiTheme="majorHAnsi" w:hAnsiTheme="majorHAnsi"/>
          <w:sz w:val="22"/>
          <w:szCs w:val="22"/>
        </w:rPr>
        <w:t xml:space="preserve">përgjegjëse për parashikimin e flukseve të të ardhurave, si edhe shfrytëzimi i burimeve të reja të financimit në tregun e jashtëm </w:t>
      </w:r>
      <w:r w:rsidRPr="000F540A">
        <w:rPr>
          <w:rFonts w:asciiTheme="majorHAnsi" w:hAnsiTheme="majorHAnsi"/>
          <w:i/>
          <w:sz w:val="22"/>
          <w:szCs w:val="22"/>
        </w:rPr>
        <w:t>(PBG)</w:t>
      </w:r>
      <w:r w:rsidRPr="000F540A">
        <w:rPr>
          <w:rFonts w:asciiTheme="majorHAnsi" w:hAnsiTheme="majorHAnsi"/>
          <w:sz w:val="22"/>
          <w:szCs w:val="22"/>
        </w:rPr>
        <w:t xml:space="preserve"> për ti dhënë frymëmarje tregut të brendshëm.</w:t>
      </w:r>
      <w:proofErr w:type="gramEnd"/>
      <w:r w:rsidRPr="000F540A">
        <w:rPr>
          <w:rFonts w:asciiTheme="majorHAnsi" w:hAnsiTheme="majorHAnsi"/>
          <w:sz w:val="22"/>
          <w:szCs w:val="22"/>
        </w:rPr>
        <w:t xml:space="preserve"> </w:t>
      </w:r>
    </w:p>
    <w:p w:rsidR="001C4FB0" w:rsidRPr="000F540A" w:rsidRDefault="001C4FB0" w:rsidP="000F540A">
      <w:pPr>
        <w:jc w:val="both"/>
        <w:rPr>
          <w:rFonts w:asciiTheme="majorHAnsi" w:hAnsiTheme="majorHAnsi"/>
          <w:sz w:val="22"/>
          <w:szCs w:val="22"/>
        </w:rPr>
      </w:pPr>
      <w:proofErr w:type="gramStart"/>
      <w:r w:rsidRPr="000F540A">
        <w:rPr>
          <w:rFonts w:asciiTheme="majorHAnsi" w:hAnsiTheme="majorHAnsi"/>
          <w:sz w:val="22"/>
          <w:szCs w:val="22"/>
        </w:rPr>
        <w:t xml:space="preserve">Pavarësisht uljes së kostos së borxhit për njësi, treguesi i raportit të shërbimit të borxhit me të ardhurat sinjalizon rritje të </w:t>
      </w:r>
      <w:r w:rsidRPr="000F540A">
        <w:rPr>
          <w:rFonts w:asciiTheme="majorHAnsi" w:hAnsiTheme="majorHAnsi"/>
          <w:sz w:val="22"/>
          <w:szCs w:val="22"/>
          <w:lang w:val="sq-AL"/>
        </w:rPr>
        <w:t>rrezikut</w:t>
      </w:r>
      <w:r w:rsidRPr="000F540A">
        <w:rPr>
          <w:rFonts w:asciiTheme="majorHAnsi" w:hAnsiTheme="majorHAnsi"/>
          <w:sz w:val="22"/>
          <w:szCs w:val="22"/>
        </w:rPr>
        <w:t xml:space="preserve"> të likuiditetit, kryesisht për shkak të rritjes së ripagesave të borxhit jashtëm.</w:t>
      </w:r>
      <w:proofErr w:type="gramEnd"/>
      <w:r w:rsidRPr="000F540A">
        <w:rPr>
          <w:rFonts w:asciiTheme="majorHAnsi" w:hAnsiTheme="majorHAnsi"/>
          <w:sz w:val="22"/>
          <w:szCs w:val="22"/>
        </w:rPr>
        <w:t xml:space="preserve"> </w:t>
      </w:r>
      <w:proofErr w:type="gramStart"/>
      <w:r w:rsidRPr="000F540A">
        <w:rPr>
          <w:rFonts w:asciiTheme="majorHAnsi" w:hAnsiTheme="majorHAnsi"/>
          <w:sz w:val="22"/>
          <w:szCs w:val="22"/>
        </w:rPr>
        <w:t>Megjithatë, rritja e dukshme e këtij raporti gjatë vitit 2015 është shkaktuar për shkak të maturimit të Eurbondit të emetuar në vitin 2010.</w:t>
      </w:r>
      <w:proofErr w:type="gramEnd"/>
      <w:r w:rsidRPr="000F540A">
        <w:rPr>
          <w:rFonts w:asciiTheme="majorHAnsi" w:hAnsiTheme="majorHAnsi"/>
          <w:sz w:val="22"/>
          <w:szCs w:val="22"/>
        </w:rPr>
        <w:t xml:space="preserve"> Në rast se e zhveshim nga maturimi i Eurobond-it </w:t>
      </w:r>
      <w:proofErr w:type="gramStart"/>
      <w:r w:rsidRPr="000F540A">
        <w:rPr>
          <w:rFonts w:asciiTheme="majorHAnsi" w:hAnsiTheme="majorHAnsi"/>
          <w:sz w:val="22"/>
          <w:szCs w:val="22"/>
        </w:rPr>
        <w:t>ky</w:t>
      </w:r>
      <w:proofErr w:type="gramEnd"/>
      <w:r w:rsidRPr="000F540A">
        <w:rPr>
          <w:rFonts w:asciiTheme="majorHAnsi" w:hAnsiTheme="majorHAnsi"/>
          <w:sz w:val="22"/>
          <w:szCs w:val="22"/>
        </w:rPr>
        <w:t xml:space="preserve"> raport do të vlerësohej në 15.5% duke u përmirësuar krahasuar me vitin e kaluar.</w:t>
      </w:r>
    </w:p>
    <w:p w:rsidR="001C4FB0" w:rsidRPr="000F540A" w:rsidRDefault="001C4FB0" w:rsidP="000F540A">
      <w:pPr>
        <w:jc w:val="both"/>
        <w:rPr>
          <w:rFonts w:asciiTheme="majorHAnsi" w:hAnsiTheme="majorHAnsi"/>
          <w:sz w:val="22"/>
          <w:szCs w:val="22"/>
        </w:rPr>
      </w:pPr>
    </w:p>
    <w:p w:rsidR="001C4FB0" w:rsidRPr="000F540A" w:rsidRDefault="001C4FB0" w:rsidP="000F540A">
      <w:pPr>
        <w:jc w:val="both"/>
        <w:rPr>
          <w:rFonts w:asciiTheme="majorHAnsi" w:hAnsiTheme="majorHAnsi"/>
          <w:i/>
          <w:color w:val="632423" w:themeColor="accent2" w:themeShade="80"/>
          <w:sz w:val="22"/>
          <w:szCs w:val="22"/>
        </w:rPr>
      </w:pPr>
      <w:r w:rsidRPr="000F540A">
        <w:rPr>
          <w:rFonts w:asciiTheme="majorHAnsi" w:hAnsiTheme="majorHAnsi"/>
          <w:b/>
          <w:color w:val="632423" w:themeColor="accent2" w:themeShade="80"/>
          <w:sz w:val="22"/>
          <w:szCs w:val="22"/>
        </w:rPr>
        <w:t xml:space="preserve">Paraqitje Grafike 2: </w:t>
      </w:r>
      <w:r w:rsidRPr="000F540A">
        <w:rPr>
          <w:rFonts w:asciiTheme="majorHAnsi" w:hAnsiTheme="majorHAnsi"/>
          <w:i/>
          <w:color w:val="632423" w:themeColor="accent2" w:themeShade="80"/>
          <w:sz w:val="22"/>
          <w:szCs w:val="22"/>
        </w:rPr>
        <w:t>Shërbimi i borxhit në raport me të ardhurat</w:t>
      </w:r>
    </w:p>
    <w:p w:rsidR="001C4FB0" w:rsidRPr="000F540A" w:rsidRDefault="001C4FB0" w:rsidP="000F540A">
      <w:pPr>
        <w:jc w:val="both"/>
        <w:rPr>
          <w:rFonts w:asciiTheme="majorHAnsi" w:hAnsiTheme="majorHAnsi"/>
          <w:sz w:val="22"/>
          <w:szCs w:val="22"/>
        </w:rPr>
      </w:pPr>
      <w:r w:rsidRPr="000F540A">
        <w:rPr>
          <w:rFonts w:asciiTheme="majorHAnsi" w:hAnsiTheme="majorHAnsi"/>
          <w:noProof/>
          <w:sz w:val="22"/>
          <w:szCs w:val="22"/>
        </w:rPr>
        <w:drawing>
          <wp:inline distT="0" distB="0" distL="0" distR="0" wp14:anchorId="5BD04FD4" wp14:editId="619368A2">
            <wp:extent cx="5467350" cy="195262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C4FB0" w:rsidRPr="000F540A" w:rsidRDefault="001C4FB0" w:rsidP="000F540A">
      <w:pPr>
        <w:jc w:val="both"/>
        <w:rPr>
          <w:rFonts w:asciiTheme="majorHAnsi" w:hAnsiTheme="majorHAnsi"/>
          <w:i/>
          <w:sz w:val="22"/>
          <w:szCs w:val="22"/>
        </w:rPr>
      </w:pPr>
      <w:r w:rsidRPr="000F540A">
        <w:rPr>
          <w:rFonts w:asciiTheme="majorHAnsi" w:hAnsiTheme="majorHAnsi"/>
          <w:b/>
          <w:i/>
          <w:color w:val="632423" w:themeColor="accent2" w:themeShade="80"/>
          <w:sz w:val="22"/>
          <w:szCs w:val="22"/>
        </w:rPr>
        <w:t xml:space="preserve">        </w:t>
      </w:r>
      <w:r w:rsidRPr="000F540A">
        <w:rPr>
          <w:rFonts w:asciiTheme="majorHAnsi" w:hAnsiTheme="majorHAnsi"/>
          <w:b/>
          <w:sz w:val="22"/>
          <w:szCs w:val="22"/>
        </w:rPr>
        <w:t>Burimi:</w:t>
      </w:r>
      <w:r w:rsidRPr="000F540A">
        <w:rPr>
          <w:rFonts w:asciiTheme="majorHAnsi" w:hAnsiTheme="majorHAnsi"/>
          <w:b/>
          <w:i/>
          <w:sz w:val="22"/>
          <w:szCs w:val="22"/>
        </w:rPr>
        <w:t xml:space="preserve"> </w:t>
      </w:r>
      <w:r w:rsidR="004D1F43" w:rsidRPr="000F540A">
        <w:rPr>
          <w:rFonts w:asciiTheme="majorHAnsi" w:hAnsiTheme="majorHAnsi"/>
          <w:i/>
          <w:sz w:val="22"/>
          <w:szCs w:val="22"/>
        </w:rPr>
        <w:t>Ministria e Financave (201</w:t>
      </w:r>
      <w:r w:rsidR="004563A6" w:rsidRPr="000F540A">
        <w:rPr>
          <w:rFonts w:asciiTheme="majorHAnsi" w:hAnsiTheme="majorHAnsi"/>
          <w:i/>
          <w:sz w:val="22"/>
          <w:szCs w:val="22"/>
        </w:rPr>
        <w:t>5</w:t>
      </w:r>
      <w:r w:rsidR="004D1F43" w:rsidRPr="000F540A">
        <w:rPr>
          <w:rFonts w:asciiTheme="majorHAnsi" w:hAnsiTheme="majorHAnsi"/>
          <w:i/>
          <w:sz w:val="22"/>
          <w:szCs w:val="22"/>
        </w:rPr>
        <w:t>)</w:t>
      </w:r>
    </w:p>
    <w:p w:rsidR="001C4FB0" w:rsidRPr="000F540A" w:rsidRDefault="001C4FB0" w:rsidP="000F540A">
      <w:pPr>
        <w:jc w:val="both"/>
        <w:rPr>
          <w:rFonts w:asciiTheme="majorHAnsi" w:hAnsiTheme="majorHAnsi"/>
          <w:b/>
          <w:i/>
          <w:sz w:val="22"/>
          <w:szCs w:val="22"/>
        </w:rPr>
      </w:pPr>
    </w:p>
    <w:p w:rsidR="001C4FB0" w:rsidRPr="000F540A" w:rsidRDefault="001C4FB0" w:rsidP="000F540A">
      <w:pPr>
        <w:jc w:val="both"/>
        <w:rPr>
          <w:rFonts w:asciiTheme="majorHAnsi" w:hAnsiTheme="majorHAnsi"/>
          <w:sz w:val="22"/>
          <w:szCs w:val="22"/>
        </w:rPr>
      </w:pPr>
      <w:proofErr w:type="gramStart"/>
      <w:r w:rsidRPr="000F540A">
        <w:rPr>
          <w:rFonts w:asciiTheme="majorHAnsi" w:hAnsiTheme="majorHAnsi"/>
          <w:sz w:val="22"/>
          <w:szCs w:val="22"/>
        </w:rPr>
        <w:t>Përmirësimi i këtij treguesi është i lidhur ngushtë me uljen e borxhit, me konsolidimin e të ardhurave në buxhet dhe me uljen e mëtejshme të kostos së borxhit.</w:t>
      </w:r>
      <w:proofErr w:type="gramEnd"/>
    </w:p>
    <w:p w:rsidR="001C4FB0" w:rsidRPr="000F540A" w:rsidRDefault="001C4FB0" w:rsidP="000F540A">
      <w:pPr>
        <w:jc w:val="both"/>
        <w:rPr>
          <w:rFonts w:asciiTheme="majorHAnsi" w:hAnsiTheme="majorHAnsi"/>
          <w:sz w:val="22"/>
          <w:szCs w:val="22"/>
        </w:rPr>
      </w:pPr>
      <w:proofErr w:type="gramStart"/>
      <w:r w:rsidRPr="000F540A">
        <w:rPr>
          <w:rFonts w:asciiTheme="majorHAnsi" w:hAnsiTheme="majorHAnsi"/>
          <w:sz w:val="22"/>
          <w:szCs w:val="22"/>
        </w:rPr>
        <w:t>Përsa i përket objektivave strategjik</w:t>
      </w:r>
      <w:r w:rsidR="00880F5F" w:rsidRPr="000F540A">
        <w:rPr>
          <w:rFonts w:asciiTheme="majorHAnsi" w:hAnsiTheme="majorHAnsi"/>
          <w:sz w:val="22"/>
          <w:szCs w:val="22"/>
        </w:rPr>
        <w:t>e</w:t>
      </w:r>
      <w:r w:rsidRPr="000F540A">
        <w:rPr>
          <w:rFonts w:asciiTheme="majorHAnsi" w:hAnsiTheme="majorHAnsi"/>
          <w:sz w:val="22"/>
          <w:szCs w:val="22"/>
        </w:rPr>
        <w:t xml:space="preserve"> për mbajtjen nën kontroll të </w:t>
      </w:r>
      <w:r w:rsidRPr="000F540A">
        <w:rPr>
          <w:rFonts w:asciiTheme="majorHAnsi" w:hAnsiTheme="majorHAnsi"/>
          <w:sz w:val="22"/>
          <w:szCs w:val="22"/>
          <w:lang w:val="sq-AL"/>
        </w:rPr>
        <w:t>rrezikut</w:t>
      </w:r>
      <w:r w:rsidRPr="000F540A">
        <w:rPr>
          <w:rFonts w:asciiTheme="majorHAnsi" w:hAnsiTheme="majorHAnsi"/>
          <w:sz w:val="22"/>
          <w:szCs w:val="22"/>
        </w:rPr>
        <w:t xml:space="preserve"> të likuiditetit rezulton se disa prej objektivave janë realizuar me sukses, ku këtu vlen të përmendet realizimi për herë të parë i transaksioneve buyback duke maturuar instrumente me jet</w:t>
      </w:r>
      <w:r w:rsidR="00880F5F" w:rsidRPr="000F540A">
        <w:rPr>
          <w:rFonts w:asciiTheme="majorHAnsi" w:hAnsiTheme="majorHAnsi"/>
          <w:sz w:val="22"/>
          <w:szCs w:val="22"/>
        </w:rPr>
        <w:t>ë</w:t>
      </w:r>
      <w:r w:rsidRPr="000F540A">
        <w:rPr>
          <w:rFonts w:asciiTheme="majorHAnsi" w:hAnsiTheme="majorHAnsi"/>
          <w:sz w:val="22"/>
          <w:szCs w:val="22"/>
        </w:rPr>
        <w:t>gjatësi të mbetur relativisht të ulët.</w:t>
      </w:r>
      <w:proofErr w:type="gramEnd"/>
      <w:r w:rsidRPr="000F540A">
        <w:rPr>
          <w:rFonts w:asciiTheme="majorHAnsi" w:hAnsiTheme="majorHAnsi"/>
          <w:sz w:val="22"/>
          <w:szCs w:val="22"/>
        </w:rPr>
        <w:t xml:space="preserve"> Përsa i përket shpërndarjes së peshës së disa ankandeve me vlera të larta, ky objektiv nuk është realizuar për shkak të emetimit të Eurobondit në gjysmën e dytë të vitit dhe mbajtjes së financimit të PBG në formën e garancisë duke konsideruar edhe skenarin më të keq për mosrealizmin e emetimit të Eurobondit gjatë vitit 2015</w:t>
      </w:r>
      <w:r w:rsidR="004010D2" w:rsidRPr="000F540A">
        <w:rPr>
          <w:rFonts w:asciiTheme="majorHAnsi" w:hAnsiTheme="majorHAnsi"/>
          <w:sz w:val="22"/>
          <w:szCs w:val="22"/>
        </w:rPr>
        <w:t>.</w:t>
      </w:r>
    </w:p>
    <w:p w:rsidR="001C4FB0" w:rsidRPr="000F540A" w:rsidRDefault="001C4FB0" w:rsidP="000F540A">
      <w:pPr>
        <w:jc w:val="both"/>
        <w:rPr>
          <w:rFonts w:asciiTheme="majorHAnsi" w:hAnsiTheme="majorHAnsi"/>
          <w:sz w:val="22"/>
          <w:szCs w:val="22"/>
        </w:rPr>
      </w:pPr>
    </w:p>
    <w:p w:rsidR="001C4FB0" w:rsidRPr="000F540A" w:rsidRDefault="001C4FB0" w:rsidP="000F540A">
      <w:pPr>
        <w:pStyle w:val="Heading4"/>
        <w:numPr>
          <w:ilvl w:val="1"/>
          <w:numId w:val="25"/>
        </w:numPr>
        <w:ind w:left="567" w:hanging="567"/>
        <w:jc w:val="both"/>
        <w:rPr>
          <w:sz w:val="22"/>
          <w:szCs w:val="22"/>
        </w:rPr>
      </w:pPr>
      <w:r w:rsidRPr="000F540A">
        <w:rPr>
          <w:sz w:val="22"/>
          <w:szCs w:val="22"/>
        </w:rPr>
        <w:t>Rreziku operacional</w:t>
      </w:r>
    </w:p>
    <w:p w:rsidR="001C4FB0" w:rsidRPr="000F540A" w:rsidRDefault="001C4FB0" w:rsidP="000F540A">
      <w:pPr>
        <w:pStyle w:val="ListParagraph"/>
        <w:ind w:left="1080"/>
        <w:jc w:val="both"/>
        <w:rPr>
          <w:rFonts w:asciiTheme="majorHAnsi" w:hAnsiTheme="majorHAnsi"/>
          <w:i/>
          <w:sz w:val="22"/>
          <w:szCs w:val="22"/>
        </w:rPr>
      </w:pPr>
    </w:p>
    <w:p w:rsidR="001C4FB0" w:rsidRPr="000F540A" w:rsidRDefault="001C4FB0" w:rsidP="000F540A">
      <w:pPr>
        <w:pStyle w:val="ListParagraph"/>
        <w:ind w:left="0"/>
        <w:jc w:val="both"/>
        <w:rPr>
          <w:rFonts w:asciiTheme="majorHAnsi" w:hAnsiTheme="majorHAnsi"/>
          <w:sz w:val="22"/>
          <w:szCs w:val="22"/>
        </w:rPr>
      </w:pPr>
      <w:proofErr w:type="gramStart"/>
      <w:r w:rsidRPr="000F540A">
        <w:rPr>
          <w:rFonts w:asciiTheme="majorHAnsi" w:hAnsiTheme="majorHAnsi"/>
          <w:sz w:val="22"/>
          <w:szCs w:val="22"/>
        </w:rPr>
        <w:t>Rreziku operacional gjatë viteve të fundit ka pasur një përmirësim në kuadër të shtimit të kapaciteteve dhe përmirësimit të mjeteve analitike të përdorura në menaxhimin e borxhit.</w:t>
      </w:r>
      <w:proofErr w:type="gramEnd"/>
      <w:r w:rsidRPr="000F540A">
        <w:rPr>
          <w:rFonts w:asciiTheme="majorHAnsi" w:hAnsiTheme="majorHAnsi"/>
          <w:sz w:val="22"/>
          <w:szCs w:val="22"/>
        </w:rPr>
        <w:t xml:space="preserve"> </w:t>
      </w:r>
      <w:proofErr w:type="gramStart"/>
      <w:r w:rsidRPr="000F540A">
        <w:rPr>
          <w:rFonts w:asciiTheme="majorHAnsi" w:hAnsiTheme="majorHAnsi"/>
          <w:sz w:val="22"/>
          <w:szCs w:val="22"/>
        </w:rPr>
        <w:t>Këtu mund të përmendet trajnimi i stafit dhe bashkëpunimi i vazhdueshëm me institucionet ndërkombëtare si BB dhe FMN në kuadër të adaptimit të praktikave më të mira ndërkombëtare për menaxhimin e borxhit dhe zhvillimin e tregut të titujve shtetërorë.</w:t>
      </w:r>
      <w:proofErr w:type="gramEnd"/>
      <w:r w:rsidRPr="000F540A">
        <w:rPr>
          <w:rFonts w:asciiTheme="majorHAnsi" w:hAnsiTheme="majorHAnsi"/>
          <w:sz w:val="22"/>
          <w:szCs w:val="22"/>
        </w:rPr>
        <w:t xml:space="preserve"> Gjithashtu është hartuar një draft manual për veprimtaritë e brendshme të njësisë menaxhuese të borxhit publik.</w:t>
      </w:r>
    </w:p>
    <w:p w:rsidR="001C4FB0" w:rsidRPr="000F540A" w:rsidRDefault="001C4FB0" w:rsidP="000F540A">
      <w:pPr>
        <w:pStyle w:val="ListParagraph"/>
        <w:ind w:left="0"/>
        <w:jc w:val="both"/>
        <w:rPr>
          <w:rFonts w:asciiTheme="majorHAnsi" w:hAnsiTheme="majorHAnsi"/>
          <w:sz w:val="22"/>
          <w:szCs w:val="22"/>
        </w:rPr>
      </w:pPr>
    </w:p>
    <w:p w:rsidR="001C4FB0" w:rsidRPr="000F540A" w:rsidRDefault="001C4FB0" w:rsidP="000F540A">
      <w:pPr>
        <w:pStyle w:val="ListParagraph"/>
        <w:ind w:left="0"/>
        <w:jc w:val="both"/>
        <w:rPr>
          <w:rFonts w:asciiTheme="majorHAnsi" w:hAnsiTheme="majorHAnsi"/>
          <w:sz w:val="22"/>
          <w:szCs w:val="22"/>
        </w:rPr>
      </w:pPr>
      <w:proofErr w:type="gramStart"/>
      <w:r w:rsidRPr="000F540A">
        <w:rPr>
          <w:rFonts w:asciiTheme="majorHAnsi" w:hAnsiTheme="majorHAnsi"/>
          <w:sz w:val="22"/>
          <w:szCs w:val="22"/>
        </w:rPr>
        <w:t xml:space="preserve">Stafi ekzistues zotëron aftësi të mira teknike, por është nën numrin optimal që kërkohet nga struktura, duke e rritur rrezikun e individëve kyç </w:t>
      </w:r>
      <w:r w:rsidRPr="000F540A">
        <w:rPr>
          <w:rFonts w:asciiTheme="majorHAnsi" w:hAnsiTheme="majorHAnsi"/>
          <w:i/>
          <w:sz w:val="22"/>
          <w:szCs w:val="22"/>
        </w:rPr>
        <w:t>(key person risk).</w:t>
      </w:r>
      <w:proofErr w:type="gramEnd"/>
      <w:r w:rsidRPr="000F540A">
        <w:rPr>
          <w:rFonts w:asciiTheme="majorHAnsi" w:hAnsiTheme="majorHAnsi"/>
          <w:sz w:val="22"/>
          <w:szCs w:val="22"/>
        </w:rPr>
        <w:t xml:space="preserve"> </w:t>
      </w:r>
      <w:proofErr w:type="gramStart"/>
      <w:r w:rsidRPr="000F540A">
        <w:rPr>
          <w:rFonts w:asciiTheme="majorHAnsi" w:hAnsiTheme="majorHAnsi"/>
          <w:sz w:val="22"/>
          <w:szCs w:val="22"/>
        </w:rPr>
        <w:t>Borxhi i brendshëm dhe i jashtëm vazhdojnë të ruhen në databaza të veçanta, duke e bërë të vështirë dhe me rrezik raportimin dhe përpunimin e të dhënave.</w:t>
      </w:r>
      <w:proofErr w:type="gramEnd"/>
      <w:r w:rsidRPr="000F540A">
        <w:rPr>
          <w:rFonts w:asciiTheme="majorHAnsi" w:hAnsiTheme="majorHAnsi"/>
          <w:sz w:val="22"/>
          <w:szCs w:val="22"/>
        </w:rPr>
        <w:t xml:space="preserve"> Sistemi i regjistrimit të të dhënave të borxhit të jashtëm </w:t>
      </w:r>
      <w:r w:rsidRPr="000F540A">
        <w:rPr>
          <w:rFonts w:asciiTheme="majorHAnsi" w:hAnsiTheme="majorHAnsi"/>
          <w:i/>
          <w:sz w:val="22"/>
          <w:szCs w:val="22"/>
        </w:rPr>
        <w:t>(DMFAS)</w:t>
      </w:r>
      <w:r w:rsidRPr="000F540A">
        <w:rPr>
          <w:rFonts w:asciiTheme="majorHAnsi" w:hAnsiTheme="majorHAnsi"/>
          <w:sz w:val="22"/>
          <w:szCs w:val="22"/>
        </w:rPr>
        <w:t xml:space="preserve"> nuk është përditësuar ende në versionin e </w:t>
      </w:r>
      <w:proofErr w:type="gramStart"/>
      <w:r w:rsidRPr="000F540A">
        <w:rPr>
          <w:rFonts w:asciiTheme="majorHAnsi" w:hAnsiTheme="majorHAnsi"/>
          <w:sz w:val="22"/>
          <w:szCs w:val="22"/>
        </w:rPr>
        <w:t>ri</w:t>
      </w:r>
      <w:proofErr w:type="gramEnd"/>
      <w:r w:rsidRPr="000F540A">
        <w:rPr>
          <w:rFonts w:asciiTheme="majorHAnsi" w:hAnsiTheme="majorHAnsi"/>
          <w:sz w:val="22"/>
          <w:szCs w:val="22"/>
        </w:rPr>
        <w:t>, por janë ndërmarrë të gjitha hapat e nevojshëm për zëvendësimin e tij gjatë vitit të ardhshëm.</w:t>
      </w:r>
    </w:p>
    <w:p w:rsidR="00C81BF8" w:rsidRPr="000F540A" w:rsidRDefault="00C81BF8" w:rsidP="000F540A">
      <w:pPr>
        <w:tabs>
          <w:tab w:val="left" w:pos="2730"/>
        </w:tabs>
        <w:jc w:val="both"/>
        <w:rPr>
          <w:rFonts w:asciiTheme="majorHAnsi" w:hAnsiTheme="majorHAnsi"/>
          <w:sz w:val="22"/>
          <w:szCs w:val="22"/>
          <w:lang w:val="sq-AL"/>
        </w:rPr>
      </w:pPr>
    </w:p>
    <w:p w:rsidR="00610F07" w:rsidRPr="000F540A" w:rsidRDefault="00610F07" w:rsidP="000F540A">
      <w:pPr>
        <w:tabs>
          <w:tab w:val="left" w:pos="2730"/>
        </w:tabs>
        <w:jc w:val="both"/>
        <w:rPr>
          <w:rFonts w:asciiTheme="majorHAnsi" w:hAnsiTheme="majorHAnsi"/>
          <w:b/>
          <w:sz w:val="22"/>
          <w:szCs w:val="22"/>
          <w:lang w:val="sq-AL"/>
        </w:rPr>
      </w:pPr>
      <w:r w:rsidRPr="000F540A">
        <w:rPr>
          <w:rFonts w:asciiTheme="majorHAnsi" w:hAnsiTheme="majorHAnsi"/>
          <w:b/>
          <w:sz w:val="22"/>
          <w:szCs w:val="22"/>
          <w:lang w:val="sq-AL"/>
        </w:rPr>
        <w:lastRenderedPageBreak/>
        <w:t>3.</w:t>
      </w:r>
      <w:r w:rsidRPr="000F540A">
        <w:rPr>
          <w:rFonts w:asciiTheme="majorHAnsi" w:hAnsiTheme="majorHAnsi"/>
          <w:b/>
          <w:color w:val="FFFFFF" w:themeColor="background1"/>
          <w:sz w:val="22"/>
          <w:szCs w:val="22"/>
          <w:lang w:val="sq-AL"/>
        </w:rPr>
        <w:t>..</w:t>
      </w:r>
      <w:r w:rsidRPr="000F540A">
        <w:rPr>
          <w:rFonts w:asciiTheme="majorHAnsi" w:hAnsiTheme="majorHAnsi"/>
          <w:b/>
          <w:sz w:val="22"/>
          <w:szCs w:val="22"/>
          <w:lang w:val="sq-AL"/>
        </w:rPr>
        <w:t>Kostot</w:t>
      </w:r>
    </w:p>
    <w:p w:rsidR="009C2312" w:rsidRPr="000F540A" w:rsidRDefault="009C2312" w:rsidP="000F540A">
      <w:pPr>
        <w:pStyle w:val="ListParagraph"/>
        <w:keepNext/>
        <w:keepLines/>
        <w:numPr>
          <w:ilvl w:val="0"/>
          <w:numId w:val="25"/>
        </w:numPr>
        <w:tabs>
          <w:tab w:val="left" w:pos="540"/>
          <w:tab w:val="left" w:pos="630"/>
        </w:tabs>
        <w:spacing w:before="200"/>
        <w:contextualSpacing w:val="0"/>
        <w:jc w:val="both"/>
        <w:outlineLvl w:val="2"/>
        <w:rPr>
          <w:rFonts w:asciiTheme="majorHAnsi" w:eastAsiaTheme="majorEastAsia" w:hAnsiTheme="majorHAnsi" w:cstheme="majorBidi"/>
          <w:b/>
          <w:bCs/>
          <w:vanish/>
          <w:sz w:val="22"/>
          <w:szCs w:val="22"/>
          <w:lang w:val="sq-AL"/>
        </w:rPr>
      </w:pPr>
    </w:p>
    <w:p w:rsidR="009C2312" w:rsidRPr="000F540A" w:rsidRDefault="009C2312" w:rsidP="000F540A">
      <w:pPr>
        <w:pStyle w:val="ListParagraph"/>
        <w:ind w:left="900" w:right="-547"/>
        <w:jc w:val="both"/>
        <w:rPr>
          <w:rFonts w:asciiTheme="majorHAnsi" w:hAnsiTheme="majorHAnsi"/>
          <w:sz w:val="22"/>
          <w:szCs w:val="22"/>
          <w:lang w:val="sq-AL"/>
        </w:rPr>
      </w:pPr>
    </w:p>
    <w:p w:rsidR="009C2312" w:rsidRPr="000F540A" w:rsidRDefault="009C2312" w:rsidP="000F540A">
      <w:pPr>
        <w:jc w:val="both"/>
        <w:rPr>
          <w:rFonts w:asciiTheme="majorHAnsi" w:hAnsiTheme="majorHAnsi"/>
          <w:sz w:val="22"/>
          <w:szCs w:val="22"/>
          <w:lang w:val="sq-AL"/>
        </w:rPr>
      </w:pPr>
      <w:r w:rsidRPr="000F540A">
        <w:rPr>
          <w:rFonts w:asciiTheme="majorHAnsi" w:hAnsiTheme="majorHAnsi"/>
          <w:sz w:val="22"/>
          <w:szCs w:val="22"/>
          <w:lang w:val="sq-AL"/>
        </w:rPr>
        <w:t>Gjatë vitit 2015 kosto e borxhit shtetëror që rrjedh nga pagesat e intere</w:t>
      </w:r>
      <w:r w:rsidR="00F33205" w:rsidRPr="000F540A">
        <w:rPr>
          <w:rFonts w:asciiTheme="majorHAnsi" w:hAnsiTheme="majorHAnsi"/>
          <w:sz w:val="22"/>
          <w:szCs w:val="22"/>
          <w:lang w:val="sq-AL"/>
        </w:rPr>
        <w:t>save vlerësohet në 38.6 miliard Lek</w:t>
      </w:r>
      <w:r w:rsidRPr="000F540A">
        <w:rPr>
          <w:rFonts w:asciiTheme="majorHAnsi" w:hAnsiTheme="majorHAnsi"/>
          <w:sz w:val="22"/>
          <w:szCs w:val="22"/>
          <w:lang w:val="sq-AL"/>
        </w:rPr>
        <w:t xml:space="preserve"> ose 2.67% e PBB ku 1.9% e PBB janë pagesa për interesat e borxhit të brendshëm dhe 0.78% e PBB interesa për borxhin e jashtëm. Gjatë viteve të fundit pagesat për interesa kanë pasur një trend rënës, i cili ka ardhur kryesisht si rezultat i rënies së normave të interesit në tregun e brendshëm dhe të jashtëm. </w:t>
      </w:r>
    </w:p>
    <w:p w:rsidR="009C2312" w:rsidRPr="000F540A" w:rsidRDefault="009C2312" w:rsidP="000F540A">
      <w:pPr>
        <w:ind w:right="-547"/>
        <w:jc w:val="both"/>
        <w:rPr>
          <w:rFonts w:asciiTheme="majorHAnsi" w:hAnsiTheme="majorHAnsi"/>
          <w:sz w:val="22"/>
          <w:szCs w:val="22"/>
          <w:lang w:val="sq-AL"/>
        </w:rPr>
      </w:pPr>
    </w:p>
    <w:p w:rsidR="009C2312" w:rsidRPr="000F540A" w:rsidRDefault="009C2312" w:rsidP="000F540A">
      <w:pPr>
        <w:jc w:val="both"/>
        <w:rPr>
          <w:rFonts w:asciiTheme="majorHAnsi" w:hAnsiTheme="majorHAnsi"/>
          <w:i/>
          <w:color w:val="632423" w:themeColor="accent2" w:themeShade="80"/>
          <w:sz w:val="22"/>
          <w:szCs w:val="22"/>
        </w:rPr>
      </w:pPr>
      <w:r w:rsidRPr="000F540A">
        <w:rPr>
          <w:rFonts w:asciiTheme="majorHAnsi" w:hAnsiTheme="majorHAnsi"/>
          <w:b/>
          <w:color w:val="632423" w:themeColor="accent2" w:themeShade="80"/>
          <w:sz w:val="22"/>
          <w:szCs w:val="22"/>
        </w:rPr>
        <w:t xml:space="preserve">Paraqitje Grafike </w:t>
      </w:r>
      <w:r w:rsidR="004D1F43" w:rsidRPr="000F540A">
        <w:rPr>
          <w:rFonts w:asciiTheme="majorHAnsi" w:hAnsiTheme="majorHAnsi"/>
          <w:b/>
          <w:color w:val="632423" w:themeColor="accent2" w:themeShade="80"/>
          <w:sz w:val="22"/>
          <w:szCs w:val="22"/>
        </w:rPr>
        <w:t>3</w:t>
      </w:r>
      <w:r w:rsidRPr="000F540A">
        <w:rPr>
          <w:rFonts w:asciiTheme="majorHAnsi" w:hAnsiTheme="majorHAnsi"/>
          <w:b/>
          <w:color w:val="632423" w:themeColor="accent2" w:themeShade="80"/>
          <w:sz w:val="22"/>
          <w:szCs w:val="22"/>
        </w:rPr>
        <w:t xml:space="preserve">: </w:t>
      </w:r>
      <w:r w:rsidRPr="000F540A">
        <w:rPr>
          <w:rFonts w:asciiTheme="majorHAnsi" w:hAnsiTheme="majorHAnsi"/>
          <w:i/>
          <w:color w:val="632423" w:themeColor="accent2" w:themeShade="80"/>
          <w:sz w:val="22"/>
          <w:szCs w:val="22"/>
        </w:rPr>
        <w:t>Pagesat për interesa të borxhit shtetëror</w:t>
      </w:r>
    </w:p>
    <w:p w:rsidR="009C2312" w:rsidRPr="000F540A" w:rsidRDefault="009C2312" w:rsidP="000F540A">
      <w:pPr>
        <w:ind w:right="-547"/>
        <w:jc w:val="both"/>
        <w:rPr>
          <w:rFonts w:asciiTheme="majorHAnsi" w:hAnsiTheme="majorHAnsi"/>
          <w:sz w:val="22"/>
          <w:szCs w:val="22"/>
          <w:lang w:val="sq-AL"/>
        </w:rPr>
      </w:pPr>
      <w:r w:rsidRPr="000F540A">
        <w:rPr>
          <w:rFonts w:asciiTheme="majorHAnsi" w:hAnsiTheme="majorHAnsi"/>
          <w:noProof/>
          <w:sz w:val="22"/>
          <w:szCs w:val="22"/>
        </w:rPr>
        <w:drawing>
          <wp:inline distT="0" distB="0" distL="0" distR="0" wp14:anchorId="6F21E8EA" wp14:editId="02F13F97">
            <wp:extent cx="5400675" cy="1907540"/>
            <wp:effectExtent l="0" t="0" r="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C2312" w:rsidRPr="000F540A" w:rsidRDefault="009C2312" w:rsidP="000F540A">
      <w:pPr>
        <w:jc w:val="both"/>
        <w:rPr>
          <w:rFonts w:asciiTheme="majorHAnsi" w:hAnsiTheme="majorHAnsi"/>
          <w:i/>
          <w:sz w:val="22"/>
          <w:szCs w:val="22"/>
        </w:rPr>
      </w:pPr>
      <w:r w:rsidRPr="000F540A">
        <w:rPr>
          <w:rFonts w:asciiTheme="majorHAnsi" w:hAnsiTheme="majorHAnsi"/>
          <w:b/>
          <w:i/>
          <w:sz w:val="22"/>
          <w:szCs w:val="22"/>
        </w:rPr>
        <w:t xml:space="preserve">   </w:t>
      </w:r>
      <w:r w:rsidRPr="000F540A">
        <w:rPr>
          <w:rFonts w:asciiTheme="majorHAnsi" w:hAnsiTheme="majorHAnsi"/>
          <w:b/>
          <w:sz w:val="22"/>
          <w:szCs w:val="22"/>
        </w:rPr>
        <w:t>Burimi:</w:t>
      </w:r>
      <w:r w:rsidRPr="000F540A">
        <w:rPr>
          <w:rFonts w:asciiTheme="majorHAnsi" w:hAnsiTheme="majorHAnsi"/>
          <w:b/>
          <w:i/>
          <w:sz w:val="22"/>
          <w:szCs w:val="22"/>
        </w:rPr>
        <w:t xml:space="preserve"> </w:t>
      </w:r>
      <w:r w:rsidR="004D1F43" w:rsidRPr="000F540A">
        <w:rPr>
          <w:rFonts w:asciiTheme="majorHAnsi" w:hAnsiTheme="majorHAnsi"/>
          <w:i/>
          <w:sz w:val="22"/>
          <w:szCs w:val="22"/>
        </w:rPr>
        <w:t>Ministria e Financave (201</w:t>
      </w:r>
      <w:r w:rsidR="004563A6" w:rsidRPr="000F540A">
        <w:rPr>
          <w:rFonts w:asciiTheme="majorHAnsi" w:hAnsiTheme="majorHAnsi"/>
          <w:i/>
          <w:sz w:val="22"/>
          <w:szCs w:val="22"/>
        </w:rPr>
        <w:t>5</w:t>
      </w:r>
      <w:r w:rsidR="004D1F43" w:rsidRPr="000F540A">
        <w:rPr>
          <w:rFonts w:asciiTheme="majorHAnsi" w:hAnsiTheme="majorHAnsi"/>
          <w:i/>
          <w:sz w:val="22"/>
          <w:szCs w:val="22"/>
        </w:rPr>
        <w:t>)</w:t>
      </w:r>
    </w:p>
    <w:p w:rsidR="009C2312" w:rsidRPr="000F540A" w:rsidRDefault="009C2312" w:rsidP="000F540A">
      <w:pPr>
        <w:jc w:val="both"/>
        <w:rPr>
          <w:rFonts w:asciiTheme="majorHAnsi" w:hAnsiTheme="majorHAnsi"/>
          <w:b/>
          <w:i/>
          <w:sz w:val="22"/>
          <w:szCs w:val="22"/>
        </w:rPr>
      </w:pPr>
    </w:p>
    <w:p w:rsidR="009C2312" w:rsidRPr="000F540A" w:rsidRDefault="009C2312" w:rsidP="000F540A">
      <w:pPr>
        <w:jc w:val="both"/>
        <w:rPr>
          <w:rFonts w:asciiTheme="majorHAnsi" w:hAnsiTheme="majorHAnsi"/>
          <w:sz w:val="22"/>
          <w:szCs w:val="22"/>
          <w:lang w:val="sq-AL"/>
        </w:rPr>
      </w:pPr>
      <w:r w:rsidRPr="000F540A">
        <w:rPr>
          <w:rFonts w:asciiTheme="majorHAnsi" w:hAnsiTheme="majorHAnsi"/>
          <w:sz w:val="22"/>
          <w:szCs w:val="22"/>
          <w:lang w:val="sq-AL"/>
        </w:rPr>
        <w:t xml:space="preserve">Referuar </w:t>
      </w:r>
      <w:r w:rsidRPr="000F540A">
        <w:rPr>
          <w:rFonts w:asciiTheme="majorHAnsi" w:hAnsiTheme="majorHAnsi"/>
          <w:i/>
          <w:sz w:val="22"/>
          <w:szCs w:val="22"/>
          <w:lang w:val="sq-AL"/>
        </w:rPr>
        <w:t xml:space="preserve">paraqitjes grafike </w:t>
      </w:r>
      <w:r w:rsidR="00B14D08" w:rsidRPr="000F540A">
        <w:rPr>
          <w:rFonts w:asciiTheme="majorHAnsi" w:hAnsiTheme="majorHAnsi"/>
          <w:i/>
          <w:sz w:val="22"/>
          <w:szCs w:val="22"/>
          <w:lang w:val="sq-AL"/>
        </w:rPr>
        <w:t>4</w:t>
      </w:r>
      <w:r w:rsidRPr="000F540A">
        <w:rPr>
          <w:rFonts w:asciiTheme="majorHAnsi" w:hAnsiTheme="majorHAnsi"/>
          <w:i/>
          <w:sz w:val="22"/>
          <w:szCs w:val="22"/>
          <w:lang w:val="sq-AL"/>
        </w:rPr>
        <w:t>,</w:t>
      </w:r>
      <w:r w:rsidRPr="000F540A">
        <w:rPr>
          <w:rFonts w:asciiTheme="majorHAnsi" w:hAnsiTheme="majorHAnsi"/>
          <w:sz w:val="22"/>
          <w:szCs w:val="22"/>
          <w:lang w:val="sq-AL"/>
        </w:rPr>
        <w:t xml:space="preserve"> borxhi i brendshëm paraqitet më i kushtueshëm se borxhi i jashtëm, kryesisht për faktin se është borxh i emetuar tërësisht me terma tregtare dhe për shkak të kushteve makroekonomike që karakterizojnë vendin</w:t>
      </w:r>
      <w:r w:rsidR="00E76649" w:rsidRPr="000F540A">
        <w:rPr>
          <w:rFonts w:asciiTheme="majorHAnsi" w:hAnsiTheme="majorHAnsi"/>
          <w:sz w:val="22"/>
          <w:szCs w:val="22"/>
          <w:lang w:val="sq-AL"/>
        </w:rPr>
        <w:t xml:space="preserve">. </w:t>
      </w:r>
      <w:r w:rsidRPr="000F540A">
        <w:rPr>
          <w:rFonts w:asciiTheme="majorHAnsi" w:hAnsiTheme="majorHAnsi"/>
          <w:sz w:val="22"/>
          <w:szCs w:val="22"/>
          <w:lang w:val="sq-AL"/>
        </w:rPr>
        <w:t>Megjithatë, kosto mesatare e borxhit të brendshëm ka ardhur vazhdimisht duke u ulur edhe pse në portofol është rritur pesha e instrumenteve afatgjata. Ndërkohë, kosto mesatare e borxhit të jashtëm gjatë viteve të fundit ka qënë më e qëndrueshme</w:t>
      </w:r>
      <w:r w:rsidR="00E76649" w:rsidRPr="000F540A">
        <w:rPr>
          <w:rFonts w:asciiTheme="majorHAnsi" w:hAnsiTheme="majorHAnsi"/>
          <w:sz w:val="22"/>
          <w:szCs w:val="22"/>
          <w:lang w:val="sq-AL"/>
        </w:rPr>
        <w:t xml:space="preserve"> duke u luhatur maksimalisht me 10 pb. </w:t>
      </w:r>
      <w:r w:rsidRPr="000F540A">
        <w:rPr>
          <w:rFonts w:asciiTheme="majorHAnsi" w:hAnsiTheme="majorHAnsi"/>
          <w:sz w:val="22"/>
          <w:szCs w:val="22"/>
          <w:lang w:val="sq-AL"/>
        </w:rPr>
        <w:t xml:space="preserve">Përjashtim bën viti 2015, gjatë të cilit kosto mesatare e borxhit të jashtëm është rritur me 29 pb, kryesisht për shkak të rritjes së peshës së borxhit të kontraktuar me terma tregtare </w:t>
      </w:r>
      <w:r w:rsidRPr="000F540A">
        <w:rPr>
          <w:rFonts w:asciiTheme="majorHAnsi" w:hAnsiTheme="majorHAnsi"/>
          <w:i/>
          <w:sz w:val="22"/>
          <w:szCs w:val="22"/>
          <w:lang w:val="sq-AL"/>
        </w:rPr>
        <w:t>(jo konçesionale).</w:t>
      </w:r>
    </w:p>
    <w:p w:rsidR="009C2312" w:rsidRPr="000F540A" w:rsidRDefault="009C2312" w:rsidP="000F540A">
      <w:pPr>
        <w:jc w:val="both"/>
        <w:rPr>
          <w:rFonts w:asciiTheme="majorHAnsi" w:hAnsiTheme="majorHAnsi"/>
          <w:sz w:val="22"/>
          <w:szCs w:val="22"/>
          <w:lang w:val="sq-AL"/>
        </w:rPr>
      </w:pPr>
    </w:p>
    <w:p w:rsidR="009C2312" w:rsidRPr="000F540A" w:rsidRDefault="009C2312" w:rsidP="000F540A">
      <w:pPr>
        <w:jc w:val="both"/>
        <w:rPr>
          <w:rFonts w:asciiTheme="majorHAnsi" w:hAnsiTheme="majorHAnsi"/>
          <w:i/>
          <w:color w:val="632423" w:themeColor="accent2" w:themeShade="80"/>
          <w:sz w:val="22"/>
          <w:szCs w:val="22"/>
        </w:rPr>
      </w:pPr>
      <w:r w:rsidRPr="000F540A">
        <w:rPr>
          <w:rFonts w:asciiTheme="majorHAnsi" w:hAnsiTheme="majorHAnsi"/>
          <w:b/>
          <w:color w:val="632423" w:themeColor="accent2" w:themeShade="80"/>
          <w:sz w:val="22"/>
          <w:szCs w:val="22"/>
        </w:rPr>
        <w:t xml:space="preserve">Paraqitje Grafike </w:t>
      </w:r>
      <w:r w:rsidR="004D1F43" w:rsidRPr="000F540A">
        <w:rPr>
          <w:rFonts w:asciiTheme="majorHAnsi" w:hAnsiTheme="majorHAnsi"/>
          <w:b/>
          <w:color w:val="632423" w:themeColor="accent2" w:themeShade="80"/>
          <w:sz w:val="22"/>
          <w:szCs w:val="22"/>
        </w:rPr>
        <w:t>4</w:t>
      </w:r>
      <w:r w:rsidRPr="000F540A">
        <w:rPr>
          <w:rFonts w:asciiTheme="majorHAnsi" w:hAnsiTheme="majorHAnsi"/>
          <w:b/>
          <w:color w:val="632423" w:themeColor="accent2" w:themeShade="80"/>
          <w:sz w:val="22"/>
          <w:szCs w:val="22"/>
        </w:rPr>
        <w:t xml:space="preserve">: </w:t>
      </w:r>
      <w:r w:rsidRPr="000F540A">
        <w:rPr>
          <w:rFonts w:asciiTheme="majorHAnsi" w:hAnsiTheme="majorHAnsi"/>
          <w:i/>
          <w:color w:val="632423" w:themeColor="accent2" w:themeShade="80"/>
          <w:sz w:val="22"/>
          <w:szCs w:val="22"/>
        </w:rPr>
        <w:t xml:space="preserve">Kosto mesatare e borxhit të brendshëm dhe të jashtëm </w:t>
      </w:r>
    </w:p>
    <w:p w:rsidR="009C2312" w:rsidRPr="000F540A" w:rsidRDefault="009C2312" w:rsidP="000F540A">
      <w:pPr>
        <w:ind w:right="-547"/>
        <w:jc w:val="both"/>
        <w:rPr>
          <w:rFonts w:asciiTheme="majorHAnsi" w:hAnsiTheme="majorHAnsi"/>
          <w:sz w:val="22"/>
          <w:szCs w:val="22"/>
          <w:lang w:val="sq-AL"/>
        </w:rPr>
      </w:pPr>
      <w:r w:rsidRPr="000F540A">
        <w:rPr>
          <w:rFonts w:asciiTheme="majorHAnsi" w:hAnsiTheme="majorHAnsi"/>
          <w:noProof/>
          <w:sz w:val="22"/>
          <w:szCs w:val="22"/>
        </w:rPr>
        <w:drawing>
          <wp:inline distT="0" distB="0" distL="0" distR="0" wp14:anchorId="7C212A97" wp14:editId="1F6BDF8A">
            <wp:extent cx="5429250" cy="2085975"/>
            <wp:effectExtent l="0" t="0" r="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2312" w:rsidRPr="000F540A" w:rsidRDefault="009C2312" w:rsidP="000F540A">
      <w:pPr>
        <w:jc w:val="both"/>
        <w:rPr>
          <w:rFonts w:asciiTheme="majorHAnsi" w:hAnsiTheme="majorHAnsi"/>
          <w:b/>
          <w:i/>
          <w:sz w:val="22"/>
          <w:szCs w:val="22"/>
        </w:rPr>
      </w:pPr>
      <w:r w:rsidRPr="000F540A">
        <w:rPr>
          <w:rFonts w:asciiTheme="majorHAnsi" w:hAnsiTheme="majorHAnsi"/>
          <w:b/>
          <w:i/>
          <w:color w:val="632423" w:themeColor="accent2" w:themeShade="80"/>
          <w:sz w:val="22"/>
          <w:szCs w:val="22"/>
        </w:rPr>
        <w:t xml:space="preserve">        </w:t>
      </w:r>
      <w:r w:rsidRPr="000F540A">
        <w:rPr>
          <w:rFonts w:asciiTheme="majorHAnsi" w:hAnsiTheme="majorHAnsi"/>
          <w:b/>
          <w:sz w:val="22"/>
          <w:szCs w:val="22"/>
        </w:rPr>
        <w:t>Burimi:</w:t>
      </w:r>
      <w:r w:rsidRPr="000F540A">
        <w:rPr>
          <w:rFonts w:asciiTheme="majorHAnsi" w:hAnsiTheme="majorHAnsi"/>
          <w:b/>
          <w:i/>
          <w:sz w:val="22"/>
          <w:szCs w:val="22"/>
        </w:rPr>
        <w:t xml:space="preserve"> </w:t>
      </w:r>
      <w:r w:rsidR="004D1F43" w:rsidRPr="000F540A">
        <w:rPr>
          <w:rFonts w:asciiTheme="majorHAnsi" w:hAnsiTheme="majorHAnsi"/>
          <w:i/>
          <w:sz w:val="22"/>
          <w:szCs w:val="22"/>
        </w:rPr>
        <w:t>Ministria e Financave (201</w:t>
      </w:r>
      <w:r w:rsidR="00B14D08" w:rsidRPr="000F540A">
        <w:rPr>
          <w:rFonts w:asciiTheme="majorHAnsi" w:hAnsiTheme="majorHAnsi"/>
          <w:i/>
          <w:sz w:val="22"/>
          <w:szCs w:val="22"/>
        </w:rPr>
        <w:t>5</w:t>
      </w:r>
      <w:r w:rsidR="004D1F43" w:rsidRPr="000F540A">
        <w:rPr>
          <w:rFonts w:asciiTheme="majorHAnsi" w:hAnsiTheme="majorHAnsi"/>
          <w:i/>
          <w:sz w:val="22"/>
          <w:szCs w:val="22"/>
        </w:rPr>
        <w:t>)</w:t>
      </w:r>
    </w:p>
    <w:p w:rsidR="004D1F43" w:rsidRPr="000F540A" w:rsidRDefault="001C4FB4" w:rsidP="000F540A">
      <w:pPr>
        <w:pStyle w:val="Heading2"/>
        <w:numPr>
          <w:ilvl w:val="0"/>
          <w:numId w:val="25"/>
        </w:numPr>
        <w:jc w:val="both"/>
        <w:rPr>
          <w:sz w:val="22"/>
          <w:szCs w:val="22"/>
          <w:lang w:val="sq-AL"/>
        </w:rPr>
      </w:pPr>
      <w:r w:rsidRPr="000F540A">
        <w:rPr>
          <w:sz w:val="22"/>
          <w:szCs w:val="22"/>
          <w:lang w:val="sq-AL"/>
        </w:rPr>
        <w:t xml:space="preserve"> </w:t>
      </w:r>
      <w:r w:rsidR="004D1F43" w:rsidRPr="000F540A">
        <w:rPr>
          <w:sz w:val="22"/>
          <w:szCs w:val="22"/>
          <w:lang w:val="sq-AL"/>
        </w:rPr>
        <w:t>Zhvillimet e Tregut Primar të Titujve Shtetëror</w:t>
      </w:r>
    </w:p>
    <w:p w:rsidR="004D1F43" w:rsidRPr="000F540A" w:rsidRDefault="00CF019D" w:rsidP="000F540A">
      <w:pPr>
        <w:pStyle w:val="Heading3"/>
        <w:jc w:val="both"/>
        <w:rPr>
          <w:sz w:val="22"/>
          <w:szCs w:val="22"/>
        </w:rPr>
      </w:pPr>
      <w:r w:rsidRPr="000F540A">
        <w:rPr>
          <w:sz w:val="22"/>
          <w:szCs w:val="22"/>
        </w:rPr>
        <w:t xml:space="preserve"> 4.1.</w:t>
      </w:r>
      <w:r w:rsidRPr="000F540A">
        <w:rPr>
          <w:color w:val="FFFFFF" w:themeColor="background1"/>
          <w:sz w:val="22"/>
          <w:szCs w:val="22"/>
        </w:rPr>
        <w:t>...</w:t>
      </w:r>
      <w:r w:rsidR="004D1F43" w:rsidRPr="000F540A">
        <w:rPr>
          <w:sz w:val="22"/>
          <w:szCs w:val="22"/>
        </w:rPr>
        <w:t>Ecuria e ankandeve dhe kërkesa për titujt shtetërorë</w:t>
      </w:r>
    </w:p>
    <w:p w:rsidR="004D1F43" w:rsidRPr="000F540A" w:rsidRDefault="004D1F43" w:rsidP="000F540A">
      <w:pPr>
        <w:ind w:right="-547"/>
        <w:jc w:val="both"/>
        <w:rPr>
          <w:rFonts w:asciiTheme="majorHAnsi" w:hAnsiTheme="majorHAnsi"/>
          <w:sz w:val="22"/>
          <w:szCs w:val="22"/>
          <w:lang w:val="sq-AL"/>
        </w:rPr>
      </w:pPr>
    </w:p>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 xml:space="preserve">Gjatë vitit 2015 janë organizuar në total 96 ankande për titujt qeveritarë, përkatësisht 53 ankande për bono thesari dhe 43 ankande për obligacione </w:t>
      </w:r>
      <w:r w:rsidRPr="000F540A">
        <w:rPr>
          <w:rFonts w:asciiTheme="majorHAnsi" w:hAnsiTheme="majorHAnsi"/>
          <w:i/>
          <w:sz w:val="22"/>
          <w:szCs w:val="22"/>
        </w:rPr>
        <w:t xml:space="preserve">(nga të cilat 5 janë rihapje). </w:t>
      </w:r>
      <w:proofErr w:type="gramStart"/>
      <w:r w:rsidRPr="000F540A">
        <w:rPr>
          <w:rFonts w:asciiTheme="majorHAnsi" w:hAnsiTheme="majorHAnsi"/>
          <w:sz w:val="22"/>
          <w:szCs w:val="22"/>
        </w:rPr>
        <w:lastRenderedPageBreak/>
        <w:t>Oferta e qeverisë nëpërmjet titujve qeveritare ka qënë 446.0 miliard l</w:t>
      </w:r>
      <w:r w:rsidR="00E76649" w:rsidRPr="000F540A">
        <w:rPr>
          <w:rFonts w:asciiTheme="majorHAnsi" w:hAnsiTheme="majorHAnsi"/>
          <w:sz w:val="22"/>
          <w:szCs w:val="22"/>
        </w:rPr>
        <w:t>L</w:t>
      </w:r>
      <w:r w:rsidRPr="000F540A">
        <w:rPr>
          <w:rFonts w:asciiTheme="majorHAnsi" w:hAnsiTheme="majorHAnsi"/>
          <w:sz w:val="22"/>
          <w:szCs w:val="22"/>
        </w:rPr>
        <w:t xml:space="preserve">ek, ndërkohë që kërkesa e investitorëve për titujt ka qënë relativisht më e lartë, rreth 498.5 miliard </w:t>
      </w:r>
      <w:r w:rsidR="00E76649" w:rsidRPr="000F540A">
        <w:rPr>
          <w:rFonts w:asciiTheme="majorHAnsi" w:hAnsiTheme="majorHAnsi"/>
          <w:sz w:val="22"/>
          <w:szCs w:val="22"/>
        </w:rPr>
        <w:t>L</w:t>
      </w:r>
      <w:r w:rsidRPr="000F540A">
        <w:rPr>
          <w:rFonts w:asciiTheme="majorHAnsi" w:hAnsiTheme="majorHAnsi"/>
          <w:sz w:val="22"/>
          <w:szCs w:val="22"/>
        </w:rPr>
        <w:t>ek.</w:t>
      </w:r>
      <w:proofErr w:type="gramEnd"/>
      <w:r w:rsidRPr="000F540A">
        <w:rPr>
          <w:rFonts w:asciiTheme="majorHAnsi" w:hAnsiTheme="majorHAnsi"/>
          <w:sz w:val="22"/>
          <w:szCs w:val="22"/>
        </w:rPr>
        <w:t xml:space="preserve"> Raporti i mbulimit </w:t>
      </w:r>
      <w:r w:rsidRPr="000F540A">
        <w:rPr>
          <w:rFonts w:asciiTheme="majorHAnsi" w:hAnsiTheme="majorHAnsi"/>
          <w:i/>
          <w:sz w:val="22"/>
          <w:szCs w:val="22"/>
        </w:rPr>
        <w:t>(Bid/Cover)</w:t>
      </w:r>
      <w:r w:rsidRPr="000F540A">
        <w:rPr>
          <w:rFonts w:asciiTheme="majorHAnsi" w:hAnsiTheme="majorHAnsi"/>
          <w:sz w:val="22"/>
          <w:szCs w:val="22"/>
        </w:rPr>
        <w:t xml:space="preserve"> që vlerëson kërkesën për titujt shtetërorë ka qënë 1.12, ndërkohë që në vitin 2014 </w:t>
      </w:r>
      <w:proofErr w:type="gramStart"/>
      <w:r w:rsidRPr="000F540A">
        <w:rPr>
          <w:rFonts w:asciiTheme="majorHAnsi" w:hAnsiTheme="majorHAnsi"/>
          <w:sz w:val="22"/>
          <w:szCs w:val="22"/>
        </w:rPr>
        <w:t>ky</w:t>
      </w:r>
      <w:proofErr w:type="gramEnd"/>
      <w:r w:rsidRPr="000F540A">
        <w:rPr>
          <w:rFonts w:asciiTheme="majorHAnsi" w:hAnsiTheme="majorHAnsi"/>
          <w:sz w:val="22"/>
          <w:szCs w:val="22"/>
        </w:rPr>
        <w:t xml:space="preserve"> raport ka qenë 1</w:t>
      </w:r>
      <w:r w:rsidR="00B14D08" w:rsidRPr="000F540A">
        <w:rPr>
          <w:rFonts w:asciiTheme="majorHAnsi" w:hAnsiTheme="majorHAnsi"/>
          <w:sz w:val="22"/>
          <w:szCs w:val="22"/>
        </w:rPr>
        <w:t>.</w:t>
      </w:r>
      <w:r w:rsidRPr="000F540A">
        <w:rPr>
          <w:rFonts w:asciiTheme="majorHAnsi" w:hAnsiTheme="majorHAnsi"/>
          <w:sz w:val="22"/>
          <w:szCs w:val="22"/>
        </w:rPr>
        <w:t>06</w:t>
      </w:r>
      <w:r w:rsidR="00B14D08" w:rsidRPr="000F540A">
        <w:rPr>
          <w:rFonts w:asciiTheme="majorHAnsi" w:hAnsiTheme="majorHAnsi"/>
          <w:sz w:val="22"/>
          <w:szCs w:val="22"/>
        </w:rPr>
        <w:t xml:space="preserve"> </w:t>
      </w:r>
      <w:r w:rsidRPr="000F540A">
        <w:rPr>
          <w:rFonts w:asciiTheme="majorHAnsi" w:hAnsiTheme="majorHAnsi"/>
          <w:i/>
          <w:sz w:val="22"/>
          <w:szCs w:val="22"/>
        </w:rPr>
        <w:t xml:space="preserve">(Tabela </w:t>
      </w:r>
      <w:r w:rsidR="00B14D08" w:rsidRPr="000F540A">
        <w:rPr>
          <w:rFonts w:asciiTheme="majorHAnsi" w:hAnsiTheme="majorHAnsi"/>
          <w:i/>
          <w:sz w:val="22"/>
          <w:szCs w:val="22"/>
        </w:rPr>
        <w:t>5</w:t>
      </w:r>
      <w:r w:rsidRPr="000F540A">
        <w:rPr>
          <w:rFonts w:asciiTheme="majorHAnsi" w:hAnsiTheme="majorHAnsi"/>
          <w:i/>
          <w:sz w:val="22"/>
          <w:szCs w:val="22"/>
        </w:rPr>
        <w:t>)</w:t>
      </w:r>
      <w:r w:rsidR="00E76649" w:rsidRPr="000F540A">
        <w:rPr>
          <w:rFonts w:asciiTheme="majorHAnsi" w:hAnsiTheme="majorHAnsi"/>
          <w:i/>
          <w:sz w:val="22"/>
          <w:szCs w:val="22"/>
        </w:rPr>
        <w:t>.</w:t>
      </w:r>
    </w:p>
    <w:p w:rsidR="004D1F43" w:rsidRPr="000F540A" w:rsidRDefault="004D1F43" w:rsidP="000F540A">
      <w:pPr>
        <w:jc w:val="both"/>
        <w:rPr>
          <w:rFonts w:asciiTheme="majorHAnsi" w:hAnsiTheme="majorHAnsi"/>
          <w:sz w:val="22"/>
          <w:szCs w:val="22"/>
        </w:rPr>
      </w:pPr>
      <w:proofErr w:type="gramStart"/>
      <w:r w:rsidRPr="000F540A">
        <w:rPr>
          <w:rFonts w:asciiTheme="majorHAnsi" w:hAnsiTheme="majorHAnsi"/>
          <w:sz w:val="22"/>
          <w:szCs w:val="22"/>
        </w:rPr>
        <w:t>Rritja e këtij treguesi gjatë vitit 2015 ka ardhur kryesisht si rezultat i uljes së ofertës në një shkallë më të lartë se kërkesa e tregut.</w:t>
      </w:r>
      <w:proofErr w:type="gramEnd"/>
    </w:p>
    <w:p w:rsidR="004D1F43" w:rsidRPr="000F540A" w:rsidRDefault="004D1F43" w:rsidP="000F540A">
      <w:pPr>
        <w:jc w:val="both"/>
        <w:rPr>
          <w:rFonts w:asciiTheme="majorHAnsi" w:hAnsiTheme="majorHAnsi"/>
          <w:sz w:val="22"/>
          <w:szCs w:val="22"/>
        </w:rPr>
      </w:pPr>
      <w:proofErr w:type="gramStart"/>
      <w:r w:rsidRPr="000F540A">
        <w:rPr>
          <w:rFonts w:asciiTheme="majorHAnsi" w:hAnsiTheme="majorHAnsi"/>
          <w:sz w:val="22"/>
          <w:szCs w:val="22"/>
        </w:rPr>
        <w:t>Përveç muajit janar, gusht dhe tetor ku Bid/Cover ka qenë përkatësisht 0.92, 0.91 dhe 0.97, në muajt e tjerë kërkesa e tregut ka qenë më e lartë se oferta e Ministrisë, duke reflektuar një normë mbulimi më të lartë se 1.</w:t>
      </w:r>
      <w:proofErr w:type="gramEnd"/>
      <w:r w:rsidRPr="000F540A">
        <w:rPr>
          <w:rFonts w:asciiTheme="majorHAnsi" w:hAnsiTheme="majorHAnsi"/>
          <w:sz w:val="22"/>
          <w:szCs w:val="22"/>
        </w:rPr>
        <w:t xml:space="preserve"> </w:t>
      </w:r>
    </w:p>
    <w:p w:rsidR="00DF6977" w:rsidRPr="000F540A" w:rsidRDefault="00DF6977" w:rsidP="000F540A">
      <w:pPr>
        <w:jc w:val="both"/>
        <w:rPr>
          <w:rFonts w:asciiTheme="majorHAnsi" w:hAnsiTheme="majorHAnsi"/>
          <w:sz w:val="22"/>
          <w:szCs w:val="22"/>
        </w:rPr>
      </w:pPr>
    </w:p>
    <w:p w:rsidR="004D1F43" w:rsidRPr="000F540A" w:rsidRDefault="004D1F43" w:rsidP="000F540A">
      <w:pPr>
        <w:pStyle w:val="ListParagraph"/>
        <w:ind w:left="0"/>
        <w:jc w:val="both"/>
        <w:rPr>
          <w:rFonts w:asciiTheme="majorHAnsi" w:hAnsiTheme="majorHAnsi"/>
          <w:i/>
          <w:color w:val="632423" w:themeColor="accent2" w:themeShade="80"/>
          <w:sz w:val="22"/>
          <w:szCs w:val="22"/>
          <w:lang w:val="sq-AL"/>
        </w:rPr>
      </w:pPr>
      <w:r w:rsidRPr="000F540A">
        <w:rPr>
          <w:rFonts w:asciiTheme="majorHAnsi" w:hAnsiTheme="majorHAnsi"/>
          <w:b/>
          <w:color w:val="632423" w:themeColor="accent2" w:themeShade="80"/>
          <w:sz w:val="22"/>
          <w:szCs w:val="22"/>
          <w:lang w:val="sq-AL"/>
        </w:rPr>
        <w:t xml:space="preserve"> Tabela 5:</w:t>
      </w:r>
      <w:r w:rsidRPr="000F540A">
        <w:rPr>
          <w:rFonts w:asciiTheme="majorHAnsi" w:hAnsiTheme="majorHAnsi"/>
          <w:color w:val="632423" w:themeColor="accent2" w:themeShade="80"/>
          <w:sz w:val="22"/>
          <w:szCs w:val="22"/>
          <w:lang w:val="sq-AL"/>
        </w:rPr>
        <w:t xml:space="preserve"> </w:t>
      </w:r>
      <w:r w:rsidRPr="000F540A">
        <w:rPr>
          <w:rFonts w:asciiTheme="majorHAnsi" w:hAnsiTheme="majorHAnsi"/>
          <w:i/>
          <w:color w:val="632423" w:themeColor="accent2" w:themeShade="80"/>
          <w:sz w:val="22"/>
          <w:szCs w:val="22"/>
          <w:lang w:val="sq-AL"/>
        </w:rPr>
        <w:t>Treguesit e ecurisë së kërkesës për titujt shtetërorë</w:t>
      </w:r>
    </w:p>
    <w:tbl>
      <w:tblPr>
        <w:tblW w:w="0" w:type="auto"/>
        <w:jc w:val="right"/>
        <w:tblLayout w:type="fixed"/>
        <w:tblLook w:val="04A0" w:firstRow="1" w:lastRow="0" w:firstColumn="1" w:lastColumn="0" w:noHBand="0" w:noVBand="1"/>
      </w:tblPr>
      <w:tblGrid>
        <w:gridCol w:w="1134"/>
        <w:gridCol w:w="2552"/>
        <w:gridCol w:w="1701"/>
        <w:gridCol w:w="1417"/>
        <w:gridCol w:w="1701"/>
      </w:tblGrid>
      <w:tr w:rsidR="004D1F43" w:rsidRPr="000F540A" w:rsidTr="001B35D0">
        <w:trPr>
          <w:trHeight w:val="540"/>
          <w:jc w:val="right"/>
        </w:trPr>
        <w:tc>
          <w:tcPr>
            <w:tcW w:w="1134" w:type="dxa"/>
            <w:tcBorders>
              <w:top w:val="nil"/>
              <w:left w:val="nil"/>
              <w:bottom w:val="single" w:sz="8" w:space="0" w:color="FFFFFF"/>
              <w:right w:val="single" w:sz="8" w:space="0" w:color="FFFFFF"/>
            </w:tcBorders>
            <w:shd w:val="clear" w:color="000000" w:fill="953735"/>
            <w:noWrap/>
            <w:vAlign w:val="center"/>
            <w:hideMark/>
          </w:tcPr>
          <w:p w:rsidR="004D1F43" w:rsidRPr="000F540A" w:rsidRDefault="004D1F43"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Periudha</w:t>
            </w:r>
          </w:p>
        </w:tc>
        <w:tc>
          <w:tcPr>
            <w:tcW w:w="2552" w:type="dxa"/>
            <w:tcBorders>
              <w:top w:val="nil"/>
              <w:left w:val="nil"/>
              <w:bottom w:val="single" w:sz="8" w:space="0" w:color="FFFFFF"/>
              <w:right w:val="single" w:sz="8" w:space="0" w:color="FFFFFF"/>
            </w:tcBorders>
            <w:shd w:val="clear" w:color="000000" w:fill="953735"/>
            <w:noWrap/>
            <w:vAlign w:val="center"/>
            <w:hideMark/>
          </w:tcPr>
          <w:p w:rsidR="004D1F43" w:rsidRPr="000F540A" w:rsidRDefault="004D1F43"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Treguesi</w:t>
            </w:r>
          </w:p>
        </w:tc>
        <w:tc>
          <w:tcPr>
            <w:tcW w:w="1701" w:type="dxa"/>
            <w:tcBorders>
              <w:top w:val="nil"/>
              <w:left w:val="nil"/>
              <w:bottom w:val="single" w:sz="8" w:space="0" w:color="FFFFFF"/>
              <w:right w:val="single" w:sz="8" w:space="0" w:color="FFFFFF"/>
            </w:tcBorders>
            <w:shd w:val="clear" w:color="000000" w:fill="953735"/>
            <w:noWrap/>
            <w:vAlign w:val="center"/>
            <w:hideMark/>
          </w:tcPr>
          <w:p w:rsidR="004D1F43" w:rsidRPr="000F540A" w:rsidRDefault="004D1F43"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Bono Thesari</w:t>
            </w:r>
          </w:p>
        </w:tc>
        <w:tc>
          <w:tcPr>
            <w:tcW w:w="1417" w:type="dxa"/>
            <w:tcBorders>
              <w:top w:val="nil"/>
              <w:left w:val="nil"/>
              <w:bottom w:val="single" w:sz="8" w:space="0" w:color="FFFFFF"/>
              <w:right w:val="single" w:sz="8" w:space="0" w:color="FFFFFF"/>
            </w:tcBorders>
            <w:shd w:val="clear" w:color="000000" w:fill="953735"/>
            <w:noWrap/>
            <w:vAlign w:val="center"/>
            <w:hideMark/>
          </w:tcPr>
          <w:p w:rsidR="004D1F43" w:rsidRPr="000F540A" w:rsidRDefault="004D1F43"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Obligacione</w:t>
            </w:r>
          </w:p>
        </w:tc>
        <w:tc>
          <w:tcPr>
            <w:tcW w:w="1701" w:type="dxa"/>
            <w:tcBorders>
              <w:top w:val="nil"/>
              <w:left w:val="nil"/>
              <w:bottom w:val="single" w:sz="8" w:space="0" w:color="FFFFFF"/>
              <w:right w:val="nil"/>
            </w:tcBorders>
            <w:shd w:val="clear" w:color="000000" w:fill="953735"/>
            <w:noWrap/>
            <w:vAlign w:val="center"/>
            <w:hideMark/>
          </w:tcPr>
          <w:p w:rsidR="004D1F43" w:rsidRPr="000F540A" w:rsidRDefault="004D1F43" w:rsidP="000F540A">
            <w:pPr>
              <w:jc w:val="both"/>
              <w:rPr>
                <w:rFonts w:asciiTheme="majorHAnsi" w:hAnsiTheme="majorHAnsi"/>
                <w:b/>
                <w:bCs/>
                <w:color w:val="FFFFFF"/>
                <w:sz w:val="22"/>
                <w:szCs w:val="22"/>
              </w:rPr>
            </w:pPr>
            <w:r w:rsidRPr="000F540A">
              <w:rPr>
                <w:rFonts w:asciiTheme="majorHAnsi" w:hAnsiTheme="majorHAnsi"/>
                <w:b/>
                <w:bCs/>
                <w:color w:val="FFFFFF"/>
                <w:sz w:val="22"/>
                <w:szCs w:val="22"/>
              </w:rPr>
              <w:t>Tituj Shtetërorë Gjithsej</w:t>
            </w:r>
          </w:p>
        </w:tc>
      </w:tr>
      <w:tr w:rsidR="004D1F43" w:rsidRPr="000F540A" w:rsidTr="001B35D0">
        <w:trPr>
          <w:trHeight w:val="270"/>
          <w:jc w:val="right"/>
        </w:trPr>
        <w:tc>
          <w:tcPr>
            <w:tcW w:w="1134" w:type="dxa"/>
            <w:vMerge w:val="restart"/>
            <w:tcBorders>
              <w:top w:val="nil"/>
              <w:left w:val="nil"/>
              <w:bottom w:val="double" w:sz="6" w:space="0" w:color="000000"/>
              <w:right w:val="nil"/>
            </w:tcBorders>
            <w:shd w:val="clear" w:color="auto" w:fill="auto"/>
            <w:noWrap/>
            <w:vAlign w:val="center"/>
            <w:hideMark/>
          </w:tcPr>
          <w:p w:rsidR="004D1F43" w:rsidRPr="000F540A" w:rsidRDefault="004D1F43" w:rsidP="000F540A">
            <w:pPr>
              <w:jc w:val="both"/>
              <w:rPr>
                <w:rFonts w:asciiTheme="majorHAnsi" w:hAnsiTheme="majorHAnsi"/>
                <w:b/>
                <w:sz w:val="22"/>
                <w:szCs w:val="22"/>
              </w:rPr>
            </w:pPr>
            <w:r w:rsidRPr="000F540A">
              <w:rPr>
                <w:rFonts w:asciiTheme="majorHAnsi" w:hAnsiTheme="majorHAnsi"/>
                <w:b/>
                <w:sz w:val="22"/>
                <w:szCs w:val="22"/>
              </w:rPr>
              <w:t>2015</w:t>
            </w:r>
          </w:p>
        </w:tc>
        <w:tc>
          <w:tcPr>
            <w:tcW w:w="2552" w:type="dxa"/>
            <w:tcBorders>
              <w:top w:val="nil"/>
              <w:left w:val="nil"/>
              <w:bottom w:val="nil"/>
              <w:right w:val="nil"/>
            </w:tcBorders>
            <w:shd w:val="clear" w:color="000000" w:fill="FFFFFF"/>
            <w:noWrap/>
            <w:vAlign w:val="center"/>
            <w:hideMark/>
          </w:tcPr>
          <w:p w:rsidR="004D1F43" w:rsidRPr="000F540A" w:rsidRDefault="004D1F43" w:rsidP="000F540A">
            <w:pPr>
              <w:jc w:val="both"/>
              <w:rPr>
                <w:rFonts w:asciiTheme="majorHAnsi" w:hAnsiTheme="majorHAnsi"/>
                <w:b/>
                <w:iCs/>
                <w:sz w:val="22"/>
                <w:szCs w:val="22"/>
              </w:rPr>
            </w:pPr>
            <w:r w:rsidRPr="000F540A">
              <w:rPr>
                <w:rFonts w:asciiTheme="majorHAnsi" w:hAnsiTheme="majorHAnsi"/>
                <w:b/>
                <w:iCs/>
                <w:sz w:val="22"/>
                <w:szCs w:val="22"/>
              </w:rPr>
              <w:t>Nr ankandesh</w:t>
            </w:r>
          </w:p>
        </w:tc>
        <w:tc>
          <w:tcPr>
            <w:tcW w:w="1701" w:type="dxa"/>
            <w:tcBorders>
              <w:top w:val="nil"/>
              <w:left w:val="nil"/>
              <w:bottom w:val="nil"/>
              <w:right w:val="nil"/>
            </w:tcBorders>
            <w:shd w:val="clear" w:color="auto" w:fill="auto"/>
            <w:noWrap/>
            <w:vAlign w:val="center"/>
            <w:hideMark/>
          </w:tcPr>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53</w:t>
            </w:r>
          </w:p>
        </w:tc>
        <w:tc>
          <w:tcPr>
            <w:tcW w:w="1417" w:type="dxa"/>
            <w:tcBorders>
              <w:top w:val="nil"/>
              <w:left w:val="nil"/>
              <w:bottom w:val="nil"/>
              <w:right w:val="nil"/>
            </w:tcBorders>
            <w:shd w:val="clear" w:color="auto" w:fill="auto"/>
            <w:noWrap/>
            <w:vAlign w:val="center"/>
            <w:hideMark/>
          </w:tcPr>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43</w:t>
            </w:r>
          </w:p>
        </w:tc>
        <w:tc>
          <w:tcPr>
            <w:tcW w:w="1701" w:type="dxa"/>
            <w:tcBorders>
              <w:top w:val="nil"/>
              <w:left w:val="nil"/>
              <w:bottom w:val="nil"/>
              <w:right w:val="nil"/>
            </w:tcBorders>
            <w:shd w:val="clear" w:color="auto" w:fill="auto"/>
            <w:noWrap/>
            <w:vAlign w:val="center"/>
            <w:hideMark/>
          </w:tcPr>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96</w:t>
            </w:r>
          </w:p>
        </w:tc>
      </w:tr>
      <w:tr w:rsidR="004D1F43" w:rsidRPr="000F540A" w:rsidTr="001B35D0">
        <w:trPr>
          <w:trHeight w:val="255"/>
          <w:jc w:val="right"/>
        </w:trPr>
        <w:tc>
          <w:tcPr>
            <w:tcW w:w="1134" w:type="dxa"/>
            <w:vMerge/>
            <w:tcBorders>
              <w:top w:val="nil"/>
              <w:left w:val="nil"/>
              <w:bottom w:val="double" w:sz="6" w:space="0" w:color="000000"/>
              <w:right w:val="nil"/>
            </w:tcBorders>
            <w:vAlign w:val="center"/>
            <w:hideMark/>
          </w:tcPr>
          <w:p w:rsidR="004D1F43" w:rsidRPr="000F540A" w:rsidRDefault="004D1F43" w:rsidP="000F540A">
            <w:pPr>
              <w:jc w:val="both"/>
              <w:rPr>
                <w:rFonts w:asciiTheme="majorHAnsi" w:hAnsiTheme="majorHAnsi"/>
                <w:sz w:val="22"/>
                <w:szCs w:val="22"/>
              </w:rPr>
            </w:pPr>
          </w:p>
        </w:tc>
        <w:tc>
          <w:tcPr>
            <w:tcW w:w="2552" w:type="dxa"/>
            <w:tcBorders>
              <w:top w:val="nil"/>
              <w:left w:val="nil"/>
              <w:bottom w:val="nil"/>
              <w:right w:val="nil"/>
            </w:tcBorders>
            <w:shd w:val="clear" w:color="000000" w:fill="FFFFFF"/>
            <w:noWrap/>
            <w:vAlign w:val="center"/>
            <w:hideMark/>
          </w:tcPr>
          <w:p w:rsidR="004D1F43" w:rsidRPr="000F540A" w:rsidRDefault="004D1F43" w:rsidP="000F540A">
            <w:pPr>
              <w:jc w:val="both"/>
              <w:rPr>
                <w:rFonts w:asciiTheme="majorHAnsi" w:hAnsiTheme="majorHAnsi"/>
                <w:b/>
                <w:iCs/>
                <w:sz w:val="22"/>
                <w:szCs w:val="22"/>
              </w:rPr>
            </w:pPr>
            <w:r w:rsidRPr="000F540A">
              <w:rPr>
                <w:rFonts w:asciiTheme="majorHAnsi" w:hAnsiTheme="majorHAnsi"/>
                <w:b/>
                <w:iCs/>
                <w:sz w:val="22"/>
                <w:szCs w:val="22"/>
              </w:rPr>
              <w:t xml:space="preserve">Shuma e kërkuar                                          </w:t>
            </w:r>
            <w:r w:rsidRPr="000F540A">
              <w:rPr>
                <w:rFonts w:asciiTheme="majorHAnsi" w:hAnsiTheme="majorHAnsi"/>
                <w:i/>
                <w:iCs/>
                <w:sz w:val="22"/>
                <w:szCs w:val="22"/>
              </w:rPr>
              <w:t>(në mln</w:t>
            </w:r>
            <w:r w:rsidR="00E76649" w:rsidRPr="000F540A">
              <w:rPr>
                <w:rFonts w:asciiTheme="majorHAnsi" w:hAnsiTheme="majorHAnsi"/>
                <w:i/>
                <w:iCs/>
                <w:sz w:val="22"/>
                <w:szCs w:val="22"/>
              </w:rPr>
              <w:t xml:space="preserve"> Lek</w:t>
            </w:r>
            <w:r w:rsidRPr="000F540A">
              <w:rPr>
                <w:rFonts w:asciiTheme="majorHAnsi" w:hAnsiTheme="majorHAnsi"/>
                <w:i/>
                <w:iCs/>
                <w:sz w:val="22"/>
                <w:szCs w:val="22"/>
              </w:rPr>
              <w:t>)</w:t>
            </w:r>
          </w:p>
        </w:tc>
        <w:tc>
          <w:tcPr>
            <w:tcW w:w="1701" w:type="dxa"/>
            <w:tcBorders>
              <w:top w:val="nil"/>
              <w:left w:val="nil"/>
              <w:bottom w:val="nil"/>
              <w:right w:val="nil"/>
            </w:tcBorders>
            <w:shd w:val="clear" w:color="auto" w:fill="auto"/>
            <w:noWrap/>
            <w:vAlign w:val="center"/>
            <w:hideMark/>
          </w:tcPr>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380,224</w:t>
            </w:r>
          </w:p>
        </w:tc>
        <w:tc>
          <w:tcPr>
            <w:tcW w:w="1417" w:type="dxa"/>
            <w:tcBorders>
              <w:top w:val="nil"/>
              <w:left w:val="nil"/>
              <w:bottom w:val="nil"/>
              <w:right w:val="nil"/>
            </w:tcBorders>
            <w:shd w:val="clear" w:color="auto" w:fill="auto"/>
            <w:noWrap/>
            <w:vAlign w:val="center"/>
            <w:hideMark/>
          </w:tcPr>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118,364</w:t>
            </w:r>
          </w:p>
        </w:tc>
        <w:tc>
          <w:tcPr>
            <w:tcW w:w="1701" w:type="dxa"/>
            <w:tcBorders>
              <w:top w:val="nil"/>
              <w:left w:val="nil"/>
              <w:bottom w:val="nil"/>
              <w:right w:val="nil"/>
            </w:tcBorders>
            <w:shd w:val="clear" w:color="auto" w:fill="auto"/>
            <w:noWrap/>
            <w:vAlign w:val="center"/>
            <w:hideMark/>
          </w:tcPr>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498,588</w:t>
            </w:r>
          </w:p>
        </w:tc>
      </w:tr>
      <w:tr w:rsidR="004D1F43" w:rsidRPr="000F540A" w:rsidTr="001B35D0">
        <w:trPr>
          <w:trHeight w:val="225"/>
          <w:jc w:val="right"/>
        </w:trPr>
        <w:tc>
          <w:tcPr>
            <w:tcW w:w="1134" w:type="dxa"/>
            <w:vMerge/>
            <w:tcBorders>
              <w:top w:val="nil"/>
              <w:left w:val="nil"/>
              <w:bottom w:val="double" w:sz="6" w:space="0" w:color="000000"/>
              <w:right w:val="nil"/>
            </w:tcBorders>
            <w:vAlign w:val="center"/>
            <w:hideMark/>
          </w:tcPr>
          <w:p w:rsidR="004D1F43" w:rsidRPr="000F540A" w:rsidRDefault="004D1F43" w:rsidP="000F540A">
            <w:pPr>
              <w:jc w:val="both"/>
              <w:rPr>
                <w:rFonts w:asciiTheme="majorHAnsi" w:hAnsiTheme="majorHAnsi"/>
                <w:sz w:val="22"/>
                <w:szCs w:val="22"/>
              </w:rPr>
            </w:pPr>
          </w:p>
        </w:tc>
        <w:tc>
          <w:tcPr>
            <w:tcW w:w="2552" w:type="dxa"/>
            <w:tcBorders>
              <w:top w:val="nil"/>
              <w:left w:val="nil"/>
              <w:bottom w:val="nil"/>
              <w:right w:val="nil"/>
            </w:tcBorders>
            <w:shd w:val="clear" w:color="000000" w:fill="FFFFFF"/>
            <w:noWrap/>
            <w:vAlign w:val="center"/>
            <w:hideMark/>
          </w:tcPr>
          <w:p w:rsidR="004D1F43" w:rsidRPr="000F540A" w:rsidRDefault="004D1F43" w:rsidP="000F540A">
            <w:pPr>
              <w:jc w:val="both"/>
              <w:rPr>
                <w:rFonts w:asciiTheme="majorHAnsi" w:hAnsiTheme="majorHAnsi"/>
                <w:b/>
                <w:iCs/>
                <w:sz w:val="22"/>
                <w:szCs w:val="22"/>
              </w:rPr>
            </w:pPr>
            <w:r w:rsidRPr="000F540A">
              <w:rPr>
                <w:rFonts w:asciiTheme="majorHAnsi" w:hAnsiTheme="majorHAnsi"/>
                <w:b/>
                <w:iCs/>
                <w:sz w:val="22"/>
                <w:szCs w:val="22"/>
              </w:rPr>
              <w:t xml:space="preserve">Shuma e ofruar                                                </w:t>
            </w:r>
            <w:r w:rsidRPr="000F540A">
              <w:rPr>
                <w:rFonts w:asciiTheme="majorHAnsi" w:hAnsiTheme="majorHAnsi"/>
                <w:i/>
                <w:iCs/>
                <w:sz w:val="22"/>
                <w:szCs w:val="22"/>
              </w:rPr>
              <w:t>(në mln</w:t>
            </w:r>
            <w:r w:rsidR="00E76649" w:rsidRPr="000F540A">
              <w:rPr>
                <w:rFonts w:asciiTheme="majorHAnsi" w:hAnsiTheme="majorHAnsi"/>
                <w:i/>
                <w:iCs/>
                <w:sz w:val="22"/>
                <w:szCs w:val="22"/>
              </w:rPr>
              <w:t xml:space="preserve"> Lek</w:t>
            </w:r>
            <w:r w:rsidRPr="000F540A">
              <w:rPr>
                <w:rFonts w:asciiTheme="majorHAnsi" w:hAnsiTheme="majorHAnsi"/>
                <w:i/>
                <w:iCs/>
                <w:sz w:val="22"/>
                <w:szCs w:val="22"/>
              </w:rPr>
              <w:t>)</w:t>
            </w:r>
          </w:p>
        </w:tc>
        <w:tc>
          <w:tcPr>
            <w:tcW w:w="1701" w:type="dxa"/>
            <w:tcBorders>
              <w:top w:val="nil"/>
              <w:left w:val="nil"/>
              <w:bottom w:val="nil"/>
              <w:right w:val="nil"/>
            </w:tcBorders>
            <w:shd w:val="clear" w:color="auto" w:fill="auto"/>
            <w:noWrap/>
            <w:vAlign w:val="center"/>
            <w:hideMark/>
          </w:tcPr>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340,682</w:t>
            </w:r>
          </w:p>
        </w:tc>
        <w:tc>
          <w:tcPr>
            <w:tcW w:w="1417" w:type="dxa"/>
            <w:tcBorders>
              <w:top w:val="nil"/>
              <w:left w:val="nil"/>
              <w:bottom w:val="nil"/>
              <w:right w:val="nil"/>
            </w:tcBorders>
            <w:shd w:val="clear" w:color="auto" w:fill="auto"/>
            <w:noWrap/>
            <w:vAlign w:val="center"/>
            <w:hideMark/>
          </w:tcPr>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105,378</w:t>
            </w:r>
          </w:p>
        </w:tc>
        <w:tc>
          <w:tcPr>
            <w:tcW w:w="1701" w:type="dxa"/>
            <w:tcBorders>
              <w:top w:val="nil"/>
              <w:left w:val="nil"/>
              <w:bottom w:val="nil"/>
              <w:right w:val="nil"/>
            </w:tcBorders>
            <w:shd w:val="clear" w:color="auto" w:fill="auto"/>
            <w:noWrap/>
            <w:vAlign w:val="center"/>
            <w:hideMark/>
          </w:tcPr>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446,060</w:t>
            </w:r>
          </w:p>
        </w:tc>
      </w:tr>
      <w:tr w:rsidR="004D1F43" w:rsidRPr="000F540A" w:rsidTr="001B35D0">
        <w:trPr>
          <w:trHeight w:val="360"/>
          <w:jc w:val="right"/>
        </w:trPr>
        <w:tc>
          <w:tcPr>
            <w:tcW w:w="1134" w:type="dxa"/>
            <w:vMerge/>
            <w:tcBorders>
              <w:top w:val="nil"/>
              <w:left w:val="nil"/>
              <w:bottom w:val="double" w:sz="6" w:space="0" w:color="000000"/>
              <w:right w:val="nil"/>
            </w:tcBorders>
            <w:vAlign w:val="center"/>
            <w:hideMark/>
          </w:tcPr>
          <w:p w:rsidR="004D1F43" w:rsidRPr="000F540A" w:rsidRDefault="004D1F43" w:rsidP="000F540A">
            <w:pPr>
              <w:jc w:val="both"/>
              <w:rPr>
                <w:rFonts w:asciiTheme="majorHAnsi" w:hAnsiTheme="majorHAnsi"/>
                <w:sz w:val="22"/>
                <w:szCs w:val="22"/>
              </w:rPr>
            </w:pPr>
          </w:p>
        </w:tc>
        <w:tc>
          <w:tcPr>
            <w:tcW w:w="2552" w:type="dxa"/>
            <w:tcBorders>
              <w:top w:val="nil"/>
              <w:left w:val="nil"/>
              <w:bottom w:val="double" w:sz="6" w:space="0" w:color="auto"/>
              <w:right w:val="nil"/>
            </w:tcBorders>
            <w:shd w:val="clear" w:color="000000" w:fill="FFFFFF"/>
            <w:noWrap/>
            <w:vAlign w:val="center"/>
            <w:hideMark/>
          </w:tcPr>
          <w:p w:rsidR="004D1F43" w:rsidRPr="000F540A" w:rsidRDefault="004D1F43" w:rsidP="000F540A">
            <w:pPr>
              <w:jc w:val="both"/>
              <w:rPr>
                <w:rFonts w:asciiTheme="majorHAnsi" w:hAnsiTheme="majorHAnsi"/>
                <w:b/>
                <w:iCs/>
                <w:sz w:val="22"/>
                <w:szCs w:val="22"/>
              </w:rPr>
            </w:pPr>
            <w:r w:rsidRPr="000F540A">
              <w:rPr>
                <w:rFonts w:asciiTheme="majorHAnsi" w:hAnsiTheme="majorHAnsi"/>
                <w:b/>
                <w:iCs/>
                <w:sz w:val="22"/>
                <w:szCs w:val="22"/>
              </w:rPr>
              <w:t>Raporti i mbulimit</w:t>
            </w:r>
          </w:p>
        </w:tc>
        <w:tc>
          <w:tcPr>
            <w:tcW w:w="1701" w:type="dxa"/>
            <w:tcBorders>
              <w:top w:val="nil"/>
              <w:left w:val="nil"/>
              <w:bottom w:val="double" w:sz="6" w:space="0" w:color="auto"/>
              <w:right w:val="nil"/>
            </w:tcBorders>
            <w:shd w:val="clear" w:color="auto" w:fill="auto"/>
            <w:noWrap/>
            <w:vAlign w:val="center"/>
            <w:hideMark/>
          </w:tcPr>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1.12</w:t>
            </w:r>
          </w:p>
        </w:tc>
        <w:tc>
          <w:tcPr>
            <w:tcW w:w="1417" w:type="dxa"/>
            <w:tcBorders>
              <w:top w:val="nil"/>
              <w:left w:val="nil"/>
              <w:bottom w:val="double" w:sz="6" w:space="0" w:color="auto"/>
              <w:right w:val="nil"/>
            </w:tcBorders>
            <w:shd w:val="clear" w:color="auto" w:fill="auto"/>
            <w:noWrap/>
            <w:vAlign w:val="center"/>
            <w:hideMark/>
          </w:tcPr>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1.12</w:t>
            </w:r>
          </w:p>
        </w:tc>
        <w:tc>
          <w:tcPr>
            <w:tcW w:w="1701" w:type="dxa"/>
            <w:tcBorders>
              <w:top w:val="nil"/>
              <w:left w:val="nil"/>
              <w:bottom w:val="double" w:sz="6" w:space="0" w:color="auto"/>
              <w:right w:val="nil"/>
            </w:tcBorders>
            <w:shd w:val="clear" w:color="auto" w:fill="auto"/>
            <w:noWrap/>
            <w:vAlign w:val="center"/>
            <w:hideMark/>
          </w:tcPr>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1.12</w:t>
            </w:r>
          </w:p>
        </w:tc>
      </w:tr>
    </w:tbl>
    <w:p w:rsidR="004D1F43" w:rsidRPr="000F540A" w:rsidRDefault="004D1F43" w:rsidP="000F540A">
      <w:pPr>
        <w:jc w:val="both"/>
        <w:rPr>
          <w:rFonts w:asciiTheme="majorHAnsi" w:hAnsiTheme="majorHAnsi"/>
          <w:i/>
          <w:sz w:val="22"/>
          <w:szCs w:val="22"/>
        </w:rPr>
      </w:pPr>
      <w:r w:rsidRPr="000F540A">
        <w:rPr>
          <w:rFonts w:asciiTheme="majorHAnsi" w:hAnsiTheme="majorHAnsi"/>
          <w:b/>
          <w:sz w:val="22"/>
          <w:szCs w:val="22"/>
        </w:rPr>
        <w:t xml:space="preserve">  Burimi:</w:t>
      </w:r>
      <w:r w:rsidRPr="000F540A">
        <w:rPr>
          <w:rFonts w:asciiTheme="majorHAnsi" w:hAnsiTheme="majorHAnsi"/>
          <w:b/>
          <w:i/>
          <w:sz w:val="22"/>
          <w:szCs w:val="22"/>
        </w:rPr>
        <w:t xml:space="preserve"> </w:t>
      </w:r>
      <w:r w:rsidRPr="000F540A">
        <w:rPr>
          <w:rFonts w:asciiTheme="majorHAnsi" w:hAnsiTheme="majorHAnsi"/>
          <w:i/>
          <w:sz w:val="22"/>
          <w:szCs w:val="22"/>
        </w:rPr>
        <w:t>Ministria e Financave (201</w:t>
      </w:r>
      <w:r w:rsidR="00B14D08" w:rsidRPr="000F540A">
        <w:rPr>
          <w:rFonts w:asciiTheme="majorHAnsi" w:hAnsiTheme="majorHAnsi"/>
          <w:i/>
          <w:sz w:val="22"/>
          <w:szCs w:val="22"/>
        </w:rPr>
        <w:t>5</w:t>
      </w:r>
      <w:r w:rsidRPr="000F540A">
        <w:rPr>
          <w:rFonts w:asciiTheme="majorHAnsi" w:hAnsiTheme="majorHAnsi"/>
          <w:i/>
          <w:sz w:val="22"/>
          <w:szCs w:val="22"/>
        </w:rPr>
        <w:t>)</w:t>
      </w:r>
    </w:p>
    <w:p w:rsidR="004D1F43" w:rsidRPr="000F540A" w:rsidRDefault="004D1F43" w:rsidP="000F540A">
      <w:pPr>
        <w:jc w:val="both"/>
        <w:rPr>
          <w:rFonts w:asciiTheme="majorHAnsi" w:hAnsiTheme="majorHAnsi"/>
          <w:b/>
          <w:i/>
          <w:sz w:val="22"/>
          <w:szCs w:val="22"/>
        </w:rPr>
      </w:pPr>
    </w:p>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Aktorët kryesorë të kërkesës së përgjithshme për titujt qeveritarë gjatë vitit 2015 kanë qenë:</w:t>
      </w:r>
    </w:p>
    <w:p w:rsidR="004D1F43" w:rsidRPr="000F540A" w:rsidRDefault="004D1F43" w:rsidP="000F540A">
      <w:pPr>
        <w:jc w:val="both"/>
        <w:rPr>
          <w:rFonts w:asciiTheme="majorHAnsi" w:hAnsiTheme="majorHAnsi"/>
          <w:b/>
          <w:i/>
          <w:sz w:val="22"/>
          <w:szCs w:val="22"/>
        </w:rPr>
      </w:pPr>
    </w:p>
    <w:p w:rsidR="004D1F43" w:rsidRPr="000F540A" w:rsidRDefault="004D1F43" w:rsidP="000F540A">
      <w:pPr>
        <w:pStyle w:val="ListParagraph"/>
        <w:numPr>
          <w:ilvl w:val="0"/>
          <w:numId w:val="1"/>
        </w:numPr>
        <w:spacing w:after="120"/>
        <w:jc w:val="both"/>
        <w:rPr>
          <w:rFonts w:asciiTheme="majorHAnsi" w:hAnsiTheme="majorHAnsi"/>
          <w:sz w:val="22"/>
          <w:szCs w:val="22"/>
        </w:rPr>
      </w:pPr>
      <w:r w:rsidRPr="000F540A">
        <w:rPr>
          <w:rFonts w:asciiTheme="majorHAnsi" w:hAnsiTheme="majorHAnsi"/>
          <w:sz w:val="22"/>
          <w:szCs w:val="22"/>
        </w:rPr>
        <w:t xml:space="preserve">Sistemi Bankar me 50.3 % </w:t>
      </w:r>
    </w:p>
    <w:p w:rsidR="004D1F43" w:rsidRPr="000F540A" w:rsidRDefault="004D1F43" w:rsidP="000F540A">
      <w:pPr>
        <w:pStyle w:val="ListParagraph"/>
        <w:numPr>
          <w:ilvl w:val="0"/>
          <w:numId w:val="1"/>
        </w:numPr>
        <w:spacing w:after="120"/>
        <w:jc w:val="both"/>
        <w:rPr>
          <w:rFonts w:asciiTheme="majorHAnsi" w:hAnsiTheme="majorHAnsi"/>
          <w:sz w:val="22"/>
          <w:szCs w:val="22"/>
        </w:rPr>
      </w:pPr>
      <w:r w:rsidRPr="000F540A">
        <w:rPr>
          <w:rFonts w:asciiTheme="majorHAnsi" w:hAnsiTheme="majorHAnsi"/>
          <w:sz w:val="22"/>
          <w:szCs w:val="22"/>
        </w:rPr>
        <w:t xml:space="preserve">Banka e Shqipërisë 20.1% </w:t>
      </w:r>
    </w:p>
    <w:p w:rsidR="004D1F43" w:rsidRPr="000F540A" w:rsidRDefault="004D1F43" w:rsidP="000F540A">
      <w:pPr>
        <w:pStyle w:val="ListParagraph"/>
        <w:numPr>
          <w:ilvl w:val="0"/>
          <w:numId w:val="1"/>
        </w:numPr>
        <w:spacing w:after="120"/>
        <w:jc w:val="both"/>
        <w:rPr>
          <w:rFonts w:asciiTheme="majorHAnsi" w:hAnsiTheme="majorHAnsi"/>
          <w:sz w:val="22"/>
          <w:szCs w:val="22"/>
        </w:rPr>
      </w:pPr>
      <w:r w:rsidRPr="000F540A">
        <w:rPr>
          <w:rFonts w:asciiTheme="majorHAnsi" w:hAnsiTheme="majorHAnsi"/>
          <w:sz w:val="22"/>
          <w:szCs w:val="22"/>
        </w:rPr>
        <w:t xml:space="preserve">Individët me 15.5% </w:t>
      </w:r>
    </w:p>
    <w:p w:rsidR="004D1F43" w:rsidRPr="000F540A" w:rsidRDefault="004D1F43" w:rsidP="000F540A">
      <w:pPr>
        <w:pStyle w:val="ListParagraph"/>
        <w:numPr>
          <w:ilvl w:val="0"/>
          <w:numId w:val="1"/>
        </w:numPr>
        <w:spacing w:after="120"/>
        <w:jc w:val="both"/>
        <w:rPr>
          <w:rFonts w:asciiTheme="majorHAnsi" w:hAnsiTheme="majorHAnsi"/>
          <w:sz w:val="22"/>
          <w:szCs w:val="22"/>
        </w:rPr>
      </w:pPr>
      <w:r w:rsidRPr="000F540A">
        <w:rPr>
          <w:rFonts w:asciiTheme="majorHAnsi" w:hAnsiTheme="majorHAnsi"/>
          <w:sz w:val="22"/>
          <w:szCs w:val="22"/>
        </w:rPr>
        <w:t>Institucione Financiare me 13.5%</w:t>
      </w:r>
    </w:p>
    <w:p w:rsidR="004D1F43" w:rsidRPr="000F540A" w:rsidRDefault="004D1F43" w:rsidP="000F540A">
      <w:pPr>
        <w:pStyle w:val="ListParagraph"/>
        <w:numPr>
          <w:ilvl w:val="0"/>
          <w:numId w:val="1"/>
        </w:numPr>
        <w:spacing w:after="120"/>
        <w:jc w:val="both"/>
        <w:rPr>
          <w:rFonts w:asciiTheme="majorHAnsi" w:hAnsiTheme="majorHAnsi"/>
          <w:sz w:val="22"/>
          <w:szCs w:val="22"/>
        </w:rPr>
      </w:pPr>
      <w:r w:rsidRPr="000F540A">
        <w:rPr>
          <w:rFonts w:asciiTheme="majorHAnsi" w:hAnsiTheme="majorHAnsi"/>
          <w:sz w:val="22"/>
          <w:szCs w:val="22"/>
        </w:rPr>
        <w:t>Institucione Jo Financiare me 0.7%</w:t>
      </w:r>
    </w:p>
    <w:p w:rsidR="004D1F43" w:rsidRPr="000F540A" w:rsidRDefault="004D1F43" w:rsidP="000F540A">
      <w:pPr>
        <w:jc w:val="both"/>
        <w:rPr>
          <w:rFonts w:asciiTheme="majorHAnsi" w:hAnsiTheme="majorHAnsi"/>
          <w:sz w:val="22"/>
          <w:szCs w:val="22"/>
        </w:rPr>
      </w:pPr>
    </w:p>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 xml:space="preserve">Gjatë vitit 2015 ka një diversifikim të kërkesës për titujt shtetërorë në drejtim të uljes së saj nga sistemi bankar dhe rritjes nga individët dhe institucionet </w:t>
      </w:r>
      <w:proofErr w:type="gramStart"/>
      <w:r w:rsidRPr="000F540A">
        <w:rPr>
          <w:rFonts w:asciiTheme="majorHAnsi" w:hAnsiTheme="majorHAnsi"/>
          <w:sz w:val="22"/>
          <w:szCs w:val="22"/>
        </w:rPr>
        <w:t>jo</w:t>
      </w:r>
      <w:proofErr w:type="gramEnd"/>
      <w:r w:rsidRPr="000F540A">
        <w:rPr>
          <w:rFonts w:asciiTheme="majorHAnsi" w:hAnsiTheme="majorHAnsi"/>
          <w:sz w:val="22"/>
          <w:szCs w:val="22"/>
        </w:rPr>
        <w:t xml:space="preserve"> financiare. </w:t>
      </w:r>
      <w:proofErr w:type="gramStart"/>
      <w:r w:rsidRPr="000F540A">
        <w:rPr>
          <w:rFonts w:asciiTheme="majorHAnsi" w:hAnsiTheme="majorHAnsi"/>
          <w:sz w:val="22"/>
          <w:szCs w:val="22"/>
        </w:rPr>
        <w:t>Megjithatë, kërkesa ashtu si edhe gjatë vitit të kaluar vazhdon të dominohet në mbi 50% nga sistemi bankar.</w:t>
      </w:r>
      <w:proofErr w:type="gramEnd"/>
      <w:r w:rsidRPr="000F540A">
        <w:rPr>
          <w:rFonts w:asciiTheme="majorHAnsi" w:hAnsiTheme="majorHAnsi"/>
          <w:sz w:val="22"/>
          <w:szCs w:val="22"/>
        </w:rPr>
        <w:t xml:space="preserve"> Gjatë vitit 2015 ka një rënie të kërkesës nga kjo kategori investitorësh me 1.96 pp, ndërkohë që </w:t>
      </w:r>
      <w:proofErr w:type="gramStart"/>
      <w:r w:rsidRPr="000F540A">
        <w:rPr>
          <w:rFonts w:asciiTheme="majorHAnsi" w:hAnsiTheme="majorHAnsi"/>
          <w:sz w:val="22"/>
          <w:szCs w:val="22"/>
        </w:rPr>
        <w:t>brenda</w:t>
      </w:r>
      <w:proofErr w:type="gramEnd"/>
      <w:r w:rsidRPr="000F540A">
        <w:rPr>
          <w:rFonts w:asciiTheme="majorHAnsi" w:hAnsiTheme="majorHAnsi"/>
          <w:sz w:val="22"/>
          <w:szCs w:val="22"/>
        </w:rPr>
        <w:t xml:space="preserve"> të njëjtës kategori, ka një rënie të diversifikimit për shkak të rritjes së përqendrimit të kërkesës me 12 pp në drejtim të tre bankave krysore </w:t>
      </w:r>
      <w:r w:rsidRPr="000F540A">
        <w:rPr>
          <w:rFonts w:asciiTheme="majorHAnsi" w:hAnsiTheme="majorHAnsi"/>
          <w:i/>
          <w:sz w:val="22"/>
          <w:szCs w:val="22"/>
        </w:rPr>
        <w:t>(Raiffeisen Bank, BKT dhe Credins Bank)</w:t>
      </w:r>
      <w:r w:rsidRPr="000F540A">
        <w:rPr>
          <w:rFonts w:asciiTheme="majorHAnsi" w:hAnsiTheme="majorHAnsi"/>
          <w:sz w:val="22"/>
          <w:szCs w:val="22"/>
        </w:rPr>
        <w:t xml:space="preserve">. </w:t>
      </w:r>
      <w:proofErr w:type="gramStart"/>
      <w:r w:rsidRPr="000F540A">
        <w:rPr>
          <w:rFonts w:asciiTheme="majorHAnsi" w:hAnsiTheme="majorHAnsi"/>
          <w:sz w:val="22"/>
          <w:szCs w:val="22"/>
        </w:rPr>
        <w:t>Kërkesa në rënie nga ana e sistemit bankar është reflektuar më tepër në segmentin e instrumenteve me afat të gjatë maturimi.</w:t>
      </w:r>
      <w:proofErr w:type="gramEnd"/>
    </w:p>
    <w:p w:rsidR="004D1F43" w:rsidRPr="000F540A" w:rsidRDefault="004D1F43" w:rsidP="000F540A">
      <w:pPr>
        <w:jc w:val="both"/>
        <w:rPr>
          <w:rFonts w:asciiTheme="majorHAnsi" w:hAnsiTheme="majorHAnsi"/>
          <w:sz w:val="22"/>
          <w:szCs w:val="22"/>
        </w:rPr>
      </w:pPr>
      <w:r w:rsidRPr="000F540A">
        <w:rPr>
          <w:rFonts w:asciiTheme="majorHAnsi" w:hAnsiTheme="majorHAnsi"/>
          <w:sz w:val="22"/>
          <w:szCs w:val="22"/>
        </w:rPr>
        <w:t xml:space="preserve">Karakteristike për vitin 2015 është rritja e kërkesës nga ana e individëve si edhe deri diku e institucioneve </w:t>
      </w:r>
      <w:proofErr w:type="gramStart"/>
      <w:r w:rsidRPr="000F540A">
        <w:rPr>
          <w:rFonts w:asciiTheme="majorHAnsi" w:hAnsiTheme="majorHAnsi"/>
          <w:sz w:val="22"/>
          <w:szCs w:val="22"/>
        </w:rPr>
        <w:t>jo</w:t>
      </w:r>
      <w:proofErr w:type="gramEnd"/>
      <w:r w:rsidRPr="000F540A">
        <w:rPr>
          <w:rFonts w:asciiTheme="majorHAnsi" w:hAnsiTheme="majorHAnsi"/>
          <w:sz w:val="22"/>
          <w:szCs w:val="22"/>
        </w:rPr>
        <w:t xml:space="preserve"> financiare. </w:t>
      </w:r>
      <w:proofErr w:type="gramStart"/>
      <w:r w:rsidRPr="000F540A">
        <w:rPr>
          <w:rFonts w:asciiTheme="majorHAnsi" w:hAnsiTheme="majorHAnsi"/>
          <w:sz w:val="22"/>
          <w:szCs w:val="22"/>
        </w:rPr>
        <w:t>Kërkesa në rritje nga ana e individëve ka ardhur si rezultat i normave më të favorshme që ofrojnë titujt shtetërorë krahasuar me depozitat bankare si edhe për shkak të informimit në rritje lidhur me procedurat e të investuarit në tituj shtetëror.</w:t>
      </w:r>
      <w:proofErr w:type="gramEnd"/>
      <w:r w:rsidRPr="000F540A">
        <w:rPr>
          <w:rFonts w:asciiTheme="majorHAnsi" w:hAnsiTheme="majorHAnsi"/>
          <w:sz w:val="22"/>
          <w:szCs w:val="22"/>
        </w:rPr>
        <w:t xml:space="preserve"> </w:t>
      </w:r>
      <w:proofErr w:type="gramStart"/>
      <w:r w:rsidRPr="000F540A">
        <w:rPr>
          <w:rFonts w:asciiTheme="majorHAnsi" w:hAnsiTheme="majorHAnsi"/>
          <w:sz w:val="22"/>
          <w:szCs w:val="22"/>
        </w:rPr>
        <w:t>Kërkesa në rritje nga individët është përqëndruar më tepër në drejtim të instrumenteve afatgjata.</w:t>
      </w:r>
      <w:proofErr w:type="gramEnd"/>
    </w:p>
    <w:p w:rsidR="004D1F43" w:rsidRPr="000F540A" w:rsidRDefault="004D1F43" w:rsidP="000F540A">
      <w:pPr>
        <w:jc w:val="both"/>
        <w:rPr>
          <w:rFonts w:asciiTheme="majorHAnsi" w:hAnsiTheme="majorHAnsi"/>
          <w:sz w:val="22"/>
          <w:szCs w:val="22"/>
        </w:rPr>
      </w:pPr>
    </w:p>
    <w:p w:rsidR="004D1F43" w:rsidRPr="000F540A" w:rsidRDefault="004D1F43" w:rsidP="000F540A">
      <w:pPr>
        <w:jc w:val="both"/>
        <w:rPr>
          <w:rFonts w:asciiTheme="majorHAnsi" w:hAnsiTheme="majorHAnsi"/>
          <w:sz w:val="22"/>
          <w:szCs w:val="22"/>
        </w:rPr>
      </w:pPr>
    </w:p>
    <w:p w:rsidR="004D1F43" w:rsidRPr="000F540A" w:rsidRDefault="004D1F43" w:rsidP="000F540A">
      <w:pPr>
        <w:jc w:val="both"/>
        <w:rPr>
          <w:rFonts w:asciiTheme="majorHAnsi" w:hAnsiTheme="majorHAnsi"/>
          <w:i/>
          <w:color w:val="632423" w:themeColor="accent2" w:themeShade="80"/>
          <w:sz w:val="22"/>
          <w:szCs w:val="22"/>
        </w:rPr>
      </w:pPr>
      <w:r w:rsidRPr="000F540A">
        <w:rPr>
          <w:rFonts w:asciiTheme="majorHAnsi" w:hAnsiTheme="majorHAnsi"/>
          <w:b/>
          <w:color w:val="632423" w:themeColor="accent2" w:themeShade="80"/>
          <w:sz w:val="22"/>
          <w:szCs w:val="22"/>
        </w:rPr>
        <w:t xml:space="preserve">Paraqitje Grafike 5: </w:t>
      </w:r>
      <w:r w:rsidRPr="000F540A">
        <w:rPr>
          <w:rFonts w:asciiTheme="majorHAnsi" w:hAnsiTheme="majorHAnsi"/>
          <w:i/>
          <w:color w:val="632423" w:themeColor="accent2" w:themeShade="80"/>
          <w:sz w:val="22"/>
          <w:szCs w:val="22"/>
        </w:rPr>
        <w:t xml:space="preserve">Kërkesa për titujt shtetërorë sipas pjesëmarrësve në ankande  </w:t>
      </w:r>
    </w:p>
    <w:p w:rsidR="004D1F43" w:rsidRPr="000F540A" w:rsidRDefault="004D1F43" w:rsidP="000F540A">
      <w:pPr>
        <w:jc w:val="both"/>
        <w:rPr>
          <w:rFonts w:asciiTheme="majorHAnsi" w:hAnsiTheme="majorHAnsi"/>
          <w:sz w:val="22"/>
          <w:szCs w:val="22"/>
        </w:rPr>
      </w:pPr>
      <w:r w:rsidRPr="000F540A">
        <w:rPr>
          <w:rFonts w:asciiTheme="majorHAnsi" w:hAnsiTheme="majorHAnsi"/>
          <w:noProof/>
          <w:sz w:val="22"/>
          <w:szCs w:val="22"/>
        </w:rPr>
        <w:lastRenderedPageBreak/>
        <w:drawing>
          <wp:inline distT="0" distB="0" distL="0" distR="0" wp14:anchorId="086B8522" wp14:editId="1FDF0E38">
            <wp:extent cx="5629275" cy="2352675"/>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D1F43" w:rsidRPr="000F540A" w:rsidRDefault="004D1F43" w:rsidP="000F540A">
      <w:pPr>
        <w:jc w:val="both"/>
        <w:rPr>
          <w:rFonts w:asciiTheme="majorHAnsi" w:hAnsiTheme="majorHAnsi"/>
          <w:i/>
          <w:sz w:val="22"/>
          <w:szCs w:val="22"/>
        </w:rPr>
      </w:pPr>
      <w:r w:rsidRPr="000F540A">
        <w:rPr>
          <w:rFonts w:asciiTheme="majorHAnsi" w:hAnsiTheme="majorHAnsi"/>
          <w:b/>
          <w:i/>
          <w:color w:val="632423" w:themeColor="accent2" w:themeShade="80"/>
          <w:sz w:val="22"/>
          <w:szCs w:val="22"/>
        </w:rPr>
        <w:t xml:space="preserve">      </w:t>
      </w:r>
      <w:r w:rsidRPr="000F540A">
        <w:rPr>
          <w:rFonts w:asciiTheme="majorHAnsi" w:hAnsiTheme="majorHAnsi"/>
          <w:b/>
          <w:sz w:val="22"/>
          <w:szCs w:val="22"/>
        </w:rPr>
        <w:t>Burimi:</w:t>
      </w:r>
      <w:r w:rsidRPr="000F540A">
        <w:rPr>
          <w:rFonts w:asciiTheme="majorHAnsi" w:hAnsiTheme="majorHAnsi"/>
          <w:b/>
          <w:i/>
          <w:sz w:val="22"/>
          <w:szCs w:val="22"/>
        </w:rPr>
        <w:t xml:space="preserve"> </w:t>
      </w:r>
      <w:r w:rsidRPr="000F540A">
        <w:rPr>
          <w:rFonts w:asciiTheme="majorHAnsi" w:hAnsiTheme="majorHAnsi"/>
          <w:i/>
          <w:sz w:val="22"/>
          <w:szCs w:val="22"/>
        </w:rPr>
        <w:t>Ministria e Financave (201</w:t>
      </w:r>
      <w:r w:rsidR="00B14D08" w:rsidRPr="000F540A">
        <w:rPr>
          <w:rFonts w:asciiTheme="majorHAnsi" w:hAnsiTheme="majorHAnsi"/>
          <w:i/>
          <w:sz w:val="22"/>
          <w:szCs w:val="22"/>
        </w:rPr>
        <w:t>5</w:t>
      </w:r>
      <w:r w:rsidRPr="000F540A">
        <w:rPr>
          <w:rFonts w:asciiTheme="majorHAnsi" w:hAnsiTheme="majorHAnsi"/>
          <w:i/>
          <w:sz w:val="22"/>
          <w:szCs w:val="22"/>
        </w:rPr>
        <w:t>)</w:t>
      </w:r>
    </w:p>
    <w:p w:rsidR="004D1F43" w:rsidRPr="000F540A" w:rsidRDefault="004D1F43" w:rsidP="000F540A">
      <w:pPr>
        <w:jc w:val="both"/>
        <w:rPr>
          <w:rFonts w:asciiTheme="majorHAnsi" w:hAnsiTheme="majorHAnsi"/>
          <w:b/>
          <w:i/>
          <w:sz w:val="22"/>
          <w:szCs w:val="22"/>
        </w:rPr>
      </w:pPr>
    </w:p>
    <w:p w:rsidR="004D1F43" w:rsidRPr="000F540A" w:rsidRDefault="00610F07" w:rsidP="000F540A">
      <w:pPr>
        <w:pStyle w:val="Heading3"/>
        <w:numPr>
          <w:ilvl w:val="1"/>
          <w:numId w:val="27"/>
        </w:numPr>
        <w:jc w:val="both"/>
        <w:rPr>
          <w:sz w:val="22"/>
          <w:szCs w:val="22"/>
        </w:rPr>
      </w:pPr>
      <w:r w:rsidRPr="000F540A">
        <w:rPr>
          <w:sz w:val="22"/>
          <w:szCs w:val="22"/>
        </w:rPr>
        <w:t xml:space="preserve"> </w:t>
      </w:r>
      <w:r w:rsidR="004D1F43" w:rsidRPr="000F540A">
        <w:rPr>
          <w:sz w:val="22"/>
          <w:szCs w:val="22"/>
        </w:rPr>
        <w:t xml:space="preserve">Mbajtësit e borxhit </w:t>
      </w:r>
    </w:p>
    <w:p w:rsidR="004D1F43" w:rsidRPr="000F540A" w:rsidRDefault="004D1F43" w:rsidP="000F540A">
      <w:pPr>
        <w:tabs>
          <w:tab w:val="left" w:pos="450"/>
        </w:tabs>
        <w:ind w:right="-547"/>
        <w:jc w:val="both"/>
        <w:rPr>
          <w:rFonts w:asciiTheme="majorHAnsi" w:hAnsiTheme="majorHAnsi"/>
          <w:b/>
          <w:sz w:val="22"/>
          <w:szCs w:val="22"/>
          <w:lang w:val="sq-AL"/>
        </w:rPr>
      </w:pPr>
    </w:p>
    <w:p w:rsidR="004D1F43" w:rsidRPr="000F540A" w:rsidRDefault="004D1F43" w:rsidP="000F540A">
      <w:pPr>
        <w:tabs>
          <w:tab w:val="left" w:pos="450"/>
        </w:tabs>
        <w:ind w:right="-547"/>
        <w:jc w:val="both"/>
        <w:rPr>
          <w:rFonts w:asciiTheme="majorHAnsi" w:hAnsiTheme="majorHAnsi"/>
          <w:i/>
          <w:sz w:val="22"/>
          <w:szCs w:val="22"/>
        </w:rPr>
      </w:pPr>
      <w:r w:rsidRPr="000F540A">
        <w:rPr>
          <w:rFonts w:asciiTheme="majorHAnsi" w:hAnsiTheme="majorHAnsi"/>
          <w:sz w:val="22"/>
          <w:szCs w:val="22"/>
          <w:lang w:val="sq-AL"/>
        </w:rPr>
        <w:t xml:space="preserve">Gjatë vitit 2015 portofoli i borxhit sipas mbajtësve të tij pothuajse reflekton karakteristikat e kërkesës duke u shoqëruar me një rritje të diversifikimit në drejtim të uljes së peshës së borxhit të mbajtur nga sistemi bankar </w:t>
      </w:r>
      <w:r w:rsidRPr="000F540A">
        <w:rPr>
          <w:rFonts w:asciiTheme="majorHAnsi" w:hAnsiTheme="majorHAnsi"/>
          <w:i/>
          <w:sz w:val="22"/>
          <w:szCs w:val="22"/>
          <w:lang w:val="sq-AL"/>
        </w:rPr>
        <w:t>(përfshirë edhe Bankën e Shqipërsië)</w:t>
      </w:r>
      <w:r w:rsidRPr="000F540A">
        <w:rPr>
          <w:rFonts w:asciiTheme="majorHAnsi" w:hAnsiTheme="majorHAnsi"/>
          <w:sz w:val="22"/>
          <w:szCs w:val="22"/>
          <w:lang w:val="sq-AL"/>
        </w:rPr>
        <w:t xml:space="preserve"> dhe rritjes së peshës së individëve dhe institucioneve të tjera</w:t>
      </w:r>
      <w:r w:rsidR="001A766B" w:rsidRPr="000F540A">
        <w:rPr>
          <w:rFonts w:asciiTheme="majorHAnsi" w:hAnsiTheme="majorHAnsi"/>
          <w:sz w:val="22"/>
          <w:szCs w:val="22"/>
          <w:lang w:val="sq-AL"/>
        </w:rPr>
        <w:t xml:space="preserve"> financiare</w:t>
      </w:r>
      <w:r w:rsidRPr="000F540A">
        <w:rPr>
          <w:rFonts w:asciiTheme="majorHAnsi" w:hAnsiTheme="majorHAnsi"/>
          <w:sz w:val="22"/>
          <w:szCs w:val="22"/>
          <w:lang w:val="sq-AL"/>
        </w:rPr>
        <w:t xml:space="preserve"> </w:t>
      </w:r>
      <w:r w:rsidRPr="000F540A">
        <w:rPr>
          <w:rFonts w:asciiTheme="majorHAnsi" w:hAnsiTheme="majorHAnsi"/>
          <w:i/>
          <w:sz w:val="22"/>
          <w:szCs w:val="22"/>
          <w:lang w:val="sq-AL"/>
        </w:rPr>
        <w:t>(</w:t>
      </w:r>
      <w:r w:rsidRPr="000F540A">
        <w:rPr>
          <w:rFonts w:asciiTheme="majorHAnsi" w:hAnsiTheme="majorHAnsi"/>
          <w:i/>
          <w:sz w:val="22"/>
          <w:szCs w:val="22"/>
        </w:rPr>
        <w:t xml:space="preserve">Paraqitje grafike </w:t>
      </w:r>
      <w:r w:rsidR="00F10AE1" w:rsidRPr="000F540A">
        <w:rPr>
          <w:rFonts w:asciiTheme="majorHAnsi" w:hAnsiTheme="majorHAnsi"/>
          <w:i/>
          <w:sz w:val="22"/>
          <w:szCs w:val="22"/>
        </w:rPr>
        <w:t>6</w:t>
      </w:r>
      <w:r w:rsidRPr="000F540A">
        <w:rPr>
          <w:rFonts w:asciiTheme="majorHAnsi" w:hAnsiTheme="majorHAnsi"/>
          <w:i/>
          <w:sz w:val="22"/>
          <w:szCs w:val="22"/>
        </w:rPr>
        <w:t>)</w:t>
      </w:r>
      <w:r w:rsidR="001A766B" w:rsidRPr="000F540A">
        <w:rPr>
          <w:rFonts w:asciiTheme="majorHAnsi" w:hAnsiTheme="majorHAnsi"/>
          <w:i/>
          <w:sz w:val="22"/>
          <w:szCs w:val="22"/>
        </w:rPr>
        <w:t>.</w:t>
      </w:r>
    </w:p>
    <w:p w:rsidR="004D1F43" w:rsidRPr="000F540A" w:rsidRDefault="004D1F43" w:rsidP="000F540A">
      <w:pPr>
        <w:tabs>
          <w:tab w:val="left" w:pos="450"/>
        </w:tabs>
        <w:ind w:right="-547"/>
        <w:jc w:val="both"/>
        <w:rPr>
          <w:rFonts w:asciiTheme="majorHAnsi" w:hAnsiTheme="majorHAnsi"/>
          <w:sz w:val="22"/>
          <w:szCs w:val="22"/>
          <w:lang w:val="sq-AL"/>
        </w:rPr>
      </w:pPr>
    </w:p>
    <w:p w:rsidR="004D1F43" w:rsidRPr="000F540A" w:rsidRDefault="004D1F43" w:rsidP="000F540A">
      <w:pPr>
        <w:tabs>
          <w:tab w:val="left" w:pos="450"/>
        </w:tabs>
        <w:ind w:right="-547"/>
        <w:jc w:val="both"/>
        <w:rPr>
          <w:rFonts w:asciiTheme="majorHAnsi" w:hAnsiTheme="majorHAnsi"/>
          <w:sz w:val="22"/>
          <w:szCs w:val="22"/>
          <w:lang w:val="sq-AL"/>
        </w:rPr>
      </w:pPr>
      <w:r w:rsidRPr="000F540A">
        <w:rPr>
          <w:rFonts w:asciiTheme="majorHAnsi" w:hAnsiTheme="majorHAnsi"/>
          <w:sz w:val="22"/>
          <w:szCs w:val="22"/>
          <w:lang w:val="sq-AL"/>
        </w:rPr>
        <w:t xml:space="preserve">Rritja e diversifikimit të mbajtësve minimizon rrezikun e rifinancimit pasi ul varësinë për t’u rifinancuar nga investitorë të caktuar. Nga ana tjetër diversifikimi i kërkesës shoqërohet me rritje të konkurencës dhe për rrjedhojë ushtron edhe presion rënës mbi normat e interesit. </w:t>
      </w:r>
    </w:p>
    <w:p w:rsidR="004D1F43" w:rsidRPr="000F540A" w:rsidRDefault="004D1F43" w:rsidP="000F540A">
      <w:pPr>
        <w:tabs>
          <w:tab w:val="left" w:pos="450"/>
        </w:tabs>
        <w:ind w:right="-547"/>
        <w:jc w:val="both"/>
        <w:rPr>
          <w:rFonts w:asciiTheme="majorHAnsi" w:hAnsiTheme="majorHAnsi"/>
          <w:sz w:val="22"/>
          <w:szCs w:val="22"/>
          <w:lang w:val="sq-AL"/>
        </w:rPr>
      </w:pPr>
    </w:p>
    <w:p w:rsidR="004D1F43" w:rsidRPr="000F540A" w:rsidRDefault="004D1F43" w:rsidP="000F540A">
      <w:pPr>
        <w:jc w:val="both"/>
        <w:rPr>
          <w:rFonts w:asciiTheme="majorHAnsi" w:hAnsiTheme="majorHAnsi"/>
          <w:i/>
          <w:color w:val="632423" w:themeColor="accent2" w:themeShade="80"/>
          <w:sz w:val="22"/>
          <w:szCs w:val="22"/>
        </w:rPr>
      </w:pPr>
      <w:r w:rsidRPr="000F540A">
        <w:rPr>
          <w:rFonts w:asciiTheme="majorHAnsi" w:hAnsiTheme="majorHAnsi"/>
          <w:b/>
          <w:color w:val="632423" w:themeColor="accent2" w:themeShade="80"/>
          <w:sz w:val="22"/>
          <w:szCs w:val="22"/>
        </w:rPr>
        <w:t xml:space="preserve">Paraqitje Grafike 6: </w:t>
      </w:r>
      <w:r w:rsidRPr="000F540A">
        <w:rPr>
          <w:rFonts w:asciiTheme="majorHAnsi" w:hAnsiTheme="majorHAnsi"/>
          <w:i/>
          <w:color w:val="632423" w:themeColor="accent2" w:themeShade="80"/>
          <w:sz w:val="22"/>
          <w:szCs w:val="22"/>
        </w:rPr>
        <w:t xml:space="preserve">Stoku i borxhit shtetëror sipas mbajtësve në tregun primar </w:t>
      </w:r>
    </w:p>
    <w:p w:rsidR="004D1F43" w:rsidRPr="000F540A" w:rsidRDefault="004D1F43" w:rsidP="000F540A">
      <w:pPr>
        <w:jc w:val="both"/>
        <w:rPr>
          <w:rFonts w:asciiTheme="majorHAnsi" w:hAnsiTheme="majorHAnsi"/>
          <w:i/>
          <w:color w:val="632423" w:themeColor="accent2" w:themeShade="80"/>
          <w:sz w:val="22"/>
          <w:szCs w:val="22"/>
        </w:rPr>
      </w:pPr>
    </w:p>
    <w:p w:rsidR="004D1F43" w:rsidRPr="000F540A" w:rsidRDefault="004D1F43" w:rsidP="000F540A">
      <w:pPr>
        <w:tabs>
          <w:tab w:val="left" w:pos="450"/>
        </w:tabs>
        <w:ind w:right="-547"/>
        <w:jc w:val="both"/>
        <w:rPr>
          <w:rFonts w:asciiTheme="majorHAnsi" w:hAnsiTheme="majorHAnsi"/>
          <w:sz w:val="22"/>
          <w:szCs w:val="22"/>
          <w:lang w:val="sq-AL"/>
        </w:rPr>
      </w:pPr>
      <w:r w:rsidRPr="000F540A">
        <w:rPr>
          <w:rFonts w:asciiTheme="majorHAnsi" w:hAnsiTheme="majorHAnsi"/>
          <w:noProof/>
          <w:sz w:val="22"/>
          <w:szCs w:val="22"/>
        </w:rPr>
        <w:drawing>
          <wp:inline distT="0" distB="0" distL="0" distR="0" wp14:anchorId="4B313BE8" wp14:editId="3AD40AA6">
            <wp:extent cx="2981325" cy="2028825"/>
            <wp:effectExtent l="0" t="0" r="0"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F540A">
        <w:rPr>
          <w:rFonts w:asciiTheme="majorHAnsi" w:hAnsiTheme="majorHAnsi"/>
          <w:noProof/>
          <w:sz w:val="22"/>
          <w:szCs w:val="22"/>
        </w:rPr>
        <w:drawing>
          <wp:inline distT="0" distB="0" distL="0" distR="0" wp14:anchorId="73A95433" wp14:editId="421016D2">
            <wp:extent cx="2790825" cy="2028825"/>
            <wp:effectExtent l="0" t="0" r="0"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D1F43" w:rsidRPr="000F540A" w:rsidRDefault="004D1F43" w:rsidP="000F540A">
      <w:pPr>
        <w:jc w:val="both"/>
        <w:rPr>
          <w:rFonts w:asciiTheme="majorHAnsi" w:hAnsiTheme="majorHAnsi"/>
          <w:i/>
          <w:sz w:val="22"/>
          <w:szCs w:val="22"/>
        </w:rPr>
      </w:pPr>
      <w:r w:rsidRPr="000F540A">
        <w:rPr>
          <w:rFonts w:asciiTheme="majorHAnsi" w:hAnsiTheme="majorHAnsi"/>
          <w:b/>
          <w:i/>
          <w:sz w:val="22"/>
          <w:szCs w:val="22"/>
        </w:rPr>
        <w:t xml:space="preserve">         </w:t>
      </w:r>
      <w:r w:rsidRPr="000F540A">
        <w:rPr>
          <w:rFonts w:asciiTheme="majorHAnsi" w:hAnsiTheme="majorHAnsi"/>
          <w:b/>
          <w:sz w:val="22"/>
          <w:szCs w:val="22"/>
        </w:rPr>
        <w:t>Burimi:</w:t>
      </w:r>
      <w:r w:rsidRPr="000F540A">
        <w:rPr>
          <w:rFonts w:asciiTheme="majorHAnsi" w:hAnsiTheme="majorHAnsi"/>
          <w:b/>
          <w:i/>
          <w:sz w:val="22"/>
          <w:szCs w:val="22"/>
        </w:rPr>
        <w:t xml:space="preserve"> </w:t>
      </w:r>
      <w:r w:rsidRPr="000F540A">
        <w:rPr>
          <w:rFonts w:asciiTheme="majorHAnsi" w:hAnsiTheme="majorHAnsi"/>
          <w:i/>
          <w:sz w:val="22"/>
          <w:szCs w:val="22"/>
        </w:rPr>
        <w:t>Ministria e Financave (201</w:t>
      </w:r>
      <w:r w:rsidR="00B14D08" w:rsidRPr="000F540A">
        <w:rPr>
          <w:rFonts w:asciiTheme="majorHAnsi" w:hAnsiTheme="majorHAnsi"/>
          <w:i/>
          <w:sz w:val="22"/>
          <w:szCs w:val="22"/>
        </w:rPr>
        <w:t>5</w:t>
      </w:r>
      <w:r w:rsidRPr="000F540A">
        <w:rPr>
          <w:rFonts w:asciiTheme="majorHAnsi" w:hAnsiTheme="majorHAnsi"/>
          <w:i/>
          <w:sz w:val="22"/>
          <w:szCs w:val="22"/>
        </w:rPr>
        <w:t>)</w:t>
      </w:r>
    </w:p>
    <w:p w:rsidR="004D1F43" w:rsidRPr="000F540A" w:rsidRDefault="004D1F43" w:rsidP="000F540A">
      <w:pPr>
        <w:jc w:val="both"/>
        <w:rPr>
          <w:rFonts w:asciiTheme="majorHAnsi" w:hAnsiTheme="majorHAnsi"/>
          <w:i/>
          <w:sz w:val="22"/>
          <w:szCs w:val="22"/>
        </w:rPr>
      </w:pPr>
    </w:p>
    <w:p w:rsidR="004D1F43" w:rsidRPr="000F540A" w:rsidRDefault="004D1F43" w:rsidP="000F540A">
      <w:pPr>
        <w:jc w:val="both"/>
        <w:rPr>
          <w:rFonts w:asciiTheme="majorHAnsi" w:hAnsiTheme="majorHAnsi"/>
          <w:b/>
          <w:i/>
          <w:sz w:val="22"/>
          <w:szCs w:val="22"/>
        </w:rPr>
      </w:pPr>
    </w:p>
    <w:p w:rsidR="004D1F43" w:rsidRPr="000F540A" w:rsidRDefault="004D1F43" w:rsidP="000F540A">
      <w:pPr>
        <w:pStyle w:val="Heading3"/>
        <w:numPr>
          <w:ilvl w:val="1"/>
          <w:numId w:val="27"/>
        </w:numPr>
        <w:jc w:val="both"/>
        <w:rPr>
          <w:sz w:val="22"/>
          <w:szCs w:val="22"/>
        </w:rPr>
      </w:pPr>
      <w:r w:rsidRPr="000F540A">
        <w:rPr>
          <w:sz w:val="22"/>
          <w:szCs w:val="22"/>
        </w:rPr>
        <w:t xml:space="preserve"> Ecuria e normave të interesit </w:t>
      </w:r>
    </w:p>
    <w:p w:rsidR="004D1F43" w:rsidRPr="000F540A" w:rsidRDefault="004D1F43" w:rsidP="000F540A">
      <w:pPr>
        <w:jc w:val="both"/>
        <w:rPr>
          <w:rFonts w:asciiTheme="majorHAnsi" w:hAnsiTheme="majorHAnsi"/>
          <w:b/>
          <w:sz w:val="22"/>
          <w:szCs w:val="22"/>
        </w:rPr>
      </w:pPr>
    </w:p>
    <w:p w:rsidR="004D1F43" w:rsidRPr="000F540A" w:rsidRDefault="004D1F43" w:rsidP="000F540A">
      <w:pPr>
        <w:jc w:val="both"/>
        <w:rPr>
          <w:rFonts w:asciiTheme="majorHAnsi" w:hAnsiTheme="majorHAnsi"/>
          <w:bCs/>
          <w:sz w:val="22"/>
          <w:szCs w:val="22"/>
          <w:lang w:val="en-GB"/>
        </w:rPr>
      </w:pPr>
      <w:proofErr w:type="gramStart"/>
      <w:r w:rsidRPr="000F540A">
        <w:rPr>
          <w:rFonts w:asciiTheme="majorHAnsi" w:hAnsiTheme="majorHAnsi"/>
          <w:bCs/>
          <w:sz w:val="22"/>
          <w:szCs w:val="22"/>
          <w:lang w:val="en-GB"/>
        </w:rPr>
        <w:t>Gjatë gjithë vitit 2015 normat e interesit të titujve shtetërore kanë pësuar rënie të vazhdueshme.</w:t>
      </w:r>
      <w:proofErr w:type="gramEnd"/>
      <w:r w:rsidRPr="000F540A">
        <w:rPr>
          <w:rFonts w:asciiTheme="majorHAnsi" w:hAnsiTheme="majorHAnsi"/>
          <w:bCs/>
          <w:sz w:val="22"/>
          <w:szCs w:val="22"/>
          <w:lang w:val="en-GB"/>
        </w:rPr>
        <w:t xml:space="preserve"> Rënia e normave të interesit gjatë vitit 2015 i atribuohet faktorëve të mëposhtëm:</w:t>
      </w:r>
    </w:p>
    <w:p w:rsidR="004D1F43" w:rsidRPr="000F540A" w:rsidRDefault="004D1F43" w:rsidP="000F540A">
      <w:pPr>
        <w:jc w:val="both"/>
        <w:rPr>
          <w:rFonts w:asciiTheme="majorHAnsi" w:hAnsiTheme="majorHAnsi"/>
          <w:bCs/>
          <w:sz w:val="22"/>
          <w:szCs w:val="22"/>
          <w:lang w:val="en-GB"/>
        </w:rPr>
      </w:pPr>
    </w:p>
    <w:p w:rsidR="004D1F43" w:rsidRPr="000F540A" w:rsidRDefault="004D1F43" w:rsidP="000F540A">
      <w:pPr>
        <w:numPr>
          <w:ilvl w:val="0"/>
          <w:numId w:val="2"/>
        </w:numPr>
        <w:spacing w:line="276" w:lineRule="auto"/>
        <w:ind w:left="284" w:hanging="284"/>
        <w:jc w:val="both"/>
        <w:rPr>
          <w:rFonts w:asciiTheme="majorHAnsi" w:hAnsiTheme="majorHAnsi"/>
          <w:bCs/>
          <w:sz w:val="22"/>
          <w:szCs w:val="22"/>
          <w:lang w:val="sq-AL"/>
        </w:rPr>
      </w:pPr>
      <w:r w:rsidRPr="000F540A">
        <w:rPr>
          <w:rFonts w:asciiTheme="majorHAnsi" w:hAnsiTheme="majorHAnsi"/>
          <w:bCs/>
          <w:sz w:val="22"/>
          <w:szCs w:val="22"/>
          <w:lang w:val="sq-AL"/>
        </w:rPr>
        <w:t>Disponueshmëria relativisht e lartë e likuiditetit në sistemin bankar.</w:t>
      </w:r>
    </w:p>
    <w:p w:rsidR="004D1F43" w:rsidRPr="000F540A" w:rsidRDefault="004D1F43" w:rsidP="000F540A">
      <w:pPr>
        <w:numPr>
          <w:ilvl w:val="0"/>
          <w:numId w:val="2"/>
        </w:numPr>
        <w:spacing w:line="276" w:lineRule="auto"/>
        <w:ind w:left="284" w:hanging="284"/>
        <w:jc w:val="both"/>
        <w:rPr>
          <w:rFonts w:asciiTheme="majorHAnsi" w:hAnsiTheme="majorHAnsi"/>
          <w:bCs/>
          <w:sz w:val="22"/>
          <w:szCs w:val="22"/>
          <w:lang w:val="sq-AL"/>
        </w:rPr>
      </w:pPr>
      <w:r w:rsidRPr="000F540A">
        <w:rPr>
          <w:rFonts w:asciiTheme="majorHAnsi" w:hAnsiTheme="majorHAnsi"/>
          <w:bCs/>
          <w:sz w:val="22"/>
          <w:szCs w:val="22"/>
          <w:lang w:val="sq-AL"/>
        </w:rPr>
        <w:lastRenderedPageBreak/>
        <w:t>Mungesa e investimeve alternative dhe kufizimi i kreditimit të sektorit privat nga sistemi bankar.</w:t>
      </w:r>
    </w:p>
    <w:p w:rsidR="004D1F43" w:rsidRPr="000F540A" w:rsidRDefault="004D1F43" w:rsidP="000F540A">
      <w:pPr>
        <w:numPr>
          <w:ilvl w:val="0"/>
          <w:numId w:val="2"/>
        </w:numPr>
        <w:spacing w:line="276" w:lineRule="auto"/>
        <w:ind w:left="284" w:hanging="284"/>
        <w:jc w:val="both"/>
        <w:rPr>
          <w:rFonts w:asciiTheme="majorHAnsi" w:hAnsiTheme="majorHAnsi"/>
          <w:bCs/>
          <w:sz w:val="22"/>
          <w:szCs w:val="22"/>
          <w:lang w:val="sq-AL"/>
        </w:rPr>
      </w:pPr>
      <w:r w:rsidRPr="000F540A">
        <w:rPr>
          <w:rFonts w:asciiTheme="majorHAnsi" w:hAnsiTheme="majorHAnsi"/>
          <w:bCs/>
          <w:sz w:val="22"/>
          <w:szCs w:val="22"/>
          <w:lang w:val="sq-AL"/>
        </w:rPr>
        <w:t>Ulja e normës bazë të interesit në 1.75% nga Banka e Shqipërisë.</w:t>
      </w:r>
    </w:p>
    <w:p w:rsidR="004D1F43" w:rsidRPr="000F540A" w:rsidRDefault="004D1F43" w:rsidP="000F540A">
      <w:pPr>
        <w:numPr>
          <w:ilvl w:val="0"/>
          <w:numId w:val="2"/>
        </w:numPr>
        <w:spacing w:line="276" w:lineRule="auto"/>
        <w:ind w:left="284" w:hanging="284"/>
        <w:jc w:val="both"/>
        <w:rPr>
          <w:rFonts w:asciiTheme="majorHAnsi" w:hAnsiTheme="majorHAnsi"/>
          <w:bCs/>
          <w:sz w:val="22"/>
          <w:szCs w:val="22"/>
          <w:lang w:val="sq-AL"/>
        </w:rPr>
      </w:pPr>
      <w:r w:rsidRPr="000F540A">
        <w:rPr>
          <w:rFonts w:asciiTheme="majorHAnsi" w:hAnsiTheme="majorHAnsi"/>
          <w:bCs/>
          <w:sz w:val="22"/>
          <w:szCs w:val="22"/>
          <w:lang w:val="sq-AL"/>
        </w:rPr>
        <w:t>Rritje e kërkesës nga kategoria e Individëve për shkak të normave më të favorshme krahasuar me depozitat.</w:t>
      </w:r>
    </w:p>
    <w:p w:rsidR="004D1F43" w:rsidRPr="000F540A" w:rsidRDefault="004D1F43" w:rsidP="000F540A">
      <w:pPr>
        <w:spacing w:line="276" w:lineRule="auto"/>
        <w:jc w:val="both"/>
        <w:rPr>
          <w:rFonts w:asciiTheme="majorHAnsi" w:hAnsiTheme="majorHAnsi"/>
          <w:bCs/>
          <w:sz w:val="22"/>
          <w:szCs w:val="22"/>
          <w:lang w:val="sq-AL"/>
        </w:rPr>
      </w:pPr>
    </w:p>
    <w:p w:rsidR="004D1F43" w:rsidRPr="000F540A" w:rsidRDefault="004D1F43" w:rsidP="000F540A">
      <w:pPr>
        <w:jc w:val="both"/>
        <w:rPr>
          <w:rFonts w:asciiTheme="majorHAnsi" w:hAnsiTheme="majorHAnsi"/>
          <w:i/>
          <w:color w:val="632423" w:themeColor="accent2" w:themeShade="80"/>
          <w:sz w:val="22"/>
          <w:szCs w:val="22"/>
        </w:rPr>
      </w:pPr>
      <w:r w:rsidRPr="000F540A">
        <w:rPr>
          <w:rFonts w:asciiTheme="majorHAnsi" w:hAnsiTheme="majorHAnsi"/>
          <w:b/>
          <w:color w:val="632423" w:themeColor="accent2" w:themeShade="80"/>
          <w:sz w:val="22"/>
          <w:szCs w:val="22"/>
        </w:rPr>
        <w:t xml:space="preserve">Paraqitje Grafike 7: </w:t>
      </w:r>
      <w:r w:rsidRPr="000F540A">
        <w:rPr>
          <w:rFonts w:asciiTheme="majorHAnsi" w:hAnsiTheme="majorHAnsi"/>
          <w:i/>
          <w:color w:val="632423" w:themeColor="accent2" w:themeShade="80"/>
          <w:sz w:val="22"/>
          <w:szCs w:val="22"/>
        </w:rPr>
        <w:t>Ecuria e normave të interesit të titujve shtetërorë në tregun primar</w:t>
      </w:r>
    </w:p>
    <w:p w:rsidR="004D1F43" w:rsidRPr="000F540A" w:rsidRDefault="004D1F43" w:rsidP="000F540A">
      <w:pPr>
        <w:jc w:val="both"/>
        <w:rPr>
          <w:rFonts w:asciiTheme="majorHAnsi" w:hAnsiTheme="majorHAnsi"/>
          <w:i/>
          <w:color w:val="632423" w:themeColor="accent2" w:themeShade="80"/>
          <w:sz w:val="22"/>
          <w:szCs w:val="22"/>
        </w:rPr>
      </w:pPr>
    </w:p>
    <w:p w:rsidR="004D1F43" w:rsidRPr="000F540A" w:rsidRDefault="004D1F43" w:rsidP="000F540A">
      <w:pPr>
        <w:jc w:val="both"/>
        <w:rPr>
          <w:rFonts w:asciiTheme="majorHAnsi" w:hAnsiTheme="majorHAnsi"/>
          <w:bCs/>
          <w:sz w:val="22"/>
          <w:szCs w:val="22"/>
          <w:lang w:val="en-GB"/>
        </w:rPr>
      </w:pPr>
      <w:r w:rsidRPr="000F540A">
        <w:rPr>
          <w:rFonts w:asciiTheme="majorHAnsi" w:hAnsiTheme="majorHAnsi"/>
          <w:bCs/>
          <w:noProof/>
          <w:sz w:val="22"/>
          <w:szCs w:val="22"/>
        </w:rPr>
        <w:drawing>
          <wp:inline distT="0" distB="0" distL="0" distR="0" wp14:anchorId="7E485E83" wp14:editId="395EBAD5">
            <wp:extent cx="5705475" cy="3048000"/>
            <wp:effectExtent l="0" t="0" r="0" b="0"/>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D1F43" w:rsidRPr="000F540A" w:rsidRDefault="004D1F43" w:rsidP="000F540A">
      <w:pPr>
        <w:jc w:val="both"/>
        <w:rPr>
          <w:rFonts w:asciiTheme="majorHAnsi" w:hAnsiTheme="majorHAnsi"/>
          <w:b/>
          <w:i/>
          <w:sz w:val="22"/>
          <w:szCs w:val="22"/>
        </w:rPr>
      </w:pPr>
      <w:r w:rsidRPr="000F540A">
        <w:rPr>
          <w:rFonts w:asciiTheme="majorHAnsi" w:hAnsiTheme="majorHAnsi"/>
          <w:b/>
          <w:i/>
          <w:color w:val="632423" w:themeColor="accent2" w:themeShade="80"/>
          <w:sz w:val="22"/>
          <w:szCs w:val="22"/>
        </w:rPr>
        <w:t xml:space="preserve">      </w:t>
      </w:r>
      <w:r w:rsidRPr="000F540A">
        <w:rPr>
          <w:rFonts w:asciiTheme="majorHAnsi" w:hAnsiTheme="majorHAnsi"/>
          <w:b/>
          <w:sz w:val="22"/>
          <w:szCs w:val="22"/>
        </w:rPr>
        <w:t>Burimi:</w:t>
      </w:r>
      <w:r w:rsidRPr="000F540A">
        <w:rPr>
          <w:rFonts w:asciiTheme="majorHAnsi" w:hAnsiTheme="majorHAnsi"/>
          <w:b/>
          <w:i/>
          <w:sz w:val="22"/>
          <w:szCs w:val="22"/>
        </w:rPr>
        <w:t xml:space="preserve"> </w:t>
      </w:r>
      <w:r w:rsidRPr="000F540A">
        <w:rPr>
          <w:rFonts w:asciiTheme="majorHAnsi" w:hAnsiTheme="majorHAnsi"/>
          <w:i/>
          <w:sz w:val="22"/>
          <w:szCs w:val="22"/>
        </w:rPr>
        <w:t>Ministria e Financave</w:t>
      </w:r>
      <w:r w:rsidR="00B14D08" w:rsidRPr="000F540A">
        <w:rPr>
          <w:rFonts w:asciiTheme="majorHAnsi" w:hAnsiTheme="majorHAnsi"/>
          <w:i/>
          <w:sz w:val="22"/>
          <w:szCs w:val="22"/>
        </w:rPr>
        <w:t xml:space="preserve"> (2015)</w:t>
      </w:r>
    </w:p>
    <w:p w:rsidR="004D1F43" w:rsidRPr="000F540A" w:rsidRDefault="004D1F43" w:rsidP="000F540A">
      <w:pPr>
        <w:jc w:val="both"/>
        <w:rPr>
          <w:rFonts w:asciiTheme="majorHAnsi" w:hAnsiTheme="majorHAnsi"/>
          <w:i/>
          <w:sz w:val="22"/>
          <w:szCs w:val="22"/>
        </w:rPr>
      </w:pPr>
    </w:p>
    <w:p w:rsidR="004D1F43" w:rsidRPr="000F540A" w:rsidRDefault="004D1F43" w:rsidP="000F540A">
      <w:pPr>
        <w:jc w:val="both"/>
        <w:rPr>
          <w:rFonts w:asciiTheme="majorHAnsi" w:hAnsiTheme="majorHAnsi"/>
          <w:i/>
          <w:sz w:val="22"/>
          <w:szCs w:val="22"/>
        </w:rPr>
      </w:pPr>
    </w:p>
    <w:p w:rsidR="004D1F43" w:rsidRPr="000F540A" w:rsidRDefault="004D1F43" w:rsidP="000F540A">
      <w:pPr>
        <w:jc w:val="both"/>
        <w:rPr>
          <w:rFonts w:asciiTheme="majorHAnsi" w:hAnsiTheme="majorHAnsi"/>
          <w:i/>
          <w:sz w:val="22"/>
          <w:szCs w:val="22"/>
        </w:rPr>
      </w:pPr>
    </w:p>
    <w:p w:rsidR="009C2312" w:rsidRPr="000F540A" w:rsidRDefault="009C2312" w:rsidP="000F540A">
      <w:pPr>
        <w:ind w:right="-547"/>
        <w:jc w:val="both"/>
        <w:rPr>
          <w:rFonts w:asciiTheme="majorHAnsi" w:hAnsiTheme="majorHAnsi"/>
          <w:sz w:val="22"/>
          <w:szCs w:val="22"/>
          <w:lang w:val="sq-AL"/>
        </w:rPr>
      </w:pPr>
    </w:p>
    <w:p w:rsidR="00C81BF8" w:rsidRPr="000F540A" w:rsidRDefault="00C81BF8" w:rsidP="000F540A">
      <w:pPr>
        <w:tabs>
          <w:tab w:val="left" w:pos="2730"/>
        </w:tabs>
        <w:jc w:val="both"/>
        <w:rPr>
          <w:rFonts w:asciiTheme="majorHAnsi" w:hAnsiTheme="majorHAnsi"/>
          <w:sz w:val="22"/>
          <w:szCs w:val="22"/>
          <w:lang w:val="sq-AL"/>
        </w:rPr>
      </w:pPr>
    </w:p>
    <w:p w:rsidR="00C81BF8" w:rsidRPr="000F540A" w:rsidRDefault="00C81BF8" w:rsidP="000F540A">
      <w:pPr>
        <w:tabs>
          <w:tab w:val="left" w:pos="2730"/>
        </w:tabs>
        <w:jc w:val="both"/>
        <w:rPr>
          <w:rFonts w:asciiTheme="majorHAnsi" w:hAnsiTheme="majorHAnsi"/>
          <w:sz w:val="22"/>
          <w:szCs w:val="22"/>
          <w:lang w:val="sq-AL"/>
        </w:rPr>
      </w:pPr>
    </w:p>
    <w:p w:rsidR="00C81BF8" w:rsidRPr="000F540A" w:rsidRDefault="00C81BF8" w:rsidP="000F540A">
      <w:pPr>
        <w:tabs>
          <w:tab w:val="left" w:pos="2730"/>
        </w:tabs>
        <w:jc w:val="both"/>
        <w:rPr>
          <w:rFonts w:asciiTheme="majorHAnsi" w:hAnsiTheme="majorHAnsi"/>
          <w:sz w:val="22"/>
          <w:szCs w:val="22"/>
          <w:lang w:val="sq-AL"/>
        </w:rPr>
      </w:pPr>
    </w:p>
    <w:p w:rsidR="00C81BF8" w:rsidRDefault="00C81BF8"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p>
    <w:p w:rsidR="006F60FF" w:rsidRDefault="006F60FF" w:rsidP="000F540A">
      <w:pPr>
        <w:tabs>
          <w:tab w:val="left" w:pos="2730"/>
        </w:tabs>
        <w:jc w:val="both"/>
        <w:rPr>
          <w:rFonts w:asciiTheme="majorHAnsi" w:hAnsiTheme="majorHAnsi"/>
          <w:sz w:val="22"/>
          <w:szCs w:val="22"/>
          <w:lang w:val="sq-AL"/>
        </w:rPr>
      </w:pPr>
      <w:r>
        <w:rPr>
          <w:rFonts w:asciiTheme="majorHAnsi" w:hAnsiTheme="majorHAnsi"/>
          <w:sz w:val="22"/>
          <w:szCs w:val="22"/>
          <w:lang w:val="sq-AL"/>
        </w:rPr>
        <w:lastRenderedPageBreak/>
        <w:t>Shtojca: Efektet e Paketës Fiskale</w:t>
      </w:r>
    </w:p>
    <w:p w:rsidR="006F60FF" w:rsidRDefault="006F60FF" w:rsidP="000F540A">
      <w:pPr>
        <w:tabs>
          <w:tab w:val="left" w:pos="2730"/>
        </w:tabs>
        <w:jc w:val="both"/>
        <w:rPr>
          <w:rFonts w:asciiTheme="majorHAnsi" w:hAnsiTheme="majorHAnsi"/>
          <w:sz w:val="22"/>
          <w:szCs w:val="22"/>
          <w:lang w:val="sq-AL"/>
        </w:rPr>
      </w:pPr>
    </w:p>
    <w:tbl>
      <w:tblPr>
        <w:tblW w:w="10829" w:type="dxa"/>
        <w:tblInd w:w="-1065" w:type="dxa"/>
        <w:tblLayout w:type="fixed"/>
        <w:tblCellMar>
          <w:left w:w="0" w:type="dxa"/>
          <w:right w:w="0" w:type="dxa"/>
        </w:tblCellMar>
        <w:tblLook w:val="0600" w:firstRow="0" w:lastRow="0" w:firstColumn="0" w:lastColumn="0" w:noHBand="1" w:noVBand="1"/>
      </w:tblPr>
      <w:tblGrid>
        <w:gridCol w:w="1774"/>
        <w:gridCol w:w="1098"/>
        <w:gridCol w:w="1352"/>
        <w:gridCol w:w="1267"/>
        <w:gridCol w:w="1183"/>
        <w:gridCol w:w="2027"/>
        <w:gridCol w:w="2128"/>
      </w:tblGrid>
      <w:tr w:rsidR="006F60FF" w:rsidRPr="00A237A8" w:rsidTr="006F60FF">
        <w:trPr>
          <w:trHeight w:val="822"/>
        </w:trPr>
        <w:tc>
          <w:tcPr>
            <w:tcW w:w="1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AE19B0" w:rsidRDefault="006F60FF" w:rsidP="00AD0FD4">
            <w:pPr>
              <w:pStyle w:val="NoSpacing"/>
              <w:jc w:val="center"/>
              <w:rPr>
                <w:rFonts w:ascii="Times New Roman" w:hAnsi="Times New Roman" w:cs="Times New Roman"/>
                <w:b/>
                <w:szCs w:val="36"/>
              </w:rPr>
            </w:pPr>
            <w:r w:rsidRPr="00AE19B0">
              <w:rPr>
                <w:rFonts w:ascii="Times New Roman" w:hAnsi="Times New Roman" w:cs="Times New Roman"/>
                <w:b/>
              </w:rPr>
              <w:t>Masat</w:t>
            </w: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AE19B0" w:rsidRDefault="006F60FF" w:rsidP="00AD0FD4">
            <w:pPr>
              <w:pStyle w:val="NoSpacing"/>
              <w:jc w:val="center"/>
              <w:rPr>
                <w:rFonts w:ascii="Times New Roman" w:hAnsi="Times New Roman" w:cs="Times New Roman"/>
                <w:b/>
                <w:szCs w:val="36"/>
              </w:rPr>
            </w:pPr>
            <w:r w:rsidRPr="00AE19B0">
              <w:rPr>
                <w:rFonts w:ascii="Times New Roman" w:hAnsi="Times New Roman" w:cs="Times New Roman"/>
                <w:b/>
              </w:rPr>
              <w:t xml:space="preserve">Efekti i </w:t>
            </w:r>
            <w:r>
              <w:rPr>
                <w:rFonts w:ascii="Times New Roman" w:hAnsi="Times New Roman" w:cs="Times New Roman"/>
                <w:b/>
              </w:rPr>
              <w:t xml:space="preserve">parashikuar i </w:t>
            </w:r>
            <w:r w:rsidRPr="00AE19B0">
              <w:rPr>
                <w:rFonts w:ascii="Times New Roman" w:hAnsi="Times New Roman" w:cs="Times New Roman"/>
                <w:b/>
              </w:rPr>
              <w:t>paketës</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AE19B0" w:rsidRDefault="006F60FF" w:rsidP="00AD0FD4">
            <w:pPr>
              <w:pStyle w:val="NoSpacing"/>
              <w:jc w:val="center"/>
              <w:rPr>
                <w:rFonts w:ascii="Times New Roman" w:hAnsi="Times New Roman" w:cs="Times New Roman"/>
                <w:b/>
                <w:szCs w:val="36"/>
              </w:rPr>
            </w:pPr>
            <w:r w:rsidRPr="00AE19B0">
              <w:rPr>
                <w:rFonts w:ascii="Times New Roman" w:hAnsi="Times New Roman" w:cs="Times New Roman"/>
                <w:b/>
              </w:rPr>
              <w:t>Parashikimi i Buxhetit 2015</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AE19B0" w:rsidRDefault="006F60FF" w:rsidP="00AD0FD4">
            <w:pPr>
              <w:pStyle w:val="NoSpacing"/>
              <w:jc w:val="center"/>
              <w:rPr>
                <w:rFonts w:ascii="Times New Roman" w:hAnsi="Times New Roman" w:cs="Times New Roman"/>
                <w:b/>
                <w:szCs w:val="36"/>
              </w:rPr>
            </w:pPr>
            <w:r w:rsidRPr="00AE19B0">
              <w:rPr>
                <w:rFonts w:ascii="Times New Roman" w:hAnsi="Times New Roman" w:cs="Times New Roman"/>
                <w:b/>
              </w:rPr>
              <w:t>Diferenca Buxheti 2015/ Fakt 2014</w:t>
            </w:r>
          </w:p>
        </w:tc>
        <w:tc>
          <w:tcPr>
            <w:tcW w:w="1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AE19B0" w:rsidRDefault="006F60FF" w:rsidP="00AD0FD4">
            <w:pPr>
              <w:pStyle w:val="NoSpacing"/>
              <w:jc w:val="center"/>
              <w:rPr>
                <w:rFonts w:ascii="Times New Roman" w:hAnsi="Times New Roman" w:cs="Times New Roman"/>
                <w:b/>
                <w:szCs w:val="36"/>
              </w:rPr>
            </w:pPr>
            <w:r w:rsidRPr="00AE19B0">
              <w:rPr>
                <w:rFonts w:ascii="Times New Roman" w:hAnsi="Times New Roman" w:cs="Times New Roman"/>
                <w:b/>
                <w:lang w:val="pl-PL"/>
              </w:rPr>
              <w:t>Diferenca Fakt 2015/ Fakt 2014</w:t>
            </w:r>
          </w:p>
        </w:tc>
        <w:tc>
          <w:tcPr>
            <w:tcW w:w="20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AE19B0" w:rsidRDefault="006F60FF" w:rsidP="00AD0FD4">
            <w:pPr>
              <w:pStyle w:val="NoSpacing"/>
              <w:jc w:val="center"/>
              <w:rPr>
                <w:rFonts w:ascii="Times New Roman" w:hAnsi="Times New Roman" w:cs="Times New Roman"/>
                <w:b/>
                <w:szCs w:val="36"/>
              </w:rPr>
            </w:pPr>
            <w:r w:rsidRPr="00AE19B0">
              <w:rPr>
                <w:rFonts w:ascii="Times New Roman" w:hAnsi="Times New Roman" w:cs="Times New Roman"/>
                <w:b/>
              </w:rPr>
              <w:t>Faktorët</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AE19B0" w:rsidRDefault="006F60FF" w:rsidP="00AD0FD4">
            <w:pPr>
              <w:pStyle w:val="NoSpacing"/>
              <w:jc w:val="center"/>
              <w:rPr>
                <w:rFonts w:ascii="Times New Roman" w:hAnsi="Times New Roman" w:cs="Times New Roman"/>
                <w:b/>
                <w:szCs w:val="36"/>
              </w:rPr>
            </w:pPr>
            <w:r w:rsidRPr="00AE19B0">
              <w:rPr>
                <w:rFonts w:ascii="Times New Roman" w:hAnsi="Times New Roman" w:cs="Times New Roman"/>
                <w:b/>
              </w:rPr>
              <w:t>Efektet</w:t>
            </w:r>
          </w:p>
        </w:tc>
      </w:tr>
      <w:tr w:rsidR="006F60FF" w:rsidRPr="00A237A8" w:rsidTr="006F60FF">
        <w:trPr>
          <w:trHeight w:val="44"/>
        </w:trPr>
        <w:tc>
          <w:tcPr>
            <w:tcW w:w="1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r>
              <w:rPr>
                <w:color w:val="000000" w:themeColor="text1"/>
                <w:kern w:val="24"/>
                <w:sz w:val="20"/>
                <w:szCs w:val="20"/>
              </w:rPr>
              <w:t>Rritja e TAP (Tatim</w:t>
            </w:r>
            <w:r w:rsidRPr="00E46F00">
              <w:rPr>
                <w:color w:val="000000" w:themeColor="text1"/>
                <w:kern w:val="24"/>
                <w:sz w:val="20"/>
                <w:szCs w:val="20"/>
              </w:rPr>
              <w:t>i mbi të ardhurat personale) nga 10</w:t>
            </w:r>
            <w:proofErr w:type="gramStart"/>
            <w:r w:rsidRPr="00E46F00">
              <w:rPr>
                <w:color w:val="000000" w:themeColor="text1"/>
                <w:kern w:val="24"/>
                <w:sz w:val="20"/>
                <w:szCs w:val="20"/>
              </w:rPr>
              <w:t>%</w:t>
            </w:r>
            <w:r>
              <w:rPr>
                <w:color w:val="000000" w:themeColor="text1"/>
                <w:kern w:val="24"/>
                <w:sz w:val="20"/>
                <w:szCs w:val="20"/>
              </w:rPr>
              <w:t xml:space="preserve"> </w:t>
            </w:r>
            <w:r w:rsidRPr="00E46F00">
              <w:rPr>
                <w:color w:val="000000" w:themeColor="text1"/>
                <w:kern w:val="24"/>
                <w:sz w:val="20"/>
                <w:szCs w:val="20"/>
              </w:rPr>
              <w:t xml:space="preserve"> në</w:t>
            </w:r>
            <w:proofErr w:type="gramEnd"/>
            <w:r w:rsidRPr="00E46F00">
              <w:rPr>
                <w:color w:val="000000" w:themeColor="text1"/>
                <w:kern w:val="24"/>
                <w:sz w:val="20"/>
                <w:szCs w:val="20"/>
              </w:rPr>
              <w:t xml:space="preserve"> 15%.                                    Komponentët që ndryshuan: tatimi </w:t>
            </w:r>
            <w:r>
              <w:rPr>
                <w:color w:val="000000" w:themeColor="text1"/>
                <w:kern w:val="24"/>
                <w:sz w:val="20"/>
                <w:szCs w:val="20"/>
              </w:rPr>
              <w:t xml:space="preserve">          </w:t>
            </w:r>
            <w:r w:rsidRPr="00E46F00">
              <w:rPr>
                <w:color w:val="000000" w:themeColor="text1"/>
                <w:kern w:val="24"/>
                <w:sz w:val="20"/>
                <w:szCs w:val="20"/>
              </w:rPr>
              <w:t xml:space="preserve">mbi dividentin, interesat nga huatë, depozitat </w:t>
            </w:r>
            <w:proofErr w:type="gramStart"/>
            <w:r w:rsidRPr="00E46F00">
              <w:rPr>
                <w:color w:val="000000" w:themeColor="text1"/>
                <w:kern w:val="24"/>
                <w:sz w:val="20"/>
                <w:szCs w:val="20"/>
              </w:rPr>
              <w:t xml:space="preserve">ose </w:t>
            </w:r>
            <w:r>
              <w:rPr>
                <w:color w:val="000000" w:themeColor="text1"/>
                <w:kern w:val="24"/>
                <w:sz w:val="20"/>
                <w:szCs w:val="20"/>
              </w:rPr>
              <w:t xml:space="preserve"> </w:t>
            </w:r>
            <w:r w:rsidRPr="00E46F00">
              <w:rPr>
                <w:color w:val="000000" w:themeColor="text1"/>
                <w:kern w:val="24"/>
                <w:sz w:val="20"/>
                <w:szCs w:val="20"/>
              </w:rPr>
              <w:t>kontratat</w:t>
            </w:r>
            <w:proofErr w:type="gramEnd"/>
            <w:r w:rsidRPr="00E46F00">
              <w:rPr>
                <w:color w:val="000000" w:themeColor="text1"/>
                <w:kern w:val="24"/>
                <w:sz w:val="20"/>
                <w:szCs w:val="20"/>
              </w:rPr>
              <w:t xml:space="preserve"> e </w:t>
            </w:r>
            <w:r>
              <w:rPr>
                <w:color w:val="000000" w:themeColor="text1"/>
                <w:kern w:val="24"/>
                <w:sz w:val="20"/>
                <w:szCs w:val="20"/>
              </w:rPr>
              <w:t xml:space="preserve">             </w:t>
            </w:r>
            <w:r w:rsidRPr="00E46F00">
              <w:rPr>
                <w:color w:val="000000" w:themeColor="text1"/>
                <w:kern w:val="24"/>
                <w:sz w:val="20"/>
                <w:szCs w:val="20"/>
              </w:rPr>
              <w:t xml:space="preserve">ngjashme, të </w:t>
            </w:r>
            <w:r>
              <w:rPr>
                <w:color w:val="000000" w:themeColor="text1"/>
                <w:kern w:val="24"/>
                <w:sz w:val="20"/>
                <w:szCs w:val="20"/>
              </w:rPr>
              <w:t xml:space="preserve">          </w:t>
            </w:r>
            <w:r w:rsidRPr="00E46F00">
              <w:rPr>
                <w:color w:val="000000" w:themeColor="text1"/>
                <w:kern w:val="24"/>
                <w:sz w:val="20"/>
                <w:szCs w:val="20"/>
              </w:rPr>
              <w:t xml:space="preserve">ardhurat nga e drejta </w:t>
            </w:r>
            <w:r>
              <w:rPr>
                <w:color w:val="000000" w:themeColor="text1"/>
                <w:kern w:val="24"/>
                <w:sz w:val="20"/>
                <w:szCs w:val="20"/>
              </w:rPr>
              <w:t xml:space="preserve">         </w:t>
            </w:r>
            <w:r w:rsidRPr="00E46F00">
              <w:rPr>
                <w:color w:val="000000" w:themeColor="text1"/>
                <w:kern w:val="24"/>
                <w:sz w:val="20"/>
                <w:szCs w:val="20"/>
              </w:rPr>
              <w:t>e autorit ose pronësia intelektuale, qiraja,</w:t>
            </w:r>
            <w:r>
              <w:rPr>
                <w:color w:val="000000" w:themeColor="text1"/>
                <w:kern w:val="24"/>
                <w:sz w:val="20"/>
                <w:szCs w:val="20"/>
              </w:rPr>
              <w:t xml:space="preserve">            </w:t>
            </w:r>
            <w:r w:rsidRPr="00E46F00">
              <w:rPr>
                <w:color w:val="000000" w:themeColor="text1"/>
                <w:kern w:val="24"/>
                <w:sz w:val="20"/>
                <w:szCs w:val="20"/>
              </w:rPr>
              <w:t xml:space="preserve"> të ardhurat nga lojrat</w:t>
            </w:r>
            <w:r>
              <w:rPr>
                <w:color w:val="000000" w:themeColor="text1"/>
                <w:kern w:val="24"/>
                <w:sz w:val="20"/>
                <w:szCs w:val="20"/>
              </w:rPr>
              <w:t xml:space="preserve">   </w:t>
            </w:r>
            <w:r w:rsidRPr="00E46F00">
              <w:rPr>
                <w:color w:val="000000" w:themeColor="text1"/>
                <w:kern w:val="24"/>
                <w:sz w:val="20"/>
                <w:szCs w:val="20"/>
              </w:rPr>
              <w:t xml:space="preserve"> e fatit, si dhe të gjitha shpërblimet ose të ardhurat e tjera. </w:t>
            </w:r>
          </w:p>
          <w:p w:rsidR="006F60FF" w:rsidRDefault="006F60FF" w:rsidP="00AD0FD4">
            <w:pPr>
              <w:textAlignment w:val="center"/>
              <w:rPr>
                <w:color w:val="000000" w:themeColor="text1"/>
                <w:kern w:val="24"/>
                <w:sz w:val="20"/>
                <w:szCs w:val="20"/>
              </w:rPr>
            </w:pPr>
          </w:p>
          <w:p w:rsidR="006F60FF" w:rsidRDefault="006F60FF" w:rsidP="00AD0FD4">
            <w:pPr>
              <w:textAlignment w:val="center"/>
              <w:rPr>
                <w:sz w:val="20"/>
                <w:szCs w:val="20"/>
              </w:rPr>
            </w:pPr>
          </w:p>
          <w:p w:rsidR="006F60FF" w:rsidRDefault="006F60FF" w:rsidP="00AD0FD4">
            <w:pPr>
              <w:textAlignment w:val="center"/>
              <w:rPr>
                <w:sz w:val="20"/>
                <w:szCs w:val="20"/>
              </w:rPr>
            </w:pPr>
          </w:p>
          <w:p w:rsidR="006F60FF" w:rsidRDefault="006F60FF" w:rsidP="00AD0FD4">
            <w:pPr>
              <w:textAlignment w:val="center"/>
              <w:rPr>
                <w:sz w:val="20"/>
                <w:szCs w:val="20"/>
              </w:rPr>
            </w:pPr>
          </w:p>
          <w:p w:rsidR="006F60FF" w:rsidRDefault="006F60FF" w:rsidP="00AD0FD4">
            <w:pPr>
              <w:textAlignment w:val="center"/>
              <w:rPr>
                <w:sz w:val="20"/>
                <w:szCs w:val="20"/>
              </w:rPr>
            </w:pPr>
          </w:p>
          <w:p w:rsidR="006F60FF" w:rsidRDefault="006F60FF" w:rsidP="00AD0FD4">
            <w:pPr>
              <w:textAlignment w:val="center"/>
              <w:rPr>
                <w:sz w:val="20"/>
                <w:szCs w:val="20"/>
              </w:rPr>
            </w:pPr>
          </w:p>
          <w:p w:rsidR="006F60FF" w:rsidRDefault="006F60FF" w:rsidP="00AD0FD4">
            <w:pPr>
              <w:textAlignment w:val="center"/>
              <w:rPr>
                <w:sz w:val="20"/>
                <w:szCs w:val="20"/>
              </w:rPr>
            </w:pPr>
          </w:p>
          <w:p w:rsidR="006F60FF" w:rsidRPr="00E46F00" w:rsidRDefault="006F60FF" w:rsidP="00AD0FD4">
            <w:pPr>
              <w:textAlignment w:val="center"/>
              <w:rPr>
                <w:sz w:val="20"/>
                <w:szCs w:val="20"/>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lang w:val="pl-PL"/>
              </w:rPr>
              <w:t>Efekti neto</w:t>
            </w:r>
            <w:r>
              <w:rPr>
                <w:color w:val="000000" w:themeColor="text1"/>
                <w:kern w:val="24"/>
                <w:sz w:val="20"/>
                <w:szCs w:val="20"/>
                <w:lang w:val="pl-PL"/>
              </w:rPr>
              <w:t xml:space="preserve">   </w:t>
            </w:r>
            <w:r w:rsidRPr="00E46F00">
              <w:rPr>
                <w:color w:val="000000" w:themeColor="text1"/>
                <w:kern w:val="24"/>
                <w:sz w:val="20"/>
                <w:szCs w:val="20"/>
                <w:lang w:val="pl-PL"/>
              </w:rPr>
              <w:t xml:space="preserve"> 5 miliard lekë</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31.803 miliard lekë</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+2.9 miliard lekë</w:t>
            </w:r>
          </w:p>
        </w:tc>
        <w:tc>
          <w:tcPr>
            <w:tcW w:w="1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+418 milion lekë</w:t>
            </w:r>
          </w:p>
        </w:tc>
        <w:tc>
          <w:tcPr>
            <w:tcW w:w="20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6F60FF" w:rsidRPr="00E46F00" w:rsidRDefault="006F60FF" w:rsidP="00AD0FD4">
            <w:pPr>
              <w:textAlignment w:val="bottom"/>
              <w:rPr>
                <w:rFonts w:ascii="Arial" w:hAnsi="Arial" w:cs="Arial"/>
                <w:sz w:val="36"/>
                <w:szCs w:val="36"/>
              </w:rPr>
            </w:pPr>
            <w:r w:rsidRPr="00A237A8">
              <w:rPr>
                <w:noProof/>
              </w:rPr>
              <mc:AlternateContent>
                <mc:Choice Requires="wps">
                  <w:drawing>
                    <wp:anchor distT="0" distB="0" distL="114300" distR="114300" simplePos="0" relativeHeight="251660288" behindDoc="0" locked="0" layoutInCell="1" allowOverlap="1" wp14:anchorId="2386DAA4" wp14:editId="077E906F">
                      <wp:simplePos x="0" y="0"/>
                      <wp:positionH relativeFrom="column">
                        <wp:posOffset>0</wp:posOffset>
                      </wp:positionH>
                      <wp:positionV relativeFrom="paragraph">
                        <wp:posOffset>71120</wp:posOffset>
                      </wp:positionV>
                      <wp:extent cx="1362075" cy="7734300"/>
                      <wp:effectExtent l="0" t="0" r="28575" b="19050"/>
                      <wp:wrapNone/>
                      <wp:docPr id="1" name="TextBox 1"/>
                      <wp:cNvGraphicFramePr/>
                      <a:graphic xmlns:a="http://schemas.openxmlformats.org/drawingml/2006/main">
                        <a:graphicData uri="http://schemas.microsoft.com/office/word/2010/wordprocessingShape">
                          <wps:wsp>
                            <wps:cNvSpPr txBox="1"/>
                            <wps:spPr>
                              <a:xfrm>
                                <a:off x="0" y="0"/>
                                <a:ext cx="1362075" cy="7734300"/>
                              </a:xfrm>
                              <a:prstGeom prst="rect">
                                <a:avLst/>
                              </a:prstGeom>
                              <a:noFill/>
                              <a:ln w="9525" cmpd="sng">
                                <a:solidFill>
                                  <a:schemeClr val="bg1"/>
                                </a:solidFill>
                              </a:ln>
                            </wps:spPr>
                            <wps:style>
                              <a:lnRef idx="0">
                                <a:scrgbClr r="0" g="0" b="0"/>
                              </a:lnRef>
                              <a:fillRef idx="0">
                                <a:scrgbClr r="0" g="0" b="0"/>
                              </a:fillRef>
                              <a:effectRef idx="0">
                                <a:scrgbClr r="0" g="0" b="0"/>
                              </a:effectRef>
                              <a:fontRef idx="minor">
                                <a:schemeClr val="dk1"/>
                              </a:fontRef>
                            </wps:style>
                            <wps:txbx>
                              <w:txbxContent>
                                <w:p w:rsidR="006F60FF" w:rsidRPr="00D853A0" w:rsidRDefault="006F60FF" w:rsidP="006F60FF">
                                  <w:pPr>
                                    <w:pStyle w:val="NormalWeb"/>
                                    <w:spacing w:before="0" w:beforeAutospacing="0" w:after="0" w:afterAutospacing="0"/>
                                    <w:rPr>
                                      <w:color w:val="000000" w:themeColor="dark1"/>
                                      <w:sz w:val="20"/>
                                      <w:szCs w:val="20"/>
                                    </w:rPr>
                                  </w:pPr>
                                  <w:proofErr w:type="gramStart"/>
                                  <w:r w:rsidRPr="00D853A0">
                                    <w:rPr>
                                      <w:color w:val="000000" w:themeColor="dark1"/>
                                      <w:sz w:val="20"/>
                                      <w:szCs w:val="20"/>
                                    </w:rPr>
                                    <w:t>Nisja e fushatës kundra informalitetit.</w:t>
                                  </w:r>
                                  <w:proofErr w:type="gramEnd"/>
                                  <w:r w:rsidRPr="00D853A0">
                                    <w:rPr>
                                      <w:color w:val="000000" w:themeColor="dark1"/>
                                      <w:sz w:val="20"/>
                                      <w:szCs w:val="20"/>
                                    </w:rPr>
                                    <w:t xml:space="preserve"> </w:t>
                                  </w: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sz w:val="20"/>
                                      <w:szCs w:val="20"/>
                                    </w:rPr>
                                  </w:pP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 xml:space="preserve">Mangësitë në parashikimin e </w:t>
                                  </w:r>
                                  <w:proofErr w:type="gramStart"/>
                                  <w:r w:rsidRPr="00D853A0">
                                    <w:rPr>
                                      <w:color w:val="000000" w:themeColor="dark1"/>
                                      <w:sz w:val="20"/>
                                      <w:szCs w:val="20"/>
                                    </w:rPr>
                                    <w:t>efekteve  në</w:t>
                                  </w:r>
                                  <w:proofErr w:type="gramEnd"/>
                                  <w:r w:rsidRPr="00D853A0">
                                    <w:rPr>
                                      <w:color w:val="000000" w:themeColor="dark1"/>
                                      <w:sz w:val="20"/>
                                      <w:szCs w:val="20"/>
                                    </w:rPr>
                                    <w:t xml:space="preserve"> buxhet të kësaj mase fiskale.</w:t>
                                  </w:r>
                                </w:p>
                                <w:p w:rsidR="006F60FF" w:rsidRPr="00D853A0" w:rsidRDefault="006F60FF" w:rsidP="006F60FF">
                                  <w:pPr>
                                    <w:pStyle w:val="NormalWeb"/>
                                    <w:spacing w:before="0" w:beforeAutospacing="0" w:after="0" w:afterAutospacing="0"/>
                                    <w:rPr>
                                      <w:sz w:val="20"/>
                                      <w:szCs w:val="20"/>
                                    </w:rPr>
                                  </w:pP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 xml:space="preserve">Rritja e PBB në vitin 2015 më pak se parashikimi (kuadri korrikut 2.7%, kuadri më i </w:t>
                                  </w:r>
                                  <w:proofErr w:type="gramStart"/>
                                  <w:r w:rsidRPr="00D853A0">
                                    <w:rPr>
                                      <w:color w:val="000000" w:themeColor="dark1"/>
                                      <w:sz w:val="20"/>
                                      <w:szCs w:val="20"/>
                                    </w:rPr>
                                    <w:t>fundit  2.6</w:t>
                                  </w:r>
                                  <w:proofErr w:type="gramEnd"/>
                                  <w:r w:rsidRPr="00D853A0">
                                    <w:rPr>
                                      <w:color w:val="000000" w:themeColor="dark1"/>
                                      <w:sz w:val="20"/>
                                      <w:szCs w:val="20"/>
                                    </w:rPr>
                                    <w:t>%)</w:t>
                                  </w:r>
                                </w:p>
                                <w:p w:rsidR="006F60FF" w:rsidRPr="00D853A0" w:rsidRDefault="006F60FF" w:rsidP="006F60FF">
                                  <w:pPr>
                                    <w:pStyle w:val="NormalWeb"/>
                                    <w:spacing w:before="0" w:beforeAutospacing="0" w:after="0" w:afterAutospacing="0"/>
                                    <w:rPr>
                                      <w:sz w:val="20"/>
                                      <w:szCs w:val="20"/>
                                    </w:rPr>
                                  </w:pP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 xml:space="preserve">Rënia e normave të interesit në minimum </w:t>
                                  </w:r>
                                </w:p>
                                <w:p w:rsidR="006F60FF" w:rsidRPr="00D853A0" w:rsidRDefault="006F60FF" w:rsidP="006F60FF">
                                  <w:pPr>
                                    <w:pStyle w:val="NormalWeb"/>
                                    <w:spacing w:before="0" w:beforeAutospacing="0" w:after="0" w:afterAutospacing="0"/>
                                    <w:rPr>
                                      <w:color w:val="000000" w:themeColor="dark1"/>
                                      <w:sz w:val="20"/>
                                      <w:szCs w:val="20"/>
                                    </w:rPr>
                                  </w:pPr>
                                  <w:proofErr w:type="gramStart"/>
                                  <w:r w:rsidRPr="00D853A0">
                                    <w:rPr>
                                      <w:color w:val="000000" w:themeColor="dark1"/>
                                      <w:sz w:val="20"/>
                                      <w:szCs w:val="20"/>
                                    </w:rPr>
                                    <w:t>gjatë</w:t>
                                  </w:r>
                                  <w:proofErr w:type="gramEnd"/>
                                  <w:r w:rsidRPr="00D853A0">
                                    <w:rPr>
                                      <w:color w:val="000000" w:themeColor="dark1"/>
                                      <w:sz w:val="20"/>
                                      <w:szCs w:val="20"/>
                                    </w:rPr>
                                    <w:t xml:space="preserve"> vitit 2015 (Janar- Tetor 2%, Nëntor-Dhjetor 1.75%).</w:t>
                                  </w:r>
                                </w:p>
                                <w:p w:rsidR="006F60FF" w:rsidRPr="00D853A0" w:rsidRDefault="006F60FF" w:rsidP="006F60FF">
                                  <w:pPr>
                                    <w:pStyle w:val="NormalWeb"/>
                                    <w:spacing w:before="0" w:beforeAutospacing="0" w:after="0" w:afterAutospacing="0"/>
                                    <w:rPr>
                                      <w:sz w:val="20"/>
                                      <w:szCs w:val="20"/>
                                    </w:rPr>
                                  </w:pP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Shpërndarja e ulët e dividentëve gjatë vitit 2015, si pasojë e shpërndarjes së tyre në Dhjetor 2014 pas miratimit të paketës fiskale 2015, dhe  rritjes së investimeve nga ana e kompanive gjatë vitit 2015.</w:t>
                                  </w:r>
                                </w:p>
                                <w:p w:rsidR="006F60FF" w:rsidRPr="00D853A0" w:rsidRDefault="006F60FF" w:rsidP="006F60FF">
                                  <w:pPr>
                                    <w:pStyle w:val="NormalWeb"/>
                                    <w:spacing w:before="0" w:beforeAutospacing="0" w:after="0" w:afterAutospacing="0"/>
                                    <w:rPr>
                                      <w:sz w:val="20"/>
                                      <w:szCs w:val="20"/>
                                    </w:rPr>
                                  </w:pPr>
                                </w:p>
                                <w:p w:rsidR="006F60FF" w:rsidRPr="00D853A0" w:rsidRDefault="006F60FF" w:rsidP="006F60FF">
                                  <w:pPr>
                                    <w:pStyle w:val="NormalWeb"/>
                                    <w:spacing w:before="0" w:beforeAutospacing="0" w:after="0" w:afterAutospacing="0"/>
                                    <w:rPr>
                                      <w:sz w:val="20"/>
                                      <w:szCs w:val="20"/>
                                    </w:rPr>
                                  </w:pPr>
                                  <w:r w:rsidRPr="00D853A0">
                                    <w:rPr>
                                      <w:color w:val="000000" w:themeColor="dark1"/>
                                      <w:sz w:val="20"/>
                                      <w:szCs w:val="20"/>
                                    </w:rPr>
                                    <w:t xml:space="preserve">Rënia e aktivitetit në disa sektorë specifik si ndërtimi (krahasuar me </w:t>
                                  </w:r>
                                  <w:proofErr w:type="gramStart"/>
                                  <w:r w:rsidRPr="00D853A0">
                                    <w:rPr>
                                      <w:color w:val="000000" w:themeColor="dark1"/>
                                      <w:sz w:val="20"/>
                                      <w:szCs w:val="20"/>
                                    </w:rPr>
                                    <w:t>vitin  2014</w:t>
                                  </w:r>
                                  <w:proofErr w:type="gramEnd"/>
                                  <w:r w:rsidRPr="00D853A0">
                                    <w:rPr>
                                      <w:color w:val="000000" w:themeColor="dark1"/>
                                      <w:sz w:val="20"/>
                                      <w:szCs w:val="20"/>
                                    </w:rPr>
                                    <w:t xml:space="preserve"> kontributi i këtij sektori në të ardhurat tatimore pëso</w:t>
                                  </w:r>
                                  <w:r>
                                    <w:rPr>
                                      <w:color w:val="000000" w:themeColor="dark1"/>
                                      <w:sz w:val="20"/>
                                      <w:szCs w:val="20"/>
                                    </w:rPr>
                                    <w:t xml:space="preserve">i rënie nga 9%  </w:t>
                                  </w:r>
                                  <w:r w:rsidRPr="00D853A0">
                                    <w:rPr>
                                      <w:color w:val="000000" w:themeColor="dark1"/>
                                      <w:sz w:val="20"/>
                                      <w:szCs w:val="20"/>
                                    </w:rPr>
                                    <w:t>në 7.5%).</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0;margin-top:5.6pt;width:107.25pt;height:6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" filled="f" strokecolor="white [3212]">
                      <v:textbox>
                        <w:txbxContent>
                          <w:p w:rsidR="006F60FF" w:rsidRPr="00D853A0" w:rsidRDefault="006F60FF" w:rsidP="006F60FF">
                            <w:pPr>
                              <w:pStyle w:val="NormalWeb"/>
                              <w:spacing w:before="0" w:beforeAutospacing="0" w:after="0" w:afterAutospacing="0"/>
                              <w:rPr>
                                <w:color w:val="000000" w:themeColor="dark1"/>
                                <w:sz w:val="20"/>
                                <w:szCs w:val="20"/>
                              </w:rPr>
                            </w:pPr>
                            <w:proofErr w:type="gramStart"/>
                            <w:r w:rsidRPr="00D853A0">
                              <w:rPr>
                                <w:color w:val="000000" w:themeColor="dark1"/>
                                <w:sz w:val="20"/>
                                <w:szCs w:val="20"/>
                              </w:rPr>
                              <w:t>Nisja e fushatës kundra informalitetit.</w:t>
                            </w:r>
                            <w:proofErr w:type="gramEnd"/>
                            <w:r w:rsidRPr="00D853A0">
                              <w:rPr>
                                <w:color w:val="000000" w:themeColor="dark1"/>
                                <w:sz w:val="20"/>
                                <w:szCs w:val="20"/>
                              </w:rPr>
                              <w:t xml:space="preserve"> </w:t>
                            </w: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sz w:val="20"/>
                                <w:szCs w:val="20"/>
                              </w:rPr>
                            </w:pP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 xml:space="preserve">Mangësitë në parashikimin e </w:t>
                            </w:r>
                            <w:proofErr w:type="gramStart"/>
                            <w:r w:rsidRPr="00D853A0">
                              <w:rPr>
                                <w:color w:val="000000" w:themeColor="dark1"/>
                                <w:sz w:val="20"/>
                                <w:szCs w:val="20"/>
                              </w:rPr>
                              <w:t>efekteve  në</w:t>
                            </w:r>
                            <w:proofErr w:type="gramEnd"/>
                            <w:r w:rsidRPr="00D853A0">
                              <w:rPr>
                                <w:color w:val="000000" w:themeColor="dark1"/>
                                <w:sz w:val="20"/>
                                <w:szCs w:val="20"/>
                              </w:rPr>
                              <w:t xml:space="preserve"> buxhet të kësaj mase fiskale.</w:t>
                            </w:r>
                          </w:p>
                          <w:p w:rsidR="006F60FF" w:rsidRPr="00D853A0" w:rsidRDefault="006F60FF" w:rsidP="006F60FF">
                            <w:pPr>
                              <w:pStyle w:val="NormalWeb"/>
                              <w:spacing w:before="0" w:beforeAutospacing="0" w:after="0" w:afterAutospacing="0"/>
                              <w:rPr>
                                <w:sz w:val="20"/>
                                <w:szCs w:val="20"/>
                              </w:rPr>
                            </w:pP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 xml:space="preserve">Rritja e PBB në vitin 2015 më pak se parashikimi (kuadri korrikut 2.7%, kuadri më i </w:t>
                            </w:r>
                            <w:proofErr w:type="gramStart"/>
                            <w:r w:rsidRPr="00D853A0">
                              <w:rPr>
                                <w:color w:val="000000" w:themeColor="dark1"/>
                                <w:sz w:val="20"/>
                                <w:szCs w:val="20"/>
                              </w:rPr>
                              <w:t>fundit  2.6</w:t>
                            </w:r>
                            <w:proofErr w:type="gramEnd"/>
                            <w:r w:rsidRPr="00D853A0">
                              <w:rPr>
                                <w:color w:val="000000" w:themeColor="dark1"/>
                                <w:sz w:val="20"/>
                                <w:szCs w:val="20"/>
                              </w:rPr>
                              <w:t>%)</w:t>
                            </w:r>
                          </w:p>
                          <w:p w:rsidR="006F60FF" w:rsidRPr="00D853A0" w:rsidRDefault="006F60FF" w:rsidP="006F60FF">
                            <w:pPr>
                              <w:pStyle w:val="NormalWeb"/>
                              <w:spacing w:before="0" w:beforeAutospacing="0" w:after="0" w:afterAutospacing="0"/>
                              <w:rPr>
                                <w:sz w:val="20"/>
                                <w:szCs w:val="20"/>
                              </w:rPr>
                            </w:pP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 xml:space="preserve">Rënia e normave të interesit në minimum </w:t>
                            </w:r>
                          </w:p>
                          <w:p w:rsidR="006F60FF" w:rsidRPr="00D853A0" w:rsidRDefault="006F60FF" w:rsidP="006F60FF">
                            <w:pPr>
                              <w:pStyle w:val="NormalWeb"/>
                              <w:spacing w:before="0" w:beforeAutospacing="0" w:after="0" w:afterAutospacing="0"/>
                              <w:rPr>
                                <w:color w:val="000000" w:themeColor="dark1"/>
                                <w:sz w:val="20"/>
                                <w:szCs w:val="20"/>
                              </w:rPr>
                            </w:pPr>
                            <w:proofErr w:type="gramStart"/>
                            <w:r w:rsidRPr="00D853A0">
                              <w:rPr>
                                <w:color w:val="000000" w:themeColor="dark1"/>
                                <w:sz w:val="20"/>
                                <w:szCs w:val="20"/>
                              </w:rPr>
                              <w:t>gjatë</w:t>
                            </w:r>
                            <w:proofErr w:type="gramEnd"/>
                            <w:r w:rsidRPr="00D853A0">
                              <w:rPr>
                                <w:color w:val="000000" w:themeColor="dark1"/>
                                <w:sz w:val="20"/>
                                <w:szCs w:val="20"/>
                              </w:rPr>
                              <w:t xml:space="preserve"> vitit 2015 (Janar- Tetor 2%, Nëntor-Dhjetor 1.75%).</w:t>
                            </w:r>
                          </w:p>
                          <w:p w:rsidR="006F60FF" w:rsidRPr="00D853A0" w:rsidRDefault="006F60FF" w:rsidP="006F60FF">
                            <w:pPr>
                              <w:pStyle w:val="NormalWeb"/>
                              <w:spacing w:before="0" w:beforeAutospacing="0" w:after="0" w:afterAutospacing="0"/>
                              <w:rPr>
                                <w:sz w:val="20"/>
                                <w:szCs w:val="20"/>
                              </w:rPr>
                            </w:pP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Shpërndarja e ulët e dividentëve gjatë vitit 2015, si pasojë e shpërndarjes së tyre në Dhjetor 2014 pas miratimit të paketës fiskale 2015, dhe  rritjes së investimeve nga ana e kompanive gjatë vitit 2015.</w:t>
                            </w:r>
                          </w:p>
                          <w:p w:rsidR="006F60FF" w:rsidRPr="00D853A0" w:rsidRDefault="006F60FF" w:rsidP="006F60FF">
                            <w:pPr>
                              <w:pStyle w:val="NormalWeb"/>
                              <w:spacing w:before="0" w:beforeAutospacing="0" w:after="0" w:afterAutospacing="0"/>
                              <w:rPr>
                                <w:sz w:val="20"/>
                                <w:szCs w:val="20"/>
                              </w:rPr>
                            </w:pPr>
                          </w:p>
                          <w:p w:rsidR="006F60FF" w:rsidRPr="00D853A0" w:rsidRDefault="006F60FF" w:rsidP="006F60FF">
                            <w:pPr>
                              <w:pStyle w:val="NormalWeb"/>
                              <w:spacing w:before="0" w:beforeAutospacing="0" w:after="0" w:afterAutospacing="0"/>
                              <w:rPr>
                                <w:sz w:val="20"/>
                                <w:szCs w:val="20"/>
                              </w:rPr>
                            </w:pPr>
                            <w:r w:rsidRPr="00D853A0">
                              <w:rPr>
                                <w:color w:val="000000" w:themeColor="dark1"/>
                                <w:sz w:val="20"/>
                                <w:szCs w:val="20"/>
                              </w:rPr>
                              <w:t xml:space="preserve">Rënia e aktivitetit në disa sektorë specifik si ndërtimi (krahasuar me </w:t>
                            </w:r>
                            <w:proofErr w:type="gramStart"/>
                            <w:r w:rsidRPr="00D853A0">
                              <w:rPr>
                                <w:color w:val="000000" w:themeColor="dark1"/>
                                <w:sz w:val="20"/>
                                <w:szCs w:val="20"/>
                              </w:rPr>
                              <w:t>vitin  2014</w:t>
                            </w:r>
                            <w:proofErr w:type="gramEnd"/>
                            <w:r w:rsidRPr="00D853A0">
                              <w:rPr>
                                <w:color w:val="000000" w:themeColor="dark1"/>
                                <w:sz w:val="20"/>
                                <w:szCs w:val="20"/>
                              </w:rPr>
                              <w:t xml:space="preserve"> kontributi i këtij sektori në të ardhurat tatimore pëso</w:t>
                            </w:r>
                            <w:r>
                              <w:rPr>
                                <w:color w:val="000000" w:themeColor="dark1"/>
                                <w:sz w:val="20"/>
                                <w:szCs w:val="20"/>
                              </w:rPr>
                              <w:t xml:space="preserve">i rënie nga 9%  </w:t>
                            </w:r>
                            <w:r w:rsidRPr="00D853A0">
                              <w:rPr>
                                <w:color w:val="000000" w:themeColor="dark1"/>
                                <w:sz w:val="20"/>
                                <w:szCs w:val="20"/>
                              </w:rPr>
                              <w:t>në 7.5%).</w:t>
                            </w:r>
                          </w:p>
                        </w:txbxContent>
                      </v:textbox>
                    </v:shape>
                  </w:pict>
                </mc:Fallback>
              </mc:AlternateContent>
            </w:r>
            <w:r w:rsidRPr="00A237A8">
              <w:rPr>
                <w:noProof/>
              </w:rPr>
              <mc:AlternateContent>
                <mc:Choice Requires="wps">
                  <w:drawing>
                    <wp:anchor distT="0" distB="0" distL="114300" distR="114300" simplePos="0" relativeHeight="251661312" behindDoc="0" locked="0" layoutInCell="1" allowOverlap="1" wp14:anchorId="1D77B769" wp14:editId="14C3FCC2">
                      <wp:simplePos x="0" y="0"/>
                      <wp:positionH relativeFrom="column">
                        <wp:posOffset>1314450</wp:posOffset>
                      </wp:positionH>
                      <wp:positionV relativeFrom="paragraph">
                        <wp:posOffset>71120</wp:posOffset>
                      </wp:positionV>
                      <wp:extent cx="1476375" cy="7105650"/>
                      <wp:effectExtent l="0" t="0" r="0" b="0"/>
                      <wp:wrapNone/>
                      <wp:docPr id="4" name="TextBox 2"/>
                      <wp:cNvGraphicFramePr/>
                      <a:graphic xmlns:a="http://schemas.openxmlformats.org/drawingml/2006/main">
                        <a:graphicData uri="http://schemas.microsoft.com/office/word/2010/wordprocessingShape">
                          <wps:wsp>
                            <wps:cNvSpPr txBox="1"/>
                            <wps:spPr>
                              <a:xfrm>
                                <a:off x="0" y="0"/>
                                <a:ext cx="1476375" cy="7105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6F60FF" w:rsidRPr="00D853A0" w:rsidRDefault="006F60FF" w:rsidP="006F60FF">
                                  <w:pPr>
                                    <w:pStyle w:val="NormalWeb"/>
                                    <w:spacing w:before="0" w:beforeAutospacing="0" w:after="0" w:afterAutospacing="0"/>
                                    <w:rPr>
                                      <w:sz w:val="20"/>
                                      <w:szCs w:val="20"/>
                                    </w:rPr>
                                  </w:pPr>
                                  <w:r w:rsidRPr="00D853A0">
                                    <w:rPr>
                                      <w:color w:val="000000" w:themeColor="dark1"/>
                                      <w:sz w:val="20"/>
                                      <w:szCs w:val="20"/>
                                    </w:rPr>
                                    <w:t>Të punësuarit e sektorit privat me 1</w:t>
                                  </w:r>
                                  <w:proofErr w:type="gramStart"/>
                                  <w:r w:rsidRPr="00D853A0">
                                    <w:rPr>
                                      <w:color w:val="000000" w:themeColor="dark1"/>
                                      <w:sz w:val="20"/>
                                      <w:szCs w:val="20"/>
                                    </w:rPr>
                                    <w:t>,3</w:t>
                                  </w:r>
                                  <w:proofErr w:type="gramEnd"/>
                                  <w:r w:rsidRPr="00D853A0">
                                    <w:rPr>
                                      <w:color w:val="000000" w:themeColor="dark1"/>
                                      <w:sz w:val="20"/>
                                      <w:szCs w:val="20"/>
                                    </w:rPr>
                                    <w:t xml:space="preserve"> miliard lekë më shumë ose 14.4%;                           Të ardhurat nga qeratë dhe enfiteoza me 1,4 miliard lekë më shumë ose 106.4%;                       </w:t>
                                  </w:r>
                                </w:p>
                                <w:p w:rsidR="006F60FF" w:rsidRPr="00D853A0" w:rsidRDefault="006F60FF" w:rsidP="006F60FF">
                                  <w:pPr>
                                    <w:pStyle w:val="NormalWeb"/>
                                    <w:spacing w:before="0" w:beforeAutospacing="0" w:after="0" w:afterAutospacing="0"/>
                                    <w:rPr>
                                      <w:sz w:val="20"/>
                                      <w:szCs w:val="20"/>
                                    </w:rPr>
                                  </w:pPr>
                                  <w:r w:rsidRPr="00D853A0">
                                    <w:rPr>
                                      <w:color w:val="000000" w:themeColor="dark1"/>
                                      <w:sz w:val="20"/>
                                      <w:szCs w:val="20"/>
                                    </w:rPr>
                                    <w:t>Të tjera tatime mbi të ardhurat në burim me 707 milion lekë më shumë ose 19.6%;</w:t>
                                  </w:r>
                                </w:p>
                                <w:p w:rsidR="006F60FF"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Të ardhurat nga tatimi mbi deklaratën vjetore të të ardhurave me 151 milion lekë      më shumë ose 153.6%;</w:t>
                                  </w:r>
                                </w:p>
                                <w:p w:rsidR="006F60FF" w:rsidRPr="00D853A0" w:rsidRDefault="006F60FF" w:rsidP="006F60FF">
                                  <w:pPr>
                                    <w:pStyle w:val="NormalWeb"/>
                                    <w:spacing w:before="0" w:beforeAutospacing="0" w:after="0" w:afterAutospacing="0"/>
                                    <w:rPr>
                                      <w:sz w:val="20"/>
                                      <w:szCs w:val="20"/>
                                    </w:rPr>
                                  </w:pPr>
                                  <w:r w:rsidRPr="00D853A0">
                                    <w:rPr>
                                      <w:color w:val="000000" w:themeColor="dark1"/>
                                      <w:sz w:val="20"/>
                                      <w:szCs w:val="20"/>
                                    </w:rPr>
                                    <w:t xml:space="preserve">  </w:t>
                                  </w:r>
                                </w:p>
                                <w:p w:rsidR="006F60FF" w:rsidRPr="00D853A0" w:rsidRDefault="006F60FF" w:rsidP="006F60FF">
                                  <w:pPr>
                                    <w:pStyle w:val="NormalWeb"/>
                                    <w:spacing w:before="0" w:beforeAutospacing="0" w:after="0" w:afterAutospacing="0"/>
                                    <w:rPr>
                                      <w:sz w:val="20"/>
                                      <w:szCs w:val="20"/>
                                    </w:rPr>
                                  </w:pPr>
                                  <w:r w:rsidRPr="00D853A0">
                                    <w:rPr>
                                      <w:color w:val="000000" w:themeColor="dark1"/>
                                      <w:sz w:val="20"/>
                                      <w:szCs w:val="20"/>
                                    </w:rPr>
                                    <w:t xml:space="preserve">Të ardhurat nga lojrat e </w:t>
                                  </w:r>
                                  <w:proofErr w:type="gramStart"/>
                                  <w:r w:rsidRPr="00D853A0">
                                    <w:rPr>
                                      <w:color w:val="000000" w:themeColor="dark1"/>
                                      <w:sz w:val="20"/>
                                      <w:szCs w:val="20"/>
                                    </w:rPr>
                                    <w:t>fatit  me</w:t>
                                  </w:r>
                                  <w:proofErr w:type="gramEnd"/>
                                  <w:r w:rsidRPr="00D853A0">
                                    <w:rPr>
                                      <w:color w:val="000000" w:themeColor="dark1"/>
                                      <w:sz w:val="20"/>
                                      <w:szCs w:val="20"/>
                                    </w:rPr>
                                    <w:t xml:space="preserve"> 10 milion lekë më shumë ose 19.1%;                                                                     </w:t>
                                  </w: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 xml:space="preserve">    </w:t>
                                  </w: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 xml:space="preserve">Të ardhurat nga interesat u realizuan 85 milion lekë më </w:t>
                                  </w:r>
                                  <w:proofErr w:type="gramStart"/>
                                  <w:r w:rsidRPr="00D853A0">
                                    <w:rPr>
                                      <w:color w:val="000000" w:themeColor="dark1"/>
                                      <w:sz w:val="20"/>
                                      <w:szCs w:val="20"/>
                                    </w:rPr>
                                    <w:t>pak  ose</w:t>
                                  </w:r>
                                  <w:proofErr w:type="gramEnd"/>
                                  <w:r w:rsidRPr="00D853A0">
                                    <w:rPr>
                                      <w:color w:val="000000" w:themeColor="dark1"/>
                                      <w:sz w:val="20"/>
                                      <w:szCs w:val="20"/>
                                    </w:rPr>
                                    <w:t xml:space="preserve"> -3%.;</w:t>
                                  </w:r>
                                </w:p>
                                <w:p w:rsidR="006F60FF" w:rsidRPr="00D853A0" w:rsidRDefault="006F60FF" w:rsidP="006F60FF">
                                  <w:pPr>
                                    <w:pStyle w:val="NormalWeb"/>
                                    <w:spacing w:before="0" w:beforeAutospacing="0" w:after="0" w:afterAutospacing="0"/>
                                    <w:rPr>
                                      <w:sz w:val="20"/>
                                      <w:szCs w:val="20"/>
                                    </w:rPr>
                                  </w:pPr>
                                </w:p>
                                <w:p w:rsidR="006F60FF"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Të ardhurat nga dividentët u realizuan 635 milion lekë më pak ose -14.5%;</w:t>
                                  </w: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sz w:val="20"/>
                                      <w:szCs w:val="20"/>
                                    </w:rPr>
                                  </w:pPr>
                                  <w:r w:rsidRPr="00D853A0">
                                    <w:rPr>
                                      <w:color w:val="000000" w:themeColor="dark1"/>
                                      <w:sz w:val="20"/>
                                      <w:szCs w:val="20"/>
                                    </w:rPr>
                                    <w:t>Të ardhurat nga pasuritë e paluajtshme 1</w:t>
                                  </w:r>
                                  <w:proofErr w:type="gramStart"/>
                                  <w:r w:rsidRPr="00D853A0">
                                    <w:rPr>
                                      <w:color w:val="000000" w:themeColor="dark1"/>
                                      <w:sz w:val="20"/>
                                      <w:szCs w:val="20"/>
                                    </w:rPr>
                                    <w:t>,6</w:t>
                                  </w:r>
                                  <w:proofErr w:type="gramEnd"/>
                                  <w:r w:rsidRPr="00D853A0">
                                    <w:rPr>
                                      <w:color w:val="000000" w:themeColor="dark1"/>
                                      <w:sz w:val="20"/>
                                      <w:szCs w:val="20"/>
                                    </w:rPr>
                                    <w:t xml:space="preserve"> miliard lekë më pak ose -97.2%.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TextBox 2" o:spid="_x0000_s1027" type="#_x0000_t202" style="position:absolute;margin-left:103.5pt;margin-top:5.6pt;width:116.25pt;height:5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" filled="f" stroked="f">
                      <v:textbox>
                        <w:txbxContent>
                          <w:p w:rsidR="006F60FF" w:rsidRPr="00D853A0" w:rsidRDefault="006F60FF" w:rsidP="006F60FF">
                            <w:pPr>
                              <w:pStyle w:val="NormalWeb"/>
                              <w:spacing w:before="0" w:beforeAutospacing="0" w:after="0" w:afterAutospacing="0"/>
                              <w:rPr>
                                <w:sz w:val="20"/>
                                <w:szCs w:val="20"/>
                              </w:rPr>
                            </w:pPr>
                            <w:r w:rsidRPr="00D853A0">
                              <w:rPr>
                                <w:color w:val="000000" w:themeColor="dark1"/>
                                <w:sz w:val="20"/>
                                <w:szCs w:val="20"/>
                              </w:rPr>
                              <w:t>Të punësuarit e sektorit privat me 1</w:t>
                            </w:r>
                            <w:proofErr w:type="gramStart"/>
                            <w:r w:rsidRPr="00D853A0">
                              <w:rPr>
                                <w:color w:val="000000" w:themeColor="dark1"/>
                                <w:sz w:val="20"/>
                                <w:szCs w:val="20"/>
                              </w:rPr>
                              <w:t>,3</w:t>
                            </w:r>
                            <w:proofErr w:type="gramEnd"/>
                            <w:r w:rsidRPr="00D853A0">
                              <w:rPr>
                                <w:color w:val="000000" w:themeColor="dark1"/>
                                <w:sz w:val="20"/>
                                <w:szCs w:val="20"/>
                              </w:rPr>
                              <w:t xml:space="preserve"> miliard lekë më shumë ose 14.4%;                           Të ardhurat nga qeratë dhe enfiteoza me 1,4 miliard lekë më shumë ose 106.4%;                       </w:t>
                            </w:r>
                          </w:p>
                          <w:p w:rsidR="006F60FF" w:rsidRPr="00D853A0" w:rsidRDefault="006F60FF" w:rsidP="006F60FF">
                            <w:pPr>
                              <w:pStyle w:val="NormalWeb"/>
                              <w:spacing w:before="0" w:beforeAutospacing="0" w:after="0" w:afterAutospacing="0"/>
                              <w:rPr>
                                <w:sz w:val="20"/>
                                <w:szCs w:val="20"/>
                              </w:rPr>
                            </w:pPr>
                            <w:r w:rsidRPr="00D853A0">
                              <w:rPr>
                                <w:color w:val="000000" w:themeColor="dark1"/>
                                <w:sz w:val="20"/>
                                <w:szCs w:val="20"/>
                              </w:rPr>
                              <w:t>Të tjera tatime mbi të ardhurat në burim me 707 milion lekë më shumë ose 19.6%;</w:t>
                            </w:r>
                          </w:p>
                          <w:p w:rsidR="006F60FF"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Të ardhurat nga tatimi mbi deklaratën vjetore të të ardhurave me 151 milion lekë      më shumë ose 153.6%;</w:t>
                            </w:r>
                          </w:p>
                          <w:p w:rsidR="006F60FF" w:rsidRPr="00D853A0" w:rsidRDefault="006F60FF" w:rsidP="006F60FF">
                            <w:pPr>
                              <w:pStyle w:val="NormalWeb"/>
                              <w:spacing w:before="0" w:beforeAutospacing="0" w:after="0" w:afterAutospacing="0"/>
                              <w:rPr>
                                <w:sz w:val="20"/>
                                <w:szCs w:val="20"/>
                              </w:rPr>
                            </w:pPr>
                            <w:r w:rsidRPr="00D853A0">
                              <w:rPr>
                                <w:color w:val="000000" w:themeColor="dark1"/>
                                <w:sz w:val="20"/>
                                <w:szCs w:val="20"/>
                              </w:rPr>
                              <w:t xml:space="preserve">  </w:t>
                            </w:r>
                          </w:p>
                          <w:p w:rsidR="006F60FF" w:rsidRPr="00D853A0" w:rsidRDefault="006F60FF" w:rsidP="006F60FF">
                            <w:pPr>
                              <w:pStyle w:val="NormalWeb"/>
                              <w:spacing w:before="0" w:beforeAutospacing="0" w:after="0" w:afterAutospacing="0"/>
                              <w:rPr>
                                <w:sz w:val="20"/>
                                <w:szCs w:val="20"/>
                              </w:rPr>
                            </w:pPr>
                            <w:r w:rsidRPr="00D853A0">
                              <w:rPr>
                                <w:color w:val="000000" w:themeColor="dark1"/>
                                <w:sz w:val="20"/>
                                <w:szCs w:val="20"/>
                              </w:rPr>
                              <w:t xml:space="preserve">Të ardhurat nga lojrat e </w:t>
                            </w:r>
                            <w:proofErr w:type="gramStart"/>
                            <w:r w:rsidRPr="00D853A0">
                              <w:rPr>
                                <w:color w:val="000000" w:themeColor="dark1"/>
                                <w:sz w:val="20"/>
                                <w:szCs w:val="20"/>
                              </w:rPr>
                              <w:t>fatit  me</w:t>
                            </w:r>
                            <w:proofErr w:type="gramEnd"/>
                            <w:r w:rsidRPr="00D853A0">
                              <w:rPr>
                                <w:color w:val="000000" w:themeColor="dark1"/>
                                <w:sz w:val="20"/>
                                <w:szCs w:val="20"/>
                              </w:rPr>
                              <w:t xml:space="preserve"> 10 milion lekë më shumë ose 19.1%;                                                                     </w:t>
                            </w: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 xml:space="preserve">    </w:t>
                            </w: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 xml:space="preserve">Të ardhurat nga interesat u realizuan 85 milion lekë më </w:t>
                            </w:r>
                            <w:proofErr w:type="gramStart"/>
                            <w:r w:rsidRPr="00D853A0">
                              <w:rPr>
                                <w:color w:val="000000" w:themeColor="dark1"/>
                                <w:sz w:val="20"/>
                                <w:szCs w:val="20"/>
                              </w:rPr>
                              <w:t>pak  ose</w:t>
                            </w:r>
                            <w:proofErr w:type="gramEnd"/>
                            <w:r w:rsidRPr="00D853A0">
                              <w:rPr>
                                <w:color w:val="000000" w:themeColor="dark1"/>
                                <w:sz w:val="20"/>
                                <w:szCs w:val="20"/>
                              </w:rPr>
                              <w:t xml:space="preserve"> -3%.;</w:t>
                            </w:r>
                          </w:p>
                          <w:p w:rsidR="006F60FF" w:rsidRPr="00D853A0" w:rsidRDefault="006F60FF" w:rsidP="006F60FF">
                            <w:pPr>
                              <w:pStyle w:val="NormalWeb"/>
                              <w:spacing w:before="0" w:beforeAutospacing="0" w:after="0" w:afterAutospacing="0"/>
                              <w:rPr>
                                <w:sz w:val="20"/>
                                <w:szCs w:val="20"/>
                              </w:rPr>
                            </w:pPr>
                          </w:p>
                          <w:p w:rsidR="006F60FF"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Të ardhurat nga dividentët u realizuan 635 milion lekë më pak ose -14.5%;</w:t>
                            </w: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sz w:val="20"/>
                                <w:szCs w:val="20"/>
                              </w:rPr>
                            </w:pPr>
                            <w:r w:rsidRPr="00D853A0">
                              <w:rPr>
                                <w:color w:val="000000" w:themeColor="dark1"/>
                                <w:sz w:val="20"/>
                                <w:szCs w:val="20"/>
                              </w:rPr>
                              <w:t>Të ardhurat nga pasuritë e paluajtshme 1</w:t>
                            </w:r>
                            <w:proofErr w:type="gramStart"/>
                            <w:r w:rsidRPr="00D853A0">
                              <w:rPr>
                                <w:color w:val="000000" w:themeColor="dark1"/>
                                <w:sz w:val="20"/>
                                <w:szCs w:val="20"/>
                              </w:rPr>
                              <w:t>,6</w:t>
                            </w:r>
                            <w:proofErr w:type="gramEnd"/>
                            <w:r w:rsidRPr="00D853A0">
                              <w:rPr>
                                <w:color w:val="000000" w:themeColor="dark1"/>
                                <w:sz w:val="20"/>
                                <w:szCs w:val="20"/>
                              </w:rPr>
                              <w:t xml:space="preserve"> miliard lekë më pak ose -97.2%.</w:t>
                            </w:r>
                          </w:p>
                        </w:txbxContent>
                      </v:textbox>
                    </v:shape>
                  </w:pict>
                </mc:Fallback>
              </mc:AlternateContent>
            </w:r>
            <w:r w:rsidRPr="00E46F00">
              <w:rPr>
                <w:rFonts w:ascii="Calibri" w:hAnsi="Calibri" w:cs="Calibri"/>
                <w:color w:val="000000" w:themeColor="text1"/>
                <w:kern w:val="24"/>
                <w:sz w:val="8"/>
                <w:szCs w:val="8"/>
              </w:rPr>
              <w:t> </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19"/>
                <w:szCs w:val="19"/>
              </w:rPr>
            </w:pPr>
            <w:r w:rsidRPr="00E46F00">
              <w:rPr>
                <w:color w:val="000000" w:themeColor="text1"/>
                <w:kern w:val="24"/>
                <w:sz w:val="19"/>
                <w:szCs w:val="19"/>
              </w:rPr>
              <w:t xml:space="preserve">                                                                                                                                                                                                                                                                                                                                                                          </w:t>
            </w:r>
          </w:p>
        </w:tc>
      </w:tr>
      <w:tr w:rsidR="006F60FF" w:rsidRPr="00E46F00" w:rsidTr="006F60FF">
        <w:trPr>
          <w:trHeight w:val="2174"/>
        </w:trPr>
        <w:tc>
          <w:tcPr>
            <w:tcW w:w="1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p>
          <w:p w:rsidR="006F60FF" w:rsidRDefault="006F60FF" w:rsidP="00AD0FD4">
            <w:pPr>
              <w:textAlignment w:val="center"/>
              <w:rPr>
                <w:color w:val="000000" w:themeColor="text1"/>
                <w:kern w:val="24"/>
                <w:sz w:val="20"/>
                <w:szCs w:val="20"/>
              </w:rPr>
            </w:pPr>
            <w:r w:rsidRPr="00E46F00">
              <w:rPr>
                <w:color w:val="000000" w:themeColor="text1"/>
                <w:kern w:val="24"/>
                <w:sz w:val="20"/>
                <w:szCs w:val="20"/>
              </w:rPr>
              <w:t xml:space="preserve">Rritja e taksës së qarkullimit nga                 17 lekë/litër në 27 lekë/litër për naftën dhe për benzinën. </w:t>
            </w:r>
          </w:p>
          <w:p w:rsidR="006F60FF" w:rsidRDefault="006F60FF" w:rsidP="00AD0FD4">
            <w:pPr>
              <w:textAlignment w:val="center"/>
              <w:rPr>
                <w:sz w:val="20"/>
                <w:szCs w:val="20"/>
              </w:rPr>
            </w:pPr>
          </w:p>
          <w:p w:rsidR="006F60FF" w:rsidRPr="00E46F00" w:rsidRDefault="006F60FF" w:rsidP="00AD0FD4">
            <w:pPr>
              <w:textAlignment w:val="center"/>
              <w:rPr>
                <w:sz w:val="20"/>
                <w:szCs w:val="20"/>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 xml:space="preserve">5.6 miliard lekë nga Taksa e Qarkullimit;                         1.1 miliard lekë nga TVSH-ja.   </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 xml:space="preserve">14.8 miliard lekë nga Taksa e Qarkullimit;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+356 milion lekë</w:t>
            </w:r>
          </w:p>
        </w:tc>
        <w:tc>
          <w:tcPr>
            <w:tcW w:w="1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+4.4 miliard lekë</w:t>
            </w:r>
          </w:p>
        </w:tc>
        <w:tc>
          <w:tcPr>
            <w:tcW w:w="20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rPr>
                <w:rFonts w:ascii="Arial" w:hAnsi="Arial" w:cs="Arial"/>
                <w:sz w:val="36"/>
                <w:szCs w:val="36"/>
              </w:rPr>
            </w:pPr>
            <w:r w:rsidRPr="00A03B05">
              <w:rPr>
                <w:noProof/>
              </w:rPr>
              <mc:AlternateContent>
                <mc:Choice Requires="wps">
                  <w:drawing>
                    <wp:anchor distT="0" distB="0" distL="114300" distR="114300" simplePos="0" relativeHeight="251662336" behindDoc="0" locked="0" layoutInCell="1" allowOverlap="1" wp14:anchorId="39954EFC" wp14:editId="3003EB85">
                      <wp:simplePos x="0" y="0"/>
                      <wp:positionH relativeFrom="column">
                        <wp:posOffset>44450</wp:posOffset>
                      </wp:positionH>
                      <wp:positionV relativeFrom="paragraph">
                        <wp:posOffset>-152400</wp:posOffset>
                      </wp:positionV>
                      <wp:extent cx="1285875" cy="1133475"/>
                      <wp:effectExtent l="0" t="0" r="28575" b="28575"/>
                      <wp:wrapNone/>
                      <wp:docPr id="5" name="TextBox 4"/>
                      <wp:cNvGraphicFramePr/>
                      <a:graphic xmlns:a="http://schemas.openxmlformats.org/drawingml/2006/main">
                        <a:graphicData uri="http://schemas.microsoft.com/office/word/2010/wordprocessingShape">
                          <wps:wsp>
                            <wps:cNvSpPr txBox="1"/>
                            <wps:spPr>
                              <a:xfrm>
                                <a:off x="0" y="0"/>
                                <a:ext cx="1285875" cy="1133475"/>
                              </a:xfrm>
                              <a:prstGeom prst="rect">
                                <a:avLst/>
                              </a:prstGeom>
                              <a:solidFill>
                                <a:schemeClr val="lt1"/>
                              </a:solidFill>
                              <a:ln w="9525" cmpd="sng">
                                <a:solidFill>
                                  <a:schemeClr val="bg1"/>
                                </a:solidFill>
                              </a:ln>
                            </wps:spPr>
                            <wps:style>
                              <a:lnRef idx="0">
                                <a:scrgbClr r="0" g="0" b="0"/>
                              </a:lnRef>
                              <a:fillRef idx="0">
                                <a:scrgbClr r="0" g="0" b="0"/>
                              </a:fillRef>
                              <a:effectRef idx="0">
                                <a:scrgbClr r="0" g="0" b="0"/>
                              </a:effectRef>
                              <a:fontRef idx="minor">
                                <a:schemeClr val="dk1"/>
                              </a:fontRef>
                            </wps:style>
                            <wps:txbx>
                              <w:txbxContent>
                                <w:p w:rsidR="006F60FF" w:rsidRPr="00D853A0" w:rsidRDefault="006F60FF" w:rsidP="006F60FF">
                                  <w:pPr>
                                    <w:pStyle w:val="NormalWeb"/>
                                    <w:spacing w:before="0" w:beforeAutospacing="0" w:after="0" w:afterAutospacing="0"/>
                                    <w:rPr>
                                      <w:sz w:val="20"/>
                                      <w:szCs w:val="20"/>
                                    </w:rPr>
                                  </w:pPr>
                                  <w:r>
                                    <w:rPr>
                                      <w:sz w:val="20"/>
                                      <w:szCs w:val="20"/>
                                    </w:rPr>
                                    <w:t xml:space="preserve">Rritje të stokut të karburantit gjatë muajit Dhjetor 2014 para hyrjes në fuqi të taksës 27 lekë/litër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TextBox 4" o:spid="_x0000_s1028" type="#_x0000_t202" style="position:absolute;margin-left:3.5pt;margin-top:-12pt;width:101.25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" fillcolor="white [3201]" strokecolor="white [3212]">
                      <v:textbox>
                        <w:txbxContent>
                          <w:p w:rsidR="006F60FF" w:rsidRPr="00D853A0" w:rsidRDefault="006F60FF" w:rsidP="006F60FF">
                            <w:pPr>
                              <w:pStyle w:val="NormalWeb"/>
                              <w:spacing w:before="0" w:beforeAutospacing="0" w:after="0" w:afterAutospacing="0"/>
                              <w:rPr>
                                <w:sz w:val="20"/>
                                <w:szCs w:val="20"/>
                              </w:rPr>
                            </w:pPr>
                            <w:r>
                              <w:rPr>
                                <w:sz w:val="20"/>
                                <w:szCs w:val="20"/>
                              </w:rPr>
                              <w:t xml:space="preserve">Rritje të stokut të karburantit gjatë muajit Dhjetor 2014 para hyrjes në fuqi të taksës 27 lekë/litër </w:t>
                            </w:r>
                          </w:p>
                        </w:txbxContent>
                      </v:textbox>
                    </v:shape>
                  </w:pict>
                </mc:Fallback>
              </mc:AlternateConten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6F60FF" w:rsidRPr="00E46F00" w:rsidRDefault="006F60FF" w:rsidP="00AD0FD4">
            <w:pPr>
              <w:rPr>
                <w:rFonts w:ascii="Arial" w:hAnsi="Arial" w:cs="Arial"/>
                <w:sz w:val="36"/>
                <w:szCs w:val="36"/>
              </w:rPr>
            </w:pPr>
            <w:r w:rsidRPr="007D2A5A">
              <w:rPr>
                <w:noProof/>
              </w:rPr>
              <mc:AlternateContent>
                <mc:Choice Requires="wps">
                  <w:drawing>
                    <wp:anchor distT="0" distB="0" distL="114300" distR="114300" simplePos="0" relativeHeight="251663360" behindDoc="0" locked="0" layoutInCell="1" allowOverlap="1" wp14:anchorId="216F1C38" wp14:editId="3E9A4E16">
                      <wp:simplePos x="0" y="0"/>
                      <wp:positionH relativeFrom="column">
                        <wp:posOffset>76200</wp:posOffset>
                      </wp:positionH>
                      <wp:positionV relativeFrom="paragraph">
                        <wp:posOffset>-41275</wp:posOffset>
                      </wp:positionV>
                      <wp:extent cx="1295400" cy="1533525"/>
                      <wp:effectExtent l="0" t="0" r="0" b="0"/>
                      <wp:wrapNone/>
                      <wp:docPr id="7" name="TextBox 5"/>
                      <wp:cNvGraphicFramePr/>
                      <a:graphic xmlns:a="http://schemas.openxmlformats.org/drawingml/2006/main">
                        <a:graphicData uri="http://schemas.microsoft.com/office/word/2010/wordprocessingShape">
                          <wps:wsp>
                            <wps:cNvSpPr txBox="1"/>
                            <wps:spPr>
                              <a:xfrm>
                                <a:off x="0" y="0"/>
                                <a:ext cx="1295400" cy="1533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6F60FF" w:rsidRPr="00D853A0" w:rsidRDefault="006F60FF" w:rsidP="006F60FF">
                                  <w:pPr>
                                    <w:pStyle w:val="NormalWeb"/>
                                    <w:spacing w:before="0" w:beforeAutospacing="0" w:after="0" w:afterAutospacing="0"/>
                                    <w:rPr>
                                      <w:sz w:val="20"/>
                                      <w:szCs w:val="20"/>
                                    </w:rPr>
                                  </w:pPr>
                                  <w:proofErr w:type="gramStart"/>
                                  <w:r w:rsidRPr="00D853A0">
                                    <w:rPr>
                                      <w:color w:val="000000" w:themeColor="dark1"/>
                                      <w:sz w:val="20"/>
                                      <w:szCs w:val="20"/>
                                    </w:rPr>
                                    <w:t>Realizimi i të ardhurave nga taksa e qarkullim</w:t>
                                  </w:r>
                                  <w:r>
                                    <w:rPr>
                                      <w:color w:val="000000" w:themeColor="dark1"/>
                                      <w:sz w:val="20"/>
                                      <w:szCs w:val="20"/>
                                    </w:rPr>
                                    <w:t>i</w:t>
                                  </w:r>
                                  <w:r w:rsidRPr="00D853A0">
                                    <w:rPr>
                                      <w:color w:val="000000" w:themeColor="dark1"/>
                                      <w:sz w:val="20"/>
                                      <w:szCs w:val="20"/>
                                    </w:rPr>
                                    <w:t>t për vitin 2015 ishte 4.4 miliard lekë më shumë se viti 2014.</w:t>
                                  </w:r>
                                  <w:proofErr w:type="gramEnd"/>
                                </w:p>
                                <w:p w:rsidR="006F60FF" w:rsidRPr="00D853A0" w:rsidRDefault="006F60FF" w:rsidP="006F60FF">
                                  <w:pPr>
                                    <w:pStyle w:val="NormalWeb"/>
                                    <w:spacing w:before="0" w:beforeAutospacing="0" w:after="0" w:afterAutospacing="0"/>
                                    <w:rPr>
                                      <w:sz w:val="20"/>
                                      <w:szCs w:val="20"/>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TextBox 5" o:spid="_x0000_s1029" type="#_x0000_t202" style="position:absolute;margin-left:6pt;margin-top:-3.25pt;width:102pt;height:1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" filled="f" stroked="f">
                      <v:textbox>
                        <w:txbxContent>
                          <w:p w:rsidR="006F60FF" w:rsidRPr="00D853A0" w:rsidRDefault="006F60FF" w:rsidP="006F60FF">
                            <w:pPr>
                              <w:pStyle w:val="NormalWeb"/>
                              <w:spacing w:before="0" w:beforeAutospacing="0" w:after="0" w:afterAutospacing="0"/>
                              <w:rPr>
                                <w:sz w:val="20"/>
                                <w:szCs w:val="20"/>
                              </w:rPr>
                            </w:pPr>
                            <w:proofErr w:type="gramStart"/>
                            <w:r w:rsidRPr="00D853A0">
                              <w:rPr>
                                <w:color w:val="000000" w:themeColor="dark1"/>
                                <w:sz w:val="20"/>
                                <w:szCs w:val="20"/>
                              </w:rPr>
                              <w:t>Realizimi i të ardhurave nga taksa e qarkullim</w:t>
                            </w:r>
                            <w:r>
                              <w:rPr>
                                <w:color w:val="000000" w:themeColor="dark1"/>
                                <w:sz w:val="20"/>
                                <w:szCs w:val="20"/>
                              </w:rPr>
                              <w:t>i</w:t>
                            </w:r>
                            <w:r w:rsidRPr="00D853A0">
                              <w:rPr>
                                <w:color w:val="000000" w:themeColor="dark1"/>
                                <w:sz w:val="20"/>
                                <w:szCs w:val="20"/>
                              </w:rPr>
                              <w:t>t për vitin 2015 ishte 4.4 miliard lekë më shumë se viti 2014.</w:t>
                            </w:r>
                            <w:proofErr w:type="gramEnd"/>
                          </w:p>
                          <w:p w:rsidR="006F60FF" w:rsidRPr="00D853A0" w:rsidRDefault="006F60FF" w:rsidP="006F60FF">
                            <w:pPr>
                              <w:pStyle w:val="NormalWeb"/>
                              <w:spacing w:before="0" w:beforeAutospacing="0" w:after="0" w:afterAutospacing="0"/>
                              <w:rPr>
                                <w:sz w:val="20"/>
                                <w:szCs w:val="20"/>
                              </w:rPr>
                            </w:pPr>
                          </w:p>
                        </w:txbxContent>
                      </v:textbox>
                    </v:shape>
                  </w:pict>
                </mc:Fallback>
              </mc:AlternateContent>
            </w:r>
          </w:p>
        </w:tc>
      </w:tr>
      <w:tr w:rsidR="006F60FF" w:rsidRPr="00E46F00" w:rsidTr="006F60FF">
        <w:trPr>
          <w:trHeight w:val="2704"/>
        </w:trPr>
        <w:tc>
          <w:tcPr>
            <w:tcW w:w="1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Përjashtimi nga TVSH i primeve të shkruara për produktet e jo-jetës dhe vendosja e një takse kombëtare prej 3% mbi primin e sigurimit.</w:t>
            </w: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Pr>
                <w:color w:val="000000" w:themeColor="text1"/>
                <w:kern w:val="24"/>
                <w:sz w:val="20"/>
                <w:szCs w:val="20"/>
              </w:rPr>
              <w:t>- 500 mln</w:t>
            </w:r>
            <w:r w:rsidRPr="00E46F00">
              <w:rPr>
                <w:color w:val="000000" w:themeColor="text1"/>
                <w:kern w:val="24"/>
                <w:sz w:val="20"/>
                <w:szCs w:val="20"/>
              </w:rPr>
              <w:t xml:space="preserve"> lekë nga të ardhurat nga TVSH-ja, dhe </w:t>
            </w:r>
            <w:r>
              <w:rPr>
                <w:color w:val="000000" w:themeColor="text1"/>
                <w:kern w:val="24"/>
                <w:sz w:val="20"/>
                <w:szCs w:val="20"/>
              </w:rPr>
              <w:t>+</w:t>
            </w:r>
            <w:r w:rsidRPr="00E46F00">
              <w:rPr>
                <w:color w:val="000000" w:themeColor="text1"/>
                <w:kern w:val="24"/>
                <w:sz w:val="20"/>
                <w:szCs w:val="20"/>
              </w:rPr>
              <w:t xml:space="preserve">220 milion lekë nga Taksa mbi primet e shkruara. Efekt neto </w:t>
            </w:r>
            <w:r>
              <w:rPr>
                <w:color w:val="000000" w:themeColor="text1"/>
                <w:kern w:val="24"/>
                <w:sz w:val="20"/>
                <w:szCs w:val="20"/>
              </w:rPr>
              <w:t xml:space="preserve">           -280 mln</w:t>
            </w:r>
            <w:r w:rsidRPr="00E46F00">
              <w:rPr>
                <w:color w:val="000000" w:themeColor="text1"/>
                <w:kern w:val="24"/>
                <w:sz w:val="20"/>
                <w:szCs w:val="20"/>
              </w:rPr>
              <w:t xml:space="preserve"> lekë </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220 milion lekë</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+80 milion lekë</w:t>
            </w:r>
          </w:p>
        </w:tc>
        <w:tc>
          <w:tcPr>
            <w:tcW w:w="1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p>
        </w:tc>
        <w:tc>
          <w:tcPr>
            <w:tcW w:w="20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rFonts w:ascii="Arial" w:hAnsi="Arial" w:cs="Arial"/>
                <w:sz w:val="36"/>
                <w:szCs w:val="36"/>
              </w:rPr>
            </w:pPr>
            <w:r w:rsidRPr="00E46F00">
              <w:rPr>
                <w:rFonts w:ascii="Calibri" w:hAnsi="Calibri" w:cs="Calibri"/>
                <w:color w:val="000000" w:themeColor="text1"/>
                <w:kern w:val="24"/>
                <w:sz w:val="8"/>
                <w:szCs w:val="8"/>
              </w:rPr>
              <w:t> </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rPr>
                <w:rFonts w:ascii="Arial" w:hAnsi="Arial" w:cs="Arial"/>
                <w:sz w:val="36"/>
                <w:szCs w:val="36"/>
              </w:rPr>
            </w:pPr>
            <w:r w:rsidRPr="007D2A5A">
              <w:rPr>
                <w:noProof/>
              </w:rPr>
              <mc:AlternateContent>
                <mc:Choice Requires="wps">
                  <w:drawing>
                    <wp:anchor distT="0" distB="0" distL="114300" distR="114300" simplePos="0" relativeHeight="251664384" behindDoc="0" locked="0" layoutInCell="1" allowOverlap="1" wp14:anchorId="298F1E13" wp14:editId="72819AFD">
                      <wp:simplePos x="0" y="0"/>
                      <wp:positionH relativeFrom="column">
                        <wp:posOffset>73025</wp:posOffset>
                      </wp:positionH>
                      <wp:positionV relativeFrom="paragraph">
                        <wp:posOffset>-1760220</wp:posOffset>
                      </wp:positionV>
                      <wp:extent cx="1295400" cy="1543050"/>
                      <wp:effectExtent l="0" t="0" r="0" b="0"/>
                      <wp:wrapNone/>
                      <wp:docPr id="9" name="TextBox 6"/>
                      <wp:cNvGraphicFramePr/>
                      <a:graphic xmlns:a="http://schemas.openxmlformats.org/drawingml/2006/main">
                        <a:graphicData uri="http://schemas.microsoft.com/office/word/2010/wordprocessingShape">
                          <wps:wsp>
                            <wps:cNvSpPr txBox="1"/>
                            <wps:spPr>
                              <a:xfrm>
                                <a:off x="0" y="0"/>
                                <a:ext cx="1295400" cy="1543050"/>
                              </a:xfrm>
                              <a:prstGeom prst="rect">
                                <a:avLst/>
                              </a:prstGeom>
                              <a:noFill/>
                              <a:ln w="9525" cmpd="sng">
                                <a:noFill/>
                              </a:ln>
                              <a:effectLst/>
                            </wps:spPr>
                            <wps:txbx>
                              <w:txbxContent>
                                <w:p w:rsidR="006F60FF" w:rsidRPr="00D853A0" w:rsidRDefault="006F60FF" w:rsidP="006F60FF">
                                  <w:pPr>
                                    <w:pStyle w:val="NormalWeb"/>
                                    <w:spacing w:before="0" w:beforeAutospacing="0" w:after="0" w:afterAutospacing="0"/>
                                    <w:rPr>
                                      <w:sz w:val="20"/>
                                      <w:szCs w:val="20"/>
                                    </w:rPr>
                                  </w:pPr>
                                  <w:r>
                                    <w:rPr>
                                      <w:color w:val="000000"/>
                                      <w:sz w:val="20"/>
                                      <w:szCs w:val="20"/>
                                    </w:rPr>
                                    <w:t>Këto ndryshim</w:t>
                                  </w:r>
                                  <w:r w:rsidRPr="00D853A0">
                                    <w:rPr>
                                      <w:color w:val="000000"/>
                                      <w:sz w:val="20"/>
                                      <w:szCs w:val="20"/>
                                    </w:rPr>
                                    <w:t>e do të shërbenin si një faktor nxitës për shtimin e aktivitetit të përmirësuar të shërbimit të sigurimeve.</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TextBox 6" o:spid="_x0000_s1030" type="#_x0000_t202" style="position:absolute;margin-left:5.75pt;margin-top:-138.6pt;width:102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" filled="f" stroked="f">
                      <v:textbox>
                        <w:txbxContent>
                          <w:p w:rsidR="006F60FF" w:rsidRPr="00D853A0" w:rsidRDefault="006F60FF" w:rsidP="006F60FF">
                            <w:pPr>
                              <w:pStyle w:val="NormalWeb"/>
                              <w:spacing w:before="0" w:beforeAutospacing="0" w:after="0" w:afterAutospacing="0"/>
                              <w:rPr>
                                <w:sz w:val="20"/>
                                <w:szCs w:val="20"/>
                              </w:rPr>
                            </w:pPr>
                            <w:r>
                              <w:rPr>
                                <w:color w:val="000000"/>
                                <w:sz w:val="20"/>
                                <w:szCs w:val="20"/>
                              </w:rPr>
                              <w:t>Këto ndryshim</w:t>
                            </w:r>
                            <w:r w:rsidRPr="00D853A0">
                              <w:rPr>
                                <w:color w:val="000000"/>
                                <w:sz w:val="20"/>
                                <w:szCs w:val="20"/>
                              </w:rPr>
                              <w:t>e do të shërbenin si një faktor nxitës për shtimin e aktivitetit të përmirësuar të shërbimit të sigurimeve.</w:t>
                            </w:r>
                          </w:p>
                        </w:txbxContent>
                      </v:textbox>
                    </v:shape>
                  </w:pict>
                </mc:Fallback>
              </mc:AlternateContent>
            </w:r>
          </w:p>
        </w:tc>
      </w:tr>
      <w:tr w:rsidR="006F60FF" w:rsidRPr="00E46F00" w:rsidTr="006F60FF">
        <w:trPr>
          <w:trHeight w:val="875"/>
        </w:trPr>
        <w:tc>
          <w:tcPr>
            <w:tcW w:w="1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lang w:val="pt-BR"/>
              </w:rPr>
              <w:t xml:space="preserve">Ulja e Taksës Doganore për gomat e reja nga 15% në 10%. </w:t>
            </w: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 xml:space="preserve">Efekti neto </w:t>
            </w:r>
            <w:r>
              <w:rPr>
                <w:color w:val="000000" w:themeColor="text1"/>
                <w:kern w:val="24"/>
                <w:sz w:val="20"/>
                <w:szCs w:val="20"/>
              </w:rPr>
              <w:t>-</w:t>
            </w:r>
            <w:r w:rsidRPr="00E46F00">
              <w:rPr>
                <w:color w:val="000000" w:themeColor="text1"/>
                <w:kern w:val="24"/>
                <w:sz w:val="20"/>
                <w:szCs w:val="20"/>
              </w:rPr>
              <w:t xml:space="preserve">33 milion lekë. </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p>
        </w:tc>
        <w:tc>
          <w:tcPr>
            <w:tcW w:w="1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p>
        </w:tc>
        <w:tc>
          <w:tcPr>
            <w:tcW w:w="20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rFonts w:ascii="Arial" w:hAnsi="Arial" w:cs="Arial"/>
                <w:sz w:val="36"/>
                <w:szCs w:val="36"/>
              </w:rPr>
            </w:pPr>
            <w:r w:rsidRPr="00E46F00">
              <w:rPr>
                <w:rFonts w:ascii="Calibri" w:hAnsi="Calibri" w:cs="Calibri"/>
                <w:color w:val="000000" w:themeColor="text1"/>
                <w:kern w:val="24"/>
                <w:sz w:val="8"/>
                <w:szCs w:val="8"/>
              </w:rPr>
              <w:t> </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rPr>
                <w:rFonts w:ascii="Arial" w:hAnsi="Arial" w:cs="Arial"/>
                <w:sz w:val="36"/>
                <w:szCs w:val="36"/>
              </w:rPr>
            </w:pPr>
            <w:r w:rsidRPr="007D2A5A">
              <w:rPr>
                <w:noProof/>
              </w:rPr>
              <mc:AlternateContent>
                <mc:Choice Requires="wps">
                  <w:drawing>
                    <wp:anchor distT="0" distB="0" distL="114300" distR="114300" simplePos="0" relativeHeight="251665408" behindDoc="0" locked="0" layoutInCell="1" allowOverlap="1" wp14:anchorId="388E0AD0" wp14:editId="3C41AB99">
                      <wp:simplePos x="0" y="0"/>
                      <wp:positionH relativeFrom="column">
                        <wp:posOffset>91440</wp:posOffset>
                      </wp:positionH>
                      <wp:positionV relativeFrom="paragraph">
                        <wp:posOffset>-551815</wp:posOffset>
                      </wp:positionV>
                      <wp:extent cx="1285875" cy="514350"/>
                      <wp:effectExtent l="0" t="0" r="28575" b="19050"/>
                      <wp:wrapNone/>
                      <wp:docPr id="12" name="TextBox 11"/>
                      <wp:cNvGraphicFramePr/>
                      <a:graphic xmlns:a="http://schemas.openxmlformats.org/drawingml/2006/main">
                        <a:graphicData uri="http://schemas.microsoft.com/office/word/2010/wordprocessingShape">
                          <wps:wsp>
                            <wps:cNvSpPr txBox="1"/>
                            <wps:spPr>
                              <a:xfrm>
                                <a:off x="0" y="0"/>
                                <a:ext cx="1285875" cy="514350"/>
                              </a:xfrm>
                              <a:prstGeom prst="rect">
                                <a:avLst/>
                              </a:prstGeom>
                              <a:solidFill>
                                <a:sysClr val="window" lastClr="FFFFFF"/>
                              </a:solidFill>
                              <a:ln w="9525" cmpd="sng">
                                <a:solidFill>
                                  <a:sysClr val="window" lastClr="FFFFFF"/>
                                </a:solidFill>
                              </a:ln>
                              <a:effectLst/>
                            </wps:spPr>
                            <wps:txbx>
                              <w:txbxContent>
                                <w:p w:rsidR="006F60FF" w:rsidRPr="00D853A0" w:rsidRDefault="006F60FF" w:rsidP="006F60FF">
                                  <w:pPr>
                                    <w:pStyle w:val="NormalWeb"/>
                                    <w:spacing w:before="0" w:beforeAutospacing="0" w:after="0" w:afterAutospacing="0"/>
                                    <w:ind w:left="90"/>
                                    <w:rPr>
                                      <w:sz w:val="20"/>
                                      <w:szCs w:val="20"/>
                                    </w:rPr>
                                  </w:pPr>
                                  <w:r>
                                    <w:rPr>
                                      <w:color w:val="000000"/>
                                      <w:sz w:val="20"/>
                                      <w:szCs w:val="20"/>
                                    </w:rPr>
                                    <w:t>Efekti i llogaritur    -55 milion lekë efekti real +16.5 Milion lek</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TextBox 11" o:spid="_x0000_s1031" type="#_x0000_t202" style="position:absolute;margin-left:7.2pt;margin-top:-43.45pt;width:101.2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" fillcolor="window" strokecolor="window">
                      <v:textbox>
                        <w:txbxContent>
                          <w:p w:rsidR="006F60FF" w:rsidRPr="00D853A0" w:rsidRDefault="006F60FF" w:rsidP="006F60FF">
                            <w:pPr>
                              <w:pStyle w:val="NormalWeb"/>
                              <w:spacing w:before="0" w:beforeAutospacing="0" w:after="0" w:afterAutospacing="0"/>
                              <w:ind w:left="90"/>
                              <w:rPr>
                                <w:sz w:val="20"/>
                                <w:szCs w:val="20"/>
                              </w:rPr>
                            </w:pPr>
                            <w:r>
                              <w:rPr>
                                <w:color w:val="000000"/>
                                <w:sz w:val="20"/>
                                <w:szCs w:val="20"/>
                              </w:rPr>
                              <w:t>Efekti i llogaritur    -55 milion lekë efekti real +16.5 Milion lek</w:t>
                            </w:r>
                          </w:p>
                        </w:txbxContent>
                      </v:textbox>
                    </v:shape>
                  </w:pict>
                </mc:Fallback>
              </mc:AlternateContent>
            </w:r>
          </w:p>
        </w:tc>
      </w:tr>
      <w:tr w:rsidR="006F60FF" w:rsidRPr="00E46F00" w:rsidTr="006F60FF">
        <w:trPr>
          <w:trHeight w:val="3693"/>
        </w:trPr>
        <w:tc>
          <w:tcPr>
            <w:tcW w:w="1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 xml:space="preserve">Ulje e Taksës Doganore në 0% për:                            -lëndë të para për agroindustrinë ose blegtorinë,                                                    -miellin dhe materialin biologjik elitar. </w:t>
            </w:r>
            <w:r w:rsidRPr="00E46F00">
              <w:rPr>
                <w:color w:val="000000" w:themeColor="text1"/>
                <w:kern w:val="24"/>
                <w:sz w:val="20"/>
                <w:szCs w:val="20"/>
              </w:rPr>
              <w:br/>
              <w:t xml:space="preserve"> </w:t>
            </w: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 xml:space="preserve">Efekti neto </w:t>
            </w:r>
            <w:r>
              <w:rPr>
                <w:color w:val="000000" w:themeColor="text1"/>
                <w:kern w:val="24"/>
                <w:sz w:val="20"/>
                <w:szCs w:val="20"/>
              </w:rPr>
              <w:t xml:space="preserve">      - 232 mln</w:t>
            </w:r>
            <w:r w:rsidRPr="00E46F00">
              <w:rPr>
                <w:color w:val="000000" w:themeColor="text1"/>
                <w:kern w:val="24"/>
                <w:sz w:val="20"/>
                <w:szCs w:val="20"/>
              </w:rPr>
              <w:t xml:space="preserve"> lekë</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p>
        </w:tc>
        <w:tc>
          <w:tcPr>
            <w:tcW w:w="1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p>
        </w:tc>
        <w:tc>
          <w:tcPr>
            <w:tcW w:w="20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rFonts w:ascii="Arial" w:hAnsi="Arial" w:cs="Arial"/>
                <w:sz w:val="36"/>
                <w:szCs w:val="36"/>
              </w:rPr>
            </w:pPr>
            <w:r w:rsidRPr="00E46F00">
              <w:rPr>
                <w:rFonts w:ascii="Calibri" w:hAnsi="Calibri" w:cs="Calibri"/>
                <w:color w:val="000000" w:themeColor="text1"/>
                <w:kern w:val="24"/>
                <w:sz w:val="8"/>
                <w:szCs w:val="8"/>
              </w:rPr>
              <w:t> </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rPr>
                <w:rFonts w:ascii="Arial" w:hAnsi="Arial" w:cs="Arial"/>
                <w:sz w:val="36"/>
                <w:szCs w:val="36"/>
              </w:rPr>
            </w:pPr>
            <w:r w:rsidRPr="007D2A5A">
              <w:rPr>
                <w:noProof/>
              </w:rPr>
              <mc:AlternateContent>
                <mc:Choice Requires="wps">
                  <w:drawing>
                    <wp:anchor distT="0" distB="0" distL="114300" distR="114300" simplePos="0" relativeHeight="251666432" behindDoc="0" locked="0" layoutInCell="1" allowOverlap="1" wp14:anchorId="5795971F" wp14:editId="20D36006">
                      <wp:simplePos x="0" y="0"/>
                      <wp:positionH relativeFrom="column">
                        <wp:posOffset>69850</wp:posOffset>
                      </wp:positionH>
                      <wp:positionV relativeFrom="paragraph">
                        <wp:posOffset>-2282825</wp:posOffset>
                      </wp:positionV>
                      <wp:extent cx="1571625" cy="2156460"/>
                      <wp:effectExtent l="0" t="0" r="0" b="0"/>
                      <wp:wrapNone/>
                      <wp:docPr id="13" name="TextBox 8"/>
                      <wp:cNvGraphicFramePr/>
                      <a:graphic xmlns:a="http://schemas.openxmlformats.org/drawingml/2006/main">
                        <a:graphicData uri="http://schemas.microsoft.com/office/word/2010/wordprocessingShape">
                          <wps:wsp>
                            <wps:cNvSpPr txBox="1"/>
                            <wps:spPr>
                              <a:xfrm>
                                <a:off x="0" y="0"/>
                                <a:ext cx="1571625" cy="21564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Lëndë të para të tjera për agroindustrinë dhe blegtorinë:</w:t>
                                  </w:r>
                                  <w:r>
                                    <w:rPr>
                                      <w:color w:val="000000" w:themeColor="dark1"/>
                                      <w:sz w:val="20"/>
                                      <w:szCs w:val="20"/>
                                    </w:rPr>
                                    <w:t xml:space="preserve"> -</w:t>
                                  </w:r>
                                  <w:r w:rsidRPr="00D853A0">
                                    <w:rPr>
                                      <w:color w:val="000000" w:themeColor="dark1"/>
                                      <w:sz w:val="20"/>
                                      <w:szCs w:val="20"/>
                                    </w:rPr>
                                    <w:t xml:space="preserve"> 104 </w:t>
                                  </w:r>
                                  <w:proofErr w:type="gramStart"/>
                                  <w:r w:rsidRPr="00D853A0">
                                    <w:rPr>
                                      <w:color w:val="000000" w:themeColor="dark1"/>
                                      <w:sz w:val="20"/>
                                      <w:szCs w:val="20"/>
                                    </w:rPr>
                                    <w:t>mln  lekë</w:t>
                                  </w:r>
                                  <w:proofErr w:type="gramEnd"/>
                                  <w:r w:rsidRPr="00D853A0">
                                    <w:rPr>
                                      <w:color w:val="000000" w:themeColor="dark1"/>
                                      <w:sz w:val="20"/>
                                      <w:szCs w:val="20"/>
                                    </w:rPr>
                                    <w:t xml:space="preserve"> Taksë Doganore dhe</w:t>
                                  </w:r>
                                  <w:r>
                                    <w:rPr>
                                      <w:color w:val="000000" w:themeColor="dark1"/>
                                      <w:sz w:val="20"/>
                                      <w:szCs w:val="20"/>
                                    </w:rPr>
                                    <w:t xml:space="preserve">               -</w:t>
                                  </w:r>
                                  <w:r w:rsidRPr="00D853A0">
                                    <w:rPr>
                                      <w:color w:val="000000" w:themeColor="dark1"/>
                                      <w:sz w:val="20"/>
                                      <w:szCs w:val="20"/>
                                    </w:rPr>
                                    <w:t xml:space="preserve"> 18  mln lekë TVSH </w:t>
                                  </w: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 xml:space="preserve">Mielli: </w:t>
                                  </w:r>
                                  <w:r>
                                    <w:rPr>
                                      <w:color w:val="000000" w:themeColor="dark1"/>
                                      <w:sz w:val="20"/>
                                      <w:szCs w:val="20"/>
                                    </w:rPr>
                                    <w:t>-</w:t>
                                  </w:r>
                                  <w:r w:rsidRPr="00D853A0">
                                    <w:rPr>
                                      <w:color w:val="000000" w:themeColor="dark1"/>
                                      <w:sz w:val="20"/>
                                      <w:szCs w:val="20"/>
                                    </w:rPr>
                                    <w:t>2.2 mln lekë Taksë Doganore dhe</w:t>
                                  </w:r>
                                  <w:r>
                                    <w:rPr>
                                      <w:color w:val="000000" w:themeColor="dark1"/>
                                      <w:sz w:val="20"/>
                                      <w:szCs w:val="20"/>
                                    </w:rPr>
                                    <w:t xml:space="preserve">           </w:t>
                                  </w:r>
                                  <w:r w:rsidRPr="00D853A0">
                                    <w:rPr>
                                      <w:color w:val="000000" w:themeColor="dark1"/>
                                      <w:sz w:val="20"/>
                                      <w:szCs w:val="20"/>
                                    </w:rPr>
                                    <w:t xml:space="preserve"> </w:t>
                                  </w:r>
                                  <w:r>
                                    <w:rPr>
                                      <w:color w:val="000000" w:themeColor="dark1"/>
                                      <w:sz w:val="20"/>
                                      <w:szCs w:val="20"/>
                                    </w:rPr>
                                    <w:t xml:space="preserve">- </w:t>
                                  </w:r>
                                  <w:r w:rsidRPr="00D853A0">
                                    <w:rPr>
                                      <w:color w:val="000000" w:themeColor="dark1"/>
                                      <w:sz w:val="20"/>
                                      <w:szCs w:val="20"/>
                                    </w:rPr>
                                    <w:t>0.4 mln lekë</w:t>
                                  </w:r>
                                  <w:r w:rsidRPr="00D853A0">
                                    <w:rPr>
                                      <w:rFonts w:ascii="Mangal" w:hAnsi="Mangal" w:cs="Mangal"/>
                                      <w:color w:val="000000" w:themeColor="dark1"/>
                                      <w:sz w:val="20"/>
                                      <w:szCs w:val="20"/>
                                    </w:rPr>
                                    <w:t xml:space="preserve"> </w:t>
                                  </w:r>
                                  <w:r w:rsidRPr="00D853A0">
                                    <w:rPr>
                                      <w:color w:val="000000" w:themeColor="dark1"/>
                                      <w:sz w:val="20"/>
                                      <w:szCs w:val="20"/>
                                    </w:rPr>
                                    <w:t xml:space="preserve">TVSH </w:t>
                                  </w: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Material biologjik elitar:</w:t>
                                  </w:r>
                                  <w:r>
                                    <w:rPr>
                                      <w:color w:val="000000" w:themeColor="dark1"/>
                                      <w:sz w:val="20"/>
                                      <w:szCs w:val="20"/>
                                    </w:rPr>
                                    <w:t xml:space="preserve">                </w:t>
                                  </w:r>
                                  <w:r w:rsidRPr="00D853A0">
                                    <w:rPr>
                                      <w:color w:val="000000" w:themeColor="dark1"/>
                                      <w:sz w:val="20"/>
                                      <w:szCs w:val="20"/>
                                    </w:rPr>
                                    <w:t xml:space="preserve"> </w:t>
                                  </w:r>
                                  <w:r>
                                    <w:rPr>
                                      <w:color w:val="000000" w:themeColor="dark1"/>
                                      <w:sz w:val="20"/>
                                      <w:szCs w:val="20"/>
                                    </w:rPr>
                                    <w:t>-</w:t>
                                  </w:r>
                                  <w:r w:rsidRPr="00D853A0">
                                    <w:rPr>
                                      <w:color w:val="000000" w:themeColor="dark1"/>
                                      <w:sz w:val="20"/>
                                      <w:szCs w:val="20"/>
                                    </w:rPr>
                                    <w:t>2.7 mln lekë Taksë Doganore dhe</w:t>
                                  </w:r>
                                  <w:r>
                                    <w:rPr>
                                      <w:color w:val="000000" w:themeColor="dark1"/>
                                      <w:sz w:val="20"/>
                                      <w:szCs w:val="20"/>
                                    </w:rPr>
                                    <w:t xml:space="preserve"> </w:t>
                                  </w:r>
                                  <w:proofErr w:type="gramStart"/>
                                  <w:r>
                                    <w:rPr>
                                      <w:color w:val="000000" w:themeColor="dark1"/>
                                      <w:sz w:val="20"/>
                                      <w:szCs w:val="20"/>
                                    </w:rPr>
                                    <w:t xml:space="preserve">- </w:t>
                                  </w:r>
                                  <w:r w:rsidRPr="00D853A0">
                                    <w:rPr>
                                      <w:color w:val="000000" w:themeColor="dark1"/>
                                      <w:sz w:val="20"/>
                                      <w:szCs w:val="20"/>
                                    </w:rPr>
                                    <w:t xml:space="preserve"> 0.54</w:t>
                                  </w:r>
                                  <w:proofErr w:type="gramEnd"/>
                                  <w:r w:rsidRPr="00D853A0">
                                    <w:rPr>
                                      <w:color w:val="000000" w:themeColor="dark1"/>
                                      <w:sz w:val="20"/>
                                      <w:szCs w:val="20"/>
                                    </w:rPr>
                                    <w:t xml:space="preserve"> mln  lekë TVSH</w:t>
                                  </w:r>
                                </w:p>
                                <w:p w:rsidR="006F60FF" w:rsidRPr="007D2A5A" w:rsidRDefault="006F60FF" w:rsidP="006F60FF">
                                  <w:pPr>
                                    <w:pStyle w:val="NormalWeb"/>
                                    <w:spacing w:before="0" w:beforeAutospacing="0" w:after="0" w:afterAutospacing="0"/>
                                    <w:rPr>
                                      <w:sz w:val="17"/>
                                      <w:szCs w:val="17"/>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TextBox 8" o:spid="_x0000_s1032" type="#_x0000_t202" style="position:absolute;margin-left:5.5pt;margin-top:-179.75pt;width:123.75pt;height:16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" filled="f" stroked="f">
                      <v:textbox>
                        <w:txbxContent>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Lëndë të para të tjera për agroindustrinë dhe blegtorinë:</w:t>
                            </w:r>
                            <w:r>
                              <w:rPr>
                                <w:color w:val="000000" w:themeColor="dark1"/>
                                <w:sz w:val="20"/>
                                <w:szCs w:val="20"/>
                              </w:rPr>
                              <w:t xml:space="preserve"> -</w:t>
                            </w:r>
                            <w:r w:rsidRPr="00D853A0">
                              <w:rPr>
                                <w:color w:val="000000" w:themeColor="dark1"/>
                                <w:sz w:val="20"/>
                                <w:szCs w:val="20"/>
                              </w:rPr>
                              <w:t xml:space="preserve"> 104 </w:t>
                            </w:r>
                            <w:proofErr w:type="gramStart"/>
                            <w:r w:rsidRPr="00D853A0">
                              <w:rPr>
                                <w:color w:val="000000" w:themeColor="dark1"/>
                                <w:sz w:val="20"/>
                                <w:szCs w:val="20"/>
                              </w:rPr>
                              <w:t>mln  lekë</w:t>
                            </w:r>
                            <w:proofErr w:type="gramEnd"/>
                            <w:r w:rsidRPr="00D853A0">
                              <w:rPr>
                                <w:color w:val="000000" w:themeColor="dark1"/>
                                <w:sz w:val="20"/>
                                <w:szCs w:val="20"/>
                              </w:rPr>
                              <w:t xml:space="preserve"> Taksë Doganore dhe</w:t>
                            </w:r>
                            <w:r>
                              <w:rPr>
                                <w:color w:val="000000" w:themeColor="dark1"/>
                                <w:sz w:val="20"/>
                                <w:szCs w:val="20"/>
                              </w:rPr>
                              <w:t xml:space="preserve">               -</w:t>
                            </w:r>
                            <w:r w:rsidRPr="00D853A0">
                              <w:rPr>
                                <w:color w:val="000000" w:themeColor="dark1"/>
                                <w:sz w:val="20"/>
                                <w:szCs w:val="20"/>
                              </w:rPr>
                              <w:t xml:space="preserve"> 18  mln lekë TVSH </w:t>
                            </w: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 xml:space="preserve">Mielli: </w:t>
                            </w:r>
                            <w:r>
                              <w:rPr>
                                <w:color w:val="000000" w:themeColor="dark1"/>
                                <w:sz w:val="20"/>
                                <w:szCs w:val="20"/>
                              </w:rPr>
                              <w:t>-</w:t>
                            </w:r>
                            <w:r w:rsidRPr="00D853A0">
                              <w:rPr>
                                <w:color w:val="000000" w:themeColor="dark1"/>
                                <w:sz w:val="20"/>
                                <w:szCs w:val="20"/>
                              </w:rPr>
                              <w:t>2.2 mln lekë Taksë Doganore dhe</w:t>
                            </w:r>
                            <w:r>
                              <w:rPr>
                                <w:color w:val="000000" w:themeColor="dark1"/>
                                <w:sz w:val="20"/>
                                <w:szCs w:val="20"/>
                              </w:rPr>
                              <w:t xml:space="preserve">           </w:t>
                            </w:r>
                            <w:r w:rsidRPr="00D853A0">
                              <w:rPr>
                                <w:color w:val="000000" w:themeColor="dark1"/>
                                <w:sz w:val="20"/>
                                <w:szCs w:val="20"/>
                              </w:rPr>
                              <w:t xml:space="preserve"> </w:t>
                            </w:r>
                            <w:r>
                              <w:rPr>
                                <w:color w:val="000000" w:themeColor="dark1"/>
                                <w:sz w:val="20"/>
                                <w:szCs w:val="20"/>
                              </w:rPr>
                              <w:t xml:space="preserve">- </w:t>
                            </w:r>
                            <w:r w:rsidRPr="00D853A0">
                              <w:rPr>
                                <w:color w:val="000000" w:themeColor="dark1"/>
                                <w:sz w:val="20"/>
                                <w:szCs w:val="20"/>
                              </w:rPr>
                              <w:t>0.4 mln lekë</w:t>
                            </w:r>
                            <w:r w:rsidRPr="00D853A0">
                              <w:rPr>
                                <w:rFonts w:ascii="Mangal" w:hAnsi="Mangal" w:cs="Mangal"/>
                                <w:color w:val="000000" w:themeColor="dark1"/>
                                <w:sz w:val="20"/>
                                <w:szCs w:val="20"/>
                              </w:rPr>
                              <w:t xml:space="preserve"> </w:t>
                            </w:r>
                            <w:r w:rsidRPr="00D853A0">
                              <w:rPr>
                                <w:color w:val="000000" w:themeColor="dark1"/>
                                <w:sz w:val="20"/>
                                <w:szCs w:val="20"/>
                              </w:rPr>
                              <w:t xml:space="preserve">TVSH </w:t>
                            </w:r>
                          </w:p>
                          <w:p w:rsidR="006F60FF" w:rsidRPr="00D853A0" w:rsidRDefault="006F60FF" w:rsidP="006F60FF">
                            <w:pPr>
                              <w:pStyle w:val="NormalWeb"/>
                              <w:spacing w:before="0" w:beforeAutospacing="0" w:after="0" w:afterAutospacing="0"/>
                              <w:rPr>
                                <w:color w:val="000000" w:themeColor="dark1"/>
                                <w:sz w:val="20"/>
                                <w:szCs w:val="20"/>
                              </w:rPr>
                            </w:pPr>
                          </w:p>
                          <w:p w:rsidR="006F60FF" w:rsidRPr="00D853A0" w:rsidRDefault="006F60FF" w:rsidP="006F60FF">
                            <w:pPr>
                              <w:pStyle w:val="NormalWeb"/>
                              <w:spacing w:before="0" w:beforeAutospacing="0" w:after="0" w:afterAutospacing="0"/>
                              <w:rPr>
                                <w:color w:val="000000" w:themeColor="dark1"/>
                                <w:sz w:val="20"/>
                                <w:szCs w:val="20"/>
                              </w:rPr>
                            </w:pPr>
                            <w:r w:rsidRPr="00D853A0">
                              <w:rPr>
                                <w:color w:val="000000" w:themeColor="dark1"/>
                                <w:sz w:val="20"/>
                                <w:szCs w:val="20"/>
                              </w:rPr>
                              <w:t>Material biologjik elitar:</w:t>
                            </w:r>
                            <w:r>
                              <w:rPr>
                                <w:color w:val="000000" w:themeColor="dark1"/>
                                <w:sz w:val="20"/>
                                <w:szCs w:val="20"/>
                              </w:rPr>
                              <w:t xml:space="preserve">                </w:t>
                            </w:r>
                            <w:r w:rsidRPr="00D853A0">
                              <w:rPr>
                                <w:color w:val="000000" w:themeColor="dark1"/>
                                <w:sz w:val="20"/>
                                <w:szCs w:val="20"/>
                              </w:rPr>
                              <w:t xml:space="preserve"> </w:t>
                            </w:r>
                            <w:r>
                              <w:rPr>
                                <w:color w:val="000000" w:themeColor="dark1"/>
                                <w:sz w:val="20"/>
                                <w:szCs w:val="20"/>
                              </w:rPr>
                              <w:t>-</w:t>
                            </w:r>
                            <w:r w:rsidRPr="00D853A0">
                              <w:rPr>
                                <w:color w:val="000000" w:themeColor="dark1"/>
                                <w:sz w:val="20"/>
                                <w:szCs w:val="20"/>
                              </w:rPr>
                              <w:t>2.7 mln lekë Taksë Doganore dhe</w:t>
                            </w:r>
                            <w:r>
                              <w:rPr>
                                <w:color w:val="000000" w:themeColor="dark1"/>
                                <w:sz w:val="20"/>
                                <w:szCs w:val="20"/>
                              </w:rPr>
                              <w:t xml:space="preserve"> </w:t>
                            </w:r>
                            <w:proofErr w:type="gramStart"/>
                            <w:r>
                              <w:rPr>
                                <w:color w:val="000000" w:themeColor="dark1"/>
                                <w:sz w:val="20"/>
                                <w:szCs w:val="20"/>
                              </w:rPr>
                              <w:t xml:space="preserve">- </w:t>
                            </w:r>
                            <w:r w:rsidRPr="00D853A0">
                              <w:rPr>
                                <w:color w:val="000000" w:themeColor="dark1"/>
                                <w:sz w:val="20"/>
                                <w:szCs w:val="20"/>
                              </w:rPr>
                              <w:t xml:space="preserve"> 0.54</w:t>
                            </w:r>
                            <w:proofErr w:type="gramEnd"/>
                            <w:r w:rsidRPr="00D853A0">
                              <w:rPr>
                                <w:color w:val="000000" w:themeColor="dark1"/>
                                <w:sz w:val="20"/>
                                <w:szCs w:val="20"/>
                              </w:rPr>
                              <w:t xml:space="preserve"> mln  lekë TVSH</w:t>
                            </w:r>
                          </w:p>
                          <w:p w:rsidR="006F60FF" w:rsidRPr="007D2A5A" w:rsidRDefault="006F60FF" w:rsidP="006F60FF">
                            <w:pPr>
                              <w:pStyle w:val="NormalWeb"/>
                              <w:spacing w:before="0" w:beforeAutospacing="0" w:after="0" w:afterAutospacing="0"/>
                              <w:rPr>
                                <w:sz w:val="17"/>
                                <w:szCs w:val="17"/>
                              </w:rPr>
                            </w:pPr>
                          </w:p>
                        </w:txbxContent>
                      </v:textbox>
                    </v:shape>
                  </w:pict>
                </mc:Fallback>
              </mc:AlternateContent>
            </w:r>
          </w:p>
        </w:tc>
      </w:tr>
      <w:tr w:rsidR="006F60FF" w:rsidRPr="00E46F00" w:rsidTr="006F60FF">
        <w:trPr>
          <w:trHeight w:val="1979"/>
        </w:trPr>
        <w:tc>
          <w:tcPr>
            <w:tcW w:w="1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Default="006F60FF" w:rsidP="00AD0FD4">
            <w:pPr>
              <w:textAlignment w:val="center"/>
              <w:rPr>
                <w:color w:val="000000" w:themeColor="text1"/>
                <w:kern w:val="24"/>
                <w:sz w:val="20"/>
                <w:szCs w:val="20"/>
                <w:lang w:val="pt-BR"/>
              </w:rPr>
            </w:pPr>
          </w:p>
          <w:p w:rsidR="006F60FF" w:rsidRDefault="006F60FF" w:rsidP="00AD0FD4">
            <w:pPr>
              <w:textAlignment w:val="center"/>
              <w:rPr>
                <w:color w:val="000000" w:themeColor="text1"/>
                <w:kern w:val="24"/>
                <w:sz w:val="20"/>
                <w:szCs w:val="20"/>
                <w:lang w:val="pt-BR"/>
              </w:rPr>
            </w:pPr>
            <w:r w:rsidRPr="00E46F00">
              <w:rPr>
                <w:color w:val="000000" w:themeColor="text1"/>
                <w:kern w:val="24"/>
                <w:sz w:val="20"/>
                <w:szCs w:val="20"/>
                <w:lang w:val="pt-BR"/>
              </w:rPr>
              <w:t xml:space="preserve">Heqja e tarifës doganore për naftën bruto </w:t>
            </w:r>
          </w:p>
          <w:p w:rsidR="006F60FF" w:rsidRPr="00E46F00" w:rsidRDefault="006F60FF" w:rsidP="00AD0FD4">
            <w:pPr>
              <w:textAlignment w:val="center"/>
              <w:rPr>
                <w:sz w:val="20"/>
                <w:szCs w:val="20"/>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r>
              <w:rPr>
                <w:color w:val="000000" w:themeColor="text1"/>
                <w:kern w:val="24"/>
                <w:sz w:val="20"/>
                <w:szCs w:val="20"/>
              </w:rPr>
              <w:t xml:space="preserve">Nuk janë llogaritur efekte </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p>
        </w:tc>
        <w:tc>
          <w:tcPr>
            <w:tcW w:w="1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p>
        </w:tc>
        <w:tc>
          <w:tcPr>
            <w:tcW w:w="20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rFonts w:ascii="Arial" w:hAnsi="Arial" w:cs="Arial"/>
                <w:sz w:val="36"/>
                <w:szCs w:val="36"/>
              </w:rPr>
            </w:pPr>
            <w:r w:rsidRPr="007D2A5A">
              <w:rPr>
                <w:noProof/>
              </w:rPr>
              <mc:AlternateContent>
                <mc:Choice Requires="wps">
                  <w:drawing>
                    <wp:anchor distT="0" distB="0" distL="114300" distR="114300" simplePos="0" relativeHeight="251667456" behindDoc="0" locked="0" layoutInCell="1" allowOverlap="1" wp14:anchorId="1E5BFC6C" wp14:editId="49EF851D">
                      <wp:simplePos x="0" y="0"/>
                      <wp:positionH relativeFrom="column">
                        <wp:posOffset>1339850</wp:posOffset>
                      </wp:positionH>
                      <wp:positionV relativeFrom="paragraph">
                        <wp:posOffset>-908685</wp:posOffset>
                      </wp:positionV>
                      <wp:extent cx="1485900" cy="952500"/>
                      <wp:effectExtent l="0" t="0" r="0" b="0"/>
                      <wp:wrapNone/>
                      <wp:docPr id="14" name="TextBox 9"/>
                      <wp:cNvGraphicFramePr/>
                      <a:graphic xmlns:a="http://schemas.openxmlformats.org/drawingml/2006/main">
                        <a:graphicData uri="http://schemas.microsoft.com/office/word/2010/wordprocessingShape">
                          <wps:wsp>
                            <wps:cNvSpPr txBox="1"/>
                            <wps:spPr>
                              <a:xfrm>
                                <a:off x="0" y="0"/>
                                <a:ext cx="1485900" cy="952500"/>
                              </a:xfrm>
                              <a:prstGeom prst="rect">
                                <a:avLst/>
                              </a:prstGeom>
                              <a:noFill/>
                              <a:ln w="9525" cmpd="sng">
                                <a:noFill/>
                              </a:ln>
                              <a:effectLst/>
                            </wps:spPr>
                            <wps:txbx>
                              <w:txbxContent>
                                <w:p w:rsidR="006F60FF" w:rsidRDefault="006F60FF" w:rsidP="006F60FF">
                                  <w:pPr>
                                    <w:pStyle w:val="NormalWeb"/>
                                    <w:spacing w:before="0" w:beforeAutospacing="0" w:after="0" w:afterAutospacing="0"/>
                                  </w:pPr>
                                  <w:r>
                                    <w:rPr>
                                      <w:color w:val="000000"/>
                                      <w:sz w:val="20"/>
                                      <w:szCs w:val="20"/>
                                    </w:rPr>
                                    <w:t xml:space="preserve">Nuk u shfrytëzua si lehtësi gjatë vitit 2015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TextBox 9" o:spid="_x0000_s1033" type="#_x0000_t202" style="position:absolute;margin-left:105.5pt;margin-top:-71.55pt;width:117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" filled="f" stroked="f">
                      <v:textbox>
                        <w:txbxContent>
                          <w:p w:rsidR="006F60FF" w:rsidRDefault="006F60FF" w:rsidP="006F60FF">
                            <w:pPr>
                              <w:pStyle w:val="NormalWeb"/>
                              <w:spacing w:before="0" w:beforeAutospacing="0" w:after="0" w:afterAutospacing="0"/>
                            </w:pPr>
                            <w:r>
                              <w:rPr>
                                <w:color w:val="000000"/>
                                <w:sz w:val="20"/>
                                <w:szCs w:val="20"/>
                              </w:rPr>
                              <w:t xml:space="preserve">Nuk u shfrytëzua si lehtësi gjatë vitit 2015 </w:t>
                            </w:r>
                          </w:p>
                        </w:txbxContent>
                      </v:textbox>
                    </v:shape>
                  </w:pict>
                </mc:Fallback>
              </mc:AlternateContent>
            </w:r>
            <w:r w:rsidRPr="00E46F00">
              <w:rPr>
                <w:rFonts w:ascii="Calibri" w:hAnsi="Calibri" w:cs="Calibri"/>
                <w:color w:val="000000" w:themeColor="text1"/>
                <w:kern w:val="24"/>
                <w:sz w:val="8"/>
                <w:szCs w:val="8"/>
              </w:rPr>
              <w:t> </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rPr>
                <w:rFonts w:ascii="Arial" w:hAnsi="Arial" w:cs="Arial"/>
                <w:sz w:val="36"/>
                <w:szCs w:val="36"/>
              </w:rPr>
            </w:pPr>
          </w:p>
        </w:tc>
      </w:tr>
      <w:tr w:rsidR="006F60FF" w:rsidRPr="00E46F00" w:rsidTr="006F60FF">
        <w:trPr>
          <w:trHeight w:val="1909"/>
        </w:trPr>
        <w:tc>
          <w:tcPr>
            <w:tcW w:w="1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6F60FF" w:rsidRPr="00E46F00" w:rsidRDefault="006F60FF" w:rsidP="00AD0FD4">
            <w:pPr>
              <w:textAlignment w:val="center"/>
              <w:rPr>
                <w:sz w:val="20"/>
                <w:szCs w:val="20"/>
              </w:rPr>
            </w:pPr>
            <w:r w:rsidRPr="00E46F00">
              <w:rPr>
                <w:color w:val="000000" w:themeColor="text1"/>
                <w:kern w:val="24"/>
                <w:sz w:val="20"/>
                <w:szCs w:val="20"/>
              </w:rPr>
              <w:t xml:space="preserve">Përjashtimi nga tatimi mbi të ardhurat personale i kontributeve në fondet vullnetare të pensioneve, që në momentin e kontributit. </w:t>
            </w: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p>
        </w:tc>
        <w:tc>
          <w:tcPr>
            <w:tcW w:w="13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p>
        </w:tc>
        <w:tc>
          <w:tcPr>
            <w:tcW w:w="1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sz w:val="20"/>
                <w:szCs w:val="20"/>
              </w:rPr>
            </w:pPr>
            <w:r w:rsidRPr="00E46F00">
              <w:rPr>
                <w:color w:val="000000" w:themeColor="text1"/>
                <w:kern w:val="24"/>
                <w:sz w:val="20"/>
                <w:szCs w:val="20"/>
              </w:rPr>
              <w:t> </w:t>
            </w:r>
          </w:p>
        </w:tc>
        <w:tc>
          <w:tcPr>
            <w:tcW w:w="20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textAlignment w:val="bottom"/>
              <w:rPr>
                <w:rFonts w:ascii="Arial" w:hAnsi="Arial" w:cs="Arial"/>
                <w:sz w:val="36"/>
                <w:szCs w:val="36"/>
              </w:rPr>
            </w:pPr>
            <w:r w:rsidRPr="00E46F00">
              <w:rPr>
                <w:rFonts w:ascii="Calibri" w:hAnsi="Calibri" w:cs="Calibri"/>
                <w:color w:val="000000" w:themeColor="text1"/>
                <w:kern w:val="24"/>
                <w:sz w:val="8"/>
                <w:szCs w:val="8"/>
              </w:rPr>
              <w:t> </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6F60FF" w:rsidRPr="00E46F00" w:rsidRDefault="006F60FF" w:rsidP="00AD0FD4">
            <w:pPr>
              <w:rPr>
                <w:rFonts w:ascii="Arial" w:hAnsi="Arial" w:cs="Arial"/>
                <w:sz w:val="36"/>
                <w:szCs w:val="36"/>
              </w:rPr>
            </w:pPr>
            <w:r w:rsidRPr="00575ADD">
              <w:rPr>
                <w:noProof/>
              </w:rPr>
              <mc:AlternateContent>
                <mc:Choice Requires="wps">
                  <w:drawing>
                    <wp:anchor distT="0" distB="0" distL="114300" distR="114300" simplePos="0" relativeHeight="251668480" behindDoc="0" locked="0" layoutInCell="1" allowOverlap="1" wp14:anchorId="72B98F63" wp14:editId="53BEBBFB">
                      <wp:simplePos x="0" y="0"/>
                      <wp:positionH relativeFrom="column">
                        <wp:posOffset>25400</wp:posOffset>
                      </wp:positionH>
                      <wp:positionV relativeFrom="paragraph">
                        <wp:posOffset>-1115695</wp:posOffset>
                      </wp:positionV>
                      <wp:extent cx="1409700" cy="971550"/>
                      <wp:effectExtent l="0" t="0" r="0" b="0"/>
                      <wp:wrapNone/>
                      <wp:docPr id="15" name="TextBox 10"/>
                      <wp:cNvGraphicFramePr/>
                      <a:graphic xmlns:a="http://schemas.openxmlformats.org/drawingml/2006/main">
                        <a:graphicData uri="http://schemas.microsoft.com/office/word/2010/wordprocessingShape">
                          <wps:wsp>
                            <wps:cNvSpPr txBox="1"/>
                            <wps:spPr>
                              <a:xfrm>
                                <a:off x="0" y="0"/>
                                <a:ext cx="1409700" cy="971550"/>
                              </a:xfrm>
                              <a:prstGeom prst="rect">
                                <a:avLst/>
                              </a:prstGeom>
                              <a:noFill/>
                              <a:ln w="9525" cmpd="sng">
                                <a:noFill/>
                              </a:ln>
                              <a:effectLst/>
                            </wps:spPr>
                            <wps:txbx>
                              <w:txbxContent>
                                <w:p w:rsidR="006F60FF" w:rsidRPr="00D87ACA" w:rsidRDefault="006F60FF" w:rsidP="006F60FF">
                                  <w:pPr>
                                    <w:pStyle w:val="NormalWeb"/>
                                    <w:spacing w:before="0" w:beforeAutospacing="0" w:after="0" w:afterAutospacing="0"/>
                                    <w:rPr>
                                      <w:sz w:val="20"/>
                                      <w:szCs w:val="20"/>
                                    </w:rPr>
                                  </w:pPr>
                                  <w:r w:rsidRPr="00D87ACA">
                                    <w:rPr>
                                      <w:color w:val="000000"/>
                                      <w:sz w:val="20"/>
                                      <w:szCs w:val="20"/>
                                    </w:rPr>
                                    <w:t xml:space="preserve">Rritja e shkallës së kursimit afatgjatë nëpërmjet harmonizimit me praktikën e vendeve të BE-së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TextBox 10" o:spid="_x0000_s1034" type="#_x0000_t202" style="position:absolute;margin-left:2pt;margin-top:-87.85pt;width:111pt;height: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" filled="f" stroked="f">
                      <v:textbox>
                        <w:txbxContent>
                          <w:p w:rsidR="006F60FF" w:rsidRPr="00D87ACA" w:rsidRDefault="006F60FF" w:rsidP="006F60FF">
                            <w:pPr>
                              <w:pStyle w:val="NormalWeb"/>
                              <w:spacing w:before="0" w:beforeAutospacing="0" w:after="0" w:afterAutospacing="0"/>
                              <w:rPr>
                                <w:sz w:val="20"/>
                                <w:szCs w:val="20"/>
                              </w:rPr>
                            </w:pPr>
                            <w:r w:rsidRPr="00D87ACA">
                              <w:rPr>
                                <w:color w:val="000000"/>
                                <w:sz w:val="20"/>
                                <w:szCs w:val="20"/>
                              </w:rPr>
                              <w:t xml:space="preserve">Rritja e shkallës së kursimit afatgjatë nëpërmjet harmonizimit me praktikën e vendeve të BE-së </w:t>
                            </w:r>
                          </w:p>
                        </w:txbxContent>
                      </v:textbox>
                    </v:shape>
                  </w:pict>
                </mc:Fallback>
              </mc:AlternateContent>
            </w:r>
          </w:p>
        </w:tc>
      </w:tr>
    </w:tbl>
    <w:p w:rsidR="006F60FF" w:rsidRPr="000F540A" w:rsidRDefault="006F60FF" w:rsidP="000F540A">
      <w:pPr>
        <w:tabs>
          <w:tab w:val="left" w:pos="2730"/>
        </w:tabs>
        <w:jc w:val="both"/>
        <w:rPr>
          <w:rFonts w:asciiTheme="majorHAnsi" w:hAnsiTheme="majorHAnsi"/>
          <w:sz w:val="22"/>
          <w:szCs w:val="22"/>
          <w:lang w:val="sq-AL"/>
        </w:rPr>
      </w:pPr>
    </w:p>
    <w:p w:rsidR="00C81BF8" w:rsidRPr="000F540A" w:rsidRDefault="00C81BF8" w:rsidP="000F540A">
      <w:pPr>
        <w:tabs>
          <w:tab w:val="left" w:pos="2730"/>
        </w:tabs>
        <w:jc w:val="both"/>
        <w:rPr>
          <w:rFonts w:asciiTheme="majorHAnsi" w:hAnsiTheme="majorHAnsi"/>
          <w:sz w:val="22"/>
          <w:szCs w:val="22"/>
          <w:lang w:val="sq-AL"/>
        </w:rPr>
      </w:pPr>
    </w:p>
    <w:p w:rsidR="00C81BF8" w:rsidRPr="000F540A" w:rsidRDefault="00C81BF8" w:rsidP="000F540A">
      <w:pPr>
        <w:tabs>
          <w:tab w:val="left" w:pos="2730"/>
        </w:tabs>
        <w:jc w:val="both"/>
        <w:rPr>
          <w:rFonts w:asciiTheme="majorHAnsi" w:hAnsiTheme="majorHAnsi"/>
          <w:sz w:val="22"/>
          <w:szCs w:val="22"/>
          <w:lang w:val="sq-AL"/>
        </w:rPr>
      </w:pPr>
    </w:p>
    <w:p w:rsidR="00C81BF8" w:rsidRPr="000F540A" w:rsidRDefault="00C81BF8" w:rsidP="000F540A">
      <w:pPr>
        <w:tabs>
          <w:tab w:val="left" w:pos="2730"/>
        </w:tabs>
        <w:jc w:val="both"/>
        <w:rPr>
          <w:rFonts w:asciiTheme="majorHAnsi" w:hAnsiTheme="majorHAnsi"/>
          <w:sz w:val="22"/>
          <w:szCs w:val="22"/>
          <w:lang w:val="sq-AL"/>
        </w:rPr>
      </w:pPr>
    </w:p>
    <w:p w:rsidR="00C81BF8" w:rsidRPr="000F540A" w:rsidRDefault="00C81BF8" w:rsidP="000F540A">
      <w:pPr>
        <w:tabs>
          <w:tab w:val="left" w:pos="2730"/>
        </w:tabs>
        <w:jc w:val="both"/>
        <w:rPr>
          <w:rFonts w:asciiTheme="majorHAnsi" w:hAnsiTheme="majorHAnsi"/>
          <w:sz w:val="22"/>
          <w:szCs w:val="22"/>
          <w:lang w:val="sq-AL"/>
        </w:rPr>
      </w:pPr>
    </w:p>
    <w:p w:rsidR="009C2312" w:rsidRDefault="009C2312" w:rsidP="000F540A">
      <w:pPr>
        <w:tabs>
          <w:tab w:val="left" w:pos="2730"/>
        </w:tabs>
        <w:jc w:val="both"/>
        <w:rPr>
          <w:rFonts w:asciiTheme="majorHAnsi" w:hAnsiTheme="majorHAnsi"/>
          <w:sz w:val="22"/>
          <w:szCs w:val="22"/>
          <w:lang w:val="sq-AL"/>
        </w:rPr>
      </w:pPr>
    </w:p>
    <w:p w:rsidR="001B35D0" w:rsidRDefault="001B35D0" w:rsidP="000F540A">
      <w:pPr>
        <w:tabs>
          <w:tab w:val="left" w:pos="2730"/>
        </w:tabs>
        <w:jc w:val="both"/>
        <w:rPr>
          <w:rFonts w:asciiTheme="majorHAnsi" w:hAnsiTheme="majorHAnsi"/>
          <w:sz w:val="22"/>
          <w:szCs w:val="22"/>
          <w:lang w:val="sq-AL"/>
        </w:rPr>
      </w:pPr>
    </w:p>
    <w:p w:rsidR="001B35D0" w:rsidRDefault="001B35D0" w:rsidP="000F540A">
      <w:pPr>
        <w:tabs>
          <w:tab w:val="left" w:pos="2730"/>
        </w:tabs>
        <w:jc w:val="both"/>
        <w:rPr>
          <w:rFonts w:asciiTheme="majorHAnsi" w:hAnsiTheme="majorHAnsi"/>
          <w:sz w:val="22"/>
          <w:szCs w:val="22"/>
          <w:lang w:val="sq-AL"/>
        </w:rPr>
      </w:pPr>
    </w:p>
    <w:p w:rsidR="001B35D0" w:rsidRDefault="001B35D0" w:rsidP="000F540A">
      <w:pPr>
        <w:tabs>
          <w:tab w:val="left" w:pos="2730"/>
        </w:tabs>
        <w:jc w:val="both"/>
        <w:rPr>
          <w:rFonts w:asciiTheme="majorHAnsi" w:hAnsiTheme="majorHAnsi"/>
          <w:sz w:val="22"/>
          <w:szCs w:val="22"/>
          <w:lang w:val="sq-AL"/>
        </w:rPr>
      </w:pPr>
    </w:p>
    <w:p w:rsidR="001B35D0" w:rsidRDefault="001B35D0" w:rsidP="000F540A">
      <w:pPr>
        <w:tabs>
          <w:tab w:val="left" w:pos="2730"/>
        </w:tabs>
        <w:jc w:val="both"/>
        <w:rPr>
          <w:rFonts w:asciiTheme="majorHAnsi" w:hAnsiTheme="majorHAnsi"/>
          <w:sz w:val="22"/>
          <w:szCs w:val="22"/>
          <w:lang w:val="sq-AL"/>
        </w:rPr>
      </w:pPr>
    </w:p>
    <w:p w:rsidR="001B35D0" w:rsidRDefault="001B35D0" w:rsidP="000F540A">
      <w:pPr>
        <w:tabs>
          <w:tab w:val="left" w:pos="2730"/>
        </w:tabs>
        <w:jc w:val="both"/>
        <w:rPr>
          <w:rFonts w:asciiTheme="majorHAnsi" w:hAnsiTheme="majorHAnsi"/>
          <w:sz w:val="22"/>
          <w:szCs w:val="22"/>
          <w:lang w:val="sq-AL"/>
        </w:rPr>
      </w:pPr>
    </w:p>
    <w:p w:rsidR="001B35D0" w:rsidRDefault="001B35D0" w:rsidP="000F540A">
      <w:pPr>
        <w:tabs>
          <w:tab w:val="left" w:pos="2730"/>
        </w:tabs>
        <w:jc w:val="both"/>
        <w:rPr>
          <w:rFonts w:asciiTheme="majorHAnsi" w:hAnsiTheme="majorHAnsi"/>
          <w:sz w:val="22"/>
          <w:szCs w:val="22"/>
          <w:lang w:val="sq-AL"/>
        </w:rPr>
      </w:pPr>
    </w:p>
    <w:p w:rsidR="001B35D0" w:rsidRDefault="001B35D0" w:rsidP="000F540A">
      <w:pPr>
        <w:tabs>
          <w:tab w:val="left" w:pos="2730"/>
        </w:tabs>
        <w:jc w:val="both"/>
        <w:rPr>
          <w:rFonts w:asciiTheme="majorHAnsi" w:hAnsiTheme="majorHAnsi"/>
          <w:sz w:val="22"/>
          <w:szCs w:val="22"/>
          <w:lang w:val="sq-AL"/>
        </w:rPr>
      </w:pPr>
    </w:p>
    <w:p w:rsidR="001B35D0" w:rsidRDefault="001B35D0" w:rsidP="000F540A">
      <w:pPr>
        <w:tabs>
          <w:tab w:val="left" w:pos="2730"/>
        </w:tabs>
        <w:jc w:val="both"/>
        <w:rPr>
          <w:rFonts w:asciiTheme="majorHAnsi" w:hAnsiTheme="majorHAnsi"/>
          <w:sz w:val="22"/>
          <w:szCs w:val="22"/>
          <w:lang w:val="sq-AL"/>
        </w:rPr>
      </w:pPr>
    </w:p>
    <w:p w:rsidR="001B35D0" w:rsidRDefault="001B35D0" w:rsidP="000F540A">
      <w:pPr>
        <w:tabs>
          <w:tab w:val="left" w:pos="2730"/>
        </w:tabs>
        <w:jc w:val="both"/>
        <w:rPr>
          <w:rFonts w:asciiTheme="majorHAnsi" w:hAnsiTheme="majorHAnsi"/>
          <w:sz w:val="22"/>
          <w:szCs w:val="22"/>
          <w:lang w:val="sq-AL"/>
        </w:rPr>
      </w:pPr>
    </w:p>
    <w:p w:rsidR="001B35D0" w:rsidRDefault="001B35D0" w:rsidP="000F540A">
      <w:pPr>
        <w:tabs>
          <w:tab w:val="left" w:pos="2730"/>
        </w:tabs>
        <w:jc w:val="both"/>
        <w:rPr>
          <w:rFonts w:asciiTheme="majorHAnsi" w:hAnsiTheme="majorHAnsi"/>
          <w:sz w:val="22"/>
          <w:szCs w:val="22"/>
          <w:lang w:val="sq-AL"/>
        </w:rPr>
      </w:pPr>
    </w:p>
    <w:p w:rsidR="001B35D0" w:rsidRDefault="001B35D0" w:rsidP="000F540A">
      <w:pPr>
        <w:tabs>
          <w:tab w:val="left" w:pos="2730"/>
        </w:tabs>
        <w:jc w:val="both"/>
        <w:rPr>
          <w:rFonts w:asciiTheme="majorHAnsi" w:hAnsiTheme="majorHAnsi"/>
          <w:sz w:val="22"/>
          <w:szCs w:val="22"/>
          <w:lang w:val="sq-AL"/>
        </w:rPr>
      </w:pPr>
    </w:p>
    <w:p w:rsidR="001B35D0" w:rsidRDefault="001B35D0" w:rsidP="000F540A">
      <w:pPr>
        <w:tabs>
          <w:tab w:val="left" w:pos="2730"/>
        </w:tabs>
        <w:jc w:val="both"/>
        <w:rPr>
          <w:rFonts w:asciiTheme="majorHAnsi" w:hAnsiTheme="majorHAnsi"/>
          <w:sz w:val="22"/>
          <w:szCs w:val="22"/>
          <w:lang w:val="sq-AL"/>
        </w:rPr>
      </w:pPr>
    </w:p>
    <w:p w:rsidR="001B35D0" w:rsidRPr="000F540A" w:rsidRDefault="001B35D0" w:rsidP="000F540A">
      <w:pPr>
        <w:tabs>
          <w:tab w:val="left" w:pos="2730"/>
        </w:tabs>
        <w:jc w:val="both"/>
        <w:rPr>
          <w:rFonts w:asciiTheme="majorHAnsi" w:hAnsiTheme="majorHAnsi"/>
          <w:sz w:val="22"/>
          <w:szCs w:val="22"/>
          <w:lang w:val="sq-AL"/>
        </w:rPr>
      </w:pPr>
    </w:p>
    <w:sectPr w:rsidR="001B35D0" w:rsidRPr="000F540A" w:rsidSect="004C5C81">
      <w:headerReference w:type="default" r:id="rId19"/>
      <w:footerReference w:type="default" r:id="rId20"/>
      <w:pgSz w:w="11907" w:h="16839" w:code="9"/>
      <w:pgMar w:top="1440" w:right="1530" w:bottom="1276"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2E1" w:rsidRDefault="00D512E1" w:rsidP="00CD61BB">
      <w:r>
        <w:separator/>
      </w:r>
    </w:p>
  </w:endnote>
  <w:endnote w:type="continuationSeparator" w:id="0">
    <w:p w:rsidR="00D512E1" w:rsidRDefault="00D512E1" w:rsidP="00CD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742367"/>
      <w:docPartObj>
        <w:docPartGallery w:val="Page Numbers (Bottom of Page)"/>
        <w:docPartUnique/>
      </w:docPartObj>
    </w:sdtPr>
    <w:sdtEndPr/>
    <w:sdtContent>
      <w:p w:rsidR="001B35D0" w:rsidRDefault="001B35D0">
        <w:pPr>
          <w:pStyle w:val="Footer"/>
          <w:jc w:val="right"/>
        </w:pPr>
        <w:r>
          <w:fldChar w:fldCharType="begin"/>
        </w:r>
        <w:r>
          <w:instrText xml:space="preserve"> PAGE   \* MERGEFORMAT </w:instrText>
        </w:r>
        <w:r>
          <w:fldChar w:fldCharType="separate"/>
        </w:r>
        <w:r w:rsidR="009C2E45">
          <w:rPr>
            <w:noProof/>
          </w:rPr>
          <w:t>9</w:t>
        </w:r>
        <w:r>
          <w:rPr>
            <w:noProof/>
          </w:rPr>
          <w:fldChar w:fldCharType="end"/>
        </w:r>
      </w:p>
    </w:sdtContent>
  </w:sdt>
  <w:p w:rsidR="001B35D0" w:rsidRDefault="001B3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2E1" w:rsidRDefault="00D512E1" w:rsidP="00CD61BB">
      <w:r>
        <w:separator/>
      </w:r>
    </w:p>
  </w:footnote>
  <w:footnote w:type="continuationSeparator" w:id="0">
    <w:p w:rsidR="00D512E1" w:rsidRDefault="00D512E1" w:rsidP="00CD61BB">
      <w:r>
        <w:continuationSeparator/>
      </w:r>
    </w:p>
  </w:footnote>
  <w:footnote w:id="1">
    <w:p w:rsidR="001B35D0" w:rsidRPr="00CC14FE" w:rsidRDefault="001B35D0">
      <w:pPr>
        <w:pStyle w:val="FootnoteText"/>
        <w:rPr>
          <w:rFonts w:ascii="Times New Roman" w:hAnsi="Times New Roman"/>
          <w:lang w:val="en-US"/>
        </w:rPr>
      </w:pPr>
      <w:r w:rsidRPr="00CC14FE">
        <w:rPr>
          <w:rStyle w:val="FootnoteReference"/>
          <w:rFonts w:ascii="Times New Roman" w:hAnsi="Times New Roman"/>
        </w:rPr>
        <w:footnoteRef/>
      </w:r>
      <w:r w:rsidRPr="00CC14FE">
        <w:rPr>
          <w:rFonts w:ascii="Times New Roman" w:hAnsi="Times New Roman"/>
        </w:rPr>
        <w:t xml:space="preserve"> </w:t>
      </w:r>
      <w:r w:rsidRPr="00CC14FE">
        <w:rPr>
          <w:rFonts w:ascii="Times New Roman" w:hAnsi="Times New Roman"/>
          <w:lang w:val="en-US"/>
        </w:rPr>
        <w:t>Një borxh me karakteristika të ngjashme rreziku në tregun e brendshëm do të financohej me rreth dyfishin e kostos.</w:t>
      </w:r>
    </w:p>
  </w:footnote>
  <w:footnote w:id="2">
    <w:p w:rsidR="001B35D0" w:rsidRPr="003E6982" w:rsidRDefault="001B35D0" w:rsidP="00FD7719">
      <w:pPr>
        <w:pStyle w:val="FootnoteText"/>
        <w:rPr>
          <w:rFonts w:ascii="Times New Roman" w:hAnsi="Times New Roman"/>
          <w:lang w:val="en-US"/>
        </w:rPr>
      </w:pPr>
      <w:r w:rsidRPr="003E6982">
        <w:rPr>
          <w:rStyle w:val="FootnoteReference"/>
          <w:rFonts w:ascii="Times New Roman" w:hAnsi="Times New Roman"/>
        </w:rPr>
        <w:footnoteRef/>
      </w:r>
      <w:r w:rsidRPr="003E6982">
        <w:rPr>
          <w:rFonts w:ascii="Times New Roman" w:hAnsi="Times New Roman"/>
        </w:rPr>
        <w:t xml:space="preserve"> </w:t>
      </w:r>
      <w:r w:rsidRPr="003E6982">
        <w:rPr>
          <w:rFonts w:ascii="Times New Roman" w:hAnsi="Times New Roman"/>
          <w:lang w:val="en-US"/>
        </w:rPr>
        <w:t xml:space="preserve">I referohet financimit </w:t>
      </w:r>
      <w:r>
        <w:rPr>
          <w:rFonts w:ascii="Times New Roman" w:hAnsi="Times New Roman"/>
          <w:lang w:val="en-US"/>
        </w:rPr>
        <w:t xml:space="preserve">me borxh </w:t>
      </w:r>
      <w:r w:rsidRPr="003E6982">
        <w:rPr>
          <w:rFonts w:ascii="Times New Roman" w:hAnsi="Times New Roman"/>
          <w:lang w:val="en-US"/>
        </w:rPr>
        <w:t>n</w:t>
      </w:r>
      <w:r>
        <w:rPr>
          <w:rFonts w:ascii="Times New Roman" w:hAnsi="Times New Roman"/>
          <w:lang w:val="en-US"/>
        </w:rPr>
        <w:t>ë</w:t>
      </w:r>
      <w:r w:rsidRPr="003E6982">
        <w:rPr>
          <w:rFonts w:ascii="Times New Roman" w:hAnsi="Times New Roman"/>
          <w:lang w:val="en-US"/>
        </w:rPr>
        <w:t xml:space="preserve"> terma bruto</w:t>
      </w:r>
    </w:p>
  </w:footnote>
  <w:footnote w:id="3">
    <w:p w:rsidR="001B35D0" w:rsidRPr="003E6982" w:rsidRDefault="001B35D0" w:rsidP="00297E24">
      <w:pPr>
        <w:pStyle w:val="FootnoteText"/>
        <w:rPr>
          <w:lang w:val="en-US"/>
        </w:rPr>
      </w:pPr>
      <w:r>
        <w:rPr>
          <w:rStyle w:val="FootnoteReference"/>
        </w:rPr>
        <w:footnoteRef/>
      </w:r>
      <w:r>
        <w:t xml:space="preserve"> </w:t>
      </w:r>
      <w:r w:rsidRPr="003E6982">
        <w:rPr>
          <w:rFonts w:ascii="Times New Roman" w:hAnsi="Times New Roman"/>
        </w:rPr>
        <w:t>Jan</w:t>
      </w:r>
      <w:r>
        <w:rPr>
          <w:rFonts w:ascii="Times New Roman" w:hAnsi="Times New Roman"/>
        </w:rPr>
        <w:t>ë</w:t>
      </w:r>
      <w:r w:rsidRPr="003E6982">
        <w:rPr>
          <w:rFonts w:ascii="Times New Roman" w:hAnsi="Times New Roman"/>
        </w:rPr>
        <w:t xml:space="preserve"> p</w:t>
      </w:r>
      <w:r>
        <w:rPr>
          <w:rFonts w:ascii="Times New Roman" w:hAnsi="Times New Roman"/>
        </w:rPr>
        <w:t>ë</w:t>
      </w:r>
      <w:r w:rsidRPr="003E6982">
        <w:rPr>
          <w:rFonts w:ascii="Times New Roman" w:hAnsi="Times New Roman"/>
        </w:rPr>
        <w:t>rfshir</w:t>
      </w:r>
      <w:r>
        <w:rPr>
          <w:rFonts w:ascii="Times New Roman" w:hAnsi="Times New Roman"/>
        </w:rPr>
        <w:t>ë</w:t>
      </w:r>
      <w:r w:rsidRPr="003E6982">
        <w:rPr>
          <w:rFonts w:ascii="Times New Roman" w:hAnsi="Times New Roman"/>
        </w:rPr>
        <w:t xml:space="preserve"> edhe disbursimet e sektorit t</w:t>
      </w:r>
      <w:r>
        <w:rPr>
          <w:rFonts w:ascii="Times New Roman" w:hAnsi="Times New Roman"/>
        </w:rPr>
        <w:t>ë</w:t>
      </w:r>
      <w:r w:rsidRPr="003E6982">
        <w:rPr>
          <w:rFonts w:ascii="Times New Roman" w:hAnsi="Times New Roman"/>
        </w:rPr>
        <w:t xml:space="preserve"> energjis</w:t>
      </w:r>
      <w:r>
        <w:rPr>
          <w:rFonts w:ascii="Times New Roman" w:hAnsi="Times New Roman"/>
        </w:rPr>
        <w:t>ë</w:t>
      </w:r>
      <w:r w:rsidRPr="003E6982">
        <w:rPr>
          <w:rFonts w:ascii="Times New Roman" w:hAnsi="Times New Roman"/>
        </w:rPr>
        <w:t>, t</w:t>
      </w:r>
      <w:r>
        <w:rPr>
          <w:rFonts w:ascii="Times New Roman" w:hAnsi="Times New Roman"/>
        </w:rPr>
        <w:t>ë</w:t>
      </w:r>
      <w:r w:rsidRPr="003E6982">
        <w:rPr>
          <w:rFonts w:ascii="Times New Roman" w:hAnsi="Times New Roman"/>
        </w:rPr>
        <w:t xml:space="preserve"> cilat nuk p</w:t>
      </w:r>
      <w:r>
        <w:rPr>
          <w:rFonts w:ascii="Times New Roman" w:hAnsi="Times New Roman"/>
        </w:rPr>
        <w:t>ë</w:t>
      </w:r>
      <w:r w:rsidRPr="003E6982">
        <w:rPr>
          <w:rFonts w:ascii="Times New Roman" w:hAnsi="Times New Roman"/>
        </w:rPr>
        <w:t>rfshihen n</w:t>
      </w:r>
      <w:r>
        <w:rPr>
          <w:rFonts w:ascii="Times New Roman" w:hAnsi="Times New Roman"/>
        </w:rPr>
        <w:t>ë</w:t>
      </w:r>
      <w:r w:rsidRPr="003E6982">
        <w:rPr>
          <w:rFonts w:ascii="Times New Roman" w:hAnsi="Times New Roman"/>
        </w:rPr>
        <w:t xml:space="preserve"> buletinin fiskal t</w:t>
      </w:r>
      <w:r>
        <w:rPr>
          <w:rFonts w:ascii="Times New Roman" w:hAnsi="Times New Roman"/>
        </w:rPr>
        <w:t>ë</w:t>
      </w:r>
      <w:r w:rsidRPr="003E6982">
        <w:rPr>
          <w:rFonts w:ascii="Times New Roman" w:hAnsi="Times New Roman"/>
        </w:rPr>
        <w:t xml:space="preserve"> vitit 2015</w:t>
      </w:r>
    </w:p>
  </w:footnote>
  <w:footnote w:id="4">
    <w:p w:rsidR="001B35D0" w:rsidRPr="0017449A" w:rsidRDefault="001B35D0">
      <w:pPr>
        <w:pStyle w:val="FootnoteText"/>
        <w:rPr>
          <w:rFonts w:ascii="Times New Roman" w:hAnsi="Times New Roman"/>
          <w:lang w:val="en-US"/>
        </w:rPr>
      </w:pPr>
      <w:r w:rsidRPr="0017449A">
        <w:rPr>
          <w:rStyle w:val="FootnoteReference"/>
          <w:rFonts w:ascii="Times New Roman" w:hAnsi="Times New Roman"/>
        </w:rPr>
        <w:footnoteRef/>
      </w:r>
      <w:r w:rsidRPr="0017449A">
        <w:rPr>
          <w:rFonts w:ascii="Times New Roman" w:hAnsi="Times New Roman"/>
        </w:rPr>
        <w:t xml:space="preserve"> </w:t>
      </w:r>
      <w:r w:rsidRPr="0017449A">
        <w:rPr>
          <w:rFonts w:ascii="Times New Roman" w:hAnsi="Times New Roman"/>
          <w:lang w:val="en-US"/>
        </w:rPr>
        <w:t>I referohet vet</w:t>
      </w:r>
      <w:r>
        <w:rPr>
          <w:rFonts w:ascii="Times New Roman" w:hAnsi="Times New Roman"/>
          <w:lang w:val="en-US"/>
        </w:rPr>
        <w:t>ë</w:t>
      </w:r>
      <w:r w:rsidRPr="0017449A">
        <w:rPr>
          <w:rFonts w:ascii="Times New Roman" w:hAnsi="Times New Roman"/>
          <w:lang w:val="en-US"/>
        </w:rPr>
        <w:t>m vler</w:t>
      </w:r>
      <w:r>
        <w:rPr>
          <w:rFonts w:ascii="Times New Roman" w:hAnsi="Times New Roman"/>
          <w:lang w:val="en-US"/>
        </w:rPr>
        <w:t>ë</w:t>
      </w:r>
      <w:r w:rsidRPr="0017449A">
        <w:rPr>
          <w:rFonts w:ascii="Times New Roman" w:hAnsi="Times New Roman"/>
          <w:lang w:val="en-US"/>
        </w:rPr>
        <w:t>s s</w:t>
      </w:r>
      <w:r>
        <w:rPr>
          <w:rFonts w:ascii="Times New Roman" w:hAnsi="Times New Roman"/>
          <w:lang w:val="en-US"/>
        </w:rPr>
        <w:t>ë</w:t>
      </w:r>
      <w:r w:rsidRPr="0017449A">
        <w:rPr>
          <w:rFonts w:ascii="Times New Roman" w:hAnsi="Times New Roman"/>
          <w:lang w:val="en-US"/>
        </w:rPr>
        <w:t xml:space="preserve"> borxhit q</w:t>
      </w:r>
      <w:r>
        <w:rPr>
          <w:rFonts w:ascii="Times New Roman" w:hAnsi="Times New Roman"/>
          <w:lang w:val="en-US"/>
        </w:rPr>
        <w:t>ë</w:t>
      </w:r>
      <w:r w:rsidRPr="0017449A">
        <w:rPr>
          <w:rFonts w:ascii="Times New Roman" w:hAnsi="Times New Roman"/>
          <w:lang w:val="en-US"/>
        </w:rPr>
        <w:t xml:space="preserve"> rifinancohet dhe jo financimit t</w:t>
      </w:r>
      <w:r>
        <w:rPr>
          <w:rFonts w:ascii="Times New Roman" w:hAnsi="Times New Roman"/>
          <w:lang w:val="en-US"/>
        </w:rPr>
        <w:t>ë</w:t>
      </w:r>
      <w:r w:rsidRPr="0017449A">
        <w:rPr>
          <w:rFonts w:ascii="Times New Roman" w:hAnsi="Times New Roman"/>
          <w:lang w:val="en-US"/>
        </w:rPr>
        <w:t xml:space="preserve"> p</w:t>
      </w:r>
      <w:r>
        <w:rPr>
          <w:rFonts w:ascii="Times New Roman" w:hAnsi="Times New Roman"/>
          <w:lang w:val="en-US"/>
        </w:rPr>
        <w:t>ë</w:t>
      </w:r>
      <w:r w:rsidRPr="0017449A">
        <w:rPr>
          <w:rFonts w:ascii="Times New Roman" w:hAnsi="Times New Roman"/>
          <w:lang w:val="en-US"/>
        </w:rPr>
        <w:t>rgjithsh</w:t>
      </w:r>
      <w:r>
        <w:rPr>
          <w:rFonts w:ascii="Times New Roman" w:hAnsi="Times New Roman"/>
          <w:lang w:val="en-US"/>
        </w:rPr>
        <w:t>ë</w:t>
      </w:r>
      <w:r w:rsidRPr="0017449A">
        <w:rPr>
          <w:rFonts w:ascii="Times New Roman" w:hAnsi="Times New Roman"/>
          <w:lang w:val="en-US"/>
        </w:rPr>
        <w:t xml:space="preserv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89" w:type="pct"/>
      <w:tblBorders>
        <w:bottom w:val="single" w:sz="12" w:space="0" w:color="A6A6A6" w:themeColor="background1" w:themeShade="A6"/>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7517"/>
      <w:gridCol w:w="1447"/>
    </w:tblGrid>
    <w:tr w:rsidR="001B35D0" w:rsidRPr="005B570E" w:rsidTr="004C5C81">
      <w:trPr>
        <w:trHeight w:val="288"/>
      </w:trPr>
      <w:sdt>
        <w:sdtPr>
          <w:rPr>
            <w:rFonts w:asciiTheme="majorHAnsi" w:eastAsiaTheme="majorEastAsia" w:hAnsiTheme="majorHAnsi" w:cstheme="majorBidi"/>
            <w:color w:val="A6A6A6" w:themeColor="background1" w:themeShade="A6"/>
            <w:sz w:val="18"/>
            <w:szCs w:val="18"/>
          </w:rPr>
          <w:alias w:val="Title"/>
          <w:id w:val="2014635883"/>
          <w:placeholder>
            <w:docPart w:val="CF37819AA65E4E53B4DFC7EC5F75C8DD"/>
          </w:placeholder>
          <w:dataBinding w:prefixMappings="xmlns:ns0='http://schemas.openxmlformats.org/package/2006/metadata/core-properties' xmlns:ns1='http://purl.org/dc/elements/1.1/'" w:xpath="/ns0:coreProperties[1]/ns1:title[1]" w:storeItemID="{6C3C8BC8-F283-45AE-878A-BAB7291924A1}"/>
          <w:text/>
        </w:sdtPr>
        <w:sdtEndPr/>
        <w:sdtContent>
          <w:tc>
            <w:tcPr>
              <w:tcW w:w="8935" w:type="dxa"/>
              <w:tcBorders>
                <w:right w:val="single" w:sz="12" w:space="0" w:color="A6A6A6" w:themeColor="background1" w:themeShade="A6"/>
              </w:tcBorders>
            </w:tcPr>
            <w:p w:rsidR="001B35D0" w:rsidRPr="008E7E7B" w:rsidRDefault="001B35D0" w:rsidP="000105BE">
              <w:pPr>
                <w:pStyle w:val="Header"/>
                <w:jc w:val="right"/>
                <w:rPr>
                  <w:rFonts w:asciiTheme="majorHAnsi" w:eastAsiaTheme="majorEastAsia" w:hAnsiTheme="majorHAnsi" w:cstheme="majorBidi"/>
                  <w:color w:val="A6A6A6" w:themeColor="background1" w:themeShade="A6"/>
                  <w:sz w:val="18"/>
                  <w:szCs w:val="18"/>
                </w:rPr>
              </w:pPr>
              <w:r>
                <w:rPr>
                  <w:rFonts w:asciiTheme="majorHAnsi" w:eastAsiaTheme="majorEastAsia" w:hAnsiTheme="majorHAnsi" w:cstheme="majorBidi"/>
                  <w:color w:val="A6A6A6" w:themeColor="background1" w:themeShade="A6"/>
                  <w:sz w:val="18"/>
                  <w:szCs w:val="18"/>
                  <w:lang w:val="sq-AL"/>
                </w:rPr>
                <w:t>Analiza Buxheti Faktik</w:t>
              </w:r>
            </w:p>
          </w:tc>
        </w:sdtContent>
      </w:sdt>
      <w:tc>
        <w:tcPr>
          <w:tcW w:w="1620" w:type="dxa"/>
          <w:tcBorders>
            <w:left w:val="single" w:sz="12" w:space="0" w:color="A6A6A6" w:themeColor="background1" w:themeShade="A6"/>
          </w:tcBorders>
        </w:tcPr>
        <w:p w:rsidR="001B35D0" w:rsidRPr="008E7E7B" w:rsidRDefault="001B35D0" w:rsidP="001105BE">
          <w:pPr>
            <w:pStyle w:val="Header"/>
            <w:rPr>
              <w:rFonts w:asciiTheme="majorHAnsi" w:eastAsiaTheme="majorEastAsia" w:hAnsiTheme="majorHAnsi" w:cstheme="majorBidi"/>
              <w:bCs/>
              <w:color w:val="A6A6A6" w:themeColor="background1" w:themeShade="A6"/>
              <w:sz w:val="18"/>
              <w:szCs w:val="18"/>
            </w:rPr>
          </w:pPr>
          <w:r>
            <w:rPr>
              <w:rFonts w:asciiTheme="majorHAnsi" w:eastAsiaTheme="majorEastAsia" w:hAnsiTheme="majorHAnsi" w:cstheme="majorBidi"/>
              <w:bCs/>
              <w:color w:val="A6A6A6" w:themeColor="background1" w:themeShade="A6"/>
              <w:sz w:val="18"/>
              <w:szCs w:val="18"/>
            </w:rPr>
            <w:t>2015</w:t>
          </w:r>
        </w:p>
      </w:tc>
    </w:tr>
  </w:tbl>
  <w:p w:rsidR="001B35D0" w:rsidRDefault="001B35D0" w:rsidP="000105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895"/>
    <w:multiLevelType w:val="hybridMultilevel"/>
    <w:tmpl w:val="3AE6F2B8"/>
    <w:lvl w:ilvl="0" w:tplc="74DEF424">
      <w:start w:val="5"/>
      <w:numFmt w:val="bullet"/>
      <w:lvlText w:val="-"/>
      <w:lvlJc w:val="left"/>
      <w:pPr>
        <w:tabs>
          <w:tab w:val="num" w:pos="360"/>
        </w:tabs>
        <w:ind w:left="360" w:hanging="360"/>
      </w:pPr>
      <w:rPr>
        <w:rFonts w:ascii="Times New Roman" w:eastAsia="Batang"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88094C"/>
    <w:multiLevelType w:val="hybridMultilevel"/>
    <w:tmpl w:val="211A4508"/>
    <w:lvl w:ilvl="0" w:tplc="B78AA52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F01A9"/>
    <w:multiLevelType w:val="hybridMultilevel"/>
    <w:tmpl w:val="762E4F4E"/>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85192"/>
    <w:multiLevelType w:val="hybridMultilevel"/>
    <w:tmpl w:val="BA5002B4"/>
    <w:lvl w:ilvl="0" w:tplc="59964164">
      <w:start w:val="5"/>
      <w:numFmt w:val="bullet"/>
      <w:lvlText w:val="-"/>
      <w:lvlJc w:val="left"/>
      <w:pPr>
        <w:ind w:left="360" w:hanging="360"/>
      </w:pPr>
      <w:rPr>
        <w:rFonts w:ascii="Times New Roman" w:eastAsia="Times New Roman" w:hAnsi="Times New Roman" w:cs="Times New Roman" w:hint="default"/>
        <w:b w:val="0"/>
        <w:i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1450244"/>
    <w:multiLevelType w:val="multilevel"/>
    <w:tmpl w:val="CF1E402A"/>
    <w:lvl w:ilvl="0">
      <w:start w:val="2"/>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AE551AD"/>
    <w:multiLevelType w:val="hybridMultilevel"/>
    <w:tmpl w:val="6EF66370"/>
    <w:lvl w:ilvl="0" w:tplc="A2E0EF4A">
      <w:start w:val="1"/>
      <w:numFmt w:val="low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F81909"/>
    <w:multiLevelType w:val="hybridMultilevel"/>
    <w:tmpl w:val="3D462D92"/>
    <w:lvl w:ilvl="0" w:tplc="04090001">
      <w:start w:val="1"/>
      <w:numFmt w:val="bullet"/>
      <w:lvlText w:val=""/>
      <w:lvlJc w:val="left"/>
      <w:pPr>
        <w:tabs>
          <w:tab w:val="num" w:pos="1080"/>
        </w:tabs>
        <w:ind w:left="1080" w:hanging="360"/>
      </w:pPr>
      <w:rPr>
        <w:rFonts w:ascii="Symbol" w:hAnsi="Symbol" w:hint="default"/>
      </w:rPr>
    </w:lvl>
    <w:lvl w:ilvl="1" w:tplc="74DEF424">
      <w:start w:val="5"/>
      <w:numFmt w:val="bullet"/>
      <w:lvlText w:val="-"/>
      <w:lvlJc w:val="left"/>
      <w:pPr>
        <w:tabs>
          <w:tab w:val="num" w:pos="360"/>
        </w:tabs>
        <w:ind w:left="360" w:hanging="360"/>
      </w:pPr>
      <w:rPr>
        <w:rFonts w:ascii="Times New Roman" w:eastAsia="Batang"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3DB1002"/>
    <w:multiLevelType w:val="hybridMultilevel"/>
    <w:tmpl w:val="ACA2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9532E"/>
    <w:multiLevelType w:val="multilevel"/>
    <w:tmpl w:val="2C3C7522"/>
    <w:lvl w:ilvl="0">
      <w:start w:val="2"/>
      <w:numFmt w:val="decimal"/>
      <w:lvlText w:val="%1."/>
      <w:lvlJc w:val="left"/>
      <w:pPr>
        <w:ind w:left="360" w:hanging="36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9">
    <w:nsid w:val="45A211DB"/>
    <w:multiLevelType w:val="hybridMultilevel"/>
    <w:tmpl w:val="C9067CB6"/>
    <w:lvl w:ilvl="0" w:tplc="B6846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E3FD2"/>
    <w:multiLevelType w:val="multilevel"/>
    <w:tmpl w:val="34DADDD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E3D3972"/>
    <w:multiLevelType w:val="hybridMultilevel"/>
    <w:tmpl w:val="8FAAF4FA"/>
    <w:lvl w:ilvl="0" w:tplc="A9906D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DC02A1"/>
    <w:multiLevelType w:val="multilevel"/>
    <w:tmpl w:val="D2E8BDF4"/>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3B635CC"/>
    <w:multiLevelType w:val="hybridMultilevel"/>
    <w:tmpl w:val="928EE264"/>
    <w:lvl w:ilvl="0" w:tplc="DAE65E02">
      <w:start w:val="5"/>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5501FDF"/>
    <w:multiLevelType w:val="multilevel"/>
    <w:tmpl w:val="D84A5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A4C6B67"/>
    <w:multiLevelType w:val="hybridMultilevel"/>
    <w:tmpl w:val="CB16989C"/>
    <w:lvl w:ilvl="0" w:tplc="6B26F6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E13D5B"/>
    <w:multiLevelType w:val="hybridMultilevel"/>
    <w:tmpl w:val="505C621C"/>
    <w:lvl w:ilvl="0" w:tplc="74DEF42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AC64BF"/>
    <w:multiLevelType w:val="multilevel"/>
    <w:tmpl w:val="9486873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51E560D"/>
    <w:multiLevelType w:val="hybridMultilevel"/>
    <w:tmpl w:val="6C9AE602"/>
    <w:lvl w:ilvl="0" w:tplc="4672D9D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D42246"/>
    <w:multiLevelType w:val="hybridMultilevel"/>
    <w:tmpl w:val="428C5F64"/>
    <w:lvl w:ilvl="0" w:tplc="59964164">
      <w:start w:val="5"/>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nsid w:val="79D77CD8"/>
    <w:multiLevelType w:val="hybridMultilevel"/>
    <w:tmpl w:val="90F819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13"/>
  </w:num>
  <w:num w:numId="4">
    <w:abstractNumId w:val="6"/>
  </w:num>
  <w:num w:numId="5">
    <w:abstractNumId w:val="0"/>
  </w:num>
  <w:num w:numId="6">
    <w:abstractNumId w:val="3"/>
  </w:num>
  <w:num w:numId="7">
    <w:abstractNumId w:val="9"/>
  </w:num>
  <w:num w:numId="8">
    <w:abstractNumId w:val="7"/>
  </w:num>
  <w:num w:numId="9">
    <w:abstractNumId w:val="16"/>
  </w:num>
  <w:num w:numId="10">
    <w:abstractNumId w:val="15"/>
  </w:num>
  <w:num w:numId="11">
    <w:abstractNumId w:val="1"/>
  </w:num>
  <w:num w:numId="12">
    <w:abstractNumId w:val="18"/>
  </w:num>
  <w:num w:numId="13">
    <w:abstractNumId w:val="20"/>
  </w:num>
  <w:num w:numId="14">
    <w:abstractNumId w:val="4"/>
  </w:num>
  <w:num w:numId="15">
    <w:abstractNumId w:val="5"/>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0"/>
  </w:num>
  <w:num w:numId="20">
    <w:abstractNumId w:val="4"/>
    <w:lvlOverride w:ilvl="0">
      <w:startOverride w:val="3"/>
    </w:lvlOverride>
    <w:lvlOverride w:ilvl="1">
      <w:startOverride w:val="2"/>
    </w:lvlOverride>
  </w:num>
  <w:num w:numId="21">
    <w:abstractNumId w:val="4"/>
  </w:num>
  <w:num w:numId="22">
    <w:abstractNumId w:val="4"/>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8"/>
  </w:num>
  <w:num w:numId="26">
    <w:abstractNumId w:val="12"/>
  </w:num>
  <w:num w:numId="2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E05"/>
    <w:rsid w:val="000009B4"/>
    <w:rsid w:val="00001847"/>
    <w:rsid w:val="00001B8A"/>
    <w:rsid w:val="0000203C"/>
    <w:rsid w:val="00002903"/>
    <w:rsid w:val="00002985"/>
    <w:rsid w:val="00004591"/>
    <w:rsid w:val="0000625F"/>
    <w:rsid w:val="00006D26"/>
    <w:rsid w:val="00006F4A"/>
    <w:rsid w:val="00007240"/>
    <w:rsid w:val="00007FB3"/>
    <w:rsid w:val="000105BE"/>
    <w:rsid w:val="00010AD1"/>
    <w:rsid w:val="00011DE6"/>
    <w:rsid w:val="00013AAD"/>
    <w:rsid w:val="000146B5"/>
    <w:rsid w:val="00020D0D"/>
    <w:rsid w:val="00021054"/>
    <w:rsid w:val="00024F36"/>
    <w:rsid w:val="00026ECA"/>
    <w:rsid w:val="000278C7"/>
    <w:rsid w:val="00030821"/>
    <w:rsid w:val="000313E1"/>
    <w:rsid w:val="00031696"/>
    <w:rsid w:val="000316EE"/>
    <w:rsid w:val="00035841"/>
    <w:rsid w:val="000358B5"/>
    <w:rsid w:val="00040FFF"/>
    <w:rsid w:val="0004148F"/>
    <w:rsid w:val="000431C2"/>
    <w:rsid w:val="000433A3"/>
    <w:rsid w:val="000463AC"/>
    <w:rsid w:val="00051A5E"/>
    <w:rsid w:val="00052BF2"/>
    <w:rsid w:val="00053402"/>
    <w:rsid w:val="00053BCC"/>
    <w:rsid w:val="000557E1"/>
    <w:rsid w:val="0006109B"/>
    <w:rsid w:val="00062B2F"/>
    <w:rsid w:val="000631F1"/>
    <w:rsid w:val="00074D63"/>
    <w:rsid w:val="00074EFC"/>
    <w:rsid w:val="00075214"/>
    <w:rsid w:val="00075221"/>
    <w:rsid w:val="00075EFB"/>
    <w:rsid w:val="00080C58"/>
    <w:rsid w:val="0008211E"/>
    <w:rsid w:val="00082792"/>
    <w:rsid w:val="0008405B"/>
    <w:rsid w:val="0008561F"/>
    <w:rsid w:val="0008790E"/>
    <w:rsid w:val="0009015E"/>
    <w:rsid w:val="00091411"/>
    <w:rsid w:val="0009269D"/>
    <w:rsid w:val="00092EF5"/>
    <w:rsid w:val="000935B0"/>
    <w:rsid w:val="00093EC3"/>
    <w:rsid w:val="000946AA"/>
    <w:rsid w:val="00094C85"/>
    <w:rsid w:val="00096062"/>
    <w:rsid w:val="000A00F7"/>
    <w:rsid w:val="000A0F68"/>
    <w:rsid w:val="000A105F"/>
    <w:rsid w:val="000A1269"/>
    <w:rsid w:val="000A2C2B"/>
    <w:rsid w:val="000A3A65"/>
    <w:rsid w:val="000B4464"/>
    <w:rsid w:val="000B5856"/>
    <w:rsid w:val="000B6C8B"/>
    <w:rsid w:val="000C0515"/>
    <w:rsid w:val="000C2177"/>
    <w:rsid w:val="000C7321"/>
    <w:rsid w:val="000D0537"/>
    <w:rsid w:val="000D0B82"/>
    <w:rsid w:val="000D0FAE"/>
    <w:rsid w:val="000D3057"/>
    <w:rsid w:val="000D39D1"/>
    <w:rsid w:val="000D678C"/>
    <w:rsid w:val="000D725A"/>
    <w:rsid w:val="000D735A"/>
    <w:rsid w:val="000D78D1"/>
    <w:rsid w:val="000D7B83"/>
    <w:rsid w:val="000E0554"/>
    <w:rsid w:val="000E1C80"/>
    <w:rsid w:val="000E2E50"/>
    <w:rsid w:val="000E3178"/>
    <w:rsid w:val="000E44E0"/>
    <w:rsid w:val="000E4AD3"/>
    <w:rsid w:val="000E6C40"/>
    <w:rsid w:val="000E7521"/>
    <w:rsid w:val="000F051F"/>
    <w:rsid w:val="000F1197"/>
    <w:rsid w:val="000F2E94"/>
    <w:rsid w:val="000F2F61"/>
    <w:rsid w:val="000F4824"/>
    <w:rsid w:val="000F540A"/>
    <w:rsid w:val="001004A6"/>
    <w:rsid w:val="001011D2"/>
    <w:rsid w:val="00102D6A"/>
    <w:rsid w:val="00104441"/>
    <w:rsid w:val="00105412"/>
    <w:rsid w:val="00106E18"/>
    <w:rsid w:val="001070FF"/>
    <w:rsid w:val="00107342"/>
    <w:rsid w:val="001105BE"/>
    <w:rsid w:val="0011061C"/>
    <w:rsid w:val="0011178E"/>
    <w:rsid w:val="00112C09"/>
    <w:rsid w:val="0011462F"/>
    <w:rsid w:val="001147E2"/>
    <w:rsid w:val="00117C1E"/>
    <w:rsid w:val="0012315A"/>
    <w:rsid w:val="00123875"/>
    <w:rsid w:val="0012432B"/>
    <w:rsid w:val="00124A22"/>
    <w:rsid w:val="0012547B"/>
    <w:rsid w:val="00125535"/>
    <w:rsid w:val="001256B7"/>
    <w:rsid w:val="001273EB"/>
    <w:rsid w:val="00127B95"/>
    <w:rsid w:val="00132007"/>
    <w:rsid w:val="00132274"/>
    <w:rsid w:val="00132760"/>
    <w:rsid w:val="00133661"/>
    <w:rsid w:val="001348C2"/>
    <w:rsid w:val="00134C45"/>
    <w:rsid w:val="00137DBA"/>
    <w:rsid w:val="0014189B"/>
    <w:rsid w:val="00142974"/>
    <w:rsid w:val="00143F84"/>
    <w:rsid w:val="0014483A"/>
    <w:rsid w:val="00145A6E"/>
    <w:rsid w:val="00145CF2"/>
    <w:rsid w:val="001460AD"/>
    <w:rsid w:val="00146D79"/>
    <w:rsid w:val="001470C2"/>
    <w:rsid w:val="001472EC"/>
    <w:rsid w:val="00150059"/>
    <w:rsid w:val="00152EE7"/>
    <w:rsid w:val="001549DF"/>
    <w:rsid w:val="00155195"/>
    <w:rsid w:val="0015558C"/>
    <w:rsid w:val="001559DA"/>
    <w:rsid w:val="00157B21"/>
    <w:rsid w:val="00161F13"/>
    <w:rsid w:val="00163C3B"/>
    <w:rsid w:val="0017076B"/>
    <w:rsid w:val="0017172F"/>
    <w:rsid w:val="00172EF6"/>
    <w:rsid w:val="00174442"/>
    <w:rsid w:val="0017449A"/>
    <w:rsid w:val="00176D8B"/>
    <w:rsid w:val="0017759D"/>
    <w:rsid w:val="00177EE9"/>
    <w:rsid w:val="00180408"/>
    <w:rsid w:val="001813D0"/>
    <w:rsid w:val="001838EB"/>
    <w:rsid w:val="00184522"/>
    <w:rsid w:val="001850DE"/>
    <w:rsid w:val="00186C16"/>
    <w:rsid w:val="00187722"/>
    <w:rsid w:val="001907DA"/>
    <w:rsid w:val="00192E38"/>
    <w:rsid w:val="00193214"/>
    <w:rsid w:val="00193217"/>
    <w:rsid w:val="001964A3"/>
    <w:rsid w:val="001978B3"/>
    <w:rsid w:val="00197C2F"/>
    <w:rsid w:val="001A1995"/>
    <w:rsid w:val="001A6E86"/>
    <w:rsid w:val="001A766B"/>
    <w:rsid w:val="001A77A8"/>
    <w:rsid w:val="001B038E"/>
    <w:rsid w:val="001B14EA"/>
    <w:rsid w:val="001B35D0"/>
    <w:rsid w:val="001B3B3B"/>
    <w:rsid w:val="001B5B2F"/>
    <w:rsid w:val="001C27C1"/>
    <w:rsid w:val="001C2A41"/>
    <w:rsid w:val="001C3D4D"/>
    <w:rsid w:val="001C4818"/>
    <w:rsid w:val="001C4FB0"/>
    <w:rsid w:val="001C4FB4"/>
    <w:rsid w:val="001D4F19"/>
    <w:rsid w:val="001D5347"/>
    <w:rsid w:val="001E0CE8"/>
    <w:rsid w:val="001E2B2F"/>
    <w:rsid w:val="001E701E"/>
    <w:rsid w:val="001E7643"/>
    <w:rsid w:val="001F058C"/>
    <w:rsid w:val="001F0604"/>
    <w:rsid w:val="001F0FC4"/>
    <w:rsid w:val="001F142F"/>
    <w:rsid w:val="001F67C5"/>
    <w:rsid w:val="001F6F5E"/>
    <w:rsid w:val="001F6F95"/>
    <w:rsid w:val="001F6FDF"/>
    <w:rsid w:val="00203D04"/>
    <w:rsid w:val="00204F1C"/>
    <w:rsid w:val="00205409"/>
    <w:rsid w:val="00205627"/>
    <w:rsid w:val="0020657D"/>
    <w:rsid w:val="00207814"/>
    <w:rsid w:val="00210AB8"/>
    <w:rsid w:val="00211F52"/>
    <w:rsid w:val="00213209"/>
    <w:rsid w:val="00213C47"/>
    <w:rsid w:val="00215300"/>
    <w:rsid w:val="00215963"/>
    <w:rsid w:val="002161D1"/>
    <w:rsid w:val="00216E0B"/>
    <w:rsid w:val="0021769C"/>
    <w:rsid w:val="00217FEB"/>
    <w:rsid w:val="00224542"/>
    <w:rsid w:val="00224B01"/>
    <w:rsid w:val="00233485"/>
    <w:rsid w:val="00234757"/>
    <w:rsid w:val="00236654"/>
    <w:rsid w:val="00237145"/>
    <w:rsid w:val="002402F8"/>
    <w:rsid w:val="00240864"/>
    <w:rsid w:val="00240ABA"/>
    <w:rsid w:val="00240ABC"/>
    <w:rsid w:val="00240E5B"/>
    <w:rsid w:val="00241855"/>
    <w:rsid w:val="002441A5"/>
    <w:rsid w:val="00244B72"/>
    <w:rsid w:val="00244CEF"/>
    <w:rsid w:val="00245055"/>
    <w:rsid w:val="00245B8B"/>
    <w:rsid w:val="002469C1"/>
    <w:rsid w:val="00247778"/>
    <w:rsid w:val="00251493"/>
    <w:rsid w:val="00251AAE"/>
    <w:rsid w:val="00251F46"/>
    <w:rsid w:val="00252F8E"/>
    <w:rsid w:val="00255AEC"/>
    <w:rsid w:val="00255C53"/>
    <w:rsid w:val="00257EA1"/>
    <w:rsid w:val="00260083"/>
    <w:rsid w:val="00260328"/>
    <w:rsid w:val="00262852"/>
    <w:rsid w:val="00263A0A"/>
    <w:rsid w:val="00264A8E"/>
    <w:rsid w:val="00264E3B"/>
    <w:rsid w:val="002651EF"/>
    <w:rsid w:val="00265A7D"/>
    <w:rsid w:val="00265F48"/>
    <w:rsid w:val="00267105"/>
    <w:rsid w:val="0027011A"/>
    <w:rsid w:val="0027240C"/>
    <w:rsid w:val="00273119"/>
    <w:rsid w:val="00275310"/>
    <w:rsid w:val="00275E5D"/>
    <w:rsid w:val="00276003"/>
    <w:rsid w:val="002762A9"/>
    <w:rsid w:val="00276794"/>
    <w:rsid w:val="0027683A"/>
    <w:rsid w:val="00277F20"/>
    <w:rsid w:val="00282629"/>
    <w:rsid w:val="00286D23"/>
    <w:rsid w:val="00286DCC"/>
    <w:rsid w:val="0028760E"/>
    <w:rsid w:val="00291768"/>
    <w:rsid w:val="0029315A"/>
    <w:rsid w:val="00297E24"/>
    <w:rsid w:val="002A0C3D"/>
    <w:rsid w:val="002A1407"/>
    <w:rsid w:val="002A2247"/>
    <w:rsid w:val="002A228A"/>
    <w:rsid w:val="002A328E"/>
    <w:rsid w:val="002A60C3"/>
    <w:rsid w:val="002A6548"/>
    <w:rsid w:val="002A734A"/>
    <w:rsid w:val="002B2276"/>
    <w:rsid w:val="002B2B79"/>
    <w:rsid w:val="002B3717"/>
    <w:rsid w:val="002B51BE"/>
    <w:rsid w:val="002C04BF"/>
    <w:rsid w:val="002C1E64"/>
    <w:rsid w:val="002C2FBF"/>
    <w:rsid w:val="002C3CA1"/>
    <w:rsid w:val="002C5A42"/>
    <w:rsid w:val="002C6745"/>
    <w:rsid w:val="002C681F"/>
    <w:rsid w:val="002D0C56"/>
    <w:rsid w:val="002D2D2D"/>
    <w:rsid w:val="002D38C7"/>
    <w:rsid w:val="002D5945"/>
    <w:rsid w:val="002D762C"/>
    <w:rsid w:val="002E06CE"/>
    <w:rsid w:val="002E0B92"/>
    <w:rsid w:val="002E2871"/>
    <w:rsid w:val="002E3BD8"/>
    <w:rsid w:val="002E3D93"/>
    <w:rsid w:val="002E5A19"/>
    <w:rsid w:val="002E5B8A"/>
    <w:rsid w:val="002E7615"/>
    <w:rsid w:val="002F14DE"/>
    <w:rsid w:val="002F43DA"/>
    <w:rsid w:val="002F5102"/>
    <w:rsid w:val="002F5328"/>
    <w:rsid w:val="002F5474"/>
    <w:rsid w:val="002F619B"/>
    <w:rsid w:val="002F77DE"/>
    <w:rsid w:val="00301175"/>
    <w:rsid w:val="00303DF2"/>
    <w:rsid w:val="00307625"/>
    <w:rsid w:val="0030765D"/>
    <w:rsid w:val="00307698"/>
    <w:rsid w:val="00312527"/>
    <w:rsid w:val="003134EA"/>
    <w:rsid w:val="003136B7"/>
    <w:rsid w:val="00313B39"/>
    <w:rsid w:val="00314D71"/>
    <w:rsid w:val="003174DD"/>
    <w:rsid w:val="00317E44"/>
    <w:rsid w:val="0032510B"/>
    <w:rsid w:val="00326976"/>
    <w:rsid w:val="00327513"/>
    <w:rsid w:val="00327624"/>
    <w:rsid w:val="00327729"/>
    <w:rsid w:val="003301FA"/>
    <w:rsid w:val="00330B1D"/>
    <w:rsid w:val="003329FF"/>
    <w:rsid w:val="0033525B"/>
    <w:rsid w:val="003356F7"/>
    <w:rsid w:val="00335DD0"/>
    <w:rsid w:val="00336589"/>
    <w:rsid w:val="00336753"/>
    <w:rsid w:val="00337F9A"/>
    <w:rsid w:val="00340944"/>
    <w:rsid w:val="00341DF7"/>
    <w:rsid w:val="00341E88"/>
    <w:rsid w:val="00343879"/>
    <w:rsid w:val="0034411F"/>
    <w:rsid w:val="00344512"/>
    <w:rsid w:val="003450A2"/>
    <w:rsid w:val="00345A78"/>
    <w:rsid w:val="00347DAF"/>
    <w:rsid w:val="003519B5"/>
    <w:rsid w:val="00353DB6"/>
    <w:rsid w:val="00355305"/>
    <w:rsid w:val="00355C74"/>
    <w:rsid w:val="003570A0"/>
    <w:rsid w:val="00357847"/>
    <w:rsid w:val="00361ABE"/>
    <w:rsid w:val="00362095"/>
    <w:rsid w:val="003621AA"/>
    <w:rsid w:val="003623F3"/>
    <w:rsid w:val="00362A60"/>
    <w:rsid w:val="00362D24"/>
    <w:rsid w:val="00365DAA"/>
    <w:rsid w:val="003671F1"/>
    <w:rsid w:val="00370C58"/>
    <w:rsid w:val="003718F9"/>
    <w:rsid w:val="00372B08"/>
    <w:rsid w:val="00373494"/>
    <w:rsid w:val="00375B6A"/>
    <w:rsid w:val="00382398"/>
    <w:rsid w:val="00384ABC"/>
    <w:rsid w:val="00386111"/>
    <w:rsid w:val="003862DD"/>
    <w:rsid w:val="003864E7"/>
    <w:rsid w:val="00386547"/>
    <w:rsid w:val="0038676C"/>
    <w:rsid w:val="00387104"/>
    <w:rsid w:val="003947F2"/>
    <w:rsid w:val="0039681B"/>
    <w:rsid w:val="003A02D6"/>
    <w:rsid w:val="003A0994"/>
    <w:rsid w:val="003A68A0"/>
    <w:rsid w:val="003A7637"/>
    <w:rsid w:val="003A797D"/>
    <w:rsid w:val="003B1519"/>
    <w:rsid w:val="003B165E"/>
    <w:rsid w:val="003B21B2"/>
    <w:rsid w:val="003B52C0"/>
    <w:rsid w:val="003B67ED"/>
    <w:rsid w:val="003B7659"/>
    <w:rsid w:val="003B7685"/>
    <w:rsid w:val="003B7A5E"/>
    <w:rsid w:val="003B7A8E"/>
    <w:rsid w:val="003B7EAE"/>
    <w:rsid w:val="003C2CAD"/>
    <w:rsid w:val="003D047F"/>
    <w:rsid w:val="003D071E"/>
    <w:rsid w:val="003D0A60"/>
    <w:rsid w:val="003D184D"/>
    <w:rsid w:val="003D24A4"/>
    <w:rsid w:val="003D27B0"/>
    <w:rsid w:val="003D2E53"/>
    <w:rsid w:val="003D3D34"/>
    <w:rsid w:val="003D3D3B"/>
    <w:rsid w:val="003D43A4"/>
    <w:rsid w:val="003D5130"/>
    <w:rsid w:val="003D5A86"/>
    <w:rsid w:val="003D72D8"/>
    <w:rsid w:val="003D7996"/>
    <w:rsid w:val="003E03A1"/>
    <w:rsid w:val="003E03E4"/>
    <w:rsid w:val="003E069C"/>
    <w:rsid w:val="003E49E5"/>
    <w:rsid w:val="003E529E"/>
    <w:rsid w:val="003E6982"/>
    <w:rsid w:val="003E783A"/>
    <w:rsid w:val="003F09C1"/>
    <w:rsid w:val="003F1220"/>
    <w:rsid w:val="003F2272"/>
    <w:rsid w:val="003F2FDB"/>
    <w:rsid w:val="003F4DA7"/>
    <w:rsid w:val="00400BF5"/>
    <w:rsid w:val="004010D2"/>
    <w:rsid w:val="0040176D"/>
    <w:rsid w:val="0040348D"/>
    <w:rsid w:val="004049A9"/>
    <w:rsid w:val="0040685E"/>
    <w:rsid w:val="00406C97"/>
    <w:rsid w:val="004104AC"/>
    <w:rsid w:val="00412105"/>
    <w:rsid w:val="00412B4B"/>
    <w:rsid w:val="00413F7E"/>
    <w:rsid w:val="00414624"/>
    <w:rsid w:val="00420C89"/>
    <w:rsid w:val="00421A03"/>
    <w:rsid w:val="0042203E"/>
    <w:rsid w:val="004243F1"/>
    <w:rsid w:val="00425D0E"/>
    <w:rsid w:val="0042698C"/>
    <w:rsid w:val="0042741F"/>
    <w:rsid w:val="00430AC8"/>
    <w:rsid w:val="00432288"/>
    <w:rsid w:val="0043587B"/>
    <w:rsid w:val="00436982"/>
    <w:rsid w:val="00437C04"/>
    <w:rsid w:val="004426DC"/>
    <w:rsid w:val="00443FC6"/>
    <w:rsid w:val="004449DB"/>
    <w:rsid w:val="00447459"/>
    <w:rsid w:val="0045026B"/>
    <w:rsid w:val="00451135"/>
    <w:rsid w:val="004516AC"/>
    <w:rsid w:val="00451987"/>
    <w:rsid w:val="00453CE5"/>
    <w:rsid w:val="004546A1"/>
    <w:rsid w:val="00454868"/>
    <w:rsid w:val="00455ECB"/>
    <w:rsid w:val="004563A6"/>
    <w:rsid w:val="00456A13"/>
    <w:rsid w:val="00456A1A"/>
    <w:rsid w:val="0045766D"/>
    <w:rsid w:val="00461120"/>
    <w:rsid w:val="00462432"/>
    <w:rsid w:val="00462B80"/>
    <w:rsid w:val="0046343D"/>
    <w:rsid w:val="004634AF"/>
    <w:rsid w:val="00464239"/>
    <w:rsid w:val="00464997"/>
    <w:rsid w:val="00464C32"/>
    <w:rsid w:val="00465948"/>
    <w:rsid w:val="00467F54"/>
    <w:rsid w:val="004710C9"/>
    <w:rsid w:val="004748A7"/>
    <w:rsid w:val="00476597"/>
    <w:rsid w:val="00477292"/>
    <w:rsid w:val="00480699"/>
    <w:rsid w:val="00480DDB"/>
    <w:rsid w:val="00482138"/>
    <w:rsid w:val="0048344E"/>
    <w:rsid w:val="00486F2E"/>
    <w:rsid w:val="00491932"/>
    <w:rsid w:val="00491995"/>
    <w:rsid w:val="004931F1"/>
    <w:rsid w:val="004959D2"/>
    <w:rsid w:val="004965B0"/>
    <w:rsid w:val="004974C9"/>
    <w:rsid w:val="004A1BCD"/>
    <w:rsid w:val="004A2522"/>
    <w:rsid w:val="004A492C"/>
    <w:rsid w:val="004A7490"/>
    <w:rsid w:val="004B03D5"/>
    <w:rsid w:val="004B0534"/>
    <w:rsid w:val="004B403B"/>
    <w:rsid w:val="004B4AD0"/>
    <w:rsid w:val="004B69DB"/>
    <w:rsid w:val="004B6ADA"/>
    <w:rsid w:val="004C1174"/>
    <w:rsid w:val="004C12F0"/>
    <w:rsid w:val="004C17C5"/>
    <w:rsid w:val="004C219F"/>
    <w:rsid w:val="004C240F"/>
    <w:rsid w:val="004C2653"/>
    <w:rsid w:val="004C3D1F"/>
    <w:rsid w:val="004C55B4"/>
    <w:rsid w:val="004C5C81"/>
    <w:rsid w:val="004D0C06"/>
    <w:rsid w:val="004D1F43"/>
    <w:rsid w:val="004D6D23"/>
    <w:rsid w:val="004D7C64"/>
    <w:rsid w:val="004E13A4"/>
    <w:rsid w:val="004E3218"/>
    <w:rsid w:val="004E3562"/>
    <w:rsid w:val="004E43E2"/>
    <w:rsid w:val="004E45D3"/>
    <w:rsid w:val="004E4BE3"/>
    <w:rsid w:val="004E4D69"/>
    <w:rsid w:val="004E4E4E"/>
    <w:rsid w:val="004E67E5"/>
    <w:rsid w:val="004F0C7D"/>
    <w:rsid w:val="004F0F4C"/>
    <w:rsid w:val="004F1FA6"/>
    <w:rsid w:val="004F2300"/>
    <w:rsid w:val="004F2CAD"/>
    <w:rsid w:val="004F3E0B"/>
    <w:rsid w:val="004F5A59"/>
    <w:rsid w:val="004F62A4"/>
    <w:rsid w:val="004F79E4"/>
    <w:rsid w:val="004F7CCF"/>
    <w:rsid w:val="005008F3"/>
    <w:rsid w:val="00501737"/>
    <w:rsid w:val="005031B9"/>
    <w:rsid w:val="0050357E"/>
    <w:rsid w:val="00503636"/>
    <w:rsid w:val="0050393B"/>
    <w:rsid w:val="00504FB2"/>
    <w:rsid w:val="005057C8"/>
    <w:rsid w:val="00506CBA"/>
    <w:rsid w:val="00511809"/>
    <w:rsid w:val="00512323"/>
    <w:rsid w:val="0051249B"/>
    <w:rsid w:val="00514246"/>
    <w:rsid w:val="00516407"/>
    <w:rsid w:val="00516451"/>
    <w:rsid w:val="00516618"/>
    <w:rsid w:val="0052258A"/>
    <w:rsid w:val="00522977"/>
    <w:rsid w:val="0052318E"/>
    <w:rsid w:val="0052359A"/>
    <w:rsid w:val="0052511B"/>
    <w:rsid w:val="00526AC1"/>
    <w:rsid w:val="005313BB"/>
    <w:rsid w:val="00532A95"/>
    <w:rsid w:val="00532E02"/>
    <w:rsid w:val="0053516F"/>
    <w:rsid w:val="00535EA0"/>
    <w:rsid w:val="00540BB0"/>
    <w:rsid w:val="00543268"/>
    <w:rsid w:val="00544DAF"/>
    <w:rsid w:val="005463E4"/>
    <w:rsid w:val="00546E20"/>
    <w:rsid w:val="0054759A"/>
    <w:rsid w:val="00550C61"/>
    <w:rsid w:val="0055157D"/>
    <w:rsid w:val="005520FD"/>
    <w:rsid w:val="0055638F"/>
    <w:rsid w:val="0055673C"/>
    <w:rsid w:val="005607ED"/>
    <w:rsid w:val="00561C3B"/>
    <w:rsid w:val="00562447"/>
    <w:rsid w:val="00562E3F"/>
    <w:rsid w:val="00566BBB"/>
    <w:rsid w:val="005670F3"/>
    <w:rsid w:val="005740A4"/>
    <w:rsid w:val="00574B2E"/>
    <w:rsid w:val="00575CA1"/>
    <w:rsid w:val="00576106"/>
    <w:rsid w:val="00580297"/>
    <w:rsid w:val="00580324"/>
    <w:rsid w:val="00580916"/>
    <w:rsid w:val="00581FCB"/>
    <w:rsid w:val="00582D23"/>
    <w:rsid w:val="00584C75"/>
    <w:rsid w:val="0058644C"/>
    <w:rsid w:val="0058673C"/>
    <w:rsid w:val="00586FF5"/>
    <w:rsid w:val="005918CA"/>
    <w:rsid w:val="005927D5"/>
    <w:rsid w:val="00592C8D"/>
    <w:rsid w:val="005935E3"/>
    <w:rsid w:val="005946E7"/>
    <w:rsid w:val="00595058"/>
    <w:rsid w:val="005958E5"/>
    <w:rsid w:val="005964CB"/>
    <w:rsid w:val="005A0123"/>
    <w:rsid w:val="005A1403"/>
    <w:rsid w:val="005A1F94"/>
    <w:rsid w:val="005A29D0"/>
    <w:rsid w:val="005A3D9A"/>
    <w:rsid w:val="005A43B2"/>
    <w:rsid w:val="005A5B4E"/>
    <w:rsid w:val="005A6913"/>
    <w:rsid w:val="005A7472"/>
    <w:rsid w:val="005A76AD"/>
    <w:rsid w:val="005B0675"/>
    <w:rsid w:val="005B0F20"/>
    <w:rsid w:val="005B15BE"/>
    <w:rsid w:val="005B1AB0"/>
    <w:rsid w:val="005B1B0D"/>
    <w:rsid w:val="005B36C1"/>
    <w:rsid w:val="005B629E"/>
    <w:rsid w:val="005C140F"/>
    <w:rsid w:val="005C33DE"/>
    <w:rsid w:val="005C3F1C"/>
    <w:rsid w:val="005C45FB"/>
    <w:rsid w:val="005C52D1"/>
    <w:rsid w:val="005C53FD"/>
    <w:rsid w:val="005C723F"/>
    <w:rsid w:val="005C7667"/>
    <w:rsid w:val="005C7F92"/>
    <w:rsid w:val="005D04F4"/>
    <w:rsid w:val="005D0EFC"/>
    <w:rsid w:val="005D3BB5"/>
    <w:rsid w:val="005D423F"/>
    <w:rsid w:val="005D4754"/>
    <w:rsid w:val="005D568B"/>
    <w:rsid w:val="005D6B16"/>
    <w:rsid w:val="005D769F"/>
    <w:rsid w:val="005D786F"/>
    <w:rsid w:val="005D7F8A"/>
    <w:rsid w:val="005E0CF1"/>
    <w:rsid w:val="005E1A02"/>
    <w:rsid w:val="005E2511"/>
    <w:rsid w:val="005E2B17"/>
    <w:rsid w:val="005E7110"/>
    <w:rsid w:val="005E76B0"/>
    <w:rsid w:val="005F0A86"/>
    <w:rsid w:val="005F5097"/>
    <w:rsid w:val="005F63A7"/>
    <w:rsid w:val="005F6C67"/>
    <w:rsid w:val="005F6E35"/>
    <w:rsid w:val="005F704A"/>
    <w:rsid w:val="005F7591"/>
    <w:rsid w:val="005F7844"/>
    <w:rsid w:val="00600552"/>
    <w:rsid w:val="00600789"/>
    <w:rsid w:val="00601EFC"/>
    <w:rsid w:val="00603450"/>
    <w:rsid w:val="00603E68"/>
    <w:rsid w:val="00605C22"/>
    <w:rsid w:val="006067E7"/>
    <w:rsid w:val="00606B78"/>
    <w:rsid w:val="00606EA6"/>
    <w:rsid w:val="00606F60"/>
    <w:rsid w:val="006107B5"/>
    <w:rsid w:val="00610DC5"/>
    <w:rsid w:val="00610F07"/>
    <w:rsid w:val="00617373"/>
    <w:rsid w:val="00617C1D"/>
    <w:rsid w:val="00620191"/>
    <w:rsid w:val="0062071E"/>
    <w:rsid w:val="00620A40"/>
    <w:rsid w:val="00621382"/>
    <w:rsid w:val="00622C5D"/>
    <w:rsid w:val="00623064"/>
    <w:rsid w:val="006233E2"/>
    <w:rsid w:val="00626746"/>
    <w:rsid w:val="00626A33"/>
    <w:rsid w:val="00632245"/>
    <w:rsid w:val="00632747"/>
    <w:rsid w:val="006327FE"/>
    <w:rsid w:val="0063765A"/>
    <w:rsid w:val="00641F3F"/>
    <w:rsid w:val="00643654"/>
    <w:rsid w:val="006460B0"/>
    <w:rsid w:val="00646D02"/>
    <w:rsid w:val="006502DB"/>
    <w:rsid w:val="006508C0"/>
    <w:rsid w:val="0065154D"/>
    <w:rsid w:val="00651605"/>
    <w:rsid w:val="006528BB"/>
    <w:rsid w:val="0065476E"/>
    <w:rsid w:val="00657E2D"/>
    <w:rsid w:val="00657FAD"/>
    <w:rsid w:val="006609A2"/>
    <w:rsid w:val="006623A3"/>
    <w:rsid w:val="0066387E"/>
    <w:rsid w:val="006638E6"/>
    <w:rsid w:val="0066452D"/>
    <w:rsid w:val="00664B6B"/>
    <w:rsid w:val="00665A08"/>
    <w:rsid w:val="00666780"/>
    <w:rsid w:val="00667097"/>
    <w:rsid w:val="006719B5"/>
    <w:rsid w:val="006730F4"/>
    <w:rsid w:val="00673227"/>
    <w:rsid w:val="00674DBA"/>
    <w:rsid w:val="00680E93"/>
    <w:rsid w:val="00681006"/>
    <w:rsid w:val="00681D88"/>
    <w:rsid w:val="00685257"/>
    <w:rsid w:val="0069085E"/>
    <w:rsid w:val="006922F4"/>
    <w:rsid w:val="0069249A"/>
    <w:rsid w:val="006925BA"/>
    <w:rsid w:val="00697120"/>
    <w:rsid w:val="006A206A"/>
    <w:rsid w:val="006A26E4"/>
    <w:rsid w:val="006A58F8"/>
    <w:rsid w:val="006B1405"/>
    <w:rsid w:val="006B1E99"/>
    <w:rsid w:val="006B2319"/>
    <w:rsid w:val="006B2FB2"/>
    <w:rsid w:val="006B4B62"/>
    <w:rsid w:val="006B6CA4"/>
    <w:rsid w:val="006B73BA"/>
    <w:rsid w:val="006B75A4"/>
    <w:rsid w:val="006C0FBA"/>
    <w:rsid w:val="006C1598"/>
    <w:rsid w:val="006C2765"/>
    <w:rsid w:val="006C3ADA"/>
    <w:rsid w:val="006C655E"/>
    <w:rsid w:val="006C77A2"/>
    <w:rsid w:val="006C7949"/>
    <w:rsid w:val="006D045B"/>
    <w:rsid w:val="006D26CB"/>
    <w:rsid w:val="006D3879"/>
    <w:rsid w:val="006D5036"/>
    <w:rsid w:val="006D603B"/>
    <w:rsid w:val="006D6701"/>
    <w:rsid w:val="006E072D"/>
    <w:rsid w:val="006E0B03"/>
    <w:rsid w:val="006E1377"/>
    <w:rsid w:val="006E1BE5"/>
    <w:rsid w:val="006E34EA"/>
    <w:rsid w:val="006E6994"/>
    <w:rsid w:val="006F14C5"/>
    <w:rsid w:val="006F17F2"/>
    <w:rsid w:val="006F19B3"/>
    <w:rsid w:val="006F4B16"/>
    <w:rsid w:val="006F60FF"/>
    <w:rsid w:val="006F6ED4"/>
    <w:rsid w:val="006F7BAA"/>
    <w:rsid w:val="0070187E"/>
    <w:rsid w:val="00701954"/>
    <w:rsid w:val="00706101"/>
    <w:rsid w:val="0070737F"/>
    <w:rsid w:val="00707EAF"/>
    <w:rsid w:val="00710F5F"/>
    <w:rsid w:val="00711AD9"/>
    <w:rsid w:val="007123F5"/>
    <w:rsid w:val="00715308"/>
    <w:rsid w:val="0071751F"/>
    <w:rsid w:val="00721AC3"/>
    <w:rsid w:val="00721EE7"/>
    <w:rsid w:val="00721F1A"/>
    <w:rsid w:val="007233A8"/>
    <w:rsid w:val="00724B4D"/>
    <w:rsid w:val="00724C94"/>
    <w:rsid w:val="00730B1E"/>
    <w:rsid w:val="007319D2"/>
    <w:rsid w:val="0073653A"/>
    <w:rsid w:val="007367F1"/>
    <w:rsid w:val="007412F6"/>
    <w:rsid w:val="00741A23"/>
    <w:rsid w:val="007433B0"/>
    <w:rsid w:val="00745987"/>
    <w:rsid w:val="0074740A"/>
    <w:rsid w:val="00747ECC"/>
    <w:rsid w:val="007504CF"/>
    <w:rsid w:val="007548EF"/>
    <w:rsid w:val="0075670E"/>
    <w:rsid w:val="00760063"/>
    <w:rsid w:val="0076218D"/>
    <w:rsid w:val="0076231C"/>
    <w:rsid w:val="00764371"/>
    <w:rsid w:val="00765CA3"/>
    <w:rsid w:val="0076649E"/>
    <w:rsid w:val="0076795D"/>
    <w:rsid w:val="007736F2"/>
    <w:rsid w:val="00774337"/>
    <w:rsid w:val="00774444"/>
    <w:rsid w:val="00774D86"/>
    <w:rsid w:val="00774FBE"/>
    <w:rsid w:val="00775016"/>
    <w:rsid w:val="007758CF"/>
    <w:rsid w:val="00777963"/>
    <w:rsid w:val="007839F4"/>
    <w:rsid w:val="0078591D"/>
    <w:rsid w:val="00786F06"/>
    <w:rsid w:val="00787AE8"/>
    <w:rsid w:val="00790647"/>
    <w:rsid w:val="00791761"/>
    <w:rsid w:val="007922DE"/>
    <w:rsid w:val="0079251A"/>
    <w:rsid w:val="00797352"/>
    <w:rsid w:val="00797787"/>
    <w:rsid w:val="007A1A5D"/>
    <w:rsid w:val="007A244A"/>
    <w:rsid w:val="007A685C"/>
    <w:rsid w:val="007A7931"/>
    <w:rsid w:val="007B2637"/>
    <w:rsid w:val="007B38FB"/>
    <w:rsid w:val="007B3B58"/>
    <w:rsid w:val="007B3CBB"/>
    <w:rsid w:val="007B61F5"/>
    <w:rsid w:val="007C02CF"/>
    <w:rsid w:val="007C4703"/>
    <w:rsid w:val="007C6039"/>
    <w:rsid w:val="007C6700"/>
    <w:rsid w:val="007C69A7"/>
    <w:rsid w:val="007C7CEB"/>
    <w:rsid w:val="007D1EEF"/>
    <w:rsid w:val="007D30E4"/>
    <w:rsid w:val="007D3DDE"/>
    <w:rsid w:val="007D3FAB"/>
    <w:rsid w:val="007D403A"/>
    <w:rsid w:val="007D4804"/>
    <w:rsid w:val="007D6211"/>
    <w:rsid w:val="007D6B1A"/>
    <w:rsid w:val="007D7BF9"/>
    <w:rsid w:val="007E05FC"/>
    <w:rsid w:val="007E145D"/>
    <w:rsid w:val="007E16D7"/>
    <w:rsid w:val="007E1E88"/>
    <w:rsid w:val="007E293E"/>
    <w:rsid w:val="007E2E33"/>
    <w:rsid w:val="007E3C99"/>
    <w:rsid w:val="007E6768"/>
    <w:rsid w:val="007E6E48"/>
    <w:rsid w:val="007E6E65"/>
    <w:rsid w:val="007E6EF3"/>
    <w:rsid w:val="007E7559"/>
    <w:rsid w:val="007F0810"/>
    <w:rsid w:val="007F2A1F"/>
    <w:rsid w:val="007F3B36"/>
    <w:rsid w:val="007F3D7C"/>
    <w:rsid w:val="007F60E0"/>
    <w:rsid w:val="007F6444"/>
    <w:rsid w:val="007F6F2D"/>
    <w:rsid w:val="00802585"/>
    <w:rsid w:val="008051D6"/>
    <w:rsid w:val="0080562A"/>
    <w:rsid w:val="00806184"/>
    <w:rsid w:val="008066FC"/>
    <w:rsid w:val="00807ABB"/>
    <w:rsid w:val="00807AEE"/>
    <w:rsid w:val="00810192"/>
    <w:rsid w:val="00810B23"/>
    <w:rsid w:val="00813014"/>
    <w:rsid w:val="008144FF"/>
    <w:rsid w:val="0082234A"/>
    <w:rsid w:val="00824978"/>
    <w:rsid w:val="00825733"/>
    <w:rsid w:val="00830636"/>
    <w:rsid w:val="00831017"/>
    <w:rsid w:val="008316B6"/>
    <w:rsid w:val="00831BD2"/>
    <w:rsid w:val="00832732"/>
    <w:rsid w:val="00833A9C"/>
    <w:rsid w:val="00834DE6"/>
    <w:rsid w:val="008371E4"/>
    <w:rsid w:val="00841628"/>
    <w:rsid w:val="00841B21"/>
    <w:rsid w:val="00841ECD"/>
    <w:rsid w:val="00845666"/>
    <w:rsid w:val="00847AC8"/>
    <w:rsid w:val="00851709"/>
    <w:rsid w:val="00856996"/>
    <w:rsid w:val="00856D42"/>
    <w:rsid w:val="008620F0"/>
    <w:rsid w:val="00862D36"/>
    <w:rsid w:val="008630B1"/>
    <w:rsid w:val="00863C4C"/>
    <w:rsid w:val="00863C9B"/>
    <w:rsid w:val="008644E9"/>
    <w:rsid w:val="00864C51"/>
    <w:rsid w:val="00865682"/>
    <w:rsid w:val="00867E0C"/>
    <w:rsid w:val="00870BB4"/>
    <w:rsid w:val="00871F68"/>
    <w:rsid w:val="00872D37"/>
    <w:rsid w:val="00874595"/>
    <w:rsid w:val="00874A0B"/>
    <w:rsid w:val="00874B12"/>
    <w:rsid w:val="00877132"/>
    <w:rsid w:val="0088048C"/>
    <w:rsid w:val="00880F5F"/>
    <w:rsid w:val="0088114F"/>
    <w:rsid w:val="00882A08"/>
    <w:rsid w:val="00884C5E"/>
    <w:rsid w:val="00886397"/>
    <w:rsid w:val="00887C97"/>
    <w:rsid w:val="0089065D"/>
    <w:rsid w:val="00892B12"/>
    <w:rsid w:val="00893D93"/>
    <w:rsid w:val="00894F57"/>
    <w:rsid w:val="00895E84"/>
    <w:rsid w:val="008961CC"/>
    <w:rsid w:val="008962A3"/>
    <w:rsid w:val="00896487"/>
    <w:rsid w:val="008A037E"/>
    <w:rsid w:val="008A1177"/>
    <w:rsid w:val="008A1331"/>
    <w:rsid w:val="008A4192"/>
    <w:rsid w:val="008A5ECC"/>
    <w:rsid w:val="008A63C7"/>
    <w:rsid w:val="008A66E2"/>
    <w:rsid w:val="008A6A15"/>
    <w:rsid w:val="008A6C24"/>
    <w:rsid w:val="008A6ED1"/>
    <w:rsid w:val="008A7464"/>
    <w:rsid w:val="008A7707"/>
    <w:rsid w:val="008B16F3"/>
    <w:rsid w:val="008B4293"/>
    <w:rsid w:val="008B453D"/>
    <w:rsid w:val="008B563E"/>
    <w:rsid w:val="008B6362"/>
    <w:rsid w:val="008C22BF"/>
    <w:rsid w:val="008C2917"/>
    <w:rsid w:val="008C2E67"/>
    <w:rsid w:val="008C365B"/>
    <w:rsid w:val="008C3E8D"/>
    <w:rsid w:val="008C7FEB"/>
    <w:rsid w:val="008D0120"/>
    <w:rsid w:val="008D02FC"/>
    <w:rsid w:val="008D2E6D"/>
    <w:rsid w:val="008D4890"/>
    <w:rsid w:val="008D4A6E"/>
    <w:rsid w:val="008D7039"/>
    <w:rsid w:val="008E1CF9"/>
    <w:rsid w:val="008E27CD"/>
    <w:rsid w:val="008E2DF6"/>
    <w:rsid w:val="008E4619"/>
    <w:rsid w:val="008E5551"/>
    <w:rsid w:val="008E5BF0"/>
    <w:rsid w:val="008E5DF4"/>
    <w:rsid w:val="008E65B3"/>
    <w:rsid w:val="008E6D6F"/>
    <w:rsid w:val="008E765B"/>
    <w:rsid w:val="008F03BC"/>
    <w:rsid w:val="008F18F7"/>
    <w:rsid w:val="008F2E86"/>
    <w:rsid w:val="008F38EF"/>
    <w:rsid w:val="008F63B4"/>
    <w:rsid w:val="00901B93"/>
    <w:rsid w:val="009021AC"/>
    <w:rsid w:val="00902F4E"/>
    <w:rsid w:val="00903C18"/>
    <w:rsid w:val="00911677"/>
    <w:rsid w:val="009119E7"/>
    <w:rsid w:val="009134E9"/>
    <w:rsid w:val="00914118"/>
    <w:rsid w:val="0091448F"/>
    <w:rsid w:val="00916C0E"/>
    <w:rsid w:val="009211E5"/>
    <w:rsid w:val="00921D94"/>
    <w:rsid w:val="009229E9"/>
    <w:rsid w:val="00924E38"/>
    <w:rsid w:val="00924F50"/>
    <w:rsid w:val="00926D41"/>
    <w:rsid w:val="009274AD"/>
    <w:rsid w:val="009276CB"/>
    <w:rsid w:val="0092770A"/>
    <w:rsid w:val="00930173"/>
    <w:rsid w:val="0093052F"/>
    <w:rsid w:val="00930EB8"/>
    <w:rsid w:val="00931851"/>
    <w:rsid w:val="00931B98"/>
    <w:rsid w:val="00933394"/>
    <w:rsid w:val="00936A9D"/>
    <w:rsid w:val="0094007A"/>
    <w:rsid w:val="00940135"/>
    <w:rsid w:val="00940A93"/>
    <w:rsid w:val="00940E6B"/>
    <w:rsid w:val="00941048"/>
    <w:rsid w:val="00941588"/>
    <w:rsid w:val="0094269D"/>
    <w:rsid w:val="00942C52"/>
    <w:rsid w:val="00942F10"/>
    <w:rsid w:val="0094327D"/>
    <w:rsid w:val="009432E6"/>
    <w:rsid w:val="009453AA"/>
    <w:rsid w:val="00947435"/>
    <w:rsid w:val="00947D2B"/>
    <w:rsid w:val="0095022A"/>
    <w:rsid w:val="00953D96"/>
    <w:rsid w:val="00953EAA"/>
    <w:rsid w:val="0095479A"/>
    <w:rsid w:val="009557D7"/>
    <w:rsid w:val="00960FF7"/>
    <w:rsid w:val="0096190F"/>
    <w:rsid w:val="00962073"/>
    <w:rsid w:val="0096263C"/>
    <w:rsid w:val="00964492"/>
    <w:rsid w:val="0096689C"/>
    <w:rsid w:val="00971093"/>
    <w:rsid w:val="00973A83"/>
    <w:rsid w:val="0097558D"/>
    <w:rsid w:val="009756A5"/>
    <w:rsid w:val="00975932"/>
    <w:rsid w:val="00976A88"/>
    <w:rsid w:val="00977A11"/>
    <w:rsid w:val="009808EE"/>
    <w:rsid w:val="00980FC2"/>
    <w:rsid w:val="00982BAC"/>
    <w:rsid w:val="00984C6E"/>
    <w:rsid w:val="00986124"/>
    <w:rsid w:val="009864B4"/>
    <w:rsid w:val="00986CAA"/>
    <w:rsid w:val="00986D71"/>
    <w:rsid w:val="0099086D"/>
    <w:rsid w:val="00992AF4"/>
    <w:rsid w:val="009A0E9E"/>
    <w:rsid w:val="009A28B3"/>
    <w:rsid w:val="009A2AF7"/>
    <w:rsid w:val="009A4930"/>
    <w:rsid w:val="009A711F"/>
    <w:rsid w:val="009A715B"/>
    <w:rsid w:val="009A76CA"/>
    <w:rsid w:val="009A792F"/>
    <w:rsid w:val="009B253E"/>
    <w:rsid w:val="009B496C"/>
    <w:rsid w:val="009B561B"/>
    <w:rsid w:val="009B62DC"/>
    <w:rsid w:val="009B7CA2"/>
    <w:rsid w:val="009C1E92"/>
    <w:rsid w:val="009C2312"/>
    <w:rsid w:val="009C2E45"/>
    <w:rsid w:val="009C30A8"/>
    <w:rsid w:val="009D1864"/>
    <w:rsid w:val="009D3421"/>
    <w:rsid w:val="009D5D32"/>
    <w:rsid w:val="009D626A"/>
    <w:rsid w:val="009D6D6F"/>
    <w:rsid w:val="009E0EB0"/>
    <w:rsid w:val="009E3086"/>
    <w:rsid w:val="009E4871"/>
    <w:rsid w:val="009E49EC"/>
    <w:rsid w:val="009E4E95"/>
    <w:rsid w:val="009E5AA0"/>
    <w:rsid w:val="009E66F7"/>
    <w:rsid w:val="009F2CE1"/>
    <w:rsid w:val="009F53DC"/>
    <w:rsid w:val="00A01390"/>
    <w:rsid w:val="00A01ECA"/>
    <w:rsid w:val="00A03037"/>
    <w:rsid w:val="00A0687D"/>
    <w:rsid w:val="00A06D78"/>
    <w:rsid w:val="00A07F7E"/>
    <w:rsid w:val="00A10C97"/>
    <w:rsid w:val="00A11898"/>
    <w:rsid w:val="00A132D0"/>
    <w:rsid w:val="00A13D1B"/>
    <w:rsid w:val="00A14E61"/>
    <w:rsid w:val="00A15D7E"/>
    <w:rsid w:val="00A161CC"/>
    <w:rsid w:val="00A16534"/>
    <w:rsid w:val="00A1655B"/>
    <w:rsid w:val="00A16AA8"/>
    <w:rsid w:val="00A20982"/>
    <w:rsid w:val="00A2124B"/>
    <w:rsid w:val="00A234C4"/>
    <w:rsid w:val="00A237D9"/>
    <w:rsid w:val="00A238D9"/>
    <w:rsid w:val="00A255FB"/>
    <w:rsid w:val="00A27B2B"/>
    <w:rsid w:val="00A32748"/>
    <w:rsid w:val="00A33C71"/>
    <w:rsid w:val="00A35301"/>
    <w:rsid w:val="00A35864"/>
    <w:rsid w:val="00A35EC5"/>
    <w:rsid w:val="00A35FE6"/>
    <w:rsid w:val="00A41E26"/>
    <w:rsid w:val="00A42C9F"/>
    <w:rsid w:val="00A433D9"/>
    <w:rsid w:val="00A4451F"/>
    <w:rsid w:val="00A44D27"/>
    <w:rsid w:val="00A45E69"/>
    <w:rsid w:val="00A45F80"/>
    <w:rsid w:val="00A4658F"/>
    <w:rsid w:val="00A5376B"/>
    <w:rsid w:val="00A56AA7"/>
    <w:rsid w:val="00A604C7"/>
    <w:rsid w:val="00A60897"/>
    <w:rsid w:val="00A6415C"/>
    <w:rsid w:val="00A64311"/>
    <w:rsid w:val="00A651B2"/>
    <w:rsid w:val="00A70326"/>
    <w:rsid w:val="00A705E0"/>
    <w:rsid w:val="00A7196E"/>
    <w:rsid w:val="00A71D71"/>
    <w:rsid w:val="00A72E14"/>
    <w:rsid w:val="00A74249"/>
    <w:rsid w:val="00A74463"/>
    <w:rsid w:val="00A746F7"/>
    <w:rsid w:val="00A7498E"/>
    <w:rsid w:val="00A766D8"/>
    <w:rsid w:val="00A76852"/>
    <w:rsid w:val="00A76CC1"/>
    <w:rsid w:val="00A818BB"/>
    <w:rsid w:val="00A81A44"/>
    <w:rsid w:val="00A82959"/>
    <w:rsid w:val="00A83624"/>
    <w:rsid w:val="00A85103"/>
    <w:rsid w:val="00A85E95"/>
    <w:rsid w:val="00A86511"/>
    <w:rsid w:val="00A87308"/>
    <w:rsid w:val="00A902B8"/>
    <w:rsid w:val="00A911A0"/>
    <w:rsid w:val="00A91336"/>
    <w:rsid w:val="00A91862"/>
    <w:rsid w:val="00A91B4D"/>
    <w:rsid w:val="00A940B0"/>
    <w:rsid w:val="00A9478D"/>
    <w:rsid w:val="00A96904"/>
    <w:rsid w:val="00AA15CD"/>
    <w:rsid w:val="00AA341D"/>
    <w:rsid w:val="00AA4E6E"/>
    <w:rsid w:val="00AA6B60"/>
    <w:rsid w:val="00AB0FEC"/>
    <w:rsid w:val="00AB16C5"/>
    <w:rsid w:val="00AB20E3"/>
    <w:rsid w:val="00AB387A"/>
    <w:rsid w:val="00AB44D3"/>
    <w:rsid w:val="00AB4E09"/>
    <w:rsid w:val="00AB5188"/>
    <w:rsid w:val="00AB6874"/>
    <w:rsid w:val="00AC0151"/>
    <w:rsid w:val="00AC402A"/>
    <w:rsid w:val="00AC6E87"/>
    <w:rsid w:val="00AD388B"/>
    <w:rsid w:val="00AD3EEC"/>
    <w:rsid w:val="00AD3FCD"/>
    <w:rsid w:val="00AD4301"/>
    <w:rsid w:val="00AD4899"/>
    <w:rsid w:val="00AD5700"/>
    <w:rsid w:val="00AD5CED"/>
    <w:rsid w:val="00AD5D1E"/>
    <w:rsid w:val="00AE09A7"/>
    <w:rsid w:val="00AE1D18"/>
    <w:rsid w:val="00AE2471"/>
    <w:rsid w:val="00AE3A83"/>
    <w:rsid w:val="00AE4BE6"/>
    <w:rsid w:val="00AE5131"/>
    <w:rsid w:val="00AE7FCA"/>
    <w:rsid w:val="00AF1162"/>
    <w:rsid w:val="00AF11C1"/>
    <w:rsid w:val="00AF4709"/>
    <w:rsid w:val="00AF516D"/>
    <w:rsid w:val="00AF54C4"/>
    <w:rsid w:val="00AF5D77"/>
    <w:rsid w:val="00AF704E"/>
    <w:rsid w:val="00B022E9"/>
    <w:rsid w:val="00B05381"/>
    <w:rsid w:val="00B0569A"/>
    <w:rsid w:val="00B0575D"/>
    <w:rsid w:val="00B071FE"/>
    <w:rsid w:val="00B10752"/>
    <w:rsid w:val="00B11965"/>
    <w:rsid w:val="00B11F06"/>
    <w:rsid w:val="00B14557"/>
    <w:rsid w:val="00B14D08"/>
    <w:rsid w:val="00B1518A"/>
    <w:rsid w:val="00B15D8B"/>
    <w:rsid w:val="00B205E9"/>
    <w:rsid w:val="00B22178"/>
    <w:rsid w:val="00B22AAA"/>
    <w:rsid w:val="00B2326C"/>
    <w:rsid w:val="00B23531"/>
    <w:rsid w:val="00B24B35"/>
    <w:rsid w:val="00B24E3C"/>
    <w:rsid w:val="00B25B31"/>
    <w:rsid w:val="00B2606F"/>
    <w:rsid w:val="00B2674D"/>
    <w:rsid w:val="00B26BCE"/>
    <w:rsid w:val="00B270BF"/>
    <w:rsid w:val="00B27C1C"/>
    <w:rsid w:val="00B31EF1"/>
    <w:rsid w:val="00B32C14"/>
    <w:rsid w:val="00B32E3D"/>
    <w:rsid w:val="00B363C2"/>
    <w:rsid w:val="00B4075F"/>
    <w:rsid w:val="00B409CD"/>
    <w:rsid w:val="00B416CD"/>
    <w:rsid w:val="00B43A1B"/>
    <w:rsid w:val="00B43D40"/>
    <w:rsid w:val="00B4583C"/>
    <w:rsid w:val="00B507D7"/>
    <w:rsid w:val="00B5116B"/>
    <w:rsid w:val="00B54B34"/>
    <w:rsid w:val="00B54F13"/>
    <w:rsid w:val="00B55E63"/>
    <w:rsid w:val="00B55E77"/>
    <w:rsid w:val="00B55FF2"/>
    <w:rsid w:val="00B57C1A"/>
    <w:rsid w:val="00B57FE7"/>
    <w:rsid w:val="00B602C6"/>
    <w:rsid w:val="00B604AA"/>
    <w:rsid w:val="00B604AC"/>
    <w:rsid w:val="00B61A54"/>
    <w:rsid w:val="00B63DC7"/>
    <w:rsid w:val="00B66977"/>
    <w:rsid w:val="00B67C0E"/>
    <w:rsid w:val="00B701C9"/>
    <w:rsid w:val="00B715ED"/>
    <w:rsid w:val="00B73BFC"/>
    <w:rsid w:val="00B73C04"/>
    <w:rsid w:val="00B74CB3"/>
    <w:rsid w:val="00B77708"/>
    <w:rsid w:val="00B80064"/>
    <w:rsid w:val="00B80708"/>
    <w:rsid w:val="00B83CED"/>
    <w:rsid w:val="00B83FA6"/>
    <w:rsid w:val="00B8422F"/>
    <w:rsid w:val="00B842C4"/>
    <w:rsid w:val="00B85292"/>
    <w:rsid w:val="00B85434"/>
    <w:rsid w:val="00B87F38"/>
    <w:rsid w:val="00B910E3"/>
    <w:rsid w:val="00B91350"/>
    <w:rsid w:val="00B936E9"/>
    <w:rsid w:val="00B950BA"/>
    <w:rsid w:val="00B95178"/>
    <w:rsid w:val="00B954DA"/>
    <w:rsid w:val="00BA02A7"/>
    <w:rsid w:val="00BA041C"/>
    <w:rsid w:val="00BA2C1B"/>
    <w:rsid w:val="00BA2C90"/>
    <w:rsid w:val="00BA4090"/>
    <w:rsid w:val="00BA4ED4"/>
    <w:rsid w:val="00BA64E5"/>
    <w:rsid w:val="00BA6752"/>
    <w:rsid w:val="00BA6C6D"/>
    <w:rsid w:val="00BA7DAF"/>
    <w:rsid w:val="00BB01B9"/>
    <w:rsid w:val="00BB124B"/>
    <w:rsid w:val="00BB19A9"/>
    <w:rsid w:val="00BB19C6"/>
    <w:rsid w:val="00BB1EEC"/>
    <w:rsid w:val="00BB2864"/>
    <w:rsid w:val="00BB323E"/>
    <w:rsid w:val="00BB3634"/>
    <w:rsid w:val="00BB3B8F"/>
    <w:rsid w:val="00BB5632"/>
    <w:rsid w:val="00BB5A40"/>
    <w:rsid w:val="00BB5AA5"/>
    <w:rsid w:val="00BB6402"/>
    <w:rsid w:val="00BC0497"/>
    <w:rsid w:val="00BC19B9"/>
    <w:rsid w:val="00BC2C68"/>
    <w:rsid w:val="00BC3541"/>
    <w:rsid w:val="00BC3E8A"/>
    <w:rsid w:val="00BC53B6"/>
    <w:rsid w:val="00BD00C8"/>
    <w:rsid w:val="00BD058C"/>
    <w:rsid w:val="00BD36AE"/>
    <w:rsid w:val="00BD36ED"/>
    <w:rsid w:val="00BD3C50"/>
    <w:rsid w:val="00BD417F"/>
    <w:rsid w:val="00BD4779"/>
    <w:rsid w:val="00BD567E"/>
    <w:rsid w:val="00BD688C"/>
    <w:rsid w:val="00BD71A3"/>
    <w:rsid w:val="00BD74CF"/>
    <w:rsid w:val="00BD7F36"/>
    <w:rsid w:val="00BE0F04"/>
    <w:rsid w:val="00BE1ED0"/>
    <w:rsid w:val="00BE21E2"/>
    <w:rsid w:val="00BE2CF7"/>
    <w:rsid w:val="00BE3413"/>
    <w:rsid w:val="00BE36BB"/>
    <w:rsid w:val="00BE5EB2"/>
    <w:rsid w:val="00BE6741"/>
    <w:rsid w:val="00BE6A52"/>
    <w:rsid w:val="00BE7434"/>
    <w:rsid w:val="00BF39F3"/>
    <w:rsid w:val="00BF59B4"/>
    <w:rsid w:val="00BF7148"/>
    <w:rsid w:val="00BF7B22"/>
    <w:rsid w:val="00BF7B77"/>
    <w:rsid w:val="00C002D9"/>
    <w:rsid w:val="00C02954"/>
    <w:rsid w:val="00C02DD9"/>
    <w:rsid w:val="00C06F47"/>
    <w:rsid w:val="00C07141"/>
    <w:rsid w:val="00C075CB"/>
    <w:rsid w:val="00C07FD5"/>
    <w:rsid w:val="00C1035E"/>
    <w:rsid w:val="00C12E2D"/>
    <w:rsid w:val="00C13F97"/>
    <w:rsid w:val="00C1434D"/>
    <w:rsid w:val="00C14B24"/>
    <w:rsid w:val="00C160A6"/>
    <w:rsid w:val="00C16E21"/>
    <w:rsid w:val="00C24265"/>
    <w:rsid w:val="00C24D04"/>
    <w:rsid w:val="00C2741B"/>
    <w:rsid w:val="00C30B58"/>
    <w:rsid w:val="00C328FF"/>
    <w:rsid w:val="00C3564C"/>
    <w:rsid w:val="00C365B9"/>
    <w:rsid w:val="00C376F9"/>
    <w:rsid w:val="00C40922"/>
    <w:rsid w:val="00C410AA"/>
    <w:rsid w:val="00C411B3"/>
    <w:rsid w:val="00C419FA"/>
    <w:rsid w:val="00C41D88"/>
    <w:rsid w:val="00C44FC8"/>
    <w:rsid w:val="00C45283"/>
    <w:rsid w:val="00C45390"/>
    <w:rsid w:val="00C458FF"/>
    <w:rsid w:val="00C514B9"/>
    <w:rsid w:val="00C51B03"/>
    <w:rsid w:val="00C520AD"/>
    <w:rsid w:val="00C5365D"/>
    <w:rsid w:val="00C53A27"/>
    <w:rsid w:val="00C546B2"/>
    <w:rsid w:val="00C61EA8"/>
    <w:rsid w:val="00C6327C"/>
    <w:rsid w:val="00C64A11"/>
    <w:rsid w:val="00C653DB"/>
    <w:rsid w:val="00C65B50"/>
    <w:rsid w:val="00C66A73"/>
    <w:rsid w:val="00C66B18"/>
    <w:rsid w:val="00C66DA0"/>
    <w:rsid w:val="00C70977"/>
    <w:rsid w:val="00C72DF8"/>
    <w:rsid w:val="00C743B0"/>
    <w:rsid w:val="00C778D1"/>
    <w:rsid w:val="00C80F81"/>
    <w:rsid w:val="00C81111"/>
    <w:rsid w:val="00C819FF"/>
    <w:rsid w:val="00C81BF8"/>
    <w:rsid w:val="00C827F5"/>
    <w:rsid w:val="00C86619"/>
    <w:rsid w:val="00C86833"/>
    <w:rsid w:val="00C90700"/>
    <w:rsid w:val="00C90FA5"/>
    <w:rsid w:val="00C91BD4"/>
    <w:rsid w:val="00C91DB1"/>
    <w:rsid w:val="00C92BF9"/>
    <w:rsid w:val="00C936AE"/>
    <w:rsid w:val="00C93E27"/>
    <w:rsid w:val="00C94DAD"/>
    <w:rsid w:val="00C94FAF"/>
    <w:rsid w:val="00C94FFB"/>
    <w:rsid w:val="00CA06B6"/>
    <w:rsid w:val="00CA0EBB"/>
    <w:rsid w:val="00CA154A"/>
    <w:rsid w:val="00CA3188"/>
    <w:rsid w:val="00CA3E35"/>
    <w:rsid w:val="00CA45C7"/>
    <w:rsid w:val="00CA4883"/>
    <w:rsid w:val="00CA4D55"/>
    <w:rsid w:val="00CA52D5"/>
    <w:rsid w:val="00CA560C"/>
    <w:rsid w:val="00CA6705"/>
    <w:rsid w:val="00CB16FC"/>
    <w:rsid w:val="00CB2925"/>
    <w:rsid w:val="00CB4B54"/>
    <w:rsid w:val="00CB5FBB"/>
    <w:rsid w:val="00CB61AF"/>
    <w:rsid w:val="00CB64CF"/>
    <w:rsid w:val="00CC14FE"/>
    <w:rsid w:val="00CC2138"/>
    <w:rsid w:val="00CC2C04"/>
    <w:rsid w:val="00CD2295"/>
    <w:rsid w:val="00CD337B"/>
    <w:rsid w:val="00CD3E32"/>
    <w:rsid w:val="00CD4708"/>
    <w:rsid w:val="00CD5ACC"/>
    <w:rsid w:val="00CD60E0"/>
    <w:rsid w:val="00CD61BB"/>
    <w:rsid w:val="00CE4F74"/>
    <w:rsid w:val="00CE59D4"/>
    <w:rsid w:val="00CE7299"/>
    <w:rsid w:val="00CE7558"/>
    <w:rsid w:val="00CF019D"/>
    <w:rsid w:val="00CF02E1"/>
    <w:rsid w:val="00CF1CA2"/>
    <w:rsid w:val="00CF4E39"/>
    <w:rsid w:val="00CF5EC5"/>
    <w:rsid w:val="00CF6041"/>
    <w:rsid w:val="00D00F80"/>
    <w:rsid w:val="00D02D18"/>
    <w:rsid w:val="00D0437F"/>
    <w:rsid w:val="00D0466B"/>
    <w:rsid w:val="00D05B62"/>
    <w:rsid w:val="00D05E09"/>
    <w:rsid w:val="00D12BA8"/>
    <w:rsid w:val="00D15B81"/>
    <w:rsid w:val="00D20D25"/>
    <w:rsid w:val="00D2166D"/>
    <w:rsid w:val="00D217D3"/>
    <w:rsid w:val="00D26EDE"/>
    <w:rsid w:val="00D32394"/>
    <w:rsid w:val="00D327BA"/>
    <w:rsid w:val="00D3557A"/>
    <w:rsid w:val="00D3576A"/>
    <w:rsid w:val="00D359B0"/>
    <w:rsid w:val="00D3708F"/>
    <w:rsid w:val="00D42552"/>
    <w:rsid w:val="00D433B3"/>
    <w:rsid w:val="00D43DF9"/>
    <w:rsid w:val="00D4615C"/>
    <w:rsid w:val="00D4733E"/>
    <w:rsid w:val="00D512E1"/>
    <w:rsid w:val="00D52BEB"/>
    <w:rsid w:val="00D52C14"/>
    <w:rsid w:val="00D53D2C"/>
    <w:rsid w:val="00D546A9"/>
    <w:rsid w:val="00D54ED5"/>
    <w:rsid w:val="00D60940"/>
    <w:rsid w:val="00D60FBF"/>
    <w:rsid w:val="00D67008"/>
    <w:rsid w:val="00D670BC"/>
    <w:rsid w:val="00D67589"/>
    <w:rsid w:val="00D71404"/>
    <w:rsid w:val="00D720D9"/>
    <w:rsid w:val="00D72642"/>
    <w:rsid w:val="00D739A4"/>
    <w:rsid w:val="00D74E0B"/>
    <w:rsid w:val="00D76A99"/>
    <w:rsid w:val="00D773B7"/>
    <w:rsid w:val="00D77D6D"/>
    <w:rsid w:val="00D8280D"/>
    <w:rsid w:val="00D83385"/>
    <w:rsid w:val="00D86716"/>
    <w:rsid w:val="00D9038B"/>
    <w:rsid w:val="00D92335"/>
    <w:rsid w:val="00D95CBA"/>
    <w:rsid w:val="00D960B7"/>
    <w:rsid w:val="00D96E5B"/>
    <w:rsid w:val="00D97956"/>
    <w:rsid w:val="00DA04AF"/>
    <w:rsid w:val="00DA0A56"/>
    <w:rsid w:val="00DA42D5"/>
    <w:rsid w:val="00DA7B3B"/>
    <w:rsid w:val="00DB141C"/>
    <w:rsid w:val="00DB3F5C"/>
    <w:rsid w:val="00DB4522"/>
    <w:rsid w:val="00DB5DDB"/>
    <w:rsid w:val="00DC361F"/>
    <w:rsid w:val="00DC36FD"/>
    <w:rsid w:val="00DC3821"/>
    <w:rsid w:val="00DC3C17"/>
    <w:rsid w:val="00DC4139"/>
    <w:rsid w:val="00DC4644"/>
    <w:rsid w:val="00DC4891"/>
    <w:rsid w:val="00DC5DD6"/>
    <w:rsid w:val="00DC5E4A"/>
    <w:rsid w:val="00DC65A4"/>
    <w:rsid w:val="00DC69B5"/>
    <w:rsid w:val="00DC7403"/>
    <w:rsid w:val="00DD3156"/>
    <w:rsid w:val="00DD6AB2"/>
    <w:rsid w:val="00DD7D3E"/>
    <w:rsid w:val="00DE06E3"/>
    <w:rsid w:val="00DE2365"/>
    <w:rsid w:val="00DE30D1"/>
    <w:rsid w:val="00DE54E7"/>
    <w:rsid w:val="00DE6806"/>
    <w:rsid w:val="00DE6973"/>
    <w:rsid w:val="00DE7827"/>
    <w:rsid w:val="00DF2C7C"/>
    <w:rsid w:val="00DF434E"/>
    <w:rsid w:val="00DF48F0"/>
    <w:rsid w:val="00DF4A09"/>
    <w:rsid w:val="00DF51CA"/>
    <w:rsid w:val="00DF6977"/>
    <w:rsid w:val="00DF6D3D"/>
    <w:rsid w:val="00DF7533"/>
    <w:rsid w:val="00E00C83"/>
    <w:rsid w:val="00E01335"/>
    <w:rsid w:val="00E0380D"/>
    <w:rsid w:val="00E04E12"/>
    <w:rsid w:val="00E05726"/>
    <w:rsid w:val="00E0682A"/>
    <w:rsid w:val="00E079B7"/>
    <w:rsid w:val="00E1084C"/>
    <w:rsid w:val="00E12D9E"/>
    <w:rsid w:val="00E14F0D"/>
    <w:rsid w:val="00E15567"/>
    <w:rsid w:val="00E15AD0"/>
    <w:rsid w:val="00E20207"/>
    <w:rsid w:val="00E214AE"/>
    <w:rsid w:val="00E215F2"/>
    <w:rsid w:val="00E24537"/>
    <w:rsid w:val="00E255D7"/>
    <w:rsid w:val="00E332D2"/>
    <w:rsid w:val="00E344D0"/>
    <w:rsid w:val="00E352C0"/>
    <w:rsid w:val="00E35F1C"/>
    <w:rsid w:val="00E405F9"/>
    <w:rsid w:val="00E411E0"/>
    <w:rsid w:val="00E417E5"/>
    <w:rsid w:val="00E43A30"/>
    <w:rsid w:val="00E43A6C"/>
    <w:rsid w:val="00E44A68"/>
    <w:rsid w:val="00E45388"/>
    <w:rsid w:val="00E46202"/>
    <w:rsid w:val="00E46BBC"/>
    <w:rsid w:val="00E46EBB"/>
    <w:rsid w:val="00E479AE"/>
    <w:rsid w:val="00E507EB"/>
    <w:rsid w:val="00E51F03"/>
    <w:rsid w:val="00E525CE"/>
    <w:rsid w:val="00E54EB5"/>
    <w:rsid w:val="00E554B7"/>
    <w:rsid w:val="00E568EB"/>
    <w:rsid w:val="00E56E5B"/>
    <w:rsid w:val="00E628C8"/>
    <w:rsid w:val="00E64417"/>
    <w:rsid w:val="00E66136"/>
    <w:rsid w:val="00E66233"/>
    <w:rsid w:val="00E70ED4"/>
    <w:rsid w:val="00E714CC"/>
    <w:rsid w:val="00E71801"/>
    <w:rsid w:val="00E72667"/>
    <w:rsid w:val="00E72B63"/>
    <w:rsid w:val="00E73BC5"/>
    <w:rsid w:val="00E763C9"/>
    <w:rsid w:val="00E76649"/>
    <w:rsid w:val="00E76E6E"/>
    <w:rsid w:val="00E77C52"/>
    <w:rsid w:val="00E80A52"/>
    <w:rsid w:val="00E812EF"/>
    <w:rsid w:val="00E81CA3"/>
    <w:rsid w:val="00E8480E"/>
    <w:rsid w:val="00E9155E"/>
    <w:rsid w:val="00E922F3"/>
    <w:rsid w:val="00E92C25"/>
    <w:rsid w:val="00E92E97"/>
    <w:rsid w:val="00E94C0B"/>
    <w:rsid w:val="00E96764"/>
    <w:rsid w:val="00E97958"/>
    <w:rsid w:val="00E97A48"/>
    <w:rsid w:val="00EA14F0"/>
    <w:rsid w:val="00EA1D2A"/>
    <w:rsid w:val="00EA2B84"/>
    <w:rsid w:val="00EA2E05"/>
    <w:rsid w:val="00EA34B9"/>
    <w:rsid w:val="00EA59AD"/>
    <w:rsid w:val="00EA658F"/>
    <w:rsid w:val="00EA726E"/>
    <w:rsid w:val="00EB0587"/>
    <w:rsid w:val="00EB05AA"/>
    <w:rsid w:val="00EB280B"/>
    <w:rsid w:val="00EB367C"/>
    <w:rsid w:val="00EB3E13"/>
    <w:rsid w:val="00EC085E"/>
    <w:rsid w:val="00EC2D99"/>
    <w:rsid w:val="00EC3A39"/>
    <w:rsid w:val="00EC4A78"/>
    <w:rsid w:val="00EC4C7F"/>
    <w:rsid w:val="00EC5E58"/>
    <w:rsid w:val="00ED0309"/>
    <w:rsid w:val="00ED4CF4"/>
    <w:rsid w:val="00ED4DBC"/>
    <w:rsid w:val="00ED6013"/>
    <w:rsid w:val="00ED6E89"/>
    <w:rsid w:val="00EE1970"/>
    <w:rsid w:val="00EE1B08"/>
    <w:rsid w:val="00EE6D93"/>
    <w:rsid w:val="00EF00AC"/>
    <w:rsid w:val="00EF0F32"/>
    <w:rsid w:val="00EF3B73"/>
    <w:rsid w:val="00EF44BC"/>
    <w:rsid w:val="00EF4B34"/>
    <w:rsid w:val="00EF4B4D"/>
    <w:rsid w:val="00EF4F0D"/>
    <w:rsid w:val="00EF54DC"/>
    <w:rsid w:val="00EF7A18"/>
    <w:rsid w:val="00EF7A35"/>
    <w:rsid w:val="00F02248"/>
    <w:rsid w:val="00F02592"/>
    <w:rsid w:val="00F056DF"/>
    <w:rsid w:val="00F057D8"/>
    <w:rsid w:val="00F07364"/>
    <w:rsid w:val="00F101A8"/>
    <w:rsid w:val="00F10AE1"/>
    <w:rsid w:val="00F11FDC"/>
    <w:rsid w:val="00F141F7"/>
    <w:rsid w:val="00F15D8B"/>
    <w:rsid w:val="00F176B7"/>
    <w:rsid w:val="00F230E2"/>
    <w:rsid w:val="00F272FE"/>
    <w:rsid w:val="00F313BC"/>
    <w:rsid w:val="00F325AA"/>
    <w:rsid w:val="00F32864"/>
    <w:rsid w:val="00F32C74"/>
    <w:rsid w:val="00F33205"/>
    <w:rsid w:val="00F34ACF"/>
    <w:rsid w:val="00F35181"/>
    <w:rsid w:val="00F379A6"/>
    <w:rsid w:val="00F40B33"/>
    <w:rsid w:val="00F41127"/>
    <w:rsid w:val="00F43CE7"/>
    <w:rsid w:val="00F46C9C"/>
    <w:rsid w:val="00F51D1B"/>
    <w:rsid w:val="00F52005"/>
    <w:rsid w:val="00F5253C"/>
    <w:rsid w:val="00F52824"/>
    <w:rsid w:val="00F52BF1"/>
    <w:rsid w:val="00F57B28"/>
    <w:rsid w:val="00F60DF2"/>
    <w:rsid w:val="00F629C4"/>
    <w:rsid w:val="00F62BEF"/>
    <w:rsid w:val="00F64868"/>
    <w:rsid w:val="00F64B23"/>
    <w:rsid w:val="00F66498"/>
    <w:rsid w:val="00F665E8"/>
    <w:rsid w:val="00F66E8A"/>
    <w:rsid w:val="00F66EB3"/>
    <w:rsid w:val="00F70B04"/>
    <w:rsid w:val="00F70EAA"/>
    <w:rsid w:val="00F73BC3"/>
    <w:rsid w:val="00F7499E"/>
    <w:rsid w:val="00F810AD"/>
    <w:rsid w:val="00F82FE7"/>
    <w:rsid w:val="00F83ED6"/>
    <w:rsid w:val="00F84F60"/>
    <w:rsid w:val="00F90334"/>
    <w:rsid w:val="00F9095D"/>
    <w:rsid w:val="00F918ED"/>
    <w:rsid w:val="00F928F0"/>
    <w:rsid w:val="00F93D06"/>
    <w:rsid w:val="00F9617B"/>
    <w:rsid w:val="00F96281"/>
    <w:rsid w:val="00FA0302"/>
    <w:rsid w:val="00FA41DB"/>
    <w:rsid w:val="00FA4B51"/>
    <w:rsid w:val="00FA6E70"/>
    <w:rsid w:val="00FB02B6"/>
    <w:rsid w:val="00FB059F"/>
    <w:rsid w:val="00FB083E"/>
    <w:rsid w:val="00FB4888"/>
    <w:rsid w:val="00FB69D4"/>
    <w:rsid w:val="00FB705E"/>
    <w:rsid w:val="00FB7161"/>
    <w:rsid w:val="00FB742E"/>
    <w:rsid w:val="00FC01D0"/>
    <w:rsid w:val="00FC06F6"/>
    <w:rsid w:val="00FC1177"/>
    <w:rsid w:val="00FC154E"/>
    <w:rsid w:val="00FC23AC"/>
    <w:rsid w:val="00FC35B1"/>
    <w:rsid w:val="00FC3C5D"/>
    <w:rsid w:val="00FC4F80"/>
    <w:rsid w:val="00FC51D0"/>
    <w:rsid w:val="00FC6855"/>
    <w:rsid w:val="00FC7007"/>
    <w:rsid w:val="00FD050F"/>
    <w:rsid w:val="00FD06C0"/>
    <w:rsid w:val="00FD0DF8"/>
    <w:rsid w:val="00FD1898"/>
    <w:rsid w:val="00FD280C"/>
    <w:rsid w:val="00FD45C9"/>
    <w:rsid w:val="00FD4D84"/>
    <w:rsid w:val="00FD668F"/>
    <w:rsid w:val="00FD7719"/>
    <w:rsid w:val="00FE1AD7"/>
    <w:rsid w:val="00FE3719"/>
    <w:rsid w:val="00FE64E9"/>
    <w:rsid w:val="00FE7C32"/>
    <w:rsid w:val="00FF00CF"/>
    <w:rsid w:val="00FF0336"/>
    <w:rsid w:val="00FF056B"/>
    <w:rsid w:val="00FF48DF"/>
    <w:rsid w:val="00FF78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E05"/>
    <w:rPr>
      <w:rFonts w:eastAsia="Times New Roman"/>
      <w:sz w:val="24"/>
      <w:szCs w:val="24"/>
    </w:rPr>
  </w:style>
  <w:style w:type="paragraph" w:styleId="Heading1">
    <w:name w:val="heading 1"/>
    <w:basedOn w:val="Normal"/>
    <w:next w:val="Normal"/>
    <w:link w:val="Heading1Char"/>
    <w:qFormat/>
    <w:rsid w:val="00D3557A"/>
    <w:pPr>
      <w:keepNext/>
      <w:keepLines/>
      <w:spacing w:before="480"/>
      <w:outlineLvl w:val="0"/>
    </w:pPr>
    <w:rPr>
      <w:rFonts w:eastAsiaTheme="majorEastAsia" w:cstheme="majorBidi"/>
      <w:b/>
      <w:bCs/>
      <w:color w:val="943634" w:themeColor="accent2" w:themeShade="BF"/>
      <w:szCs w:val="28"/>
    </w:rPr>
  </w:style>
  <w:style w:type="paragraph" w:styleId="Heading2">
    <w:name w:val="heading 2"/>
    <w:basedOn w:val="Normal"/>
    <w:next w:val="Normal"/>
    <w:link w:val="Heading2Char"/>
    <w:unhideWhenUsed/>
    <w:qFormat/>
    <w:rsid w:val="00B10752"/>
    <w:pPr>
      <w:keepNext/>
      <w:keepLines/>
      <w:spacing w:before="20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autoRedefine/>
    <w:unhideWhenUsed/>
    <w:qFormat/>
    <w:rsid w:val="00610F07"/>
    <w:pPr>
      <w:keepNext/>
      <w:keepLines/>
      <w:tabs>
        <w:tab w:val="left" w:pos="426"/>
        <w:tab w:val="left" w:pos="540"/>
      </w:tabs>
      <w:spacing w:before="200"/>
      <w:ind w:left="2700" w:hanging="2700"/>
      <w:outlineLvl w:val="2"/>
    </w:pPr>
    <w:rPr>
      <w:rFonts w:asciiTheme="majorHAnsi" w:eastAsiaTheme="majorEastAsia" w:hAnsiTheme="majorHAnsi" w:cstheme="majorBidi"/>
      <w:bCs/>
      <w:i/>
      <w:lang w:val="sq-AL"/>
    </w:rPr>
  </w:style>
  <w:style w:type="paragraph" w:styleId="Heading4">
    <w:name w:val="heading 4"/>
    <w:basedOn w:val="Normal"/>
    <w:next w:val="Normal"/>
    <w:link w:val="Heading4Char"/>
    <w:unhideWhenUsed/>
    <w:qFormat/>
    <w:rsid w:val="00155195"/>
    <w:pPr>
      <w:keepNext/>
      <w:keepLines/>
      <w:spacing w:before="200"/>
      <w:outlineLvl w:val="3"/>
    </w:pPr>
    <w:rPr>
      <w:rFonts w:asciiTheme="majorHAnsi" w:eastAsiaTheme="majorEastAsia" w:hAnsiTheme="maj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2E05"/>
    <w:pPr>
      <w:autoSpaceDE w:val="0"/>
      <w:autoSpaceDN w:val="0"/>
      <w:adjustRightInd w:val="0"/>
    </w:pPr>
    <w:rPr>
      <w:rFonts w:eastAsia="Batang"/>
      <w:color w:val="000000"/>
      <w:sz w:val="24"/>
      <w:szCs w:val="24"/>
      <w:lang w:eastAsia="ko-KR"/>
    </w:rPr>
  </w:style>
  <w:style w:type="paragraph" w:styleId="BalloonText">
    <w:name w:val="Balloon Text"/>
    <w:basedOn w:val="Normal"/>
    <w:link w:val="BalloonTextChar"/>
    <w:rsid w:val="00CA3188"/>
    <w:rPr>
      <w:rFonts w:ascii="Tahoma" w:hAnsi="Tahoma" w:cs="Tahoma"/>
      <w:sz w:val="16"/>
      <w:szCs w:val="16"/>
    </w:rPr>
  </w:style>
  <w:style w:type="character" w:customStyle="1" w:styleId="BalloonTextChar">
    <w:name w:val="Balloon Text Char"/>
    <w:basedOn w:val="DefaultParagraphFont"/>
    <w:link w:val="BalloonText"/>
    <w:rsid w:val="00CA3188"/>
    <w:rPr>
      <w:rFonts w:ascii="Tahoma" w:eastAsia="Times New Roman" w:hAnsi="Tahoma" w:cs="Tahoma"/>
      <w:sz w:val="16"/>
      <w:szCs w:val="16"/>
    </w:rPr>
  </w:style>
  <w:style w:type="paragraph" w:styleId="ListParagraph">
    <w:name w:val="List Paragraph"/>
    <w:basedOn w:val="Normal"/>
    <w:uiPriority w:val="34"/>
    <w:qFormat/>
    <w:rsid w:val="0076649E"/>
    <w:pPr>
      <w:ind w:left="720"/>
      <w:contextualSpacing/>
    </w:pPr>
  </w:style>
  <w:style w:type="character" w:customStyle="1" w:styleId="Heading1Char">
    <w:name w:val="Heading 1 Char"/>
    <w:basedOn w:val="DefaultParagraphFont"/>
    <w:link w:val="Heading1"/>
    <w:rsid w:val="00D3557A"/>
    <w:rPr>
      <w:rFonts w:eastAsiaTheme="majorEastAsia" w:cstheme="majorBidi"/>
      <w:b/>
      <w:bCs/>
      <w:color w:val="943634" w:themeColor="accent2" w:themeShade="BF"/>
      <w:sz w:val="24"/>
      <w:szCs w:val="28"/>
    </w:rPr>
  </w:style>
  <w:style w:type="paragraph" w:styleId="Subtitle">
    <w:name w:val="Subtitle"/>
    <w:basedOn w:val="Normal"/>
    <w:next w:val="Normal"/>
    <w:link w:val="SubtitleChar"/>
    <w:qFormat/>
    <w:rsid w:val="00476597"/>
    <w:pPr>
      <w:numPr>
        <w:ilvl w:val="1"/>
      </w:numPr>
    </w:pPr>
    <w:rPr>
      <w:rFonts w:eastAsiaTheme="majorEastAsia" w:cstheme="majorBidi"/>
      <w:i/>
      <w:iCs/>
      <w:spacing w:val="15"/>
    </w:rPr>
  </w:style>
  <w:style w:type="character" w:customStyle="1" w:styleId="SubtitleChar">
    <w:name w:val="Subtitle Char"/>
    <w:basedOn w:val="DefaultParagraphFont"/>
    <w:link w:val="Subtitle"/>
    <w:rsid w:val="00476597"/>
    <w:rPr>
      <w:rFonts w:eastAsiaTheme="majorEastAsia" w:cstheme="majorBidi"/>
      <w:i/>
      <w:iCs/>
      <w:spacing w:val="15"/>
      <w:sz w:val="24"/>
      <w:szCs w:val="24"/>
    </w:rPr>
  </w:style>
  <w:style w:type="paragraph" w:styleId="FootnoteText">
    <w:name w:val="footnote text"/>
    <w:aliases w:val="single space,fn,FOOTNOTES,Fußnotentext Char,ADB,Footnote text,ft,Footnote Text Char1,Footnote Text Char2 Char,Footnote Text Char1 Char Char,Footnote Text Char2 Char Char Char,Footnote Text Char1 Char,Footn,footnote text"/>
    <w:basedOn w:val="Normal"/>
    <w:link w:val="FootnoteTextChar"/>
    <w:uiPriority w:val="99"/>
    <w:unhideWhenUsed/>
    <w:rsid w:val="00CD61BB"/>
    <w:pPr>
      <w:spacing w:after="200" w:line="276" w:lineRule="auto"/>
    </w:pPr>
    <w:rPr>
      <w:rFonts w:ascii="Calibri" w:eastAsia="Calibri" w:hAnsi="Calibri"/>
      <w:sz w:val="20"/>
      <w:szCs w:val="20"/>
      <w:lang w:val="sq-AL"/>
    </w:rPr>
  </w:style>
  <w:style w:type="character" w:customStyle="1" w:styleId="FootnoteTextChar">
    <w:name w:val="Footnote Text Char"/>
    <w:aliases w:val="single space Char,fn Char,FOOTNOTES Char,Fußnotentext Char Char,ADB Char,Footnote text Char,ft Char,Footnote Text Char1 Char1,Footnote Text Char2 Char Char,Footnote Text Char1 Char Char Char,Footnote Text Char2 Char Char Char Char"/>
    <w:basedOn w:val="DefaultParagraphFont"/>
    <w:link w:val="FootnoteText"/>
    <w:uiPriority w:val="99"/>
    <w:rsid w:val="00CD61BB"/>
    <w:rPr>
      <w:rFonts w:ascii="Calibri" w:eastAsia="Calibri" w:hAnsi="Calibri"/>
      <w:lang w:val="sq-AL"/>
    </w:rPr>
  </w:style>
  <w:style w:type="character" w:styleId="FootnoteReference">
    <w:name w:val="footnote reference"/>
    <w:aliases w:val="ftref"/>
    <w:unhideWhenUsed/>
    <w:rsid w:val="00CD61BB"/>
    <w:rPr>
      <w:vertAlign w:val="superscript"/>
    </w:rPr>
  </w:style>
  <w:style w:type="character" w:customStyle="1" w:styleId="Heading2Char">
    <w:name w:val="Heading 2 Char"/>
    <w:basedOn w:val="DefaultParagraphFont"/>
    <w:link w:val="Heading2"/>
    <w:rsid w:val="00B10752"/>
    <w:rPr>
      <w:rFonts w:asciiTheme="majorHAnsi" w:eastAsiaTheme="majorEastAsia" w:hAnsiTheme="majorHAnsi" w:cstheme="majorBidi"/>
      <w:b/>
      <w:bCs/>
      <w:sz w:val="24"/>
      <w:szCs w:val="26"/>
    </w:rPr>
  </w:style>
  <w:style w:type="paragraph" w:styleId="Header">
    <w:name w:val="header"/>
    <w:basedOn w:val="Normal"/>
    <w:link w:val="HeaderChar"/>
    <w:uiPriority w:val="99"/>
    <w:rsid w:val="00AC402A"/>
    <w:pPr>
      <w:tabs>
        <w:tab w:val="center" w:pos="4680"/>
        <w:tab w:val="right" w:pos="9360"/>
      </w:tabs>
    </w:pPr>
  </w:style>
  <w:style w:type="character" w:customStyle="1" w:styleId="HeaderChar">
    <w:name w:val="Header Char"/>
    <w:basedOn w:val="DefaultParagraphFont"/>
    <w:link w:val="Header"/>
    <w:uiPriority w:val="99"/>
    <w:rsid w:val="00AC402A"/>
    <w:rPr>
      <w:rFonts w:eastAsia="Times New Roman"/>
      <w:sz w:val="24"/>
      <w:szCs w:val="24"/>
    </w:rPr>
  </w:style>
  <w:style w:type="paragraph" w:styleId="Footer">
    <w:name w:val="footer"/>
    <w:basedOn w:val="Normal"/>
    <w:link w:val="FooterChar"/>
    <w:uiPriority w:val="99"/>
    <w:rsid w:val="00AC402A"/>
    <w:pPr>
      <w:tabs>
        <w:tab w:val="center" w:pos="4680"/>
        <w:tab w:val="right" w:pos="9360"/>
      </w:tabs>
    </w:pPr>
  </w:style>
  <w:style w:type="character" w:customStyle="1" w:styleId="FooterChar">
    <w:name w:val="Footer Char"/>
    <w:basedOn w:val="DefaultParagraphFont"/>
    <w:link w:val="Footer"/>
    <w:uiPriority w:val="99"/>
    <w:rsid w:val="00AC402A"/>
    <w:rPr>
      <w:rFonts w:eastAsia="Times New Roman"/>
      <w:sz w:val="24"/>
      <w:szCs w:val="24"/>
    </w:rPr>
  </w:style>
  <w:style w:type="paragraph" w:styleId="EndnoteText">
    <w:name w:val="endnote text"/>
    <w:basedOn w:val="Normal"/>
    <w:link w:val="EndnoteTextChar"/>
    <w:rsid w:val="00AC402A"/>
    <w:rPr>
      <w:sz w:val="20"/>
      <w:szCs w:val="20"/>
    </w:rPr>
  </w:style>
  <w:style w:type="character" w:customStyle="1" w:styleId="EndnoteTextChar">
    <w:name w:val="Endnote Text Char"/>
    <w:basedOn w:val="DefaultParagraphFont"/>
    <w:link w:val="EndnoteText"/>
    <w:rsid w:val="00AC402A"/>
    <w:rPr>
      <w:rFonts w:eastAsia="Times New Roman"/>
    </w:rPr>
  </w:style>
  <w:style w:type="character" w:styleId="EndnoteReference">
    <w:name w:val="endnote reference"/>
    <w:basedOn w:val="DefaultParagraphFont"/>
    <w:rsid w:val="00AC402A"/>
    <w:rPr>
      <w:vertAlign w:val="superscript"/>
    </w:rPr>
  </w:style>
  <w:style w:type="character" w:customStyle="1" w:styleId="Heading3Char">
    <w:name w:val="Heading 3 Char"/>
    <w:basedOn w:val="DefaultParagraphFont"/>
    <w:link w:val="Heading3"/>
    <w:rsid w:val="00610F07"/>
    <w:rPr>
      <w:rFonts w:asciiTheme="majorHAnsi" w:eastAsiaTheme="majorEastAsia" w:hAnsiTheme="majorHAnsi" w:cstheme="majorBidi"/>
      <w:bCs/>
      <w:i/>
      <w:sz w:val="24"/>
      <w:szCs w:val="24"/>
      <w:lang w:val="sq-AL"/>
    </w:rPr>
  </w:style>
  <w:style w:type="character" w:customStyle="1" w:styleId="Heading4Char">
    <w:name w:val="Heading 4 Char"/>
    <w:basedOn w:val="DefaultParagraphFont"/>
    <w:link w:val="Heading4"/>
    <w:rsid w:val="00155195"/>
    <w:rPr>
      <w:rFonts w:asciiTheme="majorHAnsi" w:eastAsiaTheme="majorEastAsia" w:hAnsiTheme="majorHAnsi" w:cstheme="majorBidi"/>
      <w:bCs/>
      <w:i/>
      <w:iCs/>
      <w:sz w:val="24"/>
      <w:szCs w:val="24"/>
    </w:rPr>
  </w:style>
  <w:style w:type="paragraph" w:styleId="TOCHeading">
    <w:name w:val="TOC Heading"/>
    <w:basedOn w:val="Heading1"/>
    <w:next w:val="Normal"/>
    <w:uiPriority w:val="39"/>
    <w:semiHidden/>
    <w:unhideWhenUsed/>
    <w:qFormat/>
    <w:rsid w:val="00887C97"/>
    <w:pPr>
      <w:spacing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rsid w:val="001907DA"/>
    <w:pPr>
      <w:tabs>
        <w:tab w:val="left" w:pos="480"/>
        <w:tab w:val="right" w:leader="dot" w:pos="8900"/>
      </w:tabs>
      <w:spacing w:after="100"/>
    </w:pPr>
    <w:rPr>
      <w:b/>
      <w:noProof/>
      <w:sz w:val="20"/>
      <w:szCs w:val="20"/>
    </w:rPr>
  </w:style>
  <w:style w:type="paragraph" w:styleId="TOC2">
    <w:name w:val="toc 2"/>
    <w:basedOn w:val="Normal"/>
    <w:next w:val="Normal"/>
    <w:autoRedefine/>
    <w:uiPriority w:val="39"/>
    <w:rsid w:val="00887C97"/>
    <w:pPr>
      <w:spacing w:after="100"/>
      <w:ind w:left="240"/>
    </w:pPr>
  </w:style>
  <w:style w:type="paragraph" w:styleId="TOC3">
    <w:name w:val="toc 3"/>
    <w:basedOn w:val="Normal"/>
    <w:next w:val="Normal"/>
    <w:autoRedefine/>
    <w:uiPriority w:val="39"/>
    <w:rsid w:val="00887C97"/>
    <w:pPr>
      <w:spacing w:after="100"/>
      <w:ind w:left="480"/>
    </w:pPr>
  </w:style>
  <w:style w:type="character" w:styleId="Hyperlink">
    <w:name w:val="Hyperlink"/>
    <w:basedOn w:val="DefaultParagraphFont"/>
    <w:uiPriority w:val="99"/>
    <w:unhideWhenUsed/>
    <w:rsid w:val="00887C97"/>
    <w:rPr>
      <w:color w:val="0000FF" w:themeColor="hyperlink"/>
      <w:u w:val="single"/>
    </w:rPr>
  </w:style>
  <w:style w:type="paragraph" w:styleId="TOC4">
    <w:name w:val="toc 4"/>
    <w:basedOn w:val="Normal"/>
    <w:next w:val="Normal"/>
    <w:autoRedefine/>
    <w:uiPriority w:val="39"/>
    <w:rsid w:val="00236654"/>
    <w:pPr>
      <w:spacing w:after="100"/>
      <w:ind w:left="720"/>
    </w:pPr>
  </w:style>
  <w:style w:type="paragraph" w:styleId="NormalWeb">
    <w:name w:val="Normal (Web)"/>
    <w:basedOn w:val="Normal"/>
    <w:uiPriority w:val="99"/>
    <w:rsid w:val="000F540A"/>
    <w:pPr>
      <w:spacing w:before="100" w:beforeAutospacing="1" w:after="100" w:afterAutospacing="1"/>
    </w:pPr>
  </w:style>
  <w:style w:type="paragraph" w:styleId="NoSpacing">
    <w:name w:val="No Spacing"/>
    <w:uiPriority w:val="1"/>
    <w:qFormat/>
    <w:rsid w:val="000F540A"/>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E05"/>
    <w:rPr>
      <w:rFonts w:eastAsia="Times New Roman"/>
      <w:sz w:val="24"/>
      <w:szCs w:val="24"/>
    </w:rPr>
  </w:style>
  <w:style w:type="paragraph" w:styleId="Heading1">
    <w:name w:val="heading 1"/>
    <w:basedOn w:val="Normal"/>
    <w:next w:val="Normal"/>
    <w:link w:val="Heading1Char"/>
    <w:qFormat/>
    <w:rsid w:val="00D3557A"/>
    <w:pPr>
      <w:keepNext/>
      <w:keepLines/>
      <w:spacing w:before="480"/>
      <w:outlineLvl w:val="0"/>
    </w:pPr>
    <w:rPr>
      <w:rFonts w:eastAsiaTheme="majorEastAsia" w:cstheme="majorBidi"/>
      <w:b/>
      <w:bCs/>
      <w:color w:val="943634" w:themeColor="accent2" w:themeShade="BF"/>
      <w:szCs w:val="28"/>
    </w:rPr>
  </w:style>
  <w:style w:type="paragraph" w:styleId="Heading2">
    <w:name w:val="heading 2"/>
    <w:basedOn w:val="Normal"/>
    <w:next w:val="Normal"/>
    <w:link w:val="Heading2Char"/>
    <w:unhideWhenUsed/>
    <w:qFormat/>
    <w:rsid w:val="00B10752"/>
    <w:pPr>
      <w:keepNext/>
      <w:keepLines/>
      <w:spacing w:before="20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autoRedefine/>
    <w:unhideWhenUsed/>
    <w:qFormat/>
    <w:rsid w:val="00610F07"/>
    <w:pPr>
      <w:keepNext/>
      <w:keepLines/>
      <w:tabs>
        <w:tab w:val="left" w:pos="426"/>
        <w:tab w:val="left" w:pos="540"/>
      </w:tabs>
      <w:spacing w:before="200"/>
      <w:ind w:left="2700" w:hanging="2700"/>
      <w:outlineLvl w:val="2"/>
    </w:pPr>
    <w:rPr>
      <w:rFonts w:asciiTheme="majorHAnsi" w:eastAsiaTheme="majorEastAsia" w:hAnsiTheme="majorHAnsi" w:cstheme="majorBidi"/>
      <w:bCs/>
      <w:i/>
      <w:lang w:val="sq-AL"/>
    </w:rPr>
  </w:style>
  <w:style w:type="paragraph" w:styleId="Heading4">
    <w:name w:val="heading 4"/>
    <w:basedOn w:val="Normal"/>
    <w:next w:val="Normal"/>
    <w:link w:val="Heading4Char"/>
    <w:unhideWhenUsed/>
    <w:qFormat/>
    <w:rsid w:val="00155195"/>
    <w:pPr>
      <w:keepNext/>
      <w:keepLines/>
      <w:spacing w:before="200"/>
      <w:outlineLvl w:val="3"/>
    </w:pPr>
    <w:rPr>
      <w:rFonts w:asciiTheme="majorHAnsi" w:eastAsiaTheme="majorEastAsia" w:hAnsiTheme="maj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2E05"/>
    <w:pPr>
      <w:autoSpaceDE w:val="0"/>
      <w:autoSpaceDN w:val="0"/>
      <w:adjustRightInd w:val="0"/>
    </w:pPr>
    <w:rPr>
      <w:rFonts w:eastAsia="Batang"/>
      <w:color w:val="000000"/>
      <w:sz w:val="24"/>
      <w:szCs w:val="24"/>
      <w:lang w:eastAsia="ko-KR"/>
    </w:rPr>
  </w:style>
  <w:style w:type="paragraph" w:styleId="BalloonText">
    <w:name w:val="Balloon Text"/>
    <w:basedOn w:val="Normal"/>
    <w:link w:val="BalloonTextChar"/>
    <w:rsid w:val="00CA3188"/>
    <w:rPr>
      <w:rFonts w:ascii="Tahoma" w:hAnsi="Tahoma" w:cs="Tahoma"/>
      <w:sz w:val="16"/>
      <w:szCs w:val="16"/>
    </w:rPr>
  </w:style>
  <w:style w:type="character" w:customStyle="1" w:styleId="BalloonTextChar">
    <w:name w:val="Balloon Text Char"/>
    <w:basedOn w:val="DefaultParagraphFont"/>
    <w:link w:val="BalloonText"/>
    <w:rsid w:val="00CA3188"/>
    <w:rPr>
      <w:rFonts w:ascii="Tahoma" w:eastAsia="Times New Roman" w:hAnsi="Tahoma" w:cs="Tahoma"/>
      <w:sz w:val="16"/>
      <w:szCs w:val="16"/>
    </w:rPr>
  </w:style>
  <w:style w:type="paragraph" w:styleId="ListParagraph">
    <w:name w:val="List Paragraph"/>
    <w:basedOn w:val="Normal"/>
    <w:uiPriority w:val="34"/>
    <w:qFormat/>
    <w:rsid w:val="0076649E"/>
    <w:pPr>
      <w:ind w:left="720"/>
      <w:contextualSpacing/>
    </w:pPr>
  </w:style>
  <w:style w:type="character" w:customStyle="1" w:styleId="Heading1Char">
    <w:name w:val="Heading 1 Char"/>
    <w:basedOn w:val="DefaultParagraphFont"/>
    <w:link w:val="Heading1"/>
    <w:rsid w:val="00D3557A"/>
    <w:rPr>
      <w:rFonts w:eastAsiaTheme="majorEastAsia" w:cstheme="majorBidi"/>
      <w:b/>
      <w:bCs/>
      <w:color w:val="943634" w:themeColor="accent2" w:themeShade="BF"/>
      <w:sz w:val="24"/>
      <w:szCs w:val="28"/>
    </w:rPr>
  </w:style>
  <w:style w:type="paragraph" w:styleId="Subtitle">
    <w:name w:val="Subtitle"/>
    <w:basedOn w:val="Normal"/>
    <w:next w:val="Normal"/>
    <w:link w:val="SubtitleChar"/>
    <w:qFormat/>
    <w:rsid w:val="00476597"/>
    <w:pPr>
      <w:numPr>
        <w:ilvl w:val="1"/>
      </w:numPr>
    </w:pPr>
    <w:rPr>
      <w:rFonts w:eastAsiaTheme="majorEastAsia" w:cstheme="majorBidi"/>
      <w:i/>
      <w:iCs/>
      <w:spacing w:val="15"/>
    </w:rPr>
  </w:style>
  <w:style w:type="character" w:customStyle="1" w:styleId="SubtitleChar">
    <w:name w:val="Subtitle Char"/>
    <w:basedOn w:val="DefaultParagraphFont"/>
    <w:link w:val="Subtitle"/>
    <w:rsid w:val="00476597"/>
    <w:rPr>
      <w:rFonts w:eastAsiaTheme="majorEastAsia" w:cstheme="majorBidi"/>
      <w:i/>
      <w:iCs/>
      <w:spacing w:val="15"/>
      <w:sz w:val="24"/>
      <w:szCs w:val="24"/>
    </w:rPr>
  </w:style>
  <w:style w:type="paragraph" w:styleId="FootnoteText">
    <w:name w:val="footnote text"/>
    <w:aliases w:val="single space,fn,FOOTNOTES,Fußnotentext Char,ADB,Footnote text,ft,Footnote Text Char1,Footnote Text Char2 Char,Footnote Text Char1 Char Char,Footnote Text Char2 Char Char Char,Footnote Text Char1 Char,Footn,footnote text"/>
    <w:basedOn w:val="Normal"/>
    <w:link w:val="FootnoteTextChar"/>
    <w:uiPriority w:val="99"/>
    <w:unhideWhenUsed/>
    <w:rsid w:val="00CD61BB"/>
    <w:pPr>
      <w:spacing w:after="200" w:line="276" w:lineRule="auto"/>
    </w:pPr>
    <w:rPr>
      <w:rFonts w:ascii="Calibri" w:eastAsia="Calibri" w:hAnsi="Calibri"/>
      <w:sz w:val="20"/>
      <w:szCs w:val="20"/>
      <w:lang w:val="sq-AL"/>
    </w:rPr>
  </w:style>
  <w:style w:type="character" w:customStyle="1" w:styleId="FootnoteTextChar">
    <w:name w:val="Footnote Text Char"/>
    <w:aliases w:val="single space Char,fn Char,FOOTNOTES Char,Fußnotentext Char Char,ADB Char,Footnote text Char,ft Char,Footnote Text Char1 Char1,Footnote Text Char2 Char Char,Footnote Text Char1 Char Char Char,Footnote Text Char2 Char Char Char Char"/>
    <w:basedOn w:val="DefaultParagraphFont"/>
    <w:link w:val="FootnoteText"/>
    <w:uiPriority w:val="99"/>
    <w:rsid w:val="00CD61BB"/>
    <w:rPr>
      <w:rFonts w:ascii="Calibri" w:eastAsia="Calibri" w:hAnsi="Calibri"/>
      <w:lang w:val="sq-AL"/>
    </w:rPr>
  </w:style>
  <w:style w:type="character" w:styleId="FootnoteReference">
    <w:name w:val="footnote reference"/>
    <w:aliases w:val="ftref"/>
    <w:unhideWhenUsed/>
    <w:rsid w:val="00CD61BB"/>
    <w:rPr>
      <w:vertAlign w:val="superscript"/>
    </w:rPr>
  </w:style>
  <w:style w:type="character" w:customStyle="1" w:styleId="Heading2Char">
    <w:name w:val="Heading 2 Char"/>
    <w:basedOn w:val="DefaultParagraphFont"/>
    <w:link w:val="Heading2"/>
    <w:rsid w:val="00B10752"/>
    <w:rPr>
      <w:rFonts w:asciiTheme="majorHAnsi" w:eastAsiaTheme="majorEastAsia" w:hAnsiTheme="majorHAnsi" w:cstheme="majorBidi"/>
      <w:b/>
      <w:bCs/>
      <w:sz w:val="24"/>
      <w:szCs w:val="26"/>
    </w:rPr>
  </w:style>
  <w:style w:type="paragraph" w:styleId="Header">
    <w:name w:val="header"/>
    <w:basedOn w:val="Normal"/>
    <w:link w:val="HeaderChar"/>
    <w:uiPriority w:val="99"/>
    <w:rsid w:val="00AC402A"/>
    <w:pPr>
      <w:tabs>
        <w:tab w:val="center" w:pos="4680"/>
        <w:tab w:val="right" w:pos="9360"/>
      </w:tabs>
    </w:pPr>
  </w:style>
  <w:style w:type="character" w:customStyle="1" w:styleId="HeaderChar">
    <w:name w:val="Header Char"/>
    <w:basedOn w:val="DefaultParagraphFont"/>
    <w:link w:val="Header"/>
    <w:uiPriority w:val="99"/>
    <w:rsid w:val="00AC402A"/>
    <w:rPr>
      <w:rFonts w:eastAsia="Times New Roman"/>
      <w:sz w:val="24"/>
      <w:szCs w:val="24"/>
    </w:rPr>
  </w:style>
  <w:style w:type="paragraph" w:styleId="Footer">
    <w:name w:val="footer"/>
    <w:basedOn w:val="Normal"/>
    <w:link w:val="FooterChar"/>
    <w:uiPriority w:val="99"/>
    <w:rsid w:val="00AC402A"/>
    <w:pPr>
      <w:tabs>
        <w:tab w:val="center" w:pos="4680"/>
        <w:tab w:val="right" w:pos="9360"/>
      </w:tabs>
    </w:pPr>
  </w:style>
  <w:style w:type="character" w:customStyle="1" w:styleId="FooterChar">
    <w:name w:val="Footer Char"/>
    <w:basedOn w:val="DefaultParagraphFont"/>
    <w:link w:val="Footer"/>
    <w:uiPriority w:val="99"/>
    <w:rsid w:val="00AC402A"/>
    <w:rPr>
      <w:rFonts w:eastAsia="Times New Roman"/>
      <w:sz w:val="24"/>
      <w:szCs w:val="24"/>
    </w:rPr>
  </w:style>
  <w:style w:type="paragraph" w:styleId="EndnoteText">
    <w:name w:val="endnote text"/>
    <w:basedOn w:val="Normal"/>
    <w:link w:val="EndnoteTextChar"/>
    <w:rsid w:val="00AC402A"/>
    <w:rPr>
      <w:sz w:val="20"/>
      <w:szCs w:val="20"/>
    </w:rPr>
  </w:style>
  <w:style w:type="character" w:customStyle="1" w:styleId="EndnoteTextChar">
    <w:name w:val="Endnote Text Char"/>
    <w:basedOn w:val="DefaultParagraphFont"/>
    <w:link w:val="EndnoteText"/>
    <w:rsid w:val="00AC402A"/>
    <w:rPr>
      <w:rFonts w:eastAsia="Times New Roman"/>
    </w:rPr>
  </w:style>
  <w:style w:type="character" w:styleId="EndnoteReference">
    <w:name w:val="endnote reference"/>
    <w:basedOn w:val="DefaultParagraphFont"/>
    <w:rsid w:val="00AC402A"/>
    <w:rPr>
      <w:vertAlign w:val="superscript"/>
    </w:rPr>
  </w:style>
  <w:style w:type="character" w:customStyle="1" w:styleId="Heading3Char">
    <w:name w:val="Heading 3 Char"/>
    <w:basedOn w:val="DefaultParagraphFont"/>
    <w:link w:val="Heading3"/>
    <w:rsid w:val="00610F07"/>
    <w:rPr>
      <w:rFonts w:asciiTheme="majorHAnsi" w:eastAsiaTheme="majorEastAsia" w:hAnsiTheme="majorHAnsi" w:cstheme="majorBidi"/>
      <w:bCs/>
      <w:i/>
      <w:sz w:val="24"/>
      <w:szCs w:val="24"/>
      <w:lang w:val="sq-AL"/>
    </w:rPr>
  </w:style>
  <w:style w:type="character" w:customStyle="1" w:styleId="Heading4Char">
    <w:name w:val="Heading 4 Char"/>
    <w:basedOn w:val="DefaultParagraphFont"/>
    <w:link w:val="Heading4"/>
    <w:rsid w:val="00155195"/>
    <w:rPr>
      <w:rFonts w:asciiTheme="majorHAnsi" w:eastAsiaTheme="majorEastAsia" w:hAnsiTheme="majorHAnsi" w:cstheme="majorBidi"/>
      <w:bCs/>
      <w:i/>
      <w:iCs/>
      <w:sz w:val="24"/>
      <w:szCs w:val="24"/>
    </w:rPr>
  </w:style>
  <w:style w:type="paragraph" w:styleId="TOCHeading">
    <w:name w:val="TOC Heading"/>
    <w:basedOn w:val="Heading1"/>
    <w:next w:val="Normal"/>
    <w:uiPriority w:val="39"/>
    <w:semiHidden/>
    <w:unhideWhenUsed/>
    <w:qFormat/>
    <w:rsid w:val="00887C97"/>
    <w:pPr>
      <w:spacing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rsid w:val="001907DA"/>
    <w:pPr>
      <w:tabs>
        <w:tab w:val="left" w:pos="480"/>
        <w:tab w:val="right" w:leader="dot" w:pos="8900"/>
      </w:tabs>
      <w:spacing w:after="100"/>
    </w:pPr>
    <w:rPr>
      <w:b/>
      <w:noProof/>
      <w:sz w:val="20"/>
      <w:szCs w:val="20"/>
    </w:rPr>
  </w:style>
  <w:style w:type="paragraph" w:styleId="TOC2">
    <w:name w:val="toc 2"/>
    <w:basedOn w:val="Normal"/>
    <w:next w:val="Normal"/>
    <w:autoRedefine/>
    <w:uiPriority w:val="39"/>
    <w:rsid w:val="00887C97"/>
    <w:pPr>
      <w:spacing w:after="100"/>
      <w:ind w:left="240"/>
    </w:pPr>
  </w:style>
  <w:style w:type="paragraph" w:styleId="TOC3">
    <w:name w:val="toc 3"/>
    <w:basedOn w:val="Normal"/>
    <w:next w:val="Normal"/>
    <w:autoRedefine/>
    <w:uiPriority w:val="39"/>
    <w:rsid w:val="00887C97"/>
    <w:pPr>
      <w:spacing w:after="100"/>
      <w:ind w:left="480"/>
    </w:pPr>
  </w:style>
  <w:style w:type="character" w:styleId="Hyperlink">
    <w:name w:val="Hyperlink"/>
    <w:basedOn w:val="DefaultParagraphFont"/>
    <w:uiPriority w:val="99"/>
    <w:unhideWhenUsed/>
    <w:rsid w:val="00887C97"/>
    <w:rPr>
      <w:color w:val="0000FF" w:themeColor="hyperlink"/>
      <w:u w:val="single"/>
    </w:rPr>
  </w:style>
  <w:style w:type="paragraph" w:styleId="TOC4">
    <w:name w:val="toc 4"/>
    <w:basedOn w:val="Normal"/>
    <w:next w:val="Normal"/>
    <w:autoRedefine/>
    <w:uiPriority w:val="39"/>
    <w:rsid w:val="00236654"/>
    <w:pPr>
      <w:spacing w:after="100"/>
      <w:ind w:left="720"/>
    </w:pPr>
  </w:style>
  <w:style w:type="paragraph" w:styleId="NormalWeb">
    <w:name w:val="Normal (Web)"/>
    <w:basedOn w:val="Normal"/>
    <w:uiPriority w:val="99"/>
    <w:rsid w:val="000F540A"/>
    <w:pPr>
      <w:spacing w:before="100" w:beforeAutospacing="1" w:after="100" w:afterAutospacing="1"/>
    </w:pPr>
  </w:style>
  <w:style w:type="paragraph" w:styleId="NoSpacing">
    <w:name w:val="No Spacing"/>
    <w:uiPriority w:val="1"/>
    <w:qFormat/>
    <w:rsid w:val="000F540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300">
      <w:bodyDiv w:val="1"/>
      <w:marLeft w:val="0"/>
      <w:marRight w:val="0"/>
      <w:marTop w:val="0"/>
      <w:marBottom w:val="0"/>
      <w:divBdr>
        <w:top w:val="none" w:sz="0" w:space="0" w:color="auto"/>
        <w:left w:val="none" w:sz="0" w:space="0" w:color="auto"/>
        <w:bottom w:val="none" w:sz="0" w:space="0" w:color="auto"/>
        <w:right w:val="none" w:sz="0" w:space="0" w:color="auto"/>
      </w:divBdr>
    </w:div>
    <w:div w:id="179397677">
      <w:bodyDiv w:val="1"/>
      <w:marLeft w:val="0"/>
      <w:marRight w:val="0"/>
      <w:marTop w:val="0"/>
      <w:marBottom w:val="0"/>
      <w:divBdr>
        <w:top w:val="none" w:sz="0" w:space="0" w:color="auto"/>
        <w:left w:val="none" w:sz="0" w:space="0" w:color="auto"/>
        <w:bottom w:val="none" w:sz="0" w:space="0" w:color="auto"/>
        <w:right w:val="none" w:sz="0" w:space="0" w:color="auto"/>
      </w:divBdr>
    </w:div>
    <w:div w:id="242960594">
      <w:bodyDiv w:val="1"/>
      <w:marLeft w:val="0"/>
      <w:marRight w:val="0"/>
      <w:marTop w:val="0"/>
      <w:marBottom w:val="0"/>
      <w:divBdr>
        <w:top w:val="none" w:sz="0" w:space="0" w:color="auto"/>
        <w:left w:val="none" w:sz="0" w:space="0" w:color="auto"/>
        <w:bottom w:val="none" w:sz="0" w:space="0" w:color="auto"/>
        <w:right w:val="none" w:sz="0" w:space="0" w:color="auto"/>
      </w:divBdr>
    </w:div>
    <w:div w:id="350648787">
      <w:bodyDiv w:val="1"/>
      <w:marLeft w:val="0"/>
      <w:marRight w:val="0"/>
      <w:marTop w:val="0"/>
      <w:marBottom w:val="0"/>
      <w:divBdr>
        <w:top w:val="none" w:sz="0" w:space="0" w:color="auto"/>
        <w:left w:val="none" w:sz="0" w:space="0" w:color="auto"/>
        <w:bottom w:val="none" w:sz="0" w:space="0" w:color="auto"/>
        <w:right w:val="none" w:sz="0" w:space="0" w:color="auto"/>
      </w:divBdr>
    </w:div>
    <w:div w:id="472870282">
      <w:bodyDiv w:val="1"/>
      <w:marLeft w:val="0"/>
      <w:marRight w:val="0"/>
      <w:marTop w:val="0"/>
      <w:marBottom w:val="0"/>
      <w:divBdr>
        <w:top w:val="none" w:sz="0" w:space="0" w:color="auto"/>
        <w:left w:val="none" w:sz="0" w:space="0" w:color="auto"/>
        <w:bottom w:val="none" w:sz="0" w:space="0" w:color="auto"/>
        <w:right w:val="none" w:sz="0" w:space="0" w:color="auto"/>
      </w:divBdr>
    </w:div>
    <w:div w:id="504365511">
      <w:bodyDiv w:val="1"/>
      <w:marLeft w:val="0"/>
      <w:marRight w:val="0"/>
      <w:marTop w:val="0"/>
      <w:marBottom w:val="0"/>
      <w:divBdr>
        <w:top w:val="none" w:sz="0" w:space="0" w:color="auto"/>
        <w:left w:val="none" w:sz="0" w:space="0" w:color="auto"/>
        <w:bottom w:val="none" w:sz="0" w:space="0" w:color="auto"/>
        <w:right w:val="none" w:sz="0" w:space="0" w:color="auto"/>
      </w:divBdr>
    </w:div>
    <w:div w:id="605620984">
      <w:bodyDiv w:val="1"/>
      <w:marLeft w:val="0"/>
      <w:marRight w:val="0"/>
      <w:marTop w:val="0"/>
      <w:marBottom w:val="0"/>
      <w:divBdr>
        <w:top w:val="none" w:sz="0" w:space="0" w:color="auto"/>
        <w:left w:val="none" w:sz="0" w:space="0" w:color="auto"/>
        <w:bottom w:val="none" w:sz="0" w:space="0" w:color="auto"/>
        <w:right w:val="none" w:sz="0" w:space="0" w:color="auto"/>
      </w:divBdr>
    </w:div>
    <w:div w:id="711541834">
      <w:bodyDiv w:val="1"/>
      <w:marLeft w:val="0"/>
      <w:marRight w:val="0"/>
      <w:marTop w:val="0"/>
      <w:marBottom w:val="0"/>
      <w:divBdr>
        <w:top w:val="none" w:sz="0" w:space="0" w:color="auto"/>
        <w:left w:val="none" w:sz="0" w:space="0" w:color="auto"/>
        <w:bottom w:val="none" w:sz="0" w:space="0" w:color="auto"/>
        <w:right w:val="none" w:sz="0" w:space="0" w:color="auto"/>
      </w:divBdr>
    </w:div>
    <w:div w:id="766313720">
      <w:bodyDiv w:val="1"/>
      <w:marLeft w:val="0"/>
      <w:marRight w:val="0"/>
      <w:marTop w:val="0"/>
      <w:marBottom w:val="0"/>
      <w:divBdr>
        <w:top w:val="none" w:sz="0" w:space="0" w:color="auto"/>
        <w:left w:val="none" w:sz="0" w:space="0" w:color="auto"/>
        <w:bottom w:val="none" w:sz="0" w:space="0" w:color="auto"/>
        <w:right w:val="none" w:sz="0" w:space="0" w:color="auto"/>
      </w:divBdr>
    </w:div>
    <w:div w:id="789740096">
      <w:bodyDiv w:val="1"/>
      <w:marLeft w:val="0"/>
      <w:marRight w:val="0"/>
      <w:marTop w:val="0"/>
      <w:marBottom w:val="0"/>
      <w:divBdr>
        <w:top w:val="none" w:sz="0" w:space="0" w:color="auto"/>
        <w:left w:val="none" w:sz="0" w:space="0" w:color="auto"/>
        <w:bottom w:val="none" w:sz="0" w:space="0" w:color="auto"/>
        <w:right w:val="none" w:sz="0" w:space="0" w:color="auto"/>
      </w:divBdr>
    </w:div>
    <w:div w:id="1033649556">
      <w:bodyDiv w:val="1"/>
      <w:marLeft w:val="0"/>
      <w:marRight w:val="0"/>
      <w:marTop w:val="0"/>
      <w:marBottom w:val="0"/>
      <w:divBdr>
        <w:top w:val="none" w:sz="0" w:space="0" w:color="auto"/>
        <w:left w:val="none" w:sz="0" w:space="0" w:color="auto"/>
        <w:bottom w:val="none" w:sz="0" w:space="0" w:color="auto"/>
        <w:right w:val="none" w:sz="0" w:space="0" w:color="auto"/>
      </w:divBdr>
    </w:div>
    <w:div w:id="1074666893">
      <w:bodyDiv w:val="1"/>
      <w:marLeft w:val="0"/>
      <w:marRight w:val="0"/>
      <w:marTop w:val="0"/>
      <w:marBottom w:val="0"/>
      <w:divBdr>
        <w:top w:val="none" w:sz="0" w:space="0" w:color="auto"/>
        <w:left w:val="none" w:sz="0" w:space="0" w:color="auto"/>
        <w:bottom w:val="none" w:sz="0" w:space="0" w:color="auto"/>
        <w:right w:val="none" w:sz="0" w:space="0" w:color="auto"/>
      </w:divBdr>
    </w:div>
    <w:div w:id="1142236599">
      <w:bodyDiv w:val="1"/>
      <w:marLeft w:val="0"/>
      <w:marRight w:val="0"/>
      <w:marTop w:val="0"/>
      <w:marBottom w:val="0"/>
      <w:divBdr>
        <w:top w:val="none" w:sz="0" w:space="0" w:color="auto"/>
        <w:left w:val="none" w:sz="0" w:space="0" w:color="auto"/>
        <w:bottom w:val="none" w:sz="0" w:space="0" w:color="auto"/>
        <w:right w:val="none" w:sz="0" w:space="0" w:color="auto"/>
      </w:divBdr>
    </w:div>
    <w:div w:id="1225524160">
      <w:bodyDiv w:val="1"/>
      <w:marLeft w:val="0"/>
      <w:marRight w:val="0"/>
      <w:marTop w:val="0"/>
      <w:marBottom w:val="0"/>
      <w:divBdr>
        <w:top w:val="none" w:sz="0" w:space="0" w:color="auto"/>
        <w:left w:val="none" w:sz="0" w:space="0" w:color="auto"/>
        <w:bottom w:val="none" w:sz="0" w:space="0" w:color="auto"/>
        <w:right w:val="none" w:sz="0" w:space="0" w:color="auto"/>
      </w:divBdr>
    </w:div>
    <w:div w:id="1277564277">
      <w:bodyDiv w:val="1"/>
      <w:marLeft w:val="0"/>
      <w:marRight w:val="0"/>
      <w:marTop w:val="0"/>
      <w:marBottom w:val="0"/>
      <w:divBdr>
        <w:top w:val="none" w:sz="0" w:space="0" w:color="auto"/>
        <w:left w:val="none" w:sz="0" w:space="0" w:color="auto"/>
        <w:bottom w:val="none" w:sz="0" w:space="0" w:color="auto"/>
        <w:right w:val="none" w:sz="0" w:space="0" w:color="auto"/>
      </w:divBdr>
    </w:div>
    <w:div w:id="1367873379">
      <w:bodyDiv w:val="1"/>
      <w:marLeft w:val="0"/>
      <w:marRight w:val="0"/>
      <w:marTop w:val="0"/>
      <w:marBottom w:val="0"/>
      <w:divBdr>
        <w:top w:val="none" w:sz="0" w:space="0" w:color="auto"/>
        <w:left w:val="none" w:sz="0" w:space="0" w:color="auto"/>
        <w:bottom w:val="none" w:sz="0" w:space="0" w:color="auto"/>
        <w:right w:val="none" w:sz="0" w:space="0" w:color="auto"/>
      </w:divBdr>
    </w:div>
    <w:div w:id="1429614223">
      <w:bodyDiv w:val="1"/>
      <w:marLeft w:val="0"/>
      <w:marRight w:val="0"/>
      <w:marTop w:val="0"/>
      <w:marBottom w:val="0"/>
      <w:divBdr>
        <w:top w:val="none" w:sz="0" w:space="0" w:color="auto"/>
        <w:left w:val="none" w:sz="0" w:space="0" w:color="auto"/>
        <w:bottom w:val="none" w:sz="0" w:space="0" w:color="auto"/>
        <w:right w:val="none" w:sz="0" w:space="0" w:color="auto"/>
      </w:divBdr>
    </w:div>
    <w:div w:id="1456631641">
      <w:bodyDiv w:val="1"/>
      <w:marLeft w:val="0"/>
      <w:marRight w:val="0"/>
      <w:marTop w:val="0"/>
      <w:marBottom w:val="0"/>
      <w:divBdr>
        <w:top w:val="none" w:sz="0" w:space="0" w:color="auto"/>
        <w:left w:val="none" w:sz="0" w:space="0" w:color="auto"/>
        <w:bottom w:val="none" w:sz="0" w:space="0" w:color="auto"/>
        <w:right w:val="none" w:sz="0" w:space="0" w:color="auto"/>
      </w:divBdr>
    </w:div>
    <w:div w:id="1738631158">
      <w:bodyDiv w:val="1"/>
      <w:marLeft w:val="0"/>
      <w:marRight w:val="0"/>
      <w:marTop w:val="0"/>
      <w:marBottom w:val="0"/>
      <w:divBdr>
        <w:top w:val="none" w:sz="0" w:space="0" w:color="auto"/>
        <w:left w:val="none" w:sz="0" w:space="0" w:color="auto"/>
        <w:bottom w:val="none" w:sz="0" w:space="0" w:color="auto"/>
        <w:right w:val="none" w:sz="0" w:space="0" w:color="auto"/>
      </w:divBdr>
    </w:div>
    <w:div w:id="1743023422">
      <w:bodyDiv w:val="1"/>
      <w:marLeft w:val="0"/>
      <w:marRight w:val="0"/>
      <w:marTop w:val="0"/>
      <w:marBottom w:val="0"/>
      <w:divBdr>
        <w:top w:val="none" w:sz="0" w:space="0" w:color="auto"/>
        <w:left w:val="none" w:sz="0" w:space="0" w:color="auto"/>
        <w:bottom w:val="none" w:sz="0" w:space="0" w:color="auto"/>
        <w:right w:val="none" w:sz="0" w:space="0" w:color="auto"/>
      </w:divBdr>
    </w:div>
    <w:div w:id="1798183540">
      <w:bodyDiv w:val="1"/>
      <w:marLeft w:val="0"/>
      <w:marRight w:val="0"/>
      <w:marTop w:val="0"/>
      <w:marBottom w:val="0"/>
      <w:divBdr>
        <w:top w:val="none" w:sz="0" w:space="0" w:color="auto"/>
        <w:left w:val="none" w:sz="0" w:space="0" w:color="auto"/>
        <w:bottom w:val="none" w:sz="0" w:space="0" w:color="auto"/>
        <w:right w:val="none" w:sz="0" w:space="0" w:color="auto"/>
      </w:divBdr>
      <w:divsChild>
        <w:div w:id="2002930170">
          <w:marLeft w:val="0"/>
          <w:marRight w:val="0"/>
          <w:marTop w:val="0"/>
          <w:marBottom w:val="0"/>
          <w:divBdr>
            <w:top w:val="none" w:sz="0" w:space="0" w:color="auto"/>
            <w:left w:val="none" w:sz="0" w:space="0" w:color="auto"/>
            <w:bottom w:val="none" w:sz="0" w:space="0" w:color="auto"/>
            <w:right w:val="none" w:sz="0" w:space="0" w:color="auto"/>
          </w:divBdr>
        </w:div>
        <w:div w:id="408158981">
          <w:marLeft w:val="0"/>
          <w:marRight w:val="0"/>
          <w:marTop w:val="0"/>
          <w:marBottom w:val="0"/>
          <w:divBdr>
            <w:top w:val="none" w:sz="0" w:space="0" w:color="auto"/>
            <w:left w:val="none" w:sz="0" w:space="0" w:color="auto"/>
            <w:bottom w:val="none" w:sz="0" w:space="0" w:color="auto"/>
            <w:right w:val="none" w:sz="0" w:space="0" w:color="auto"/>
          </w:divBdr>
        </w:div>
        <w:div w:id="1698891052">
          <w:marLeft w:val="0"/>
          <w:marRight w:val="0"/>
          <w:marTop w:val="0"/>
          <w:marBottom w:val="0"/>
          <w:divBdr>
            <w:top w:val="none" w:sz="0" w:space="0" w:color="auto"/>
            <w:left w:val="none" w:sz="0" w:space="0" w:color="auto"/>
            <w:bottom w:val="none" w:sz="0" w:space="0" w:color="auto"/>
            <w:right w:val="none" w:sz="0" w:space="0" w:color="auto"/>
          </w:divBdr>
        </w:div>
        <w:div w:id="1600601018">
          <w:marLeft w:val="0"/>
          <w:marRight w:val="0"/>
          <w:marTop w:val="0"/>
          <w:marBottom w:val="0"/>
          <w:divBdr>
            <w:top w:val="none" w:sz="0" w:space="0" w:color="auto"/>
            <w:left w:val="none" w:sz="0" w:space="0" w:color="auto"/>
            <w:bottom w:val="none" w:sz="0" w:space="0" w:color="auto"/>
            <w:right w:val="none" w:sz="0" w:space="0" w:color="auto"/>
          </w:divBdr>
        </w:div>
      </w:divsChild>
    </w:div>
    <w:div w:id="1977640142">
      <w:bodyDiv w:val="1"/>
      <w:marLeft w:val="0"/>
      <w:marRight w:val="0"/>
      <w:marTop w:val="0"/>
      <w:marBottom w:val="0"/>
      <w:divBdr>
        <w:top w:val="none" w:sz="0" w:space="0" w:color="auto"/>
        <w:left w:val="none" w:sz="0" w:space="0" w:color="auto"/>
        <w:bottom w:val="none" w:sz="0" w:space="0" w:color="auto"/>
        <w:right w:val="none" w:sz="0" w:space="0" w:color="auto"/>
      </w:divBdr>
      <w:divsChild>
        <w:div w:id="709644162">
          <w:marLeft w:val="0"/>
          <w:marRight w:val="0"/>
          <w:marTop w:val="0"/>
          <w:marBottom w:val="0"/>
          <w:divBdr>
            <w:top w:val="none" w:sz="0" w:space="0" w:color="auto"/>
            <w:left w:val="none" w:sz="0" w:space="0" w:color="auto"/>
            <w:bottom w:val="none" w:sz="0" w:space="0" w:color="auto"/>
            <w:right w:val="none" w:sz="0" w:space="0" w:color="auto"/>
          </w:divBdr>
        </w:div>
        <w:div w:id="1162937723">
          <w:marLeft w:val="0"/>
          <w:marRight w:val="0"/>
          <w:marTop w:val="0"/>
          <w:marBottom w:val="0"/>
          <w:divBdr>
            <w:top w:val="none" w:sz="0" w:space="0" w:color="auto"/>
            <w:left w:val="none" w:sz="0" w:space="0" w:color="auto"/>
            <w:bottom w:val="none" w:sz="0" w:space="0" w:color="auto"/>
            <w:right w:val="none" w:sz="0" w:space="0" w:color="auto"/>
          </w:divBdr>
        </w:div>
        <w:div w:id="1259948859">
          <w:marLeft w:val="0"/>
          <w:marRight w:val="0"/>
          <w:marTop w:val="0"/>
          <w:marBottom w:val="0"/>
          <w:divBdr>
            <w:top w:val="none" w:sz="0" w:space="0" w:color="auto"/>
            <w:left w:val="none" w:sz="0" w:space="0" w:color="auto"/>
            <w:bottom w:val="none" w:sz="0" w:space="0" w:color="auto"/>
            <w:right w:val="none" w:sz="0" w:space="0" w:color="auto"/>
          </w:divBdr>
        </w:div>
        <w:div w:id="1163593441">
          <w:marLeft w:val="0"/>
          <w:marRight w:val="0"/>
          <w:marTop w:val="0"/>
          <w:marBottom w:val="0"/>
          <w:divBdr>
            <w:top w:val="none" w:sz="0" w:space="0" w:color="auto"/>
            <w:left w:val="none" w:sz="0" w:space="0" w:color="auto"/>
            <w:bottom w:val="none" w:sz="0" w:space="0" w:color="auto"/>
            <w:right w:val="none" w:sz="0" w:space="0" w:color="auto"/>
          </w:divBdr>
        </w:div>
      </w:divsChild>
    </w:div>
    <w:div w:id="211990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jus.borokoci\Desktop\WORD%20FILES\Strategjite\Strategjia%202016-2018\Tabelat%20dhe%20Grafiket%20e%20SAMB%20per%20pjesen%20e%20faktikut(%20me%20te%20dhena%20te%20dhjetori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jus.borokoci\Desktop\WORD%20FILES\Strategjite\Strategjia%202016-2018\Tabelat%20dhe%20Grafiket%20e%20SAMB%20per%20pjesen%20e%20faktikut(%20me%20te%20dhena%20te%20dhjetorit).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arjus.borokoci\Desktop\WORD%20FILES\Strategjite\Strategjia%202016-2018\Materialet%20e%20Grupit%20te%20Punes\Tabelat%20dhe%20Grafiket%20e%20SAMB%20per%20pjesen%20e%20faktikut(%20me%20te%20dhena%20te%20dhjetorit)_27.04.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rjus.borokoci\Desktop\WORD%20FILES\Strategjite\Strategjia%202016-2018\Tabelat%20dhe%20Grafiket%20e%20SAMB%20per%20pjesen%20e%20faktikut(%20me%20te%20dhena%20te%20dhjetori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rjus.borokoci\Desktop\WORD%20FILES\Strategjite\Strategjia%202016-2018\Tabelat%20dhe%20Grafiket%20e%20SAMB%20per%20pjesen%20e%20faktikut(%20me%20te%20dhena%20te%20dhjetori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rjus.borokoci\Desktop\WORD%20FILES\Strategjite\Strategjia%202016-2018\Tabelat%20dhe%20Grafiket%20e%20SAMB%20per%20pjesen%20e%20faktikut(%20me%20te%20dhena%20te%20dhjetori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arjus.borokoci\Desktop\WORD%20FILES\Strategjite\Strategjia%202016-2018\Tabelat%20dhe%20Grafiket%20e%20SAMB%20per%20pjesen%20e%20faktikut(%20me%20te%20dhena%20te%20dhjetori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arjus.borokoci\Desktop\WORD%20FILES\Strategjite\Strategjia%202016-2018\Tabelat%20dhe%20Grafiket%20e%20SAMB%20per%20pjesen%20e%20faktikut(%20me%20te%20dhena%20te%20dhjetori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arjus.borokoci\Desktop\WORD%20FILES\Raporte\Viti%202015\ERP\Graphs%20and%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0"/>
      <c:perspective val="30"/>
    </c:view3D>
    <c:floor>
      <c:thickness val="0"/>
    </c:floor>
    <c:sideWall>
      <c:thickness val="0"/>
      <c:spPr>
        <a:noFill/>
        <a:ln>
          <a:noFill/>
        </a:ln>
      </c:spPr>
    </c:sideWall>
    <c:backWall>
      <c:thickness val="0"/>
      <c:spPr>
        <a:noFill/>
        <a:ln>
          <a:noFill/>
        </a:ln>
      </c:spPr>
    </c:backWall>
    <c:plotArea>
      <c:layout>
        <c:manualLayout>
          <c:layoutTarget val="inner"/>
          <c:xMode val="edge"/>
          <c:yMode val="edge"/>
          <c:x val="0.10098870171349063"/>
          <c:y val="4.4858665394098482E-2"/>
          <c:w val="0.89901129828650961"/>
          <c:h val="0.57114655213552945"/>
        </c:manualLayout>
      </c:layout>
      <c:bar3DChart>
        <c:barDir val="col"/>
        <c:grouping val="clustered"/>
        <c:varyColors val="0"/>
        <c:ser>
          <c:idx val="0"/>
          <c:order val="0"/>
          <c:tx>
            <c:strRef>
              <c:f>'Profili Mat'!$B$8</c:f>
              <c:strCache>
                <c:ptCount val="1"/>
                <c:pt idx="0">
                  <c:v>Borxhi Brendshëm</c:v>
                </c:pt>
              </c:strCache>
            </c:strRef>
          </c:tx>
          <c:invertIfNegative val="0"/>
          <c:cat>
            <c:numRef>
              <c:f>'Profili Mat'!$C$2:$AA$2</c:f>
              <c:numCache>
                <c:formatCode>General</c:formatCode>
                <c:ptCount val="25"/>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numCache>
            </c:numRef>
          </c:cat>
          <c:val>
            <c:numRef>
              <c:f>'Profili Mat'!$C$3:$AA$3</c:f>
              <c:numCache>
                <c:formatCode>_(* #,##0_);_(* \(#,##0\);_(* "-"??_);_(@_)</c:formatCode>
                <c:ptCount val="25"/>
                <c:pt idx="0">
                  <c:v>291.2</c:v>
                </c:pt>
                <c:pt idx="1">
                  <c:v>74.772999999999982</c:v>
                </c:pt>
                <c:pt idx="2">
                  <c:v>38.719000000000001</c:v>
                </c:pt>
                <c:pt idx="3">
                  <c:v>19.237500000000001</c:v>
                </c:pt>
                <c:pt idx="4">
                  <c:v>35.032000000000011</c:v>
                </c:pt>
                <c:pt idx="5">
                  <c:v>17.027000000000001</c:v>
                </c:pt>
                <c:pt idx="6">
                  <c:v>11.383500000000012</c:v>
                </c:pt>
                <c:pt idx="7">
                  <c:v>8.2779890270000003</c:v>
                </c:pt>
                <c:pt idx="8">
                  <c:v>12.827300000000001</c:v>
                </c:pt>
                <c:pt idx="9">
                  <c:v>12.574191707000001</c:v>
                </c:pt>
              </c:numCache>
            </c:numRef>
          </c:val>
        </c:ser>
        <c:ser>
          <c:idx val="1"/>
          <c:order val="1"/>
          <c:tx>
            <c:strRef>
              <c:f>'Profili Mat'!$B$9</c:f>
              <c:strCache>
                <c:ptCount val="1"/>
                <c:pt idx="0">
                  <c:v>Borxhi Jashtëm</c:v>
                </c:pt>
              </c:strCache>
            </c:strRef>
          </c:tx>
          <c:invertIfNegative val="0"/>
          <c:cat>
            <c:numRef>
              <c:f>'Profili Mat'!$C$2:$AA$2</c:f>
              <c:numCache>
                <c:formatCode>General</c:formatCode>
                <c:ptCount val="25"/>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numCache>
            </c:numRef>
          </c:cat>
          <c:val>
            <c:numRef>
              <c:f>'Profili Mat'!$C$4:$AA$4</c:f>
              <c:numCache>
                <c:formatCode>_(* #,##0_);_(* \(#,##0\);_(* "-"??_);_(@_)</c:formatCode>
                <c:ptCount val="25"/>
                <c:pt idx="0">
                  <c:v>18.933725999999989</c:v>
                </c:pt>
                <c:pt idx="1">
                  <c:v>23.996166000000002</c:v>
                </c:pt>
                <c:pt idx="2">
                  <c:v>25.213657999999999</c:v>
                </c:pt>
                <c:pt idx="3">
                  <c:v>28.874521000000001</c:v>
                </c:pt>
                <c:pt idx="4">
                  <c:v>88.694700999999981</c:v>
                </c:pt>
                <c:pt idx="5">
                  <c:v>27.170642999999966</c:v>
                </c:pt>
                <c:pt idx="6">
                  <c:v>27.464776999999966</c:v>
                </c:pt>
                <c:pt idx="7">
                  <c:v>26.844289</c:v>
                </c:pt>
                <c:pt idx="8">
                  <c:v>21.987610999999969</c:v>
                </c:pt>
                <c:pt idx="9">
                  <c:v>44.500886999999999</c:v>
                </c:pt>
                <c:pt idx="10">
                  <c:v>15.076442000000014</c:v>
                </c:pt>
                <c:pt idx="11">
                  <c:v>13.199947</c:v>
                </c:pt>
                <c:pt idx="12">
                  <c:v>12.498524</c:v>
                </c:pt>
                <c:pt idx="13">
                  <c:v>10.804394</c:v>
                </c:pt>
                <c:pt idx="14">
                  <c:v>10.132022000000001</c:v>
                </c:pt>
                <c:pt idx="15">
                  <c:v>9.8158900000000067</c:v>
                </c:pt>
                <c:pt idx="16">
                  <c:v>9.1923079999999988</c:v>
                </c:pt>
                <c:pt idx="17">
                  <c:v>7.2571869999999903</c:v>
                </c:pt>
                <c:pt idx="18">
                  <c:v>6.8529759999999902</c:v>
                </c:pt>
                <c:pt idx="19">
                  <c:v>6.2857200000000004</c:v>
                </c:pt>
                <c:pt idx="20">
                  <c:v>5.8766170000000004</c:v>
                </c:pt>
                <c:pt idx="21">
                  <c:v>4.5332270000000072</c:v>
                </c:pt>
                <c:pt idx="22">
                  <c:v>3.848614</c:v>
                </c:pt>
                <c:pt idx="23">
                  <c:v>3.3947029999999967</c:v>
                </c:pt>
                <c:pt idx="24">
                  <c:v>2.5982699999999967</c:v>
                </c:pt>
              </c:numCache>
            </c:numRef>
          </c:val>
        </c:ser>
        <c:dLbls>
          <c:showLegendKey val="0"/>
          <c:showVal val="0"/>
          <c:showCatName val="0"/>
          <c:showSerName val="0"/>
          <c:showPercent val="0"/>
          <c:showBubbleSize val="0"/>
        </c:dLbls>
        <c:gapWidth val="150"/>
        <c:shape val="box"/>
        <c:axId val="233740544"/>
        <c:axId val="82723968"/>
        <c:axId val="0"/>
      </c:bar3DChart>
      <c:catAx>
        <c:axId val="233740544"/>
        <c:scaling>
          <c:orientation val="minMax"/>
        </c:scaling>
        <c:delete val="0"/>
        <c:axPos val="b"/>
        <c:numFmt formatCode="General" sourceLinked="1"/>
        <c:majorTickMark val="out"/>
        <c:minorTickMark val="none"/>
        <c:tickLblPos val="nextTo"/>
        <c:crossAx val="82723968"/>
        <c:crosses val="autoZero"/>
        <c:auto val="1"/>
        <c:lblAlgn val="ctr"/>
        <c:lblOffset val="100"/>
        <c:noMultiLvlLbl val="0"/>
      </c:catAx>
      <c:valAx>
        <c:axId val="82723968"/>
        <c:scaling>
          <c:orientation val="minMax"/>
        </c:scaling>
        <c:delete val="0"/>
        <c:axPos val="l"/>
        <c:title>
          <c:tx>
            <c:rich>
              <a:bodyPr rot="-5400000" vert="horz"/>
              <a:lstStyle/>
              <a:p>
                <a:pPr>
                  <a:defRPr b="0"/>
                </a:pPr>
                <a:r>
                  <a:rPr lang="en-US" b="0"/>
                  <a:t>Në miliard lekë</a:t>
                </a:r>
              </a:p>
            </c:rich>
          </c:tx>
          <c:layout>
            <c:manualLayout>
              <c:xMode val="edge"/>
              <c:yMode val="edge"/>
              <c:x val="5.841088045812454E-3"/>
              <c:y val="0.14207349081364828"/>
            </c:manualLayout>
          </c:layout>
          <c:overlay val="0"/>
        </c:title>
        <c:numFmt formatCode="#,##0.0" sourceLinked="0"/>
        <c:majorTickMark val="out"/>
        <c:minorTickMark val="none"/>
        <c:tickLblPos val="nextTo"/>
        <c:crossAx val="233740544"/>
        <c:crosses val="autoZero"/>
        <c:crossBetween val="between"/>
      </c:valAx>
    </c:plotArea>
    <c:legend>
      <c:legendPos val="b"/>
      <c:layout>
        <c:manualLayout>
          <c:xMode val="edge"/>
          <c:yMode val="edge"/>
          <c:x val="0.29302487791435827"/>
          <c:y val="0.8056586017656886"/>
          <c:w val="0.4273390068665659"/>
          <c:h val="9.5676790401199849E-2"/>
        </c:manualLayout>
      </c:layout>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0"/>
      <c:perspective val="30"/>
    </c:view3D>
    <c:floor>
      <c:thickness val="0"/>
    </c:floor>
    <c:sideWall>
      <c:thickness val="0"/>
      <c:spPr>
        <a:noFill/>
        <a:ln>
          <a:noFill/>
        </a:ln>
      </c:spPr>
    </c:sideWall>
    <c:backWall>
      <c:thickness val="0"/>
      <c:spPr>
        <a:noFill/>
        <a:ln>
          <a:noFill/>
        </a:ln>
      </c:spPr>
    </c:backWall>
    <c:plotArea>
      <c:layout>
        <c:manualLayout>
          <c:layoutTarget val="inner"/>
          <c:xMode val="edge"/>
          <c:yMode val="edge"/>
          <c:x val="9.2101928485515114E-2"/>
          <c:y val="5.7519871627420983E-2"/>
          <c:w val="0.90789807151448487"/>
          <c:h val="0.68597614771837734"/>
        </c:manualLayout>
      </c:layout>
      <c:bar3DChart>
        <c:barDir val="col"/>
        <c:grouping val="clustered"/>
        <c:varyColors val="0"/>
        <c:ser>
          <c:idx val="0"/>
          <c:order val="0"/>
          <c:tx>
            <c:strRef>
              <c:f>'Profili i Maturimeve'!$C$21:$D$21</c:f>
              <c:strCache>
                <c:ptCount val="1"/>
                <c:pt idx="0">
                  <c:v>Dhj-2014</c:v>
                </c:pt>
              </c:strCache>
            </c:strRef>
          </c:tx>
          <c:invertIfNegative val="0"/>
          <c:dLbls>
            <c:dLbl>
              <c:idx val="0"/>
              <c:layout>
                <c:manualLayout>
                  <c:x val="1.9982561804987413E-2"/>
                  <c:y val="8.758837577735254E-3"/>
                </c:manualLayout>
              </c:layout>
              <c:tx>
                <c:rich>
                  <a:bodyPr/>
                  <a:lstStyle/>
                  <a:p>
                    <a:r>
                      <a:rPr lang="en-US" sz="800" b="1"/>
                      <a:t>60.3%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'Profili i Maturimeve'!$B$23:$B$32</c:f>
              <c:strCache>
                <c:ptCount val="10"/>
                <c:pt idx="0">
                  <c:v>Viti I</c:v>
                </c:pt>
                <c:pt idx="1">
                  <c:v>Viti II</c:v>
                </c:pt>
                <c:pt idx="2">
                  <c:v>Viti III</c:v>
                </c:pt>
                <c:pt idx="3">
                  <c:v>Viti IV</c:v>
                </c:pt>
                <c:pt idx="4">
                  <c:v>Viti V</c:v>
                </c:pt>
                <c:pt idx="5">
                  <c:v>Viti VI</c:v>
                </c:pt>
                <c:pt idx="6">
                  <c:v>Viti VII</c:v>
                </c:pt>
                <c:pt idx="7">
                  <c:v>Viti VIII</c:v>
                </c:pt>
                <c:pt idx="8">
                  <c:v>Viti IX</c:v>
                </c:pt>
                <c:pt idx="9">
                  <c:v>Viti X</c:v>
                </c:pt>
              </c:strCache>
            </c:strRef>
          </c:cat>
          <c:val>
            <c:numRef>
              <c:f>'Profili i Maturimeve'!$D$23:$D$32</c:f>
              <c:numCache>
                <c:formatCode>0.00%</c:formatCode>
                <c:ptCount val="10"/>
                <c:pt idx="0">
                  <c:v>0.60265506335023766</c:v>
                </c:pt>
                <c:pt idx="1">
                  <c:v>0.14189571051431299</c:v>
                </c:pt>
                <c:pt idx="2">
                  <c:v>5.7512743649674312E-2</c:v>
                </c:pt>
                <c:pt idx="3">
                  <c:v>5.1454715591581053E-2</c:v>
                </c:pt>
                <c:pt idx="4">
                  <c:v>3.5714907531969056E-2</c:v>
                </c:pt>
                <c:pt idx="5">
                  <c:v>3.9979717698697612E-2</c:v>
                </c:pt>
                <c:pt idx="6">
                  <c:v>3.1611299466397381E-2</c:v>
                </c:pt>
                <c:pt idx="7">
                  <c:v>0</c:v>
                </c:pt>
                <c:pt idx="8">
                  <c:v>1.5361633834049352E-2</c:v>
                </c:pt>
                <c:pt idx="9">
                  <c:v>2.3814208363083879E-2</c:v>
                </c:pt>
              </c:numCache>
            </c:numRef>
          </c:val>
        </c:ser>
        <c:ser>
          <c:idx val="1"/>
          <c:order val="1"/>
          <c:tx>
            <c:strRef>
              <c:f>'Profili i Maturimeve'!$E$21:$F$21</c:f>
              <c:strCache>
                <c:ptCount val="1"/>
                <c:pt idx="0">
                  <c:v>Dhj-2015</c:v>
                </c:pt>
              </c:strCache>
            </c:strRef>
          </c:tx>
          <c:invertIfNegative val="0"/>
          <c:dLbls>
            <c:dLbl>
              <c:idx val="0"/>
              <c:layout>
                <c:manualLayout>
                  <c:x val="5.3015332197614957E-2"/>
                  <c:y val="0.11786810432479697"/>
                </c:manualLayout>
              </c:layout>
              <c:tx>
                <c:rich>
                  <a:bodyPr/>
                  <a:lstStyle/>
                  <a:p>
                    <a:r>
                      <a:rPr lang="en-US" sz="800" b="1"/>
                      <a:t>55.9%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'Profili i Maturimeve'!$B$23:$B$32</c:f>
              <c:strCache>
                <c:ptCount val="10"/>
                <c:pt idx="0">
                  <c:v>Viti I</c:v>
                </c:pt>
                <c:pt idx="1">
                  <c:v>Viti II</c:v>
                </c:pt>
                <c:pt idx="2">
                  <c:v>Viti III</c:v>
                </c:pt>
                <c:pt idx="3">
                  <c:v>Viti IV</c:v>
                </c:pt>
                <c:pt idx="4">
                  <c:v>Viti V</c:v>
                </c:pt>
                <c:pt idx="5">
                  <c:v>Viti VI</c:v>
                </c:pt>
                <c:pt idx="6">
                  <c:v>Viti VII</c:v>
                </c:pt>
                <c:pt idx="7">
                  <c:v>Viti VIII</c:v>
                </c:pt>
                <c:pt idx="8">
                  <c:v>Viti IX</c:v>
                </c:pt>
                <c:pt idx="9">
                  <c:v>Viti X</c:v>
                </c:pt>
              </c:strCache>
            </c:strRef>
          </c:cat>
          <c:val>
            <c:numRef>
              <c:f>'Profili i Maturimeve'!$F$23:$F$32</c:f>
              <c:numCache>
                <c:formatCode>0.00%</c:formatCode>
                <c:ptCount val="10"/>
                <c:pt idx="0">
                  <c:v>0.5588699212403917</c:v>
                </c:pt>
                <c:pt idx="1">
                  <c:v>0.14350405433004054</c:v>
                </c:pt>
                <c:pt idx="2">
                  <c:v>7.4309356045696523E-2</c:v>
                </c:pt>
                <c:pt idx="3">
                  <c:v>3.6920536091559181E-2</c:v>
                </c:pt>
                <c:pt idx="4">
                  <c:v>6.7233279810760424E-2</c:v>
                </c:pt>
                <c:pt idx="5">
                  <c:v>3.2678152984066663E-2</c:v>
                </c:pt>
                <c:pt idx="6">
                  <c:v>2.1847169465796873E-2</c:v>
                </c:pt>
                <c:pt idx="7">
                  <c:v>1.5887084737459881E-2</c:v>
                </c:pt>
                <c:pt idx="8">
                  <c:v>2.4618104878869802E-2</c:v>
                </c:pt>
                <c:pt idx="9">
                  <c:v>2.4132340415359711E-2</c:v>
                </c:pt>
              </c:numCache>
            </c:numRef>
          </c:val>
        </c:ser>
        <c:dLbls>
          <c:showLegendKey val="0"/>
          <c:showVal val="0"/>
          <c:showCatName val="0"/>
          <c:showSerName val="0"/>
          <c:showPercent val="0"/>
          <c:showBubbleSize val="0"/>
        </c:dLbls>
        <c:gapWidth val="150"/>
        <c:shape val="box"/>
        <c:axId val="82759040"/>
        <c:axId val="82760832"/>
        <c:axId val="0"/>
      </c:bar3DChart>
      <c:catAx>
        <c:axId val="82759040"/>
        <c:scaling>
          <c:orientation val="minMax"/>
        </c:scaling>
        <c:delete val="0"/>
        <c:axPos val="b"/>
        <c:numFmt formatCode="General" sourceLinked="0"/>
        <c:majorTickMark val="out"/>
        <c:minorTickMark val="none"/>
        <c:tickLblPos val="nextTo"/>
        <c:crossAx val="82760832"/>
        <c:crosses val="autoZero"/>
        <c:auto val="1"/>
        <c:lblAlgn val="ctr"/>
        <c:lblOffset val="100"/>
        <c:noMultiLvlLbl val="0"/>
      </c:catAx>
      <c:valAx>
        <c:axId val="82760832"/>
        <c:scaling>
          <c:orientation val="minMax"/>
        </c:scaling>
        <c:delete val="0"/>
        <c:axPos val="l"/>
        <c:numFmt formatCode="0.0%" sourceLinked="0"/>
        <c:majorTickMark val="out"/>
        <c:minorTickMark val="none"/>
        <c:tickLblPos val="nextTo"/>
        <c:crossAx val="82759040"/>
        <c:crosses val="autoZero"/>
        <c:crossBetween val="between"/>
      </c:valAx>
    </c:plotArea>
    <c:legend>
      <c:legendPos val="b"/>
      <c:layout>
        <c:manualLayout>
          <c:xMode val="edge"/>
          <c:yMode val="edge"/>
          <c:x val="0.3688258729158011"/>
          <c:y val="0.88573198492368543"/>
          <c:w val="0.26234843302168148"/>
          <c:h val="0.11426801507631451"/>
        </c:manualLayout>
      </c:layout>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12500987543784"/>
          <c:y val="4.4858587798476408E-2"/>
          <c:w val="0.81274151214969093"/>
          <c:h val="0.737926263889911"/>
        </c:manualLayout>
      </c:layout>
      <c:barChart>
        <c:barDir val="col"/>
        <c:grouping val="stacked"/>
        <c:varyColors val="0"/>
        <c:ser>
          <c:idx val="0"/>
          <c:order val="0"/>
          <c:tx>
            <c:strRef>
              <c:f>'Ris. Likuiditetit'!$B$4</c:f>
              <c:strCache>
                <c:ptCount val="1"/>
                <c:pt idx="0">
                  <c:v>Ripagesa</c:v>
                </c:pt>
              </c:strCache>
            </c:strRef>
          </c:tx>
          <c:invertIfNegative val="0"/>
          <c:cat>
            <c:numRef>
              <c:f>'Ris. Likuiditetit'!$C$2:$K$2</c:f>
              <c:numCache>
                <c:formatCode>General</c:formatCode>
                <c:ptCount val="6"/>
                <c:pt idx="0">
                  <c:v>2010</c:v>
                </c:pt>
                <c:pt idx="1">
                  <c:v>2011</c:v>
                </c:pt>
                <c:pt idx="2">
                  <c:v>2012</c:v>
                </c:pt>
                <c:pt idx="3">
                  <c:v>2013</c:v>
                </c:pt>
                <c:pt idx="4">
                  <c:v>2014</c:v>
                </c:pt>
                <c:pt idx="5">
                  <c:v>2015</c:v>
                </c:pt>
              </c:numCache>
            </c:numRef>
          </c:cat>
          <c:val>
            <c:numRef>
              <c:f>'Ris. Likuiditetit'!$C$39:$H$39</c:f>
              <c:numCache>
                <c:formatCode>_(* #.##00_);_(* \(#.##00\);_(* "-"??_);_(@_)</c:formatCode>
                <c:ptCount val="6"/>
                <c:pt idx="0">
                  <c:v>6.5119999999999996</c:v>
                </c:pt>
                <c:pt idx="1">
                  <c:v>7.6130000000000004</c:v>
                </c:pt>
                <c:pt idx="2">
                  <c:v>10.669</c:v>
                </c:pt>
                <c:pt idx="3">
                  <c:v>12.773999999999999</c:v>
                </c:pt>
                <c:pt idx="4">
                  <c:v>17.844999999999999</c:v>
                </c:pt>
                <c:pt idx="5">
                  <c:v>61.692999999999998</c:v>
                </c:pt>
              </c:numCache>
            </c:numRef>
          </c:val>
        </c:ser>
        <c:ser>
          <c:idx val="1"/>
          <c:order val="1"/>
          <c:tx>
            <c:strRef>
              <c:f>'Ris. Likuiditetit'!$B$7</c:f>
              <c:strCache>
                <c:ptCount val="1"/>
                <c:pt idx="0">
                  <c:v>Interesa</c:v>
                </c:pt>
              </c:strCache>
            </c:strRef>
          </c:tx>
          <c:invertIfNegative val="0"/>
          <c:cat>
            <c:numRef>
              <c:f>'Ris. Likuiditetit'!$C$2:$K$2</c:f>
              <c:numCache>
                <c:formatCode>General</c:formatCode>
                <c:ptCount val="6"/>
                <c:pt idx="0">
                  <c:v>2010</c:v>
                </c:pt>
                <c:pt idx="1">
                  <c:v>2011</c:v>
                </c:pt>
                <c:pt idx="2">
                  <c:v>2012</c:v>
                </c:pt>
                <c:pt idx="3">
                  <c:v>2013</c:v>
                </c:pt>
                <c:pt idx="4">
                  <c:v>2014</c:v>
                </c:pt>
                <c:pt idx="5">
                  <c:v>2015</c:v>
                </c:pt>
              </c:numCache>
            </c:numRef>
          </c:cat>
          <c:val>
            <c:numRef>
              <c:f>'Ris. Likuiditetit'!$C$42:$H$42</c:f>
              <c:numCache>
                <c:formatCode>#.##00</c:formatCode>
                <c:ptCount val="6"/>
                <c:pt idx="0">
                  <c:v>41.603999999999999</c:v>
                </c:pt>
                <c:pt idx="1">
                  <c:v>41.121000000000002</c:v>
                </c:pt>
                <c:pt idx="2">
                  <c:v>41.497799999999998</c:v>
                </c:pt>
                <c:pt idx="3">
                  <c:v>43.335000000000001</c:v>
                </c:pt>
                <c:pt idx="4">
                  <c:v>39.936999999999998</c:v>
                </c:pt>
                <c:pt idx="5">
                  <c:v>38.643000000000001</c:v>
                </c:pt>
              </c:numCache>
            </c:numRef>
          </c:val>
        </c:ser>
        <c:dLbls>
          <c:showLegendKey val="0"/>
          <c:showVal val="0"/>
          <c:showCatName val="0"/>
          <c:showSerName val="0"/>
          <c:showPercent val="0"/>
          <c:showBubbleSize val="0"/>
        </c:dLbls>
        <c:gapWidth val="150"/>
        <c:overlap val="100"/>
        <c:axId val="82948096"/>
        <c:axId val="82949632"/>
      </c:barChart>
      <c:lineChart>
        <c:grouping val="standard"/>
        <c:varyColors val="0"/>
        <c:ser>
          <c:idx val="2"/>
          <c:order val="2"/>
          <c:tx>
            <c:strRef>
              <c:f>'Ris. Likuiditetit'!$B$11</c:f>
              <c:strCache>
                <c:ptCount val="1"/>
                <c:pt idx="0">
                  <c:v>Shërbimi i Borxhit/Ardhurave</c:v>
                </c:pt>
              </c:strCache>
            </c:strRef>
          </c:tx>
          <c:marker>
            <c:symbol val="none"/>
          </c:marker>
          <c:dLbls>
            <c:dLbl>
              <c:idx val="0"/>
              <c:layout>
                <c:manualLayout>
                  <c:x val="-3.2012805122048842E-2"/>
                  <c:y val="-2.828282828282831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8811524609843941E-2"/>
                  <c:y val="-5.252525252525245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956261369521054E-2"/>
                  <c:y val="-4.24638541548414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5214085634253642E-2"/>
                  <c:y val="-2.8282828282828285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1906007533206747E-2"/>
                  <c:y val="-4.848502894831362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2012805122048842E-2"/>
                  <c:y val="-3.636363636363636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0808323329331732E-2"/>
                  <c:y val="-6.060606060606062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8811524609843941E-2"/>
                  <c:y val="-4.4444444444444502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8811524609843941E-2"/>
                  <c:y val="-4.0404040404040414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'Ris. Likuiditetit'!$C$46:$H$46</c:f>
              <c:numCache>
                <c:formatCode>#,#00%</c:formatCode>
                <c:ptCount val="6"/>
                <c:pt idx="0">
                  <c:v>0.14817643453918902</c:v>
                </c:pt>
                <c:pt idx="1">
                  <c:v>0.14746652545578334</c:v>
                </c:pt>
                <c:pt idx="2">
                  <c:v>0.15789747687539346</c:v>
                </c:pt>
                <c:pt idx="3">
                  <c:v>0.17333374523099737</c:v>
                </c:pt>
                <c:pt idx="4">
                  <c:v>0.1575639246184429</c:v>
                </c:pt>
                <c:pt idx="5">
                  <c:v>0.26459496948887939</c:v>
                </c:pt>
              </c:numCache>
            </c:numRef>
          </c:val>
          <c:smooth val="0"/>
        </c:ser>
        <c:dLbls>
          <c:showLegendKey val="0"/>
          <c:showVal val="0"/>
          <c:showCatName val="0"/>
          <c:showSerName val="0"/>
          <c:showPercent val="0"/>
          <c:showBubbleSize val="0"/>
        </c:dLbls>
        <c:marker val="1"/>
        <c:smooth val="0"/>
        <c:axId val="82961152"/>
        <c:axId val="82951168"/>
      </c:lineChart>
      <c:catAx>
        <c:axId val="82948096"/>
        <c:scaling>
          <c:orientation val="minMax"/>
        </c:scaling>
        <c:delete val="0"/>
        <c:axPos val="b"/>
        <c:numFmt formatCode="General" sourceLinked="1"/>
        <c:majorTickMark val="out"/>
        <c:minorTickMark val="none"/>
        <c:tickLblPos val="nextTo"/>
        <c:crossAx val="82949632"/>
        <c:crosses val="autoZero"/>
        <c:auto val="1"/>
        <c:lblAlgn val="ctr"/>
        <c:lblOffset val="100"/>
        <c:noMultiLvlLbl val="0"/>
      </c:catAx>
      <c:valAx>
        <c:axId val="82949632"/>
        <c:scaling>
          <c:orientation val="minMax"/>
        </c:scaling>
        <c:delete val="0"/>
        <c:axPos val="l"/>
        <c:numFmt formatCode="#,##0.0" sourceLinked="0"/>
        <c:majorTickMark val="out"/>
        <c:minorTickMark val="none"/>
        <c:tickLblPos val="nextTo"/>
        <c:crossAx val="82948096"/>
        <c:crosses val="autoZero"/>
        <c:crossBetween val="between"/>
      </c:valAx>
      <c:valAx>
        <c:axId val="82951168"/>
        <c:scaling>
          <c:orientation val="minMax"/>
        </c:scaling>
        <c:delete val="0"/>
        <c:axPos val="r"/>
        <c:numFmt formatCode="0.0%" sourceLinked="0"/>
        <c:majorTickMark val="out"/>
        <c:minorTickMark val="none"/>
        <c:tickLblPos val="nextTo"/>
        <c:crossAx val="82961152"/>
        <c:crosses val="max"/>
        <c:crossBetween val="between"/>
      </c:valAx>
      <c:catAx>
        <c:axId val="82961152"/>
        <c:scaling>
          <c:orientation val="minMax"/>
        </c:scaling>
        <c:delete val="1"/>
        <c:axPos val="b"/>
        <c:majorTickMark val="out"/>
        <c:minorTickMark val="none"/>
        <c:tickLblPos val="nextTo"/>
        <c:crossAx val="82951168"/>
        <c:crosses val="autoZero"/>
        <c:auto val="1"/>
        <c:lblAlgn val="ctr"/>
        <c:lblOffset val="100"/>
        <c:noMultiLvlLbl val="0"/>
      </c:catAx>
    </c:plotArea>
    <c:legend>
      <c:legendPos val="b"/>
      <c:layout>
        <c:manualLayout>
          <c:xMode val="edge"/>
          <c:yMode val="edge"/>
          <c:x val="0.15086755808137808"/>
          <c:y val="0.88110334339048746"/>
          <c:w val="0.7027617922127356"/>
          <c:h val="0.11266612701449702"/>
        </c:manualLayout>
      </c:layout>
      <c:overlay val="0"/>
    </c:legend>
    <c:plotVisOnly val="1"/>
    <c:dispBlanksAs val="gap"/>
    <c:showDLblsOverMax val="0"/>
  </c:chart>
  <c:spPr>
    <a:noFill/>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76737630018471E-2"/>
          <c:y val="7.3015376514496161E-2"/>
          <c:w val="0.81509571009408577"/>
          <c:h val="0.65323060496506613"/>
        </c:manualLayout>
      </c:layout>
      <c:barChart>
        <c:barDir val="col"/>
        <c:grouping val="stacked"/>
        <c:varyColors val="0"/>
        <c:ser>
          <c:idx val="5"/>
          <c:order val="5"/>
          <c:tx>
            <c:strRef>
              <c:f>'Sherbimi i Borxhit'!$C$10</c:f>
              <c:strCache>
                <c:ptCount val="1"/>
                <c:pt idx="0">
                  <c:v>Borxhi Shtetëror</c:v>
                </c:pt>
              </c:strCache>
            </c:strRef>
          </c:tx>
          <c:spPr>
            <a:solidFill>
              <a:schemeClr val="accent1">
                <a:lumMod val="20000"/>
                <a:lumOff val="80000"/>
              </a:schemeClr>
            </a:solidFill>
          </c:spPr>
          <c:invertIfNegative val="0"/>
          <c:cat>
            <c:numRef>
              <c:f>'Sherbimi i Borxhit'!$D$4:$Q$4</c:f>
              <c:numCache>
                <c:formatCode>General</c:formatCode>
                <c:ptCount val="6"/>
                <c:pt idx="0">
                  <c:v>2010</c:v>
                </c:pt>
                <c:pt idx="1">
                  <c:v>2011</c:v>
                </c:pt>
                <c:pt idx="2">
                  <c:v>2012</c:v>
                </c:pt>
                <c:pt idx="3">
                  <c:v>2013</c:v>
                </c:pt>
                <c:pt idx="4">
                  <c:v>2014</c:v>
                </c:pt>
                <c:pt idx="5">
                  <c:v>2015</c:v>
                </c:pt>
              </c:numCache>
            </c:numRef>
          </c:cat>
          <c:val>
            <c:numRef>
              <c:f>'Sherbimi i Borxhit'!$D$10:$Q$10</c:f>
              <c:numCache>
                <c:formatCode>_(* #,##0_);_(* \(#,##0\);_(* "-"??_);_(@_)</c:formatCode>
                <c:ptCount val="6"/>
                <c:pt idx="0">
                  <c:v>669.94545550000009</c:v>
                </c:pt>
                <c:pt idx="1">
                  <c:v>724.20076879999999</c:v>
                </c:pt>
                <c:pt idx="2">
                  <c:v>774.52788152000005</c:v>
                </c:pt>
                <c:pt idx="3">
                  <c:v>833.36808000000008</c:v>
                </c:pt>
                <c:pt idx="4">
                  <c:v>922.56210797999938</c:v>
                </c:pt>
                <c:pt idx="5">
                  <c:v>1029.6669450000002</c:v>
                </c:pt>
              </c:numCache>
            </c:numRef>
          </c:val>
        </c:ser>
        <c:dLbls>
          <c:showLegendKey val="0"/>
          <c:showVal val="0"/>
          <c:showCatName val="0"/>
          <c:showSerName val="0"/>
          <c:showPercent val="0"/>
          <c:showBubbleSize val="0"/>
        </c:dLbls>
        <c:gapWidth val="150"/>
        <c:overlap val="100"/>
        <c:axId val="109806336"/>
        <c:axId val="109795968"/>
      </c:barChart>
      <c:lineChart>
        <c:grouping val="standard"/>
        <c:varyColors val="0"/>
        <c:ser>
          <c:idx val="0"/>
          <c:order val="0"/>
          <c:tx>
            <c:strRef>
              <c:f>'Sherbimi i Borxhit'!$C$5</c:f>
              <c:strCache>
                <c:ptCount val="1"/>
                <c:pt idx="0">
                  <c:v>Interesa Gjithsej</c:v>
                </c:pt>
              </c:strCache>
            </c:strRef>
          </c:tx>
          <c:cat>
            <c:numRef>
              <c:f>'Sherbimi i Borxhit'!$D$4:$Q$4</c:f>
              <c:numCache>
                <c:formatCode>General</c:formatCode>
                <c:ptCount val="6"/>
                <c:pt idx="0">
                  <c:v>2010</c:v>
                </c:pt>
                <c:pt idx="1">
                  <c:v>2011</c:v>
                </c:pt>
                <c:pt idx="2">
                  <c:v>2012</c:v>
                </c:pt>
                <c:pt idx="3">
                  <c:v>2013</c:v>
                </c:pt>
                <c:pt idx="4">
                  <c:v>2014</c:v>
                </c:pt>
                <c:pt idx="5">
                  <c:v>2015</c:v>
                </c:pt>
              </c:numCache>
            </c:numRef>
          </c:cat>
          <c:val>
            <c:numRef>
              <c:f>'Sherbimi i Borxhit'!$D$5:$Q$5</c:f>
            </c:numRef>
          </c:val>
          <c:smooth val="0"/>
        </c:ser>
        <c:ser>
          <c:idx val="1"/>
          <c:order val="1"/>
          <c:tx>
            <c:strRef>
              <c:f>'Sherbimi i Borxhit'!$C$6</c:f>
              <c:strCache>
                <c:ptCount val="1"/>
                <c:pt idx="0">
                  <c:v>Pagesa Principali</c:v>
                </c:pt>
              </c:strCache>
            </c:strRef>
          </c:tx>
          <c:cat>
            <c:numRef>
              <c:f>'Sherbimi i Borxhit'!$D$4:$Q$4</c:f>
              <c:numCache>
                <c:formatCode>General</c:formatCode>
                <c:ptCount val="6"/>
                <c:pt idx="0">
                  <c:v>2010</c:v>
                </c:pt>
                <c:pt idx="1">
                  <c:v>2011</c:v>
                </c:pt>
                <c:pt idx="2">
                  <c:v>2012</c:v>
                </c:pt>
                <c:pt idx="3">
                  <c:v>2013</c:v>
                </c:pt>
                <c:pt idx="4">
                  <c:v>2014</c:v>
                </c:pt>
                <c:pt idx="5">
                  <c:v>2015</c:v>
                </c:pt>
              </c:numCache>
            </c:numRef>
          </c:cat>
          <c:val>
            <c:numRef>
              <c:f>'Sherbimi i Borxhit'!$D$6:$Q$6</c:f>
            </c:numRef>
          </c:val>
          <c:smooth val="0"/>
        </c:ser>
        <c:ser>
          <c:idx val="2"/>
          <c:order val="2"/>
          <c:tx>
            <c:strRef>
              <c:f>'Sherbimi i Borxhit'!$C$7</c:f>
              <c:strCache>
                <c:ptCount val="1"/>
                <c:pt idx="0">
                  <c:v>PBB</c:v>
                </c:pt>
              </c:strCache>
            </c:strRef>
          </c:tx>
          <c:cat>
            <c:numRef>
              <c:f>'Sherbimi i Borxhit'!$D$4:$Q$4</c:f>
              <c:numCache>
                <c:formatCode>General</c:formatCode>
                <c:ptCount val="6"/>
                <c:pt idx="0">
                  <c:v>2010</c:v>
                </c:pt>
                <c:pt idx="1">
                  <c:v>2011</c:v>
                </c:pt>
                <c:pt idx="2">
                  <c:v>2012</c:v>
                </c:pt>
                <c:pt idx="3">
                  <c:v>2013</c:v>
                </c:pt>
                <c:pt idx="4">
                  <c:v>2014</c:v>
                </c:pt>
                <c:pt idx="5">
                  <c:v>2015</c:v>
                </c:pt>
              </c:numCache>
            </c:numRef>
          </c:cat>
          <c:val>
            <c:numRef>
              <c:f>'Sherbimi i Borxhit'!$D$7:$Q$7</c:f>
            </c:numRef>
          </c:val>
          <c:smooth val="0"/>
        </c:ser>
        <c:ser>
          <c:idx val="3"/>
          <c:order val="3"/>
          <c:tx>
            <c:strRef>
              <c:f>'Sherbimi i Borxhit'!$C$8</c:f>
              <c:strCache>
                <c:ptCount val="1"/>
                <c:pt idx="0">
                  <c:v>Interesa/PBB</c:v>
                </c:pt>
              </c:strCache>
            </c:strRef>
          </c:tx>
          <c:spPr>
            <a:ln>
              <a:solidFill>
                <a:schemeClr val="accent2">
                  <a:lumMod val="75000"/>
                </a:schemeClr>
              </a:solidFill>
            </a:ln>
          </c:spPr>
          <c:marker>
            <c:symbol val="star"/>
            <c:size val="4"/>
            <c:spPr>
              <a:solidFill>
                <a:srgbClr val="C0504D">
                  <a:lumMod val="75000"/>
                </a:srgbClr>
              </a:solidFill>
              <a:ln>
                <a:solidFill>
                  <a:srgbClr val="C0504D">
                    <a:lumMod val="75000"/>
                  </a:srgbClr>
                </a:solidFill>
              </a:ln>
            </c:spPr>
          </c:marker>
          <c:dLbls>
            <c:dLbl>
              <c:idx val="0"/>
              <c:layout>
                <c:manualLayout>
                  <c:x val="-4.6960870296035469E-2"/>
                  <c:y val="-5.410423896746595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8325841943133945E-2"/>
                  <c:y val="-4.789467062289651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3787923257740113E-2"/>
                  <c:y val="-4.405517053377652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394421911728462E-2"/>
                  <c:y val="-5.090116065718149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429155195883677E-2"/>
                  <c:y val="-5.455246023674471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0909522411899761E-2"/>
                  <c:y val="-5.0712435912222027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6.7415730337079094E-2"/>
                  <c:y val="2.4369016536118365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4.9937578027465582E-2"/>
                  <c:y val="3.481288076588338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9950259026610445E-2"/>
                  <c:y val="3.13315926892953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3.4956304619226011E-2"/>
                  <c:y val="3.13315926892953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3.4722222222222224E-2"/>
                  <c:y val="-3.1286621942630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b="1">
                    <a:solidFill>
                      <a:schemeClr val="accent2">
                        <a:lumMod val="50000"/>
                      </a:schemeClr>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'Sherbimi i Borxhit'!$D$4:$Q$4</c:f>
              <c:numCache>
                <c:formatCode>General</c:formatCode>
                <c:ptCount val="6"/>
                <c:pt idx="0">
                  <c:v>2010</c:v>
                </c:pt>
                <c:pt idx="1">
                  <c:v>2011</c:v>
                </c:pt>
                <c:pt idx="2">
                  <c:v>2012</c:v>
                </c:pt>
                <c:pt idx="3">
                  <c:v>2013</c:v>
                </c:pt>
                <c:pt idx="4">
                  <c:v>2014</c:v>
                </c:pt>
                <c:pt idx="5">
                  <c:v>2015</c:v>
                </c:pt>
              </c:numCache>
            </c:numRef>
          </c:cat>
          <c:val>
            <c:numRef>
              <c:f>'Sherbimi i Borxhit'!$D$8:$Q$8</c:f>
              <c:numCache>
                <c:formatCode>0.00%</c:formatCode>
                <c:ptCount val="6"/>
                <c:pt idx="0">
                  <c:v>3.3561232398606131E-2</c:v>
                </c:pt>
                <c:pt idx="1">
                  <c:v>3.1616362231668645E-2</c:v>
                </c:pt>
                <c:pt idx="2">
                  <c:v>3.1135086170261971E-2</c:v>
                </c:pt>
                <c:pt idx="3">
                  <c:v>3.2086813814964595E-2</c:v>
                </c:pt>
                <c:pt idx="4">
                  <c:v>2.8515246521185648E-2</c:v>
                </c:pt>
                <c:pt idx="5">
                  <c:v>2.674665602020778E-2</c:v>
                </c:pt>
              </c:numCache>
            </c:numRef>
          </c:val>
          <c:smooth val="1"/>
        </c:ser>
        <c:ser>
          <c:idx val="4"/>
          <c:order val="4"/>
          <c:tx>
            <c:strRef>
              <c:f>'Sherbimi i Borxhit'!$C$9</c:f>
              <c:strCache>
                <c:ptCount val="1"/>
                <c:pt idx="0">
                  <c:v>Debt Service/GDP</c:v>
                </c:pt>
              </c:strCache>
            </c:strRef>
          </c:tx>
          <c:spPr>
            <a:ln>
              <a:solidFill>
                <a:schemeClr val="accent1">
                  <a:lumMod val="75000"/>
                </a:schemeClr>
              </a:solidFill>
            </a:ln>
          </c:spPr>
          <c:marker>
            <c:symbol val="triangle"/>
            <c:size val="5"/>
            <c:spPr>
              <a:solidFill>
                <a:schemeClr val="accent1">
                  <a:lumMod val="75000"/>
                </a:schemeClr>
              </a:solidFill>
              <a:ln>
                <a:solidFill>
                  <a:schemeClr val="accent1">
                    <a:lumMod val="75000"/>
                  </a:schemeClr>
                </a:solidFill>
              </a:ln>
            </c:spPr>
          </c:marker>
          <c:dLbls>
            <c:dLbl>
              <c:idx val="0"/>
              <c:showLegendKey val="0"/>
              <c:showVal val="1"/>
              <c:showCatName val="0"/>
              <c:showSerName val="0"/>
              <c:showPercent val="0"/>
              <c:showBubbleSize val="0"/>
              <c:extLst>
                <c:ext xmlns:c15="http://schemas.microsoft.com/office/drawing/2012/chart" uri="{CE6537A1-D6FC-4f65-9D91-7224C49458BB}"/>
              </c:extLst>
            </c:dLbl>
            <c:dLbl>
              <c:idx val="2"/>
              <c:layout>
                <c:manualLayout>
                  <c:x val="-3.4956304619226011E-2"/>
                  <c:y val="-3.1331592689295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2434456928839433E-2"/>
                  <c:y val="-3.1331592689295272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6.491885143570543E-2"/>
                  <c:y val="-2.7850304612706888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4.9937578027465582E-2"/>
                  <c:y val="-3.481288076588338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5.2434653533476934E-2"/>
                  <c:y val="-3.4812880765883382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6.7415730337079094E-2"/>
                  <c:y val="-3.4813154883054802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4.4163568095654707E-2"/>
                  <c:y val="-3.119705842004001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'Sherbimi i Borxhit'!$D$4:$Q$4</c:f>
              <c:numCache>
                <c:formatCode>General</c:formatCode>
                <c:ptCount val="6"/>
                <c:pt idx="0">
                  <c:v>2010</c:v>
                </c:pt>
                <c:pt idx="1">
                  <c:v>2011</c:v>
                </c:pt>
                <c:pt idx="2">
                  <c:v>2012</c:v>
                </c:pt>
                <c:pt idx="3">
                  <c:v>2013</c:v>
                </c:pt>
                <c:pt idx="4">
                  <c:v>2014</c:v>
                </c:pt>
                <c:pt idx="5">
                  <c:v>2015</c:v>
                </c:pt>
              </c:numCache>
            </c:numRef>
          </c:cat>
          <c:val>
            <c:numRef>
              <c:f>'Sherbimi i Borxhit'!$D$9:$Q$9</c:f>
            </c:numRef>
          </c:val>
          <c:smooth val="0"/>
        </c:ser>
        <c:dLbls>
          <c:showLegendKey val="0"/>
          <c:showVal val="0"/>
          <c:showCatName val="0"/>
          <c:showSerName val="0"/>
          <c:showPercent val="0"/>
          <c:showBubbleSize val="0"/>
        </c:dLbls>
        <c:marker val="1"/>
        <c:smooth val="0"/>
        <c:axId val="109788544"/>
        <c:axId val="109794432"/>
      </c:lineChart>
      <c:catAx>
        <c:axId val="109788544"/>
        <c:scaling>
          <c:orientation val="minMax"/>
        </c:scaling>
        <c:delete val="0"/>
        <c:axPos val="b"/>
        <c:numFmt formatCode="General" sourceLinked="1"/>
        <c:majorTickMark val="out"/>
        <c:minorTickMark val="none"/>
        <c:tickLblPos val="nextTo"/>
        <c:txPr>
          <a:bodyPr/>
          <a:lstStyle/>
          <a:p>
            <a:pPr>
              <a:defRPr sz="1000"/>
            </a:pPr>
            <a:endParaRPr lang="en-US"/>
          </a:p>
        </c:txPr>
        <c:crossAx val="109794432"/>
        <c:crosses val="autoZero"/>
        <c:auto val="1"/>
        <c:lblAlgn val="ctr"/>
        <c:lblOffset val="100"/>
        <c:noMultiLvlLbl val="0"/>
      </c:catAx>
      <c:valAx>
        <c:axId val="109794432"/>
        <c:scaling>
          <c:orientation val="minMax"/>
          <c:min val="2.0000000000000011E-2"/>
        </c:scaling>
        <c:delete val="0"/>
        <c:axPos val="l"/>
        <c:numFmt formatCode="0.0%" sourceLinked="0"/>
        <c:majorTickMark val="out"/>
        <c:minorTickMark val="none"/>
        <c:tickLblPos val="nextTo"/>
        <c:txPr>
          <a:bodyPr/>
          <a:lstStyle/>
          <a:p>
            <a:pPr>
              <a:defRPr sz="1000"/>
            </a:pPr>
            <a:endParaRPr lang="en-US"/>
          </a:p>
        </c:txPr>
        <c:crossAx val="109788544"/>
        <c:crosses val="autoZero"/>
        <c:crossBetween val="between"/>
      </c:valAx>
      <c:valAx>
        <c:axId val="109795968"/>
        <c:scaling>
          <c:orientation val="minMax"/>
        </c:scaling>
        <c:delete val="0"/>
        <c:axPos val="r"/>
        <c:title>
          <c:tx>
            <c:rich>
              <a:bodyPr rot="-5400000" vert="horz"/>
              <a:lstStyle/>
              <a:p>
                <a:pPr>
                  <a:defRPr sz="1000"/>
                </a:pPr>
                <a:r>
                  <a:rPr lang="en-US" sz="1000" b="0"/>
                  <a:t>Në mld Lek</a:t>
                </a:r>
              </a:p>
            </c:rich>
          </c:tx>
          <c:layout>
            <c:manualLayout>
              <c:xMode val="edge"/>
              <c:yMode val="edge"/>
              <c:x val="0.96352748241388531"/>
              <c:y val="0.22715539385805805"/>
            </c:manualLayout>
          </c:layout>
          <c:overlay val="0"/>
        </c:title>
        <c:numFmt formatCode="_(* #,##0_);_(* \(#,##0\);_(* &quot;-&quot;??_);_(@_)" sourceLinked="1"/>
        <c:majorTickMark val="out"/>
        <c:minorTickMark val="none"/>
        <c:tickLblPos val="nextTo"/>
        <c:txPr>
          <a:bodyPr/>
          <a:lstStyle/>
          <a:p>
            <a:pPr>
              <a:defRPr sz="1000"/>
            </a:pPr>
            <a:endParaRPr lang="en-US"/>
          </a:p>
        </c:txPr>
        <c:crossAx val="109806336"/>
        <c:crosses val="max"/>
        <c:crossBetween val="between"/>
      </c:valAx>
      <c:catAx>
        <c:axId val="109806336"/>
        <c:scaling>
          <c:orientation val="minMax"/>
        </c:scaling>
        <c:delete val="1"/>
        <c:axPos val="b"/>
        <c:numFmt formatCode="General" sourceLinked="1"/>
        <c:majorTickMark val="out"/>
        <c:minorTickMark val="none"/>
        <c:tickLblPos val="nextTo"/>
        <c:crossAx val="109795968"/>
        <c:crosses val="autoZero"/>
        <c:auto val="1"/>
        <c:lblAlgn val="ctr"/>
        <c:lblOffset val="100"/>
        <c:noMultiLvlLbl val="0"/>
      </c:catAx>
    </c:plotArea>
    <c:legend>
      <c:legendPos val="b"/>
      <c:layout>
        <c:manualLayout>
          <c:xMode val="edge"/>
          <c:yMode val="edge"/>
          <c:x val="0.25098723356097902"/>
          <c:y val="0.89363149606299264"/>
          <c:w val="0.45319882994423688"/>
          <c:h val="0.10347876043391578"/>
        </c:manualLayout>
      </c:layout>
      <c:overlay val="0"/>
      <c:txPr>
        <a:bodyPr/>
        <a:lstStyle/>
        <a:p>
          <a:pPr>
            <a:defRPr sz="1000"/>
          </a:pPr>
          <a:endParaRPr lang="en-US"/>
        </a:p>
      </c:txPr>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478856809565473E-2"/>
          <c:y val="6.7595249223983994E-2"/>
          <c:w val="0.90570501603966191"/>
          <c:h val="0.66304054458946093"/>
        </c:manualLayout>
      </c:layout>
      <c:lineChart>
        <c:grouping val="standard"/>
        <c:varyColors val="0"/>
        <c:ser>
          <c:idx val="0"/>
          <c:order val="0"/>
          <c:tx>
            <c:strRef>
              <c:f>'Sherbimi i Borxhit'!$C$70:$H$70</c:f>
              <c:strCache>
                <c:ptCount val="1"/>
                <c:pt idx="0">
                  <c:v>Kosto mesatare B.Brendshëm</c:v>
                </c:pt>
              </c:strCache>
            </c:strRef>
          </c:tx>
          <c:marker>
            <c:symbol val="diamond"/>
            <c:size val="5"/>
          </c:marker>
          <c:dLbls>
            <c:dLbl>
              <c:idx val="0"/>
              <c:layout>
                <c:manualLayout>
                  <c:x val="-5.1772018081073214E-2"/>
                  <c:y val="-4.648665492155950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7553587051618641E-2"/>
                  <c:y val="-4.965735447452632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737733304170319E-2"/>
                  <c:y val="-5.403420462853111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4145523476232096E-2"/>
                  <c:y val="-5.403372523640030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5274679206765851E-2"/>
                  <c:y val="-6.792219465717472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7553587051618641E-2"/>
                  <c:y val="-4.965735447452632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accent1">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'Sherbimi i Borxhit'!$I$69:$N$69</c:f>
              <c:numCache>
                <c:formatCode>General</c:formatCode>
                <c:ptCount val="6"/>
                <c:pt idx="0">
                  <c:v>2010</c:v>
                </c:pt>
                <c:pt idx="1">
                  <c:v>2011</c:v>
                </c:pt>
                <c:pt idx="2">
                  <c:v>2012</c:v>
                </c:pt>
                <c:pt idx="3">
                  <c:v>2013</c:v>
                </c:pt>
                <c:pt idx="4">
                  <c:v>2014</c:v>
                </c:pt>
                <c:pt idx="5">
                  <c:v>2015</c:v>
                </c:pt>
              </c:numCache>
            </c:numRef>
          </c:cat>
          <c:val>
            <c:numRef>
              <c:f>'Sherbimi i Borxhit'!$I$70:$N$70</c:f>
              <c:numCache>
                <c:formatCode>0.00%</c:formatCode>
                <c:ptCount val="6"/>
                <c:pt idx="0">
                  <c:v>8.4320000000000048E-2</c:v>
                </c:pt>
                <c:pt idx="1">
                  <c:v>8.0212092874444502E-2</c:v>
                </c:pt>
                <c:pt idx="2">
                  <c:v>7.8398894188340534E-2</c:v>
                </c:pt>
                <c:pt idx="3">
                  <c:v>6.7229999999999998E-2</c:v>
                </c:pt>
                <c:pt idx="4">
                  <c:v>5.3809999999999997E-2</c:v>
                </c:pt>
                <c:pt idx="5">
                  <c:v>5.3100000000000001E-2</c:v>
                </c:pt>
              </c:numCache>
            </c:numRef>
          </c:val>
          <c:smooth val="1"/>
        </c:ser>
        <c:ser>
          <c:idx val="1"/>
          <c:order val="1"/>
          <c:tx>
            <c:strRef>
              <c:f>'Sherbimi i Borxhit'!$C$71:$H$71</c:f>
              <c:strCache>
                <c:ptCount val="1"/>
                <c:pt idx="0">
                  <c:v>Kosto mesatare B.Jashtëm</c:v>
                </c:pt>
              </c:strCache>
            </c:strRef>
          </c:tx>
          <c:marker>
            <c:symbol val="triangle"/>
            <c:size val="5"/>
          </c:marker>
          <c:dLbls>
            <c:dLbl>
              <c:idx val="0"/>
              <c:layout>
                <c:manualLayout>
                  <c:x val="-4.7377326565143804E-2"/>
                  <c:y val="-5.55555555555554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5121263395375005E-2"/>
                  <c:y val="-6.018518518518514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1889452904681332E-2"/>
                  <c:y val="-5.092592592592592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4145516074449986E-2"/>
                  <c:y val="-4.629629629629652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7377326565143922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8657642413987555E-2"/>
                  <c:y val="-5.555555555555545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accent2">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'Sherbimi i Borxhit'!$I$69:$N$69</c:f>
              <c:numCache>
                <c:formatCode>General</c:formatCode>
                <c:ptCount val="6"/>
                <c:pt idx="0">
                  <c:v>2010</c:v>
                </c:pt>
                <c:pt idx="1">
                  <c:v>2011</c:v>
                </c:pt>
                <c:pt idx="2">
                  <c:v>2012</c:v>
                </c:pt>
                <c:pt idx="3">
                  <c:v>2013</c:v>
                </c:pt>
                <c:pt idx="4">
                  <c:v>2014</c:v>
                </c:pt>
                <c:pt idx="5">
                  <c:v>2015</c:v>
                </c:pt>
              </c:numCache>
            </c:numRef>
          </c:cat>
          <c:val>
            <c:numRef>
              <c:f>'Sherbimi i Borxhit'!$I$71:$N$71</c:f>
              <c:numCache>
                <c:formatCode>0.00%</c:formatCode>
                <c:ptCount val="6"/>
                <c:pt idx="0">
                  <c:v>2.2455989658876935E-2</c:v>
                </c:pt>
                <c:pt idx="1">
                  <c:v>2.3338636953626781E-2</c:v>
                </c:pt>
                <c:pt idx="2">
                  <c:v>2.3426010843182903E-2</c:v>
                </c:pt>
                <c:pt idx="3">
                  <c:v>2.2390996164502054E-2</c:v>
                </c:pt>
                <c:pt idx="4">
                  <c:v>2.1465324588629413E-2</c:v>
                </c:pt>
                <c:pt idx="5">
                  <c:v>2.4288842623056965E-2</c:v>
                </c:pt>
              </c:numCache>
            </c:numRef>
          </c:val>
          <c:smooth val="1"/>
        </c:ser>
        <c:dLbls>
          <c:showLegendKey val="0"/>
          <c:showVal val="0"/>
          <c:showCatName val="0"/>
          <c:showSerName val="0"/>
          <c:showPercent val="0"/>
          <c:showBubbleSize val="0"/>
        </c:dLbls>
        <c:marker val="1"/>
        <c:smooth val="0"/>
        <c:axId val="110811008"/>
        <c:axId val="110812544"/>
      </c:lineChart>
      <c:catAx>
        <c:axId val="110811008"/>
        <c:scaling>
          <c:orientation val="minMax"/>
        </c:scaling>
        <c:delete val="0"/>
        <c:axPos val="b"/>
        <c:numFmt formatCode="General" sourceLinked="1"/>
        <c:majorTickMark val="out"/>
        <c:minorTickMark val="none"/>
        <c:tickLblPos val="nextTo"/>
        <c:crossAx val="110812544"/>
        <c:crosses val="autoZero"/>
        <c:auto val="1"/>
        <c:lblAlgn val="ctr"/>
        <c:lblOffset val="100"/>
        <c:noMultiLvlLbl val="0"/>
      </c:catAx>
      <c:valAx>
        <c:axId val="110812544"/>
        <c:scaling>
          <c:orientation val="minMax"/>
        </c:scaling>
        <c:delete val="0"/>
        <c:axPos val="l"/>
        <c:numFmt formatCode="0.0%" sourceLinked="0"/>
        <c:majorTickMark val="out"/>
        <c:minorTickMark val="none"/>
        <c:tickLblPos val="nextTo"/>
        <c:crossAx val="110811008"/>
        <c:crosses val="autoZero"/>
        <c:crossBetween val="between"/>
      </c:valAx>
      <c:spPr>
        <a:noFill/>
        <a:ln>
          <a:noFill/>
        </a:ln>
      </c:spPr>
    </c:plotArea>
    <c:legend>
      <c:legendPos val="b"/>
      <c:layout>
        <c:manualLayout>
          <c:xMode val="edge"/>
          <c:yMode val="edge"/>
          <c:x val="0.11966189122193065"/>
          <c:y val="0.89208164047987182"/>
          <c:w val="0.76530566491688745"/>
          <c:h val="0.10528624969913702"/>
        </c:manualLayout>
      </c:layout>
      <c:overlay val="0"/>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0"/>
      <c:perspective val="30"/>
    </c:view3D>
    <c:floor>
      <c:thickness val="0"/>
    </c:floor>
    <c:sideWall>
      <c:thickness val="0"/>
      <c:spPr>
        <a:noFill/>
        <a:ln>
          <a:noFill/>
        </a:ln>
      </c:spPr>
    </c:sideWall>
    <c:backWall>
      <c:thickness val="0"/>
      <c:spPr>
        <a:noFill/>
        <a:ln>
          <a:noFill/>
        </a:ln>
      </c:spPr>
    </c:backWall>
    <c:plotArea>
      <c:layout>
        <c:manualLayout>
          <c:layoutTarget val="inner"/>
          <c:xMode val="edge"/>
          <c:yMode val="edge"/>
          <c:x val="7.9047955943942941E-2"/>
          <c:y val="6.728799809114773E-2"/>
          <c:w val="0.87905896122385696"/>
          <c:h val="0.66262848962061616"/>
        </c:manualLayout>
      </c:layout>
      <c:bar3DChart>
        <c:barDir val="col"/>
        <c:grouping val="clustered"/>
        <c:varyColors val="0"/>
        <c:ser>
          <c:idx val="0"/>
          <c:order val="0"/>
          <c:tx>
            <c:strRef>
              <c:f>'Aktoret e Kerkeses'!$C$2:$C$3</c:f>
              <c:strCache>
                <c:ptCount val="1"/>
                <c:pt idx="0">
                  <c:v>2014 Në vlerë</c:v>
                </c:pt>
              </c:strCache>
            </c:strRef>
          </c:tx>
          <c:invertIfNegative val="0"/>
          <c:cat>
            <c:strRef>
              <c:f>'Aktoret e Kerkeses'!$B$4:$B$12</c:f>
              <c:strCache>
                <c:ptCount val="5"/>
                <c:pt idx="0">
                  <c:v>Banka e Shqipërisë</c:v>
                </c:pt>
                <c:pt idx="1">
                  <c:v>Sistemi Bankar</c:v>
                </c:pt>
                <c:pt idx="2">
                  <c:v>Inst. Financiare</c:v>
                </c:pt>
                <c:pt idx="3">
                  <c:v>Inst. Jo Financiare</c:v>
                </c:pt>
                <c:pt idx="4">
                  <c:v>Individë</c:v>
                </c:pt>
              </c:strCache>
            </c:strRef>
          </c:cat>
          <c:val>
            <c:numRef>
              <c:f>'Aktoret e Kerkeses'!$C$4:$C$12</c:f>
            </c:numRef>
          </c:val>
        </c:ser>
        <c:ser>
          <c:idx val="1"/>
          <c:order val="1"/>
          <c:tx>
            <c:strRef>
              <c:f>'Aktoret e Kerkeses'!$C$2:$D$2</c:f>
              <c:strCache>
                <c:ptCount val="1"/>
                <c:pt idx="0">
                  <c:v>2014</c:v>
                </c:pt>
              </c:strCache>
            </c:strRef>
          </c:tx>
          <c:spPr>
            <a:solidFill>
              <a:schemeClr val="accent1"/>
            </a:solidFill>
          </c:spPr>
          <c:invertIfNegative val="0"/>
          <c:dLbls>
            <c:dLbl>
              <c:idx val="2"/>
              <c:layout>
                <c:manualLayout>
                  <c:x val="-1.6666666666666701E-2"/>
                  <c:y val="1.851851851851858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388888888888889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8.3333333333334546E-3"/>
                  <c:y val="4.629629629629659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b="1">
                    <a:solidFill>
                      <a:schemeClr val="tx2"/>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'Aktoret e Kerkeses'!$B$4:$B$12</c:f>
              <c:strCache>
                <c:ptCount val="5"/>
                <c:pt idx="0">
                  <c:v>Banka e Shqipërisë</c:v>
                </c:pt>
                <c:pt idx="1">
                  <c:v>Sistemi Bankar</c:v>
                </c:pt>
                <c:pt idx="2">
                  <c:v>Inst. Financiare</c:v>
                </c:pt>
                <c:pt idx="3">
                  <c:v>Inst. Jo Financiare</c:v>
                </c:pt>
                <c:pt idx="4">
                  <c:v>Individë</c:v>
                </c:pt>
              </c:strCache>
            </c:strRef>
          </c:cat>
          <c:val>
            <c:numRef>
              <c:f>'Aktoret e Kerkeses'!$D$4:$D$12</c:f>
              <c:numCache>
                <c:formatCode>0.0%</c:formatCode>
                <c:ptCount val="5"/>
                <c:pt idx="0">
                  <c:v>0.20858025268757491</c:v>
                </c:pt>
                <c:pt idx="1">
                  <c:v>0.52242488084852512</c:v>
                </c:pt>
                <c:pt idx="2">
                  <c:v>0.13368211748557488</c:v>
                </c:pt>
                <c:pt idx="3">
                  <c:v>2.2838781416297652E-3</c:v>
                </c:pt>
                <c:pt idx="4">
                  <c:v>0.13302887083669526</c:v>
                </c:pt>
              </c:numCache>
            </c:numRef>
          </c:val>
        </c:ser>
        <c:ser>
          <c:idx val="2"/>
          <c:order val="2"/>
          <c:tx>
            <c:strRef>
              <c:f>'Aktoret e Kerkeses'!$E$2:$E$3</c:f>
              <c:strCache>
                <c:ptCount val="1"/>
                <c:pt idx="0">
                  <c:v>2015 Në vlerë</c:v>
                </c:pt>
              </c:strCache>
            </c:strRef>
          </c:tx>
          <c:invertIfNegative val="0"/>
          <c:cat>
            <c:strRef>
              <c:f>'Aktoret e Kerkeses'!$B$4:$B$12</c:f>
              <c:strCache>
                <c:ptCount val="5"/>
                <c:pt idx="0">
                  <c:v>Banka e Shqipërisë</c:v>
                </c:pt>
                <c:pt idx="1">
                  <c:v>Sistemi Bankar</c:v>
                </c:pt>
                <c:pt idx="2">
                  <c:v>Inst. Financiare</c:v>
                </c:pt>
                <c:pt idx="3">
                  <c:v>Inst. Jo Financiare</c:v>
                </c:pt>
                <c:pt idx="4">
                  <c:v>Individë</c:v>
                </c:pt>
              </c:strCache>
            </c:strRef>
          </c:cat>
          <c:val>
            <c:numRef>
              <c:f>'Aktoret e Kerkeses'!$E$4:$E$12</c:f>
            </c:numRef>
          </c:val>
        </c:ser>
        <c:ser>
          <c:idx val="3"/>
          <c:order val="3"/>
          <c:tx>
            <c:strRef>
              <c:f>'Aktoret e Kerkeses'!$E$2:$F$2</c:f>
              <c:strCache>
                <c:ptCount val="1"/>
                <c:pt idx="0">
                  <c:v>2015</c:v>
                </c:pt>
              </c:strCache>
            </c:strRef>
          </c:tx>
          <c:spPr>
            <a:solidFill>
              <a:schemeClr val="accent2"/>
            </a:solidFill>
          </c:spPr>
          <c:invertIfNegative val="0"/>
          <c:dLbls>
            <c:dLbl>
              <c:idx val="0"/>
              <c:layout>
                <c:manualLayout>
                  <c:x val="2.7777777777778078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5000000000000001E-2"/>
                  <c:y val="-1.0609445340016958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899E-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3333333333333367E-3"/>
                  <c:y val="-8.4875562720135798E-17"/>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3888888888888879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b="1">
                    <a:solidFill>
                      <a:schemeClr val="accent2">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'Aktoret e Kerkeses'!$B$4:$B$12</c:f>
              <c:strCache>
                <c:ptCount val="5"/>
                <c:pt idx="0">
                  <c:v>Banka e Shqipërisë</c:v>
                </c:pt>
                <c:pt idx="1">
                  <c:v>Sistemi Bankar</c:v>
                </c:pt>
                <c:pt idx="2">
                  <c:v>Inst. Financiare</c:v>
                </c:pt>
                <c:pt idx="3">
                  <c:v>Inst. Jo Financiare</c:v>
                </c:pt>
                <c:pt idx="4">
                  <c:v>Individë</c:v>
                </c:pt>
              </c:strCache>
            </c:strRef>
          </c:cat>
          <c:val>
            <c:numRef>
              <c:f>'Aktoret e Kerkeses'!$F$4:$F$12</c:f>
              <c:numCache>
                <c:formatCode>0.0%</c:formatCode>
                <c:ptCount val="5"/>
                <c:pt idx="0">
                  <c:v>0.20107773632297721</c:v>
                </c:pt>
                <c:pt idx="1">
                  <c:v>0.50280698464538276</c:v>
                </c:pt>
                <c:pt idx="2">
                  <c:v>0.13470399608853589</c:v>
                </c:pt>
                <c:pt idx="3">
                  <c:v>6.8585818226443804E-3</c:v>
                </c:pt>
                <c:pt idx="4">
                  <c:v>0.15455270112045971</c:v>
                </c:pt>
              </c:numCache>
            </c:numRef>
          </c:val>
        </c:ser>
        <c:dLbls>
          <c:showLegendKey val="0"/>
          <c:showVal val="0"/>
          <c:showCatName val="0"/>
          <c:showSerName val="0"/>
          <c:showPercent val="0"/>
          <c:showBubbleSize val="0"/>
        </c:dLbls>
        <c:gapWidth val="150"/>
        <c:shape val="box"/>
        <c:axId val="116730496"/>
        <c:axId val="116740480"/>
        <c:axId val="0"/>
      </c:bar3DChart>
      <c:catAx>
        <c:axId val="116730496"/>
        <c:scaling>
          <c:orientation val="minMax"/>
        </c:scaling>
        <c:delete val="0"/>
        <c:axPos val="b"/>
        <c:numFmt formatCode="General" sourceLinked="0"/>
        <c:majorTickMark val="out"/>
        <c:minorTickMark val="none"/>
        <c:tickLblPos val="nextTo"/>
        <c:crossAx val="116740480"/>
        <c:crosses val="autoZero"/>
        <c:auto val="1"/>
        <c:lblAlgn val="ctr"/>
        <c:lblOffset val="100"/>
        <c:noMultiLvlLbl val="0"/>
      </c:catAx>
      <c:valAx>
        <c:axId val="116740480"/>
        <c:scaling>
          <c:orientation val="minMax"/>
        </c:scaling>
        <c:delete val="0"/>
        <c:axPos val="l"/>
        <c:numFmt formatCode="0.0%" sourceLinked="1"/>
        <c:majorTickMark val="out"/>
        <c:minorTickMark val="none"/>
        <c:tickLblPos val="nextTo"/>
        <c:crossAx val="116730496"/>
        <c:crosses val="autoZero"/>
        <c:crossBetween val="between"/>
      </c:valAx>
    </c:plotArea>
    <c:legend>
      <c:legendPos val="b"/>
      <c:overlay val="0"/>
    </c:legend>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mj-lt"/>
              </a:defRPr>
            </a:pPr>
            <a:r>
              <a:rPr lang="en-US" sz="1300">
                <a:latin typeface="+mj-lt"/>
              </a:rPr>
              <a:t>2014</a:t>
            </a:r>
          </a:p>
        </c:rich>
      </c:tx>
      <c:layout>
        <c:manualLayout>
          <c:xMode val="edge"/>
          <c:yMode val="edge"/>
          <c:x val="0.40556888332883689"/>
          <c:y val="1.2550943694852224E-3"/>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7335295704859319"/>
          <c:y val="0.30685342724119286"/>
          <c:w val="0.6991157880965817"/>
          <c:h val="0.5598531169519303"/>
        </c:manualLayout>
      </c:layout>
      <c:pie3DChart>
        <c:varyColors val="1"/>
        <c:ser>
          <c:idx val="0"/>
          <c:order val="0"/>
          <c:explosion val="25"/>
          <c:dLbls>
            <c:dLbl>
              <c:idx val="0"/>
              <c:layout>
                <c:manualLayout>
                  <c:x val="1.6109271387805581E-2"/>
                  <c:y val="-2.9231931374431856E-2"/>
                </c:manualLayout>
              </c:layout>
              <c:tx>
                <c:rich>
                  <a:bodyPr/>
                  <a:lstStyle/>
                  <a:p>
                    <a:r>
                      <a:rPr lang="en-US" sz="800">
                        <a:latin typeface="+mj-lt"/>
                      </a:rPr>
                      <a:t>BSH
</a:t>
                    </a:r>
                    <a:r>
                      <a:rPr lang="en-US" sz="800" b="1">
                        <a:latin typeface="+mj-lt"/>
                      </a:rPr>
                      <a:t>11.3%</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0.19024178052509808"/>
                  <c:y val="-0.25055672061092865"/>
                </c:manualLayout>
              </c:layout>
              <c:tx>
                <c:rich>
                  <a:bodyPr/>
                  <a:lstStyle/>
                  <a:p>
                    <a:r>
                      <a:rPr lang="en-US"/>
                      <a:t>Sistemi Bankar
</a:t>
                    </a:r>
                    <a:r>
                      <a:rPr lang="en-US" b="1"/>
                      <a:t>61.5%</a:t>
                    </a:r>
                  </a:p>
                </c:rich>
              </c:tx>
              <c:showLegendKey val="0"/>
              <c:showVal val="0"/>
              <c:showCatName val="1"/>
              <c:showSerName val="0"/>
              <c:showPercent val="1"/>
              <c:showBubbleSize val="0"/>
              <c:extLst>
                <c:ext xmlns:c15="http://schemas.microsoft.com/office/drawing/2012/chart" uri="{CE6537A1-D6FC-4f65-9D91-7224C49458BB}"/>
              </c:extLst>
            </c:dLbl>
            <c:dLbl>
              <c:idx val="2"/>
              <c:layout>
                <c:manualLayout>
                  <c:x val="-2.1762373161298771E-2"/>
                  <c:y val="7.2997119262531523E-2"/>
                </c:manualLayout>
              </c:layout>
              <c:tx>
                <c:rich>
                  <a:bodyPr/>
                  <a:lstStyle/>
                  <a:p>
                    <a:r>
                      <a:rPr lang="en-US"/>
                      <a:t>Inst. Financiare
</a:t>
                    </a:r>
                    <a:r>
                      <a:rPr lang="en-US" b="1"/>
                      <a:t>15.1%</a:t>
                    </a:r>
                  </a:p>
                </c:rich>
              </c:tx>
              <c:showLegendKey val="0"/>
              <c:showVal val="0"/>
              <c:showCatName val="1"/>
              <c:showSerName val="0"/>
              <c:showPercent val="1"/>
              <c:showBubbleSize val="0"/>
              <c:extLst>
                <c:ext xmlns:c15="http://schemas.microsoft.com/office/drawing/2012/chart" uri="{CE6537A1-D6FC-4f65-9D91-7224C49458BB}"/>
              </c:extLst>
            </c:dLbl>
            <c:dLbl>
              <c:idx val="3"/>
              <c:layout>
                <c:manualLayout>
                  <c:x val="-4.7014169957727565E-2"/>
                  <c:y val="-6.9883874271813584E-2"/>
                </c:manualLayout>
              </c:layout>
              <c:tx>
                <c:rich>
                  <a:bodyPr/>
                  <a:lstStyle/>
                  <a:p>
                    <a:r>
                      <a:rPr lang="en-US"/>
                      <a:t>Inst. Jo Financiare
</a:t>
                    </a:r>
                    <a:r>
                      <a:rPr lang="en-US" b="1"/>
                      <a:t>0.2%</a:t>
                    </a:r>
                  </a:p>
                </c:rich>
              </c:tx>
              <c:showLegendKey val="0"/>
              <c:showVal val="0"/>
              <c:showCatName val="1"/>
              <c:showSerName val="0"/>
              <c:showPercent val="1"/>
              <c:showBubbleSize val="0"/>
              <c:extLst>
                <c:ext xmlns:c15="http://schemas.microsoft.com/office/drawing/2012/chart" uri="{CE6537A1-D6FC-4f65-9D91-7224C49458BB}"/>
              </c:extLst>
            </c:dLbl>
            <c:dLbl>
              <c:idx val="4"/>
              <c:layout>
                <c:manualLayout>
                  <c:x val="3.8649278215223425E-2"/>
                  <c:y val="-4.8375984251968512E-2"/>
                </c:manualLayout>
              </c:layout>
              <c:tx>
                <c:rich>
                  <a:bodyPr/>
                  <a:lstStyle/>
                  <a:p>
                    <a:r>
                      <a:rPr lang="en-US"/>
                      <a:t>Individë
</a:t>
                    </a:r>
                    <a:r>
                      <a:rPr lang="en-US" b="1"/>
                      <a:t>11.9%</a:t>
                    </a:r>
                  </a:p>
                </c:rich>
              </c:tx>
              <c:showLegendKey val="0"/>
              <c:showVal val="0"/>
              <c:showCatName val="1"/>
              <c:showSerName val="0"/>
              <c:showPercent val="1"/>
              <c:showBubbleSize val="0"/>
              <c:extLst>
                <c:ext xmlns:c15="http://schemas.microsoft.com/office/drawing/2012/chart" uri="{CE6537A1-D6FC-4f65-9D91-7224C49458BB}"/>
              </c:extLst>
            </c:dLbl>
            <c:numFmt formatCode="0.0%" sourceLinked="0"/>
            <c:spPr>
              <a:noFill/>
              <a:ln>
                <a:noFill/>
              </a:ln>
              <a:effectLst/>
            </c:spPr>
            <c:txPr>
              <a:bodyPr/>
              <a:lstStyle/>
              <a:p>
                <a:pPr>
                  <a:defRPr sz="800">
                    <a:latin typeface="+mj-lt"/>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'Mbajt Borxh'!$A$35:$A$39</c:f>
              <c:strCache>
                <c:ptCount val="5"/>
                <c:pt idx="0">
                  <c:v>Banka e Shqipërisë</c:v>
                </c:pt>
                <c:pt idx="1">
                  <c:v>Sistemi Bankar</c:v>
                </c:pt>
                <c:pt idx="2">
                  <c:v>Inst. Financiare</c:v>
                </c:pt>
                <c:pt idx="3">
                  <c:v>Inst. Jo Financiare</c:v>
                </c:pt>
                <c:pt idx="4">
                  <c:v>Individë</c:v>
                </c:pt>
              </c:strCache>
            </c:strRef>
          </c:cat>
          <c:val>
            <c:numRef>
              <c:f>'Mbajt Borxh'!$B$35:$B$39</c:f>
              <c:numCache>
                <c:formatCode>0.0%</c:formatCode>
                <c:ptCount val="5"/>
                <c:pt idx="0">
                  <c:v>0.11260000000000002</c:v>
                </c:pt>
                <c:pt idx="1">
                  <c:v>0.61530000000000062</c:v>
                </c:pt>
                <c:pt idx="2">
                  <c:v>0.15113000000000001</c:v>
                </c:pt>
                <c:pt idx="3">
                  <c:v>1.7200000000000069E-3</c:v>
                </c:pt>
                <c:pt idx="4">
                  <c:v>0.11920000000000019</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sq-AL" sz="1400">
                <a:latin typeface="+mj-lt"/>
              </a:defRPr>
            </a:pPr>
            <a:r>
              <a:rPr lang="en-US" sz="1300">
                <a:latin typeface="+mj-lt"/>
              </a:rPr>
              <a:t>2015</a:t>
            </a:r>
          </a:p>
        </c:rich>
      </c:tx>
      <c:layout>
        <c:manualLayout>
          <c:xMode val="edge"/>
          <c:yMode val="edge"/>
          <c:x val="0.42583644621214189"/>
          <c:y val="3.9989649181176333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7940358137826645"/>
          <c:y val="0.35050484886572281"/>
          <c:w val="0.71628962761907478"/>
          <c:h val="0.57075104144092081"/>
        </c:manualLayout>
      </c:layout>
      <c:pie3DChart>
        <c:varyColors val="1"/>
        <c:ser>
          <c:idx val="0"/>
          <c:order val="0"/>
          <c:explosion val="25"/>
          <c:dLbls>
            <c:dLbl>
              <c:idx val="0"/>
              <c:layout>
                <c:manualLayout>
                  <c:x val="1.6697982845602245E-2"/>
                  <c:y val="-2.6710444978161513E-2"/>
                </c:manualLayout>
              </c:layout>
              <c:tx>
                <c:rich>
                  <a:bodyPr/>
                  <a:lstStyle/>
                  <a:p>
                    <a:r>
                      <a:rPr lang="en-US" sz="800">
                        <a:latin typeface="+mj-lt"/>
                      </a:rPr>
                      <a:t>BSH
</a:t>
                    </a:r>
                    <a:r>
                      <a:rPr lang="en-US" sz="800" b="1">
                        <a:latin typeface="+mj-lt"/>
                      </a:rPr>
                      <a:t>9.9%</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0.19339442637929644"/>
                  <c:y val="-0.23760255320197637"/>
                </c:manualLayout>
              </c:layout>
              <c:tx>
                <c:rich>
                  <a:bodyPr/>
                  <a:lstStyle/>
                  <a:p>
                    <a:r>
                      <a:rPr lang="en-US">
                        <a:latin typeface="+mj-lt"/>
                      </a:rPr>
                      <a:t>Sistemi Bankar
</a:t>
                    </a:r>
                    <a:r>
                      <a:rPr lang="en-US" b="1">
                        <a:latin typeface="+mj-lt"/>
                      </a:rPr>
                      <a:t>58.2%</a:t>
                    </a:r>
                  </a:p>
                </c:rich>
              </c:tx>
              <c:showLegendKey val="0"/>
              <c:showVal val="0"/>
              <c:showCatName val="1"/>
              <c:showSerName val="0"/>
              <c:showPercent val="1"/>
              <c:showBubbleSize val="0"/>
              <c:extLst>
                <c:ext xmlns:c15="http://schemas.microsoft.com/office/drawing/2012/chart" uri="{CE6537A1-D6FC-4f65-9D91-7224C49458BB}"/>
              </c:extLst>
            </c:dLbl>
            <c:dLbl>
              <c:idx val="2"/>
              <c:layout>
                <c:manualLayout>
                  <c:x val="0"/>
                  <c:y val="8.9608517245203523E-2"/>
                </c:manualLayout>
              </c:layout>
              <c:tx>
                <c:rich>
                  <a:bodyPr/>
                  <a:lstStyle/>
                  <a:p>
                    <a:r>
                      <a:rPr lang="en-US" sz="800">
                        <a:latin typeface="+mj-lt"/>
                      </a:rPr>
                      <a:t>Inst.                                                         Financiare
</a:t>
                    </a:r>
                    <a:r>
                      <a:rPr lang="en-US" sz="800" b="1">
                        <a:latin typeface="+mj-lt"/>
                      </a:rPr>
                      <a:t>17.0%</a:t>
                    </a:r>
                  </a:p>
                </c:rich>
              </c:tx>
              <c:showLegendKey val="0"/>
              <c:showVal val="0"/>
              <c:showCatName val="1"/>
              <c:showSerName val="0"/>
              <c:showPercent val="1"/>
              <c:showBubbleSize val="0"/>
              <c:extLst>
                <c:ext xmlns:c15="http://schemas.microsoft.com/office/drawing/2012/chart" uri="{CE6537A1-D6FC-4f65-9D91-7224C49458BB}"/>
              </c:extLst>
            </c:dLbl>
            <c:dLbl>
              <c:idx val="3"/>
              <c:layout>
                <c:manualLayout>
                  <c:x val="-6.8789336486522801E-2"/>
                  <c:y val="-6.0115947045080914E-2"/>
                </c:manualLayout>
              </c:layout>
              <c:tx>
                <c:rich>
                  <a:bodyPr/>
                  <a:lstStyle/>
                  <a:p>
                    <a:r>
                      <a:rPr lang="en-US" sz="800">
                        <a:latin typeface="+mj-lt"/>
                      </a:rPr>
                      <a:t>Inst. </a:t>
                    </a:r>
                    <a:r>
                      <a:rPr lang="en-US" sz="800" baseline="0">
                        <a:latin typeface="+mj-lt"/>
                      </a:rPr>
                      <a:t>J</a:t>
                    </a:r>
                    <a:r>
                      <a:rPr lang="en-US" sz="800">
                        <a:latin typeface="+mj-lt"/>
                      </a:rPr>
                      <a:t>o        </a:t>
                    </a:r>
                  </a:p>
                  <a:p>
                    <a:r>
                      <a:rPr lang="en-US" sz="800">
                        <a:latin typeface="+mj-lt"/>
                      </a:rPr>
                      <a:t>Financiare
</a:t>
                    </a:r>
                    <a:r>
                      <a:rPr lang="en-US" sz="800" b="1">
                        <a:latin typeface="+mj-lt"/>
                      </a:rPr>
                      <a:t>0.1%</a:t>
                    </a:r>
                  </a:p>
                </c:rich>
              </c:tx>
              <c:showLegendKey val="0"/>
              <c:showVal val="0"/>
              <c:showCatName val="1"/>
              <c:showSerName val="0"/>
              <c:showPercent val="1"/>
              <c:showBubbleSize val="0"/>
              <c:extLst>
                <c:ext xmlns:c15="http://schemas.microsoft.com/office/drawing/2012/chart" uri="{CE6537A1-D6FC-4f65-9D91-7224C49458BB}"/>
              </c:extLst>
            </c:dLbl>
            <c:dLbl>
              <c:idx val="4"/>
              <c:layout>
                <c:manualLayout>
                  <c:x val="7.9604776365411703E-2"/>
                  <c:y val="-4.8375876092411507E-2"/>
                </c:manualLayout>
              </c:layout>
              <c:tx>
                <c:rich>
                  <a:bodyPr/>
                  <a:lstStyle/>
                  <a:p>
                    <a:r>
                      <a:rPr lang="en-US">
                        <a:latin typeface="+mj-lt"/>
                      </a:rPr>
                      <a:t>Individë
</a:t>
                    </a:r>
                    <a:r>
                      <a:rPr lang="en-US" b="1">
                        <a:latin typeface="+mj-lt"/>
                      </a:rPr>
                      <a:t>14.8%</a:t>
                    </a:r>
                  </a:p>
                </c:rich>
              </c:tx>
              <c:showLegendKey val="0"/>
              <c:showVal val="0"/>
              <c:showCatName val="1"/>
              <c:showSerName val="0"/>
              <c:showPercent val="1"/>
              <c:showBubbleSize val="0"/>
              <c:extLst>
                <c:ext xmlns:c15="http://schemas.microsoft.com/office/drawing/2012/chart" uri="{CE6537A1-D6FC-4f65-9D91-7224C49458BB}"/>
              </c:extLst>
            </c:dLbl>
            <c:numFmt formatCode="0.0%" sourceLinked="0"/>
            <c:spPr>
              <a:noFill/>
              <a:ln>
                <a:noFill/>
              </a:ln>
              <a:effectLst/>
            </c:spPr>
            <c:txPr>
              <a:bodyPr/>
              <a:lstStyle/>
              <a:p>
                <a:pPr>
                  <a:defRPr lang="sq-AL" sz="800">
                    <a:latin typeface="+mj-lt"/>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'Mbajt Borxh'!$A$35:$A$39</c:f>
              <c:strCache>
                <c:ptCount val="5"/>
                <c:pt idx="0">
                  <c:v>Banka e Shqipërisë</c:v>
                </c:pt>
                <c:pt idx="1">
                  <c:v>Sistemi Bankar</c:v>
                </c:pt>
                <c:pt idx="2">
                  <c:v>Inst. Financiare</c:v>
                </c:pt>
                <c:pt idx="3">
                  <c:v>Inst. Jo Financiare</c:v>
                </c:pt>
                <c:pt idx="4">
                  <c:v>Individë</c:v>
                </c:pt>
              </c:strCache>
            </c:strRef>
          </c:cat>
          <c:val>
            <c:numRef>
              <c:f>'Mbajt Borxh'!$C$35:$C$39</c:f>
              <c:numCache>
                <c:formatCode>0.00%</c:formatCode>
                <c:ptCount val="5"/>
                <c:pt idx="0">
                  <c:v>9.9100000000000063E-2</c:v>
                </c:pt>
                <c:pt idx="1">
                  <c:v>0.58199999999999996</c:v>
                </c:pt>
                <c:pt idx="2">
                  <c:v>0.16981499999999999</c:v>
                </c:pt>
                <c:pt idx="3">
                  <c:v>8.2000000000000042E-4</c:v>
                </c:pt>
                <c:pt idx="4">
                  <c:v>0.14830000000000004</c:v>
                </c:pt>
              </c:numCache>
            </c:numRef>
          </c:val>
        </c:ser>
        <c:dLbls>
          <c:showLegendKey val="0"/>
          <c:showVal val="0"/>
          <c:showCatName val="1"/>
          <c:showSerName val="0"/>
          <c:showPercent val="1"/>
          <c:showBubbleSize val="0"/>
          <c:showLeaderLines val="1"/>
        </c:dLbls>
      </c:pie3DChart>
    </c:plotArea>
    <c:plotVisOnly val="1"/>
    <c:dispBlanksAs val="zero"/>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845770948080571E-2"/>
          <c:y val="1.2794247114095058E-2"/>
          <c:w val="0.90959806151109246"/>
          <c:h val="0.76052458442694681"/>
        </c:manualLayout>
      </c:layout>
      <c:lineChart>
        <c:grouping val="standard"/>
        <c:varyColors val="0"/>
        <c:ser>
          <c:idx val="0"/>
          <c:order val="0"/>
          <c:tx>
            <c:strRef>
              <c:f>'Kurba e Yieldit'!$B$4</c:f>
              <c:strCache>
                <c:ptCount val="1"/>
                <c:pt idx="0">
                  <c:v>2013</c:v>
                </c:pt>
              </c:strCache>
            </c:strRef>
          </c:tx>
          <c:dLbls>
            <c:dLbl>
              <c:idx val="0"/>
              <c:layout>
                <c:manualLayout>
                  <c:x val="-4.4376828485671801E-2"/>
                  <c:y val="-3.38413751006174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1680334159564038E-2"/>
                  <c:y val="-4.654909893275435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7444365021560083E-2"/>
                  <c:y val="-4.98850915224141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2555503155151266E-2"/>
                  <c:y val="-5.673470789232712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0666632987957281E-2"/>
                  <c:y val="-4.415324523677371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5569257486821548E-2"/>
                  <c:y val="-3.328310333956675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1888895094976492E-2"/>
                  <c:y val="-5.26842748781787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7100271002710216E-2"/>
                  <c:y val="-3.694374475230929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9.2509203122773023E-4"/>
                  <c:y val="-1.325196850393701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lang="sq-AL" sz="800" b="1">
                    <a:solidFill>
                      <a:schemeClr val="tx2">
                        <a:lumMod val="7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'Kurba e Yieldit'!$A$5:$A$13</c:f>
              <c:strCache>
                <c:ptCount val="9"/>
                <c:pt idx="0">
                  <c:v>Bono Th. 3m </c:v>
                </c:pt>
                <c:pt idx="1">
                  <c:v>Bono Th. 6m </c:v>
                </c:pt>
                <c:pt idx="2">
                  <c:v>Bono Th. 9m </c:v>
                </c:pt>
                <c:pt idx="3">
                  <c:v>Bono Th. 12m </c:v>
                </c:pt>
                <c:pt idx="4">
                  <c:v>Obligacion. 2vj</c:v>
                </c:pt>
                <c:pt idx="5">
                  <c:v>Obligacion. 3vj</c:v>
                </c:pt>
                <c:pt idx="6">
                  <c:v>Obligacion. 5vj Fiks</c:v>
                </c:pt>
                <c:pt idx="7">
                  <c:v>Obligacion. 7vj Fiks</c:v>
                </c:pt>
                <c:pt idx="8">
                  <c:v>Obligacion. 10vj Fiks</c:v>
                </c:pt>
              </c:strCache>
            </c:strRef>
          </c:cat>
          <c:val>
            <c:numRef>
              <c:f>'Kurba e Yieldit'!$B$5:$B$13</c:f>
              <c:numCache>
                <c:formatCode>0.00%</c:formatCode>
                <c:ptCount val="9"/>
                <c:pt idx="0">
                  <c:v>4.2500000000000003E-2</c:v>
                </c:pt>
                <c:pt idx="1">
                  <c:v>5.1900000000000002E-2</c:v>
                </c:pt>
                <c:pt idx="2">
                  <c:v>6.3600000000000004E-2</c:v>
                </c:pt>
                <c:pt idx="3">
                  <c:v>5.3499999999999999E-2</c:v>
                </c:pt>
                <c:pt idx="4">
                  <c:v>6.2200000000000012E-2</c:v>
                </c:pt>
                <c:pt idx="5">
                  <c:v>7.5900000000000009E-2</c:v>
                </c:pt>
                <c:pt idx="6">
                  <c:v>7.4849399999999996E-2</c:v>
                </c:pt>
                <c:pt idx="7">
                  <c:v>8.1800000000000025E-2</c:v>
                </c:pt>
                <c:pt idx="8">
                  <c:v>9.2500000000000027E-2</c:v>
                </c:pt>
              </c:numCache>
            </c:numRef>
          </c:val>
          <c:smooth val="0"/>
        </c:ser>
        <c:ser>
          <c:idx val="1"/>
          <c:order val="1"/>
          <c:tx>
            <c:strRef>
              <c:f>'Kurba e Yieldit'!$C$4</c:f>
              <c:strCache>
                <c:ptCount val="1"/>
                <c:pt idx="0">
                  <c:v>2014</c:v>
                </c:pt>
              </c:strCache>
            </c:strRef>
          </c:tx>
          <c:spPr>
            <a:ln w="25400">
              <a:solidFill>
                <a:srgbClr val="800000"/>
              </a:solidFill>
              <a:prstDash val="solid"/>
            </a:ln>
          </c:spPr>
          <c:marker>
            <c:symbol val="square"/>
            <c:size val="6"/>
            <c:spPr>
              <a:solidFill>
                <a:srgbClr val="800000"/>
              </a:solidFill>
              <a:ln>
                <a:solidFill>
                  <a:srgbClr val="800000"/>
                </a:solidFill>
                <a:prstDash val="solid"/>
              </a:ln>
            </c:spPr>
          </c:marker>
          <c:dLbls>
            <c:dLbl>
              <c:idx val="0"/>
              <c:layout>
                <c:manualLayout>
                  <c:x val="-2.7555547094128642E-2"/>
                  <c:y val="-4.34366472593243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5666676926934556E-2"/>
                  <c:y val="-5.271630195036913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5907965772571521E-2"/>
                  <c:y val="-4.932003146961853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9093523852649407E-2"/>
                  <c:y val="-4.166695829687945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0554254372594361E-2"/>
                  <c:y val="-3.07427361053552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1680323496148356E-2"/>
                  <c:y val="-5.426948835425798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4.3997407745607932E-2"/>
                  <c:y val="-3.105123223233461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5.0778950081664616E-2"/>
                  <c:y val="-8.6066215407284707E-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4.040249926266299E-2"/>
                  <c:y val="-3.667403416678179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lang="sq-AL" sz="800" b="1">
                    <a:solidFill>
                      <a:schemeClr val="accent2">
                        <a:lumMod val="7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'Kurba e Yieldit'!$A$5:$A$13</c:f>
              <c:strCache>
                <c:ptCount val="9"/>
                <c:pt idx="0">
                  <c:v>Bono Th. 3m </c:v>
                </c:pt>
                <c:pt idx="1">
                  <c:v>Bono Th. 6m </c:v>
                </c:pt>
                <c:pt idx="2">
                  <c:v>Bono Th. 9m </c:v>
                </c:pt>
                <c:pt idx="3">
                  <c:v>Bono Th. 12m </c:v>
                </c:pt>
                <c:pt idx="4">
                  <c:v>Obligacion. 2vj</c:v>
                </c:pt>
                <c:pt idx="5">
                  <c:v>Obligacion. 3vj</c:v>
                </c:pt>
                <c:pt idx="6">
                  <c:v>Obligacion. 5vj Fiks</c:v>
                </c:pt>
                <c:pt idx="7">
                  <c:v>Obligacion. 7vj Fiks</c:v>
                </c:pt>
                <c:pt idx="8">
                  <c:v>Obligacion. 10vj Fiks</c:v>
                </c:pt>
              </c:strCache>
            </c:strRef>
          </c:cat>
          <c:val>
            <c:numRef>
              <c:f>'Kurba e Yieldit'!$C$5:$C$13</c:f>
              <c:numCache>
                <c:formatCode>0.00%</c:formatCode>
                <c:ptCount val="9"/>
                <c:pt idx="0">
                  <c:v>3.0943954044461312E-2</c:v>
                </c:pt>
                <c:pt idx="1">
                  <c:v>3.3223512924640604E-2</c:v>
                </c:pt>
                <c:pt idx="2">
                  <c:v>3.790000000000001E-2</c:v>
                </c:pt>
                <c:pt idx="3">
                  <c:v>3.4335233659591756E-2</c:v>
                </c:pt>
                <c:pt idx="4">
                  <c:v>4.8904962079866166E-2</c:v>
                </c:pt>
                <c:pt idx="5">
                  <c:v>5.7734003532691598E-2</c:v>
                </c:pt>
                <c:pt idx="6">
                  <c:v>6.6214889771884056E-2</c:v>
                </c:pt>
                <c:pt idx="7">
                  <c:v>7.7571633398297118E-2</c:v>
                </c:pt>
                <c:pt idx="8">
                  <c:v>9.2624689485433245E-2</c:v>
                </c:pt>
              </c:numCache>
            </c:numRef>
          </c:val>
          <c:smooth val="0"/>
        </c:ser>
        <c:ser>
          <c:idx val="2"/>
          <c:order val="2"/>
          <c:tx>
            <c:strRef>
              <c:f>'Kurba e Yieldit'!$D$4</c:f>
              <c:strCache>
                <c:ptCount val="1"/>
                <c:pt idx="0">
                  <c:v>2015</c:v>
                </c:pt>
              </c:strCache>
            </c:strRef>
          </c:tx>
          <c:dLbls>
            <c:dLbl>
              <c:idx val="0"/>
              <c:layout>
                <c:manualLayout>
                  <c:x val="-2.2662889518413692E-2"/>
                  <c:y val="3.508771929824561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331444759206801E-2"/>
                  <c:y val="3.8011695906432746E-2"/>
                </c:manualLayout>
              </c:layout>
              <c:tx>
                <c:rich>
                  <a:bodyPr/>
                  <a:lstStyle/>
                  <a:p>
                    <a:r>
                      <a:rPr lang="en-US"/>
                      <a:t>3.03%</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1.0072395341517283E-2"/>
                  <c:y val="2.9239766081871593E-2"/>
                </c:manualLayout>
              </c:layout>
              <c:tx>
                <c:rich>
                  <a:bodyPr/>
                  <a:lstStyle/>
                  <a:p>
                    <a:r>
                      <a:rPr lang="en-US"/>
                      <a:t>3.33%</a:t>
                    </a:r>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2.0144790683034312E-2"/>
                  <c:y val="4.093567251461991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3849543594586181E-2"/>
                  <c:y val="4.385964912280701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7.5542965061377735E-3"/>
                  <c:y val="3.2163742690058485E-2"/>
                </c:manualLayout>
              </c:layout>
              <c:tx>
                <c:rich>
                  <a:bodyPr/>
                  <a:lstStyle/>
                  <a:p>
                    <a:r>
                      <a:rPr lang="en-US"/>
                      <a:t>6.49%</a:t>
                    </a:r>
                  </a:p>
                </c:rich>
              </c:tx>
              <c:showLegendKey val="0"/>
              <c:showVal val="1"/>
              <c:showCatName val="0"/>
              <c:showSerName val="0"/>
              <c:showPercent val="0"/>
              <c:showBubbleSize val="0"/>
              <c:extLst>
                <c:ext xmlns:c15="http://schemas.microsoft.com/office/drawing/2012/chart" uri="{CE6537A1-D6FC-4f65-9D91-7224C49458BB}"/>
              </c:extLst>
            </c:dLbl>
            <c:dLbl>
              <c:idx val="7"/>
              <c:layout>
                <c:manualLayout>
                  <c:x val="-1.1331444759206801E-2"/>
                  <c:y val="3.50877192982456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25900663690924E-3"/>
                  <c:y val="3.930292804308552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sq-AL" sz="800" b="1">
                    <a:solidFill>
                      <a:schemeClr val="accent3">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'Kurba e Yieldit'!$D$5:$D$13</c:f>
              <c:numCache>
                <c:formatCode>0.00%</c:formatCode>
                <c:ptCount val="9"/>
                <c:pt idx="0">
                  <c:v>2.8702346366890702E-2</c:v>
                </c:pt>
                <c:pt idx="1">
                  <c:v>3.0350274433168352E-2</c:v>
                </c:pt>
                <c:pt idx="3">
                  <c:v>3.3076909511138786E-2</c:v>
                </c:pt>
                <c:pt idx="4">
                  <c:v>4.8195304045943924E-2</c:v>
                </c:pt>
                <c:pt idx="5">
                  <c:v>5.7225227159034123E-2</c:v>
                </c:pt>
                <c:pt idx="6">
                  <c:v>6.3575947614991482E-2</c:v>
                </c:pt>
                <c:pt idx="7">
                  <c:v>7.5185458200703631E-2</c:v>
                </c:pt>
                <c:pt idx="8">
                  <c:v>8.9646846405882691E-2</c:v>
                </c:pt>
              </c:numCache>
            </c:numRef>
          </c:val>
          <c:smooth val="0"/>
        </c:ser>
        <c:dLbls>
          <c:showLegendKey val="0"/>
          <c:showVal val="0"/>
          <c:showCatName val="0"/>
          <c:showSerName val="0"/>
          <c:showPercent val="0"/>
          <c:showBubbleSize val="0"/>
        </c:dLbls>
        <c:marker val="1"/>
        <c:smooth val="0"/>
        <c:axId val="116780416"/>
        <c:axId val="116835456"/>
      </c:lineChart>
      <c:catAx>
        <c:axId val="116780416"/>
        <c:scaling>
          <c:orientation val="minMax"/>
        </c:scaling>
        <c:delete val="0"/>
        <c:axPos val="b"/>
        <c:numFmt formatCode="General" sourceLinked="1"/>
        <c:majorTickMark val="out"/>
        <c:minorTickMark val="none"/>
        <c:tickLblPos val="nextTo"/>
        <c:txPr>
          <a:bodyPr rot="0" vert="horz"/>
          <a:lstStyle/>
          <a:p>
            <a:pPr>
              <a:defRPr lang="sq-AL">
                <a:latin typeface="+mn-lt"/>
              </a:defRPr>
            </a:pPr>
            <a:endParaRPr lang="en-US"/>
          </a:p>
        </c:txPr>
        <c:crossAx val="116835456"/>
        <c:crosses val="autoZero"/>
        <c:auto val="1"/>
        <c:lblAlgn val="ctr"/>
        <c:lblOffset val="100"/>
        <c:tickLblSkip val="1"/>
        <c:tickMarkSkip val="1"/>
        <c:noMultiLvlLbl val="0"/>
      </c:catAx>
      <c:valAx>
        <c:axId val="116835456"/>
        <c:scaling>
          <c:orientation val="minMax"/>
          <c:min val="2.0000000000000011E-2"/>
        </c:scaling>
        <c:delete val="0"/>
        <c:axPos val="l"/>
        <c:numFmt formatCode="0.00%" sourceLinked="1"/>
        <c:majorTickMark val="out"/>
        <c:minorTickMark val="none"/>
        <c:tickLblPos val="nextTo"/>
        <c:spPr>
          <a:ln>
            <a:gradFill>
              <a:gsLst>
                <a:gs pos="13500">
                  <a:srgbClr val="B5CAEB"/>
                </a:gs>
                <a:gs pos="54000">
                  <a:schemeClr val="accent6">
                    <a:lumMod val="40000"/>
                    <a:lumOff val="60000"/>
                  </a:schemeClr>
                </a:gs>
                <a:gs pos="100000">
                  <a:schemeClr val="accent1">
                    <a:tint val="23500"/>
                    <a:satMod val="160000"/>
                  </a:schemeClr>
                </a:gs>
              </a:gsLst>
              <a:lin ang="5400000" scaled="0"/>
            </a:gradFill>
          </a:ln>
        </c:spPr>
        <c:txPr>
          <a:bodyPr rot="0" vert="horz"/>
          <a:lstStyle/>
          <a:p>
            <a:pPr>
              <a:defRPr lang="sq-AL">
                <a:latin typeface="+mn-lt"/>
              </a:defRPr>
            </a:pPr>
            <a:endParaRPr lang="en-US"/>
          </a:p>
        </c:txPr>
        <c:crossAx val="116780416"/>
        <c:crosses val="autoZero"/>
        <c:crossBetween val="between"/>
      </c:valAx>
      <c:spPr>
        <a:noFill/>
        <a:ln w="25400">
          <a:noFill/>
        </a:ln>
      </c:spPr>
    </c:plotArea>
    <c:legend>
      <c:legendPos val="b"/>
      <c:layout>
        <c:manualLayout>
          <c:xMode val="edge"/>
          <c:yMode val="edge"/>
          <c:x val="0.33449198784362505"/>
          <c:y val="0.94833245844269454"/>
          <c:w val="0.33509019175151084"/>
          <c:h val="5.1466066741657303E-2"/>
        </c:manualLayout>
      </c:layout>
      <c:overlay val="0"/>
      <c:txPr>
        <a:bodyPr/>
        <a:lstStyle/>
        <a:p>
          <a:pPr>
            <a:defRPr lang="sq-AL">
              <a:latin typeface="+mn-lt"/>
            </a:defRPr>
          </a:pPr>
          <a:endParaRPr lang="en-US"/>
        </a:p>
      </c:txPr>
    </c:legend>
    <c:plotVisOnly val="1"/>
    <c:dispBlanksAs val="gap"/>
    <c:showDLblsOverMax val="0"/>
  </c:chart>
  <c:spPr>
    <a:noFill/>
    <a:ln w="9525">
      <a:noFill/>
    </a:ln>
  </c:spPr>
  <c:txPr>
    <a:bodyPr/>
    <a:lstStyle/>
    <a:p>
      <a:pPr>
        <a:defRPr sz="900" b="0" i="0" u="none" strike="noStrike" baseline="0">
          <a:solidFill>
            <a:srgbClr val="000000"/>
          </a:solidFill>
          <a:latin typeface="Arial Narrow" panose="020B0606020202030204" pitchFamily="34" charset="0"/>
          <a:ea typeface="Calibri"/>
          <a:cs typeface="Calibri"/>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0.00576</cdr:x>
      <cdr:y>0.26061</cdr:y>
    </cdr:from>
    <cdr:to>
      <cdr:x>0.0259</cdr:x>
      <cdr:y>0.68788</cdr:y>
    </cdr:to>
    <cdr:sp macro="" textlink="">
      <cdr:nvSpPr>
        <cdr:cNvPr id="2" name="TextBox 1"/>
        <cdr:cNvSpPr txBox="1"/>
      </cdr:nvSpPr>
      <cdr:spPr>
        <a:xfrm xmlns:a="http://schemas.openxmlformats.org/drawingml/2006/main">
          <a:off x="38101" y="819150"/>
          <a:ext cx="133350" cy="1343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sq-AL" sz="1100"/>
        </a:p>
      </cdr:txBody>
    </cdr:sp>
  </cdr:relSizeAnchor>
  <cdr:relSizeAnchor xmlns:cdr="http://schemas.openxmlformats.org/drawingml/2006/chartDrawing">
    <cdr:from>
      <cdr:x>0</cdr:x>
      <cdr:y>0.3306</cdr:y>
    </cdr:from>
    <cdr:to>
      <cdr:x>0.03022</cdr:x>
      <cdr:y>0.64878</cdr:y>
    </cdr:to>
    <cdr:sp macro="" textlink="">
      <cdr:nvSpPr>
        <cdr:cNvPr id="3" name="TextBox 2"/>
        <cdr:cNvSpPr txBox="1"/>
      </cdr:nvSpPr>
      <cdr:spPr>
        <a:xfrm xmlns:a="http://schemas.openxmlformats.org/drawingml/2006/main" rot="16200000">
          <a:off x="-224577" y="870116"/>
          <a:ext cx="621286" cy="17213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latin typeface="+mj-lt"/>
            </a:rPr>
            <a:t>Në miliard Lek</a:t>
          </a:r>
          <a:endParaRPr lang="sq-AL" sz="900">
            <a:latin typeface="+mj-lt"/>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37819AA65E4E53B4DFC7EC5F75C8DD"/>
        <w:category>
          <w:name w:val="General"/>
          <w:gallery w:val="placeholder"/>
        </w:category>
        <w:types>
          <w:type w:val="bbPlcHdr"/>
        </w:types>
        <w:behaviors>
          <w:behavior w:val="content"/>
        </w:behaviors>
        <w:guid w:val="{E69DC97D-B0AE-45AF-ADB6-0DF13139D3BE}"/>
      </w:docPartPr>
      <w:docPartBody>
        <w:p w:rsidR="00DC7599" w:rsidRDefault="001635E4" w:rsidP="001635E4">
          <w:pPr>
            <w:pStyle w:val="CF37819AA65E4E53B4DFC7EC5F75C8DD"/>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E4"/>
    <w:rsid w:val="001635E4"/>
    <w:rsid w:val="001C169D"/>
    <w:rsid w:val="007A0106"/>
    <w:rsid w:val="00A01557"/>
    <w:rsid w:val="00B021E0"/>
    <w:rsid w:val="00C04F9B"/>
    <w:rsid w:val="00DC7599"/>
    <w:rsid w:val="00EB60C3"/>
    <w:rsid w:val="00F852B4"/>
    <w:rsid w:val="00FF5E7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q-AL" w:eastAsia="sq-A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37819AA65E4E53B4DFC7EC5F75C8DD">
    <w:name w:val="CF37819AA65E4E53B4DFC7EC5F75C8DD"/>
    <w:rsid w:val="001635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q-AL" w:eastAsia="sq-A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37819AA65E4E53B4DFC7EC5F75C8DD">
    <w:name w:val="CF37819AA65E4E53B4DFC7EC5F75C8DD"/>
    <w:rsid w:val="00163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1EBA4-BA56-4615-9663-376DA228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11328</Words>
  <Characters>64574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Arritjet e Borxhit</vt:lpstr>
    </vt:vector>
  </TitlesOfParts>
  <Company/>
  <LinksUpToDate>false</LinksUpToDate>
  <CharactersWithSpaces>75751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Buxheti Faktik</dc:title>
  <dc:creator>Marjus.Borokoci</dc:creator>
  <cp:lastModifiedBy>elida.fara</cp:lastModifiedBy>
  <cp:revision>8</cp:revision>
  <cp:lastPrinted>2016-02-11T15:14:00Z</cp:lastPrinted>
  <dcterms:created xsi:type="dcterms:W3CDTF">2016-10-14T12:12:00Z</dcterms:created>
  <dcterms:modified xsi:type="dcterms:W3CDTF">2016-10-14T12:53:00Z</dcterms:modified>
</cp:coreProperties>
</file>