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20" w:rsidRPr="00E113B9" w:rsidRDefault="00CB0B20" w:rsidP="00CB0B20">
      <w:pPr>
        <w:autoSpaceDE w:val="0"/>
        <w:autoSpaceDN w:val="0"/>
        <w:adjustRightInd w:val="0"/>
        <w:ind w:left="4320" w:firstLine="720"/>
        <w:jc w:val="both"/>
        <w:rPr>
          <w:b/>
        </w:rPr>
      </w:pPr>
      <w:bookmarkStart w:id="0" w:name="_GoBack"/>
      <w:bookmarkEnd w:id="0"/>
    </w:p>
    <w:p w:rsidR="00B947AC" w:rsidRPr="00E113B9" w:rsidRDefault="00FB6E70" w:rsidP="00B947AC">
      <w:pPr>
        <w:jc w:val="center"/>
        <w:rPr>
          <w:b/>
        </w:rPr>
      </w:pPr>
      <w:r w:rsidRPr="00E113B9">
        <w:rPr>
          <w:b/>
        </w:rPr>
        <w:t>Relacion S</w:t>
      </w:r>
      <w:r w:rsidR="00B947AC" w:rsidRPr="00E113B9">
        <w:rPr>
          <w:b/>
        </w:rPr>
        <w:t>hpjegues</w:t>
      </w:r>
    </w:p>
    <w:p w:rsidR="00240463" w:rsidRPr="00E113B9" w:rsidRDefault="00240463" w:rsidP="00B947AC">
      <w:pPr>
        <w:jc w:val="center"/>
        <w:rPr>
          <w:b/>
        </w:rPr>
      </w:pPr>
    </w:p>
    <w:p w:rsidR="00E878A5" w:rsidRPr="00E113B9" w:rsidRDefault="00240463" w:rsidP="00B947AC">
      <w:pPr>
        <w:jc w:val="center"/>
        <w:rPr>
          <w:b/>
          <w:lang w:val="sq-AL"/>
        </w:rPr>
      </w:pPr>
      <w:r w:rsidRPr="00E113B9">
        <w:rPr>
          <w:b/>
        </w:rPr>
        <w:t xml:space="preserve"> P</w:t>
      </w:r>
      <w:r w:rsidR="00C42D78" w:rsidRPr="00E113B9">
        <w:rPr>
          <w:b/>
        </w:rPr>
        <w:t>ë</w:t>
      </w:r>
      <w:r w:rsidR="00B947AC" w:rsidRPr="00E113B9">
        <w:rPr>
          <w:b/>
        </w:rPr>
        <w:t>r Projekt-Ligjin</w:t>
      </w:r>
      <w:r w:rsidR="008F093A" w:rsidRPr="00E113B9">
        <w:rPr>
          <w:b/>
        </w:rPr>
        <w:t xml:space="preserve"> “P</w:t>
      </w:r>
      <w:r w:rsidR="00C42D78" w:rsidRPr="00E113B9">
        <w:rPr>
          <w:b/>
        </w:rPr>
        <w:t>ë</w:t>
      </w:r>
      <w:r w:rsidR="008F093A" w:rsidRPr="00E113B9">
        <w:rPr>
          <w:b/>
        </w:rPr>
        <w:t>r Tatimin mbi Vler</w:t>
      </w:r>
      <w:r w:rsidR="00C42D78" w:rsidRPr="00E113B9">
        <w:rPr>
          <w:b/>
        </w:rPr>
        <w:t>ë</w:t>
      </w:r>
      <w:r w:rsidR="00E878A5" w:rsidRPr="00E113B9">
        <w:rPr>
          <w:b/>
        </w:rPr>
        <w:t>n e Shtuar</w:t>
      </w:r>
      <w:r w:rsidR="00B947AC" w:rsidRPr="00E113B9">
        <w:rPr>
          <w:b/>
        </w:rPr>
        <w:t>”</w:t>
      </w:r>
    </w:p>
    <w:p w:rsidR="00B947AC" w:rsidRPr="00E113B9" w:rsidRDefault="00B947AC" w:rsidP="00E878A5">
      <w:pPr>
        <w:pStyle w:val="BodyText"/>
        <w:rPr>
          <w:b/>
        </w:rPr>
      </w:pPr>
    </w:p>
    <w:p w:rsidR="00B947AC" w:rsidRPr="00E113B9" w:rsidRDefault="00B947AC" w:rsidP="00E878A5">
      <w:pPr>
        <w:pStyle w:val="BodyText"/>
      </w:pPr>
    </w:p>
    <w:p w:rsidR="00293A87" w:rsidRPr="00E113B9" w:rsidRDefault="00293A87" w:rsidP="003A1FCC">
      <w:pPr>
        <w:numPr>
          <w:ilvl w:val="0"/>
          <w:numId w:val="23"/>
        </w:numPr>
        <w:jc w:val="both"/>
        <w:rPr>
          <w:b/>
        </w:rPr>
      </w:pPr>
      <w:r w:rsidRPr="00E113B9">
        <w:rPr>
          <w:b/>
        </w:rPr>
        <w:t>Evi</w:t>
      </w:r>
      <w:r w:rsidR="003A1FCC" w:rsidRPr="00E113B9">
        <w:rPr>
          <w:b/>
        </w:rPr>
        <w:t>dentimi i institucionit p</w:t>
      </w:r>
      <w:r w:rsidR="00173F46" w:rsidRPr="00E113B9">
        <w:rPr>
          <w:b/>
        </w:rPr>
        <w:t>ë</w:t>
      </w:r>
      <w:r w:rsidR="008845BC" w:rsidRPr="00E113B9">
        <w:rPr>
          <w:b/>
        </w:rPr>
        <w:t>rgjeg</w:t>
      </w:r>
      <w:r w:rsidRPr="00E113B9">
        <w:rPr>
          <w:b/>
        </w:rPr>
        <w:t>j</w:t>
      </w:r>
      <w:r w:rsidR="00173F46" w:rsidRPr="00E113B9">
        <w:rPr>
          <w:b/>
        </w:rPr>
        <w:t>ë</w:t>
      </w:r>
      <w:r w:rsidRPr="00E113B9">
        <w:rPr>
          <w:b/>
        </w:rPr>
        <w:t>s:</w:t>
      </w:r>
    </w:p>
    <w:p w:rsidR="00293A87" w:rsidRPr="00E113B9" w:rsidRDefault="00293A87" w:rsidP="00E878A5">
      <w:pPr>
        <w:jc w:val="both"/>
      </w:pPr>
    </w:p>
    <w:p w:rsidR="008F093A" w:rsidRPr="00E113B9" w:rsidRDefault="00293A87" w:rsidP="00E878A5">
      <w:pPr>
        <w:jc w:val="both"/>
      </w:pPr>
      <w:r w:rsidRPr="00E113B9">
        <w:t>Ky pro</w:t>
      </w:r>
      <w:r w:rsidR="00573F5D" w:rsidRPr="00E113B9">
        <w:t>jektligj propozohet nga Ministr</w:t>
      </w:r>
      <w:r w:rsidRPr="00E113B9">
        <w:t>i</w:t>
      </w:r>
      <w:r w:rsidR="00573F5D" w:rsidRPr="00E113B9">
        <w:t>a</w:t>
      </w:r>
      <w:r w:rsidRPr="00E113B9">
        <w:t xml:space="preserve"> e Financave. </w:t>
      </w:r>
    </w:p>
    <w:p w:rsidR="00293A87" w:rsidRPr="00E113B9" w:rsidRDefault="00E878A5" w:rsidP="00E878A5">
      <w:pPr>
        <w:jc w:val="both"/>
      </w:pPr>
      <w:r w:rsidRPr="00E113B9">
        <w:t>Draft Projekt-Ligji “P</w:t>
      </w:r>
      <w:r w:rsidR="00C42D78" w:rsidRPr="00E113B9">
        <w:t>ë</w:t>
      </w:r>
      <w:r w:rsidRPr="00E113B9">
        <w:t>r Tatimin mbi Vler</w:t>
      </w:r>
      <w:r w:rsidR="00C42D78" w:rsidRPr="00E113B9">
        <w:t>ë</w:t>
      </w:r>
      <w:r w:rsidRPr="00E113B9">
        <w:t xml:space="preserve">n e Shtuar” </w:t>
      </w:r>
      <w:r w:rsidR="00C42D78" w:rsidRPr="00E113B9">
        <w:t>ë</w:t>
      </w:r>
      <w:r w:rsidRPr="00E113B9">
        <w:t>sht</w:t>
      </w:r>
      <w:r w:rsidR="00C42D78" w:rsidRPr="00E113B9">
        <w:t>ë</w:t>
      </w:r>
      <w:r w:rsidRPr="00E113B9">
        <w:t xml:space="preserve"> hartuar n</w:t>
      </w:r>
      <w:r w:rsidR="00C42D78" w:rsidRPr="00E113B9">
        <w:t>ë</w:t>
      </w:r>
      <w:r w:rsidR="003A1FCC" w:rsidRPr="00E113B9">
        <w:t xml:space="preserve"> kuad</w:t>
      </w:r>
      <w:r w:rsidR="00173F46" w:rsidRPr="00E113B9">
        <w:t>ë</w:t>
      </w:r>
      <w:r w:rsidRPr="00E113B9">
        <w:t>r t</w:t>
      </w:r>
      <w:r w:rsidR="00C42D78" w:rsidRPr="00E113B9">
        <w:t>ë</w:t>
      </w:r>
      <w:r w:rsidRPr="00E113B9">
        <w:t xml:space="preserve"> Projektit IPA 2007 </w:t>
      </w:r>
      <w:r w:rsidRPr="00E113B9">
        <w:rPr>
          <w:lang w:val="de-DE"/>
        </w:rPr>
        <w:t xml:space="preserve">(Mars 2010-Maj 2012) </w:t>
      </w:r>
      <w:r w:rsidR="00E0381D" w:rsidRPr="00E113B9">
        <w:t>“Mb</w:t>
      </w:r>
      <w:r w:rsidR="00C42D78" w:rsidRPr="00E113B9">
        <w:t>ë</w:t>
      </w:r>
      <w:r w:rsidRPr="00E113B9">
        <w:t>shtetje p</w:t>
      </w:r>
      <w:r w:rsidR="00C42D78" w:rsidRPr="00E113B9">
        <w:t>ë</w:t>
      </w:r>
      <w:r w:rsidRPr="00E113B9">
        <w:t>r Drejtorin</w:t>
      </w:r>
      <w:r w:rsidR="00C42D78" w:rsidRPr="00E113B9">
        <w:t>ë</w:t>
      </w:r>
      <w:r w:rsidRPr="00E113B9">
        <w:t xml:space="preserve"> e P</w:t>
      </w:r>
      <w:r w:rsidR="00C42D78" w:rsidRPr="00E113B9">
        <w:t>ë</w:t>
      </w:r>
      <w:r w:rsidRPr="00E113B9">
        <w:t>rgjithshme t</w:t>
      </w:r>
      <w:r w:rsidR="00C42D78" w:rsidRPr="00E113B9">
        <w:t>ë</w:t>
      </w:r>
      <w:r w:rsidR="00E0381D" w:rsidRPr="00E113B9">
        <w:t xml:space="preserve"> Tatimeve” t</w:t>
      </w:r>
      <w:r w:rsidR="00C42D78" w:rsidRPr="00E113B9">
        <w:t>ë</w:t>
      </w:r>
      <w:r w:rsidR="00E0381D" w:rsidRPr="00E113B9">
        <w:t xml:space="preserve"> Shqip</w:t>
      </w:r>
      <w:r w:rsidR="00C42D78" w:rsidRPr="00E113B9">
        <w:t>ë</w:t>
      </w:r>
      <w:r w:rsidRPr="00E113B9">
        <w:t>ris</w:t>
      </w:r>
      <w:r w:rsidR="00C42D78" w:rsidRPr="00E113B9">
        <w:t>ë</w:t>
      </w:r>
      <w:r w:rsidR="00E0381D" w:rsidRPr="00E113B9">
        <w:t xml:space="preserve"> p</w:t>
      </w:r>
      <w:r w:rsidR="00C42D78" w:rsidRPr="00E113B9">
        <w:t>ë</w:t>
      </w:r>
      <w:r w:rsidR="00E0381D" w:rsidRPr="00E113B9">
        <w:t>r p</w:t>
      </w:r>
      <w:r w:rsidR="00C42D78" w:rsidRPr="00E113B9">
        <w:t>ë</w:t>
      </w:r>
      <w:r w:rsidRPr="00E113B9">
        <w:t>rafrimin e legjislacionit vendas me Acquis Communitaire, t</w:t>
      </w:r>
      <w:r w:rsidR="00C42D78" w:rsidRPr="00E113B9">
        <w:t>ë</w:t>
      </w:r>
      <w:r w:rsidRPr="00E113B9">
        <w:t xml:space="preserve"> financuar dhe mb</w:t>
      </w:r>
      <w:r w:rsidR="00C42D78" w:rsidRPr="00E113B9">
        <w:t>ë</w:t>
      </w:r>
      <w:r w:rsidRPr="00E113B9">
        <w:t>shtetur nga Zyra Komisionit t</w:t>
      </w:r>
      <w:r w:rsidR="00C42D78" w:rsidRPr="00E113B9">
        <w:t>ë</w:t>
      </w:r>
      <w:r w:rsidRPr="00E113B9">
        <w:t xml:space="preserve"> Bashkimit Europian, Tiran</w:t>
      </w:r>
      <w:r w:rsidR="00C42D78" w:rsidRPr="00E113B9">
        <w:t>ë</w:t>
      </w:r>
      <w:r w:rsidRPr="00E113B9">
        <w:t>, n</w:t>
      </w:r>
      <w:r w:rsidR="00C42D78" w:rsidRPr="00E113B9">
        <w:t>ë</w:t>
      </w:r>
      <w:r w:rsidRPr="00E113B9">
        <w:t xml:space="preserve"> p</w:t>
      </w:r>
      <w:r w:rsidR="00C42D78" w:rsidRPr="00E113B9">
        <w:t>ë</w:t>
      </w:r>
      <w:r w:rsidRPr="00E113B9">
        <w:t>rputhje me kontrat</w:t>
      </w:r>
      <w:r w:rsidR="00C42D78" w:rsidRPr="00E113B9">
        <w:t>ë</w:t>
      </w:r>
      <w:r w:rsidRPr="00E113B9">
        <w:t>n e binjak</w:t>
      </w:r>
      <w:r w:rsidR="00C42D78" w:rsidRPr="00E113B9">
        <w:t>ë</w:t>
      </w:r>
      <w:r w:rsidRPr="00E113B9">
        <w:t>zimit Al/2007/IB/FI/01, n</w:t>
      </w:r>
      <w:r w:rsidR="00C42D78" w:rsidRPr="00E113B9">
        <w:t>ë</w:t>
      </w:r>
      <w:r w:rsidRPr="00E113B9">
        <w:t xml:space="preserve"> zbatim t</w:t>
      </w:r>
      <w:r w:rsidR="00C42D78" w:rsidRPr="00E113B9">
        <w:t>ë</w:t>
      </w:r>
      <w:r w:rsidRPr="00E113B9">
        <w:t xml:space="preserve"> komponentit 1, Harmonizimi i legjislacionit.  </w:t>
      </w:r>
    </w:p>
    <w:p w:rsidR="00293A87" w:rsidRPr="00E113B9" w:rsidRDefault="00293A87" w:rsidP="00E878A5">
      <w:pPr>
        <w:jc w:val="both"/>
      </w:pPr>
    </w:p>
    <w:p w:rsidR="00E878A5" w:rsidRPr="00E113B9" w:rsidRDefault="00DC12F9" w:rsidP="00E878A5">
      <w:pPr>
        <w:jc w:val="both"/>
        <w:rPr>
          <w:lang w:val="sv-SE"/>
        </w:rPr>
      </w:pPr>
      <w:r w:rsidRPr="00E113B9">
        <w:t>Me propozimin e k</w:t>
      </w:r>
      <w:r w:rsidR="00C42D78" w:rsidRPr="00E113B9">
        <w:t>ë</w:t>
      </w:r>
      <w:r w:rsidRPr="00E113B9">
        <w:t>tij projektligji t</w:t>
      </w:r>
      <w:r w:rsidR="00C42D78" w:rsidRPr="00E113B9">
        <w:t>ë</w:t>
      </w:r>
      <w:r w:rsidR="00E878A5" w:rsidRPr="00E113B9">
        <w:t xml:space="preserve"> ri</w:t>
      </w:r>
      <w:r w:rsidRPr="00E113B9">
        <w:t xml:space="preserve"> </w:t>
      </w:r>
      <w:r w:rsidR="00E878A5" w:rsidRPr="00E113B9">
        <w:t>“P</w:t>
      </w:r>
      <w:r w:rsidR="00C42D78" w:rsidRPr="00E113B9">
        <w:t>ë</w:t>
      </w:r>
      <w:r w:rsidR="00E04101" w:rsidRPr="00E113B9">
        <w:t>r Tatimin mbi vler</w:t>
      </w:r>
      <w:r w:rsidR="00173F46" w:rsidRPr="00E113B9">
        <w:t>ë</w:t>
      </w:r>
      <w:r w:rsidR="00E04101" w:rsidRPr="00E113B9">
        <w:t>n e shtuar</w:t>
      </w:r>
      <w:r w:rsidR="00E878A5" w:rsidRPr="00E113B9">
        <w:t>” syn</w:t>
      </w:r>
      <w:r w:rsidR="00E0381D" w:rsidRPr="00E113B9">
        <w:t>ohet harmonizimi i ligjit dhe p</w:t>
      </w:r>
      <w:r w:rsidR="00C42D78" w:rsidRPr="00E113B9">
        <w:t>ë</w:t>
      </w:r>
      <w:r w:rsidR="00E0381D" w:rsidRPr="00E113B9">
        <w:t>rputhshm</w:t>
      </w:r>
      <w:r w:rsidR="00C42D78" w:rsidRPr="00E113B9">
        <w:t>ë</w:t>
      </w:r>
      <w:r w:rsidR="00E878A5" w:rsidRPr="00E113B9">
        <w:t>ria e tij me dispozitat e Direktiv</w:t>
      </w:r>
      <w:r w:rsidR="00C42D78" w:rsidRPr="00E113B9">
        <w:t>ë</w:t>
      </w:r>
      <w:r w:rsidR="00E0381D" w:rsidRPr="00E113B9">
        <w:t>s s</w:t>
      </w:r>
      <w:r w:rsidR="00C42D78" w:rsidRPr="00E113B9">
        <w:t>ë</w:t>
      </w:r>
      <w:r w:rsidR="00E0381D" w:rsidRPr="00E113B9">
        <w:t xml:space="preserve"> K</w:t>
      </w:r>
      <w:r w:rsidR="00C42D78" w:rsidRPr="00E113B9">
        <w:t>ë</w:t>
      </w:r>
      <w:r w:rsidR="00E878A5" w:rsidRPr="00E113B9">
        <w:t>shillit 2006/112 dat</w:t>
      </w:r>
      <w:r w:rsidR="00C42D78" w:rsidRPr="00E113B9">
        <w:t>ë</w:t>
      </w:r>
      <w:r w:rsidR="00E878A5" w:rsidRPr="00E113B9">
        <w:t xml:space="preserve"> 28.11.2006, “P</w:t>
      </w:r>
      <w:r w:rsidR="00C42D78" w:rsidRPr="00E113B9">
        <w:t>ë</w:t>
      </w:r>
      <w:r w:rsidR="00E878A5" w:rsidRPr="00E113B9">
        <w:t>r Sistemin e p</w:t>
      </w:r>
      <w:r w:rsidR="00C42D78" w:rsidRPr="00E113B9">
        <w:t>ë</w:t>
      </w:r>
      <w:r w:rsidR="00E0381D" w:rsidRPr="00E113B9">
        <w:t>rbashk</w:t>
      </w:r>
      <w:r w:rsidR="00C42D78" w:rsidRPr="00E113B9">
        <w:t>ë</w:t>
      </w:r>
      <w:r w:rsidR="00E878A5" w:rsidRPr="00E113B9">
        <w:t>t t</w:t>
      </w:r>
      <w:r w:rsidR="00C42D78" w:rsidRPr="00E113B9">
        <w:t>ë</w:t>
      </w:r>
      <w:r w:rsidR="00E878A5" w:rsidRPr="00E113B9">
        <w:t xml:space="preserve"> TVSH-s</w:t>
      </w:r>
      <w:r w:rsidR="00C42D78" w:rsidRPr="00E113B9">
        <w:t>ë</w:t>
      </w:r>
      <w:r w:rsidR="00E0381D" w:rsidRPr="00E113B9">
        <w:t>”, t</w:t>
      </w:r>
      <w:r w:rsidR="00C42D78" w:rsidRPr="00E113B9">
        <w:t>ë</w:t>
      </w:r>
      <w:r w:rsidR="00E878A5" w:rsidRPr="00E113B9">
        <w:t xml:space="preserve"> konsoliduar.</w:t>
      </w:r>
      <w:r w:rsidR="00E878A5" w:rsidRPr="00E113B9">
        <w:rPr>
          <w:lang w:val="sv-SE"/>
        </w:rPr>
        <w:t xml:space="preserve"> </w:t>
      </w:r>
    </w:p>
    <w:p w:rsidR="00037884" w:rsidRPr="00E113B9" w:rsidRDefault="00037884" w:rsidP="00E878A5">
      <w:pPr>
        <w:rPr>
          <w:lang w:val="sv-SE"/>
        </w:rPr>
      </w:pPr>
    </w:p>
    <w:p w:rsidR="00293A87" w:rsidRPr="00E113B9" w:rsidRDefault="00E0381D" w:rsidP="00E04101">
      <w:pPr>
        <w:pStyle w:val="ListParagraph"/>
        <w:numPr>
          <w:ilvl w:val="0"/>
          <w:numId w:val="23"/>
        </w:numPr>
        <w:jc w:val="both"/>
        <w:rPr>
          <w:b/>
          <w:lang w:val="sv-SE"/>
        </w:rPr>
      </w:pPr>
      <w:r w:rsidRPr="00E113B9">
        <w:rPr>
          <w:b/>
          <w:lang w:val="sv-SE"/>
        </w:rPr>
        <w:t>Statusi i projektaktit n</w:t>
      </w:r>
      <w:r w:rsidR="00C42D78" w:rsidRPr="00E113B9">
        <w:rPr>
          <w:b/>
          <w:lang w:val="sv-SE"/>
        </w:rPr>
        <w:t>ë</w:t>
      </w:r>
      <w:r w:rsidR="00293A87" w:rsidRPr="00E113B9">
        <w:rPr>
          <w:b/>
          <w:lang w:val="sv-SE"/>
        </w:rPr>
        <w:t xml:space="preserve"> rendin ligjor</w:t>
      </w:r>
    </w:p>
    <w:p w:rsidR="00293A87" w:rsidRPr="00E113B9" w:rsidRDefault="00293A87" w:rsidP="00E878A5">
      <w:pPr>
        <w:jc w:val="both"/>
        <w:rPr>
          <w:b/>
          <w:lang w:val="sv-SE"/>
        </w:rPr>
      </w:pPr>
    </w:p>
    <w:p w:rsidR="00293A87" w:rsidRPr="00E113B9" w:rsidRDefault="00E0381D" w:rsidP="00E878A5">
      <w:pPr>
        <w:jc w:val="both"/>
        <w:rPr>
          <w:lang w:val="sv-SE"/>
        </w:rPr>
      </w:pPr>
      <w:r w:rsidRPr="00E113B9">
        <w:rPr>
          <w:lang w:val="sv-SE"/>
        </w:rPr>
        <w:t>Ky projektligj propozohe</w:t>
      </w:r>
      <w:r w:rsidR="0054398B" w:rsidRPr="00E113B9">
        <w:rPr>
          <w:lang w:val="sv-SE"/>
        </w:rPr>
        <w:t>t</w:t>
      </w:r>
      <w:r w:rsidRPr="00E113B9">
        <w:rPr>
          <w:lang w:val="sv-SE"/>
        </w:rPr>
        <w:t xml:space="preserve"> n</w:t>
      </w:r>
      <w:r w:rsidR="00C42D78" w:rsidRPr="00E113B9">
        <w:rPr>
          <w:lang w:val="sv-SE"/>
        </w:rPr>
        <w:t>ë</w:t>
      </w:r>
      <w:r w:rsidRPr="00E113B9">
        <w:rPr>
          <w:lang w:val="sv-SE"/>
        </w:rPr>
        <w:t xml:space="preserve"> baz</w:t>
      </w:r>
      <w:r w:rsidR="00C42D78" w:rsidRPr="00E113B9">
        <w:rPr>
          <w:lang w:val="sv-SE"/>
        </w:rPr>
        <w:t>ë</w:t>
      </w:r>
      <w:r w:rsidR="00293A87" w:rsidRPr="00E113B9">
        <w:rPr>
          <w:lang w:val="sv-SE"/>
        </w:rPr>
        <w:t xml:space="preserve"> t</w:t>
      </w:r>
      <w:r w:rsidR="00C42D78" w:rsidRPr="00E113B9">
        <w:rPr>
          <w:lang w:val="sv-SE"/>
        </w:rPr>
        <w:t>ë</w:t>
      </w:r>
      <w:r w:rsidR="0021464B" w:rsidRPr="00E113B9">
        <w:rPr>
          <w:lang w:val="sv-SE"/>
        </w:rPr>
        <w:t xml:space="preserve"> nenit </w:t>
      </w:r>
      <w:r w:rsidR="00DE3138" w:rsidRPr="00E113B9">
        <w:rPr>
          <w:lang w:val="sv-SE"/>
        </w:rPr>
        <w:t>78</w:t>
      </w:r>
      <w:r w:rsidR="00293A87" w:rsidRPr="00E113B9">
        <w:rPr>
          <w:lang w:val="sv-SE"/>
        </w:rPr>
        <w:t xml:space="preserve"> t</w:t>
      </w:r>
      <w:r w:rsidR="00C42D78" w:rsidRPr="00E113B9">
        <w:rPr>
          <w:lang w:val="sv-SE"/>
        </w:rPr>
        <w:t>ë</w:t>
      </w:r>
      <w:r w:rsidR="00293A87" w:rsidRPr="00E113B9">
        <w:rPr>
          <w:lang w:val="sv-SE"/>
        </w:rPr>
        <w:t xml:space="preserve"> Kushtetut</w:t>
      </w:r>
      <w:r w:rsidR="00C42D78" w:rsidRPr="00E113B9">
        <w:rPr>
          <w:lang w:val="sv-SE"/>
        </w:rPr>
        <w:t>ë</w:t>
      </w:r>
      <w:r w:rsidR="00293A87" w:rsidRPr="00E113B9">
        <w:rPr>
          <w:lang w:val="sv-SE"/>
        </w:rPr>
        <w:t>s</w:t>
      </w:r>
      <w:r w:rsidRPr="00E113B9">
        <w:rPr>
          <w:lang w:val="sv-SE"/>
        </w:rPr>
        <w:t>.</w:t>
      </w:r>
    </w:p>
    <w:p w:rsidR="00293A87" w:rsidRPr="00E113B9" w:rsidRDefault="00293A87" w:rsidP="00E878A5">
      <w:pPr>
        <w:jc w:val="both"/>
        <w:rPr>
          <w:b/>
          <w:lang w:val="sv-SE"/>
        </w:rPr>
      </w:pPr>
    </w:p>
    <w:p w:rsidR="006E041F" w:rsidRPr="00E113B9" w:rsidRDefault="006E041F" w:rsidP="00E04101">
      <w:pPr>
        <w:pStyle w:val="ListParagraph"/>
        <w:numPr>
          <w:ilvl w:val="0"/>
          <w:numId w:val="23"/>
        </w:numPr>
        <w:jc w:val="both"/>
        <w:rPr>
          <w:b/>
          <w:lang w:val="sv-SE"/>
        </w:rPr>
      </w:pPr>
      <w:r w:rsidRPr="00E113B9">
        <w:rPr>
          <w:b/>
          <w:lang w:val="sv-SE"/>
        </w:rPr>
        <w:t>Objektivat e propozimit:</w:t>
      </w:r>
    </w:p>
    <w:p w:rsidR="006E041F" w:rsidRPr="00E113B9" w:rsidRDefault="006E041F" w:rsidP="00E878A5">
      <w:pPr>
        <w:jc w:val="both"/>
        <w:rPr>
          <w:lang w:val="sv-SE"/>
        </w:rPr>
      </w:pPr>
    </w:p>
    <w:p w:rsidR="009D5EA9" w:rsidRPr="00E113B9" w:rsidRDefault="006B09FD" w:rsidP="009D5EA9">
      <w:pPr>
        <w:jc w:val="both"/>
        <w:rPr>
          <w:lang w:val="sv-SE"/>
        </w:rPr>
      </w:pPr>
      <w:r w:rsidRPr="00E113B9">
        <w:rPr>
          <w:lang w:val="sv-SE"/>
        </w:rPr>
        <w:t>Objektivi i P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>rgjithsh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>m i hart</w:t>
      </w:r>
      <w:r w:rsidRPr="00E113B9">
        <w:rPr>
          <w:lang w:val="sv-SE"/>
        </w:rPr>
        <w:t>imit t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 xml:space="preserve"> k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>tij ligji t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 xml:space="preserve"> ri “P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>r Tatimin mbi vler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 xml:space="preserve">n e shtuar“ </w:t>
      </w:r>
      <w:r w:rsidR="00C42D78" w:rsidRPr="00E113B9">
        <w:rPr>
          <w:lang w:val="sv-SE"/>
        </w:rPr>
        <w:t>ë</w:t>
      </w:r>
      <w:r w:rsidRPr="00E113B9">
        <w:rPr>
          <w:lang w:val="sv-SE"/>
        </w:rPr>
        <w:t>sht</w:t>
      </w:r>
      <w:r w:rsidR="00C42D78" w:rsidRPr="00E113B9">
        <w:rPr>
          <w:lang w:val="sv-SE"/>
        </w:rPr>
        <w:t>ë</w:t>
      </w:r>
      <w:r w:rsidRPr="00E113B9">
        <w:rPr>
          <w:lang w:val="sv-SE"/>
        </w:rPr>
        <w:t xml:space="preserve"> q</w:t>
      </w:r>
      <w:r w:rsidR="00C42D78" w:rsidRPr="00E113B9">
        <w:rPr>
          <w:lang w:val="sv-SE"/>
        </w:rPr>
        <w:t>ë</w:t>
      </w:r>
      <w:r w:rsidR="009D5EA9" w:rsidRPr="00E113B9">
        <w:rPr>
          <w:lang w:val="sv-SE"/>
        </w:rPr>
        <w:t xml:space="preserve"> t</w:t>
      </w:r>
      <w:r w:rsidR="00C42D78" w:rsidRPr="00E113B9">
        <w:rPr>
          <w:lang w:val="sv-SE"/>
        </w:rPr>
        <w:t>ë</w:t>
      </w:r>
      <w:r w:rsidRPr="00E113B9">
        <w:rPr>
          <w:lang w:val="sv-SE"/>
        </w:rPr>
        <w:t xml:space="preserve"> siguroj</w:t>
      </w:r>
      <w:r w:rsidR="00C42D78" w:rsidRPr="00E113B9">
        <w:rPr>
          <w:lang w:val="sv-SE"/>
        </w:rPr>
        <w:t>ë</w:t>
      </w:r>
      <w:r w:rsidR="00037884" w:rsidRPr="00E113B9">
        <w:rPr>
          <w:lang w:val="sv-SE"/>
        </w:rPr>
        <w:t xml:space="preserve"> </w:t>
      </w:r>
      <w:r w:rsidR="009D5EA9" w:rsidRPr="00E113B9">
        <w:rPr>
          <w:lang w:val="sv-SE"/>
        </w:rPr>
        <w:t>p</w:t>
      </w:r>
      <w:r w:rsidR="00C42D78" w:rsidRPr="00E113B9">
        <w:rPr>
          <w:lang w:val="sv-SE"/>
        </w:rPr>
        <w:t>ë</w:t>
      </w:r>
      <w:r w:rsidR="0029244C" w:rsidRPr="00E113B9">
        <w:rPr>
          <w:lang w:val="sv-SE"/>
        </w:rPr>
        <w:t>rputhshm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>rin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 xml:space="preserve"> e rregullave t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 xml:space="preserve"> aplikimit t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 xml:space="preserve"> tatimit mbi vler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>n e shtuar n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 xml:space="preserve"> Shqip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>ri me vendet an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>tare t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 xml:space="preserve"> BE-s</w:t>
      </w:r>
      <w:r w:rsidR="00173F46" w:rsidRPr="00E113B9">
        <w:rPr>
          <w:lang w:val="sv-SE"/>
        </w:rPr>
        <w:t>ë</w:t>
      </w:r>
      <w:r w:rsidR="0029244C" w:rsidRPr="00E113B9">
        <w:rPr>
          <w:lang w:val="sv-SE"/>
        </w:rPr>
        <w:t>, me q</w:t>
      </w:r>
      <w:r w:rsidR="00173F46" w:rsidRPr="00E113B9">
        <w:rPr>
          <w:lang w:val="sv-SE"/>
        </w:rPr>
        <w:t>ë</w:t>
      </w:r>
      <w:r w:rsidR="009D5EA9" w:rsidRPr="00E113B9">
        <w:rPr>
          <w:lang w:val="sv-SE"/>
        </w:rPr>
        <w:t>llim mos</w:t>
      </w:r>
      <w:r w:rsidR="0029244C" w:rsidRPr="00E113B9">
        <w:rPr>
          <w:lang w:val="sv-SE"/>
        </w:rPr>
        <w:t xml:space="preserve"> shtrembërimin e kushteve</w:t>
      </w:r>
      <w:r w:rsidR="001F51C4" w:rsidRPr="00E113B9">
        <w:rPr>
          <w:lang w:val="sv-SE"/>
        </w:rPr>
        <w:t xml:space="preserve"> t</w:t>
      </w:r>
      <w:r w:rsidR="00173F46" w:rsidRPr="00E113B9">
        <w:rPr>
          <w:lang w:val="sv-SE"/>
        </w:rPr>
        <w:t>ë</w:t>
      </w:r>
      <w:r w:rsidR="001F51C4" w:rsidRPr="00E113B9">
        <w:rPr>
          <w:lang w:val="sv-SE"/>
        </w:rPr>
        <w:t xml:space="preserve"> konkurrencës dhe mos </w:t>
      </w:r>
      <w:r w:rsidR="009D5EA9" w:rsidRPr="00E113B9">
        <w:rPr>
          <w:lang w:val="sv-SE"/>
        </w:rPr>
        <w:t>pe</w:t>
      </w:r>
      <w:r w:rsidR="001F51C4" w:rsidRPr="00E113B9">
        <w:rPr>
          <w:lang w:val="sv-SE"/>
        </w:rPr>
        <w:t>ngimin e qarkullimit t</w:t>
      </w:r>
      <w:r w:rsidR="00173F46" w:rsidRPr="00E113B9">
        <w:rPr>
          <w:lang w:val="sv-SE"/>
        </w:rPr>
        <w:t>ë</w:t>
      </w:r>
      <w:r w:rsidR="009D5EA9" w:rsidRPr="00E113B9">
        <w:rPr>
          <w:lang w:val="sv-SE"/>
        </w:rPr>
        <w:t xml:space="preserve"> lirë të mallrave dhe të shërbimeve duke eliminu</w:t>
      </w:r>
      <w:r w:rsidR="001F51C4" w:rsidRPr="00E113B9">
        <w:rPr>
          <w:lang w:val="sv-SE"/>
        </w:rPr>
        <w:t>ar sa është e mundur faktorët t</w:t>
      </w:r>
      <w:r w:rsidR="00173F46" w:rsidRPr="00E113B9">
        <w:rPr>
          <w:lang w:val="sv-SE"/>
        </w:rPr>
        <w:t>ë</w:t>
      </w:r>
      <w:r w:rsidR="001F51C4" w:rsidRPr="00E113B9">
        <w:rPr>
          <w:lang w:val="sv-SE"/>
        </w:rPr>
        <w:t xml:space="preserve"> cil</w:t>
      </w:r>
      <w:r w:rsidR="00173F46" w:rsidRPr="00E113B9">
        <w:rPr>
          <w:lang w:val="sv-SE"/>
        </w:rPr>
        <w:t>ë</w:t>
      </w:r>
      <w:r w:rsidR="001F51C4" w:rsidRPr="00E113B9">
        <w:rPr>
          <w:lang w:val="sv-SE"/>
        </w:rPr>
        <w:t>t mund të shtrembërojnë k</w:t>
      </w:r>
      <w:r w:rsidR="00173F46" w:rsidRPr="00E113B9">
        <w:rPr>
          <w:lang w:val="sv-SE"/>
        </w:rPr>
        <w:t>ë</w:t>
      </w:r>
      <w:r w:rsidR="001F51C4" w:rsidRPr="00E113B9">
        <w:rPr>
          <w:lang w:val="sv-SE"/>
        </w:rPr>
        <w:t>to kushte jo vet</w:t>
      </w:r>
      <w:r w:rsidR="00173F46" w:rsidRPr="00E113B9">
        <w:rPr>
          <w:lang w:val="sv-SE"/>
        </w:rPr>
        <w:t>ë</w:t>
      </w:r>
      <w:r w:rsidR="001F51C4" w:rsidRPr="00E113B9">
        <w:rPr>
          <w:lang w:val="sv-SE"/>
        </w:rPr>
        <w:t>m në rrafshin kombëtar, por p</w:t>
      </w:r>
      <w:r w:rsidR="00173F46" w:rsidRPr="00E113B9">
        <w:rPr>
          <w:lang w:val="sv-SE"/>
        </w:rPr>
        <w:t>ë</w:t>
      </w:r>
      <w:r w:rsidR="001F51C4" w:rsidRPr="00E113B9">
        <w:rPr>
          <w:lang w:val="sv-SE"/>
        </w:rPr>
        <w:t>r t’i paraprir</w:t>
      </w:r>
      <w:r w:rsidR="00173F46" w:rsidRPr="00E113B9">
        <w:rPr>
          <w:lang w:val="sv-SE"/>
        </w:rPr>
        <w:t>ë</w:t>
      </w:r>
      <w:r w:rsidR="009D5EA9" w:rsidRPr="00E113B9">
        <w:rPr>
          <w:lang w:val="sv-SE"/>
        </w:rPr>
        <w:t xml:space="preserve"> edhe atij komunitar. </w:t>
      </w:r>
    </w:p>
    <w:p w:rsidR="009D5EA9" w:rsidRPr="00E113B9" w:rsidRDefault="009D5EA9" w:rsidP="00E878A5">
      <w:pPr>
        <w:jc w:val="both"/>
        <w:rPr>
          <w:lang w:val="sv-SE"/>
        </w:rPr>
      </w:pPr>
    </w:p>
    <w:p w:rsidR="009D5EA9" w:rsidRPr="00E113B9" w:rsidRDefault="009D5EA9" w:rsidP="00E878A5">
      <w:pPr>
        <w:jc w:val="both"/>
        <w:rPr>
          <w:lang w:val="sv-SE"/>
        </w:rPr>
      </w:pPr>
      <w:r w:rsidRPr="00E113B9">
        <w:rPr>
          <w:lang w:val="sv-SE"/>
        </w:rPr>
        <w:t>Bazuar n</w:t>
      </w:r>
      <w:r w:rsidR="00C42D78" w:rsidRPr="00E113B9">
        <w:rPr>
          <w:lang w:val="sv-SE"/>
        </w:rPr>
        <w:t>ë</w:t>
      </w:r>
      <w:r w:rsidRPr="00E113B9">
        <w:rPr>
          <w:lang w:val="sv-SE"/>
        </w:rPr>
        <w:t>:</w:t>
      </w:r>
    </w:p>
    <w:p w:rsidR="009D5EA9" w:rsidRPr="00E113B9" w:rsidRDefault="00E50081" w:rsidP="00E878A5">
      <w:pPr>
        <w:jc w:val="both"/>
        <w:rPr>
          <w:lang w:val="sv-SE"/>
        </w:rPr>
      </w:pPr>
      <w:r w:rsidRPr="00E113B9">
        <w:rPr>
          <w:lang w:val="sv-SE"/>
        </w:rPr>
        <w:t>N</w:t>
      </w:r>
      <w:r w:rsidR="00173F46" w:rsidRPr="00E113B9">
        <w:rPr>
          <w:lang w:val="sv-SE"/>
        </w:rPr>
        <w:t>ë</w:t>
      </w:r>
      <w:r w:rsidR="009D5EA9" w:rsidRPr="00E113B9">
        <w:rPr>
          <w:lang w:val="sv-SE"/>
        </w:rPr>
        <w:t xml:space="preserve"> ne</w:t>
      </w:r>
      <w:r w:rsidR="00D32D78" w:rsidRPr="00E113B9">
        <w:rPr>
          <w:lang w:val="sv-SE"/>
        </w:rPr>
        <w:t xml:space="preserve">nin 70 </w:t>
      </w:r>
      <w:r w:rsidR="0054398B" w:rsidRPr="00E113B9">
        <w:rPr>
          <w:lang w:val="sv-SE"/>
        </w:rPr>
        <w:t>t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 xml:space="preserve"> Marr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>v</w:t>
      </w:r>
      <w:r w:rsidR="00603068" w:rsidRPr="00E113B9">
        <w:rPr>
          <w:lang w:val="sv-SE"/>
        </w:rPr>
        <w:t>e</w:t>
      </w:r>
      <w:r w:rsidR="00D32D78" w:rsidRPr="00E113B9">
        <w:rPr>
          <w:lang w:val="sv-SE"/>
        </w:rPr>
        <w:t>shje</w:t>
      </w:r>
      <w:r w:rsidRPr="00E113B9">
        <w:rPr>
          <w:lang w:val="sv-SE"/>
        </w:rPr>
        <w:t xml:space="preserve">s 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>e Stabiliz</w:t>
      </w:r>
      <w:r w:rsidR="0054398B" w:rsidRPr="00E113B9">
        <w:rPr>
          <w:lang w:val="sv-SE"/>
        </w:rPr>
        <w:t>i</w:t>
      </w:r>
      <w:r w:rsidR="00D32D78" w:rsidRPr="00E113B9">
        <w:rPr>
          <w:lang w:val="sv-SE"/>
        </w:rPr>
        <w:t xml:space="preserve">m Associmit, </w:t>
      </w:r>
      <w:r w:rsidR="0054398B" w:rsidRPr="00E113B9">
        <w:rPr>
          <w:lang w:val="sv-SE"/>
        </w:rPr>
        <w:t>b</w:t>
      </w:r>
      <w:r w:rsidRPr="00E113B9">
        <w:rPr>
          <w:lang w:val="sv-SE"/>
        </w:rPr>
        <w:t>renda faz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>s s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 xml:space="preserve"> par</w:t>
      </w:r>
      <w:r w:rsidR="00C42D78" w:rsidRPr="00E113B9">
        <w:rPr>
          <w:lang w:val="sv-SE"/>
        </w:rPr>
        <w:t>ë</w:t>
      </w:r>
      <w:r w:rsidR="00D32D78" w:rsidRPr="00E113B9">
        <w:rPr>
          <w:lang w:val="sv-SE"/>
        </w:rPr>
        <w:t xml:space="preserve"> </w:t>
      </w:r>
      <w:r w:rsidR="006B09FD" w:rsidRPr="00E113B9">
        <w:rPr>
          <w:lang w:val="sv-SE"/>
        </w:rPr>
        <w:t>t</w:t>
      </w:r>
      <w:r w:rsidR="00C42D78" w:rsidRPr="00E113B9">
        <w:rPr>
          <w:lang w:val="sv-SE"/>
        </w:rPr>
        <w:t>ë</w:t>
      </w:r>
      <w:r w:rsidR="006B09FD" w:rsidRPr="00E113B9">
        <w:rPr>
          <w:lang w:val="sv-SE"/>
        </w:rPr>
        <w:t xml:space="preserve"> </w:t>
      </w:r>
      <w:r w:rsidR="00D32D78" w:rsidRPr="00E113B9">
        <w:rPr>
          <w:lang w:val="sv-SE"/>
        </w:rPr>
        <w:t>p</w:t>
      </w:r>
      <w:r w:rsidR="00C42D78" w:rsidRPr="00E113B9">
        <w:rPr>
          <w:lang w:val="sv-SE"/>
        </w:rPr>
        <w:t>ë</w:t>
      </w:r>
      <w:r w:rsidR="006B09FD" w:rsidRPr="00E113B9">
        <w:rPr>
          <w:lang w:val="sv-SE"/>
        </w:rPr>
        <w:t>rcaktu</w:t>
      </w:r>
      <w:r w:rsidR="00D32D78" w:rsidRPr="00E113B9">
        <w:rPr>
          <w:lang w:val="sv-SE"/>
        </w:rPr>
        <w:t>a</w:t>
      </w:r>
      <w:r w:rsidR="006B09FD" w:rsidRPr="00E113B9">
        <w:rPr>
          <w:lang w:val="sv-SE"/>
        </w:rPr>
        <w:t>r</w:t>
      </w:r>
      <w:r w:rsidR="00D32D78" w:rsidRPr="00E113B9">
        <w:rPr>
          <w:lang w:val="sv-SE"/>
        </w:rPr>
        <w:t xml:space="preserve"> n</w:t>
      </w:r>
      <w:r w:rsidR="00C42D78" w:rsidRPr="00E113B9">
        <w:rPr>
          <w:lang w:val="sv-SE"/>
        </w:rPr>
        <w:t>ë</w:t>
      </w:r>
      <w:r w:rsidRPr="00E113B9">
        <w:rPr>
          <w:lang w:val="sv-SE"/>
        </w:rPr>
        <w:t xml:space="preserve"> nenin 6 t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 xml:space="preserve"> k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>saj marr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>v</w:t>
      </w:r>
      <w:r w:rsidRPr="00E113B9">
        <w:rPr>
          <w:lang w:val="sv-SE"/>
        </w:rPr>
        <w:t>eshje, Shqip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>ria ka ader</w:t>
      </w:r>
      <w:r w:rsidR="00573F5D" w:rsidRPr="00E113B9">
        <w:rPr>
          <w:lang w:val="sv-SE"/>
        </w:rPr>
        <w:t xml:space="preserve">imin e </w:t>
      </w:r>
      <w:r w:rsidR="00D32D78" w:rsidRPr="00E113B9">
        <w:rPr>
          <w:lang w:val="sv-SE"/>
        </w:rPr>
        <w:t>p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>raf</w:t>
      </w:r>
      <w:r w:rsidRPr="00E113B9">
        <w:rPr>
          <w:lang w:val="sv-SE"/>
        </w:rPr>
        <w:t>rimit t</w:t>
      </w:r>
      <w:r w:rsidR="00173F46" w:rsidRPr="00E113B9">
        <w:rPr>
          <w:lang w:val="sv-SE"/>
        </w:rPr>
        <w:t>ë</w:t>
      </w:r>
      <w:r w:rsidR="00573F5D" w:rsidRPr="00E113B9">
        <w:rPr>
          <w:lang w:val="sv-SE"/>
        </w:rPr>
        <w:t xml:space="preserve"> legji</w:t>
      </w:r>
      <w:r w:rsidR="00D32D78" w:rsidRPr="00E113B9">
        <w:rPr>
          <w:lang w:val="sv-SE"/>
        </w:rPr>
        <w:t>s</w:t>
      </w:r>
      <w:r w:rsidR="00573F5D" w:rsidRPr="00E113B9">
        <w:rPr>
          <w:lang w:val="sv-SE"/>
        </w:rPr>
        <w:t>l</w:t>
      </w:r>
      <w:r w:rsidRPr="00E113B9">
        <w:rPr>
          <w:lang w:val="sv-SE"/>
        </w:rPr>
        <w:t>acionit n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 xml:space="preserve"> fush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>n e taksave indirekte</w:t>
      </w:r>
      <w:r w:rsidR="00573F5D" w:rsidRPr="00E113B9">
        <w:rPr>
          <w:lang w:val="sv-SE"/>
        </w:rPr>
        <w:t>, konkret</w:t>
      </w:r>
      <w:r w:rsidR="00D32D78" w:rsidRPr="00E113B9">
        <w:rPr>
          <w:lang w:val="sv-SE"/>
        </w:rPr>
        <w:t>isht T</w:t>
      </w:r>
      <w:r w:rsidR="00573F5D" w:rsidRPr="00E113B9">
        <w:rPr>
          <w:lang w:val="sv-SE"/>
        </w:rPr>
        <w:t>a</w:t>
      </w:r>
      <w:r w:rsidRPr="00E113B9">
        <w:rPr>
          <w:lang w:val="sv-SE"/>
        </w:rPr>
        <w:t>t</w:t>
      </w:r>
      <w:r w:rsidR="00D32D78" w:rsidRPr="00E113B9">
        <w:rPr>
          <w:lang w:val="sv-SE"/>
        </w:rPr>
        <w:t>imi</w:t>
      </w:r>
      <w:r w:rsidRPr="00E113B9">
        <w:rPr>
          <w:lang w:val="sv-SE"/>
        </w:rPr>
        <w:t>t</w:t>
      </w:r>
      <w:r w:rsidR="00D32D78" w:rsidRPr="00E113B9">
        <w:rPr>
          <w:lang w:val="sv-SE"/>
        </w:rPr>
        <w:t xml:space="preserve"> </w:t>
      </w:r>
      <w:r w:rsidRPr="00E113B9">
        <w:rPr>
          <w:lang w:val="sv-SE"/>
        </w:rPr>
        <w:t>mbi vler</w:t>
      </w:r>
      <w:r w:rsidR="00780A86">
        <w:rPr>
          <w:lang w:val="sv-SE"/>
        </w:rPr>
        <w:t>ë</w:t>
      </w:r>
      <w:r w:rsidRPr="00E113B9">
        <w:rPr>
          <w:lang w:val="sv-SE"/>
        </w:rPr>
        <w:t>n e shtuar me acquis n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 xml:space="preserve"> k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>t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 xml:space="preserve"> fush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 xml:space="preserve">. </w:t>
      </w:r>
    </w:p>
    <w:p w:rsidR="009D5EA9" w:rsidRPr="00E113B9" w:rsidRDefault="009D5EA9" w:rsidP="00E878A5">
      <w:pPr>
        <w:jc w:val="both"/>
        <w:rPr>
          <w:lang w:val="sv-SE"/>
        </w:rPr>
      </w:pPr>
    </w:p>
    <w:p w:rsidR="009D5EA9" w:rsidRPr="00E113B9" w:rsidRDefault="009D5EA9" w:rsidP="00E878A5">
      <w:pPr>
        <w:jc w:val="both"/>
        <w:rPr>
          <w:lang w:val="sv-SE"/>
        </w:rPr>
      </w:pPr>
      <w:r w:rsidRPr="00E113B9">
        <w:rPr>
          <w:lang w:val="sv-SE"/>
        </w:rPr>
        <w:t>N</w:t>
      </w:r>
      <w:r w:rsidR="00173F46" w:rsidRPr="00E113B9">
        <w:rPr>
          <w:lang w:val="sv-SE"/>
        </w:rPr>
        <w:t>ë</w:t>
      </w:r>
      <w:r w:rsidR="00D32D78" w:rsidRPr="00E113B9">
        <w:rPr>
          <w:lang w:val="sv-SE"/>
        </w:rPr>
        <w:t xml:space="preserve"> nenin 98 “T</w:t>
      </w:r>
      <w:r w:rsidRPr="00E113B9">
        <w:rPr>
          <w:lang w:val="sv-SE"/>
        </w:rPr>
        <w:t>a</w:t>
      </w:r>
      <w:r w:rsidR="00603068" w:rsidRPr="00E113B9">
        <w:rPr>
          <w:lang w:val="sv-SE"/>
        </w:rPr>
        <w:t>t</w:t>
      </w:r>
      <w:r w:rsidR="000F62D0" w:rsidRPr="00E113B9">
        <w:rPr>
          <w:lang w:val="sv-SE"/>
        </w:rPr>
        <w:t>imet t</w:t>
      </w:r>
      <w:r w:rsidR="00173F46" w:rsidRPr="00E113B9">
        <w:rPr>
          <w:lang w:val="sv-SE"/>
        </w:rPr>
        <w:t>ë</w:t>
      </w:r>
      <w:r w:rsidR="00B13C4A" w:rsidRPr="00E113B9">
        <w:rPr>
          <w:lang w:val="sv-SE"/>
        </w:rPr>
        <w:t xml:space="preserve"> MSA” </w:t>
      </w:r>
      <w:r w:rsidR="00173F46" w:rsidRPr="00E113B9">
        <w:rPr>
          <w:lang w:val="sv-SE"/>
        </w:rPr>
        <w:t>ë</w:t>
      </w:r>
      <w:r w:rsidR="00B13C4A" w:rsidRPr="00E113B9">
        <w:rPr>
          <w:lang w:val="sv-SE"/>
        </w:rPr>
        <w:t>sht</w:t>
      </w:r>
      <w:r w:rsidR="00173F46" w:rsidRPr="00E113B9">
        <w:rPr>
          <w:lang w:val="sv-SE"/>
        </w:rPr>
        <w:t>ë</w:t>
      </w:r>
      <w:r w:rsidR="00573F5D" w:rsidRPr="00E113B9">
        <w:rPr>
          <w:lang w:val="sv-SE"/>
        </w:rPr>
        <w:t xml:space="preserve"> q</w:t>
      </w:r>
      <w:r w:rsidRPr="00E113B9">
        <w:rPr>
          <w:lang w:val="sv-SE"/>
        </w:rPr>
        <w:t>a</w:t>
      </w:r>
      <w:r w:rsidR="00573F5D" w:rsidRPr="00E113B9">
        <w:rPr>
          <w:lang w:val="sv-SE"/>
        </w:rPr>
        <w:t>r</w:t>
      </w:r>
      <w:r w:rsidR="00B13C4A" w:rsidRPr="00E113B9">
        <w:rPr>
          <w:lang w:val="sv-SE"/>
        </w:rPr>
        <w:t>t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>si</w:t>
      </w:r>
      <w:r w:rsidR="00573F5D" w:rsidRPr="00E113B9">
        <w:rPr>
          <w:lang w:val="sv-SE"/>
        </w:rPr>
        <w:t>s</w:t>
      </w:r>
      <w:r w:rsidR="00B13C4A" w:rsidRPr="00E113B9">
        <w:rPr>
          <w:lang w:val="sv-SE"/>
        </w:rPr>
        <w:t>ht i p</w:t>
      </w:r>
      <w:r w:rsidR="00173F46" w:rsidRPr="00E113B9">
        <w:rPr>
          <w:lang w:val="sv-SE"/>
        </w:rPr>
        <w:t>ë</w:t>
      </w:r>
      <w:r w:rsidRPr="00E113B9">
        <w:rPr>
          <w:lang w:val="sv-SE"/>
        </w:rPr>
        <w:t>rca</w:t>
      </w:r>
      <w:r w:rsidR="00573F5D" w:rsidRPr="00E113B9">
        <w:rPr>
          <w:lang w:val="sv-SE"/>
        </w:rPr>
        <w:t>k</w:t>
      </w:r>
      <w:r w:rsidRPr="00E113B9">
        <w:rPr>
          <w:lang w:val="sv-SE"/>
        </w:rPr>
        <w:t>tua</w:t>
      </w:r>
      <w:r w:rsidR="00573F5D" w:rsidRPr="00E113B9">
        <w:rPr>
          <w:lang w:val="sv-SE"/>
        </w:rPr>
        <w:t>r</w:t>
      </w:r>
      <w:r w:rsidRPr="00E113B9">
        <w:rPr>
          <w:lang w:val="sv-SE"/>
        </w:rPr>
        <w:t xml:space="preserve"> detyrimi se “Bashkëpunimi do të marrë parasysh në mënyrën e duhur fushat prioritare që lidhen me </w:t>
      </w:r>
      <w:r w:rsidRPr="00E113B9">
        <w:rPr>
          <w:i/>
          <w:iCs/>
          <w:lang w:val="sv-SE"/>
        </w:rPr>
        <w:t xml:space="preserve">acquis </w:t>
      </w:r>
      <w:r w:rsidRPr="00E113B9">
        <w:rPr>
          <w:lang w:val="sv-SE"/>
        </w:rPr>
        <w:t>e Komunitetit në fushën e tatimeve dhe të luftës kundër konku</w:t>
      </w:r>
      <w:r w:rsidR="004B284C" w:rsidRPr="00E113B9">
        <w:rPr>
          <w:lang w:val="sv-SE"/>
        </w:rPr>
        <w:t>rrencës së dëmshme të tatimeve”.</w:t>
      </w:r>
    </w:p>
    <w:p w:rsidR="009D5EA9" w:rsidRPr="00E113B9" w:rsidRDefault="009D5EA9" w:rsidP="00E878A5">
      <w:pPr>
        <w:jc w:val="both"/>
        <w:rPr>
          <w:lang w:val="sv-SE"/>
        </w:rPr>
      </w:pPr>
    </w:p>
    <w:p w:rsidR="009D5EA9" w:rsidRPr="00E113B9" w:rsidRDefault="005C52F6" w:rsidP="00E878A5">
      <w:pPr>
        <w:jc w:val="both"/>
        <w:rPr>
          <w:lang w:val="it-IT"/>
        </w:rPr>
      </w:pP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="009D5EA9" w:rsidRPr="00E113B9">
        <w:rPr>
          <w:lang w:val="it-IT"/>
        </w:rPr>
        <w:t xml:space="preserve"> rek</w:t>
      </w:r>
      <w:r w:rsidRPr="00E113B9">
        <w:rPr>
          <w:lang w:val="it-IT"/>
        </w:rPr>
        <w:t>omandimet e Progres Raporteve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vitit 2010, 2011 dhe 2012</w:t>
      </w:r>
      <w:r w:rsidR="009D5EA9" w:rsidRPr="00E113B9">
        <w:rPr>
          <w:lang w:val="it-IT"/>
        </w:rPr>
        <w:t>,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seksionin e Tregut t</w:t>
      </w:r>
      <w:r w:rsidR="00173F46" w:rsidRPr="00E113B9">
        <w:rPr>
          <w:lang w:val="it-IT"/>
        </w:rPr>
        <w:t>ë</w:t>
      </w:r>
      <w:r w:rsidR="00603068" w:rsidRPr="00E113B9">
        <w:rPr>
          <w:lang w:val="it-IT"/>
        </w:rPr>
        <w:t xml:space="preserve"> Brendsh</w:t>
      </w:r>
      <w:r w:rsidR="00173F46" w:rsidRPr="00E113B9">
        <w:rPr>
          <w:lang w:val="it-IT"/>
        </w:rPr>
        <w:t>ë</w:t>
      </w:r>
      <w:r w:rsidR="00603068" w:rsidRPr="00E113B9">
        <w:rPr>
          <w:lang w:val="it-IT"/>
        </w:rPr>
        <w:t>m</w:t>
      </w:r>
      <w:r w:rsidR="009D5EA9" w:rsidRPr="00E113B9">
        <w:rPr>
          <w:lang w:val="it-IT"/>
        </w:rPr>
        <w:t>” struktura e Komisionit Europi</w:t>
      </w:r>
      <w:r w:rsidR="00573F5D" w:rsidRPr="00E113B9">
        <w:rPr>
          <w:lang w:val="it-IT"/>
        </w:rPr>
        <w:t>a</w:t>
      </w:r>
      <w:r w:rsidRPr="00E113B9">
        <w:rPr>
          <w:lang w:val="it-IT"/>
        </w:rPr>
        <w:t>n kan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evidentuar detyrimin e Shqip</w:t>
      </w:r>
      <w:r w:rsidR="00173F46" w:rsidRPr="00E113B9">
        <w:rPr>
          <w:lang w:val="it-IT"/>
        </w:rPr>
        <w:t>ë</w:t>
      </w:r>
      <w:r w:rsidR="009D5EA9" w:rsidRPr="00E113B9">
        <w:rPr>
          <w:lang w:val="it-IT"/>
        </w:rPr>
        <w:t>ris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rafrim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legjislacionit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fush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 e taksave me acquis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fush</w:t>
      </w:r>
      <w:r w:rsidR="00173F46" w:rsidRPr="00E113B9">
        <w:rPr>
          <w:lang w:val="it-IT"/>
        </w:rPr>
        <w:t>ë</w:t>
      </w:r>
      <w:r w:rsidR="009D5EA9" w:rsidRPr="00E113B9">
        <w:rPr>
          <w:lang w:val="it-IT"/>
        </w:rPr>
        <w:t>.</w:t>
      </w:r>
    </w:p>
    <w:p w:rsidR="009D5EA9" w:rsidRPr="00E113B9" w:rsidRDefault="009D5EA9" w:rsidP="00E878A5">
      <w:pPr>
        <w:jc w:val="both"/>
        <w:rPr>
          <w:lang w:val="it-IT"/>
        </w:rPr>
      </w:pPr>
    </w:p>
    <w:p w:rsidR="009D5EA9" w:rsidRPr="00E113B9" w:rsidRDefault="009D5EA9" w:rsidP="00E878A5">
      <w:pPr>
        <w:jc w:val="both"/>
        <w:rPr>
          <w:lang w:val="it-IT"/>
        </w:rPr>
      </w:pPr>
      <w:r w:rsidRPr="00E113B9">
        <w:rPr>
          <w:lang w:val="it-IT"/>
        </w:rPr>
        <w:t>Me q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>llim p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>rmbushjen e detyrimeve t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 xml:space="preserve"> parashiku</w:t>
      </w:r>
      <w:r w:rsidR="00603068" w:rsidRPr="00E113B9">
        <w:rPr>
          <w:lang w:val="it-IT"/>
        </w:rPr>
        <w:t>a</w:t>
      </w:r>
      <w:r w:rsidRPr="00E113B9">
        <w:rPr>
          <w:lang w:val="it-IT"/>
        </w:rPr>
        <w:t>ra p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>r Shqip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>rin</w:t>
      </w:r>
      <w:r w:rsidR="00573F5D" w:rsidRPr="00E113B9">
        <w:rPr>
          <w:lang w:val="it-IT"/>
        </w:rPr>
        <w:t>ë</w:t>
      </w:r>
      <w:r w:rsidR="003B303F"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Marrevshjen e Stabilizm Associmit 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>s</w:t>
      </w:r>
      <w:r w:rsidR="00573F5D" w:rsidRPr="00E113B9">
        <w:rPr>
          <w:lang w:val="it-IT"/>
        </w:rPr>
        <w:t>h</w:t>
      </w:r>
      <w:r w:rsidRPr="00E113B9">
        <w:rPr>
          <w:lang w:val="it-IT"/>
        </w:rPr>
        <w:t>t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 xml:space="preserve"> hartuar ky ligji i ri i TSVH</w:t>
      </w:r>
      <w:r w:rsidR="003B303F" w:rsidRPr="00E113B9">
        <w:rPr>
          <w:lang w:val="it-IT"/>
        </w:rPr>
        <w:t>-s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573F5D" w:rsidRPr="00E113B9">
        <w:rPr>
          <w:lang w:val="it-IT"/>
        </w:rPr>
        <w:t>ë</w:t>
      </w:r>
      <w:r w:rsidRPr="00E113B9">
        <w:rPr>
          <w:lang w:val="it-IT"/>
        </w:rPr>
        <w:t>rpuhje me ac</w:t>
      </w:r>
      <w:r w:rsidR="00573F5D" w:rsidRPr="00E113B9">
        <w:rPr>
          <w:lang w:val="it-IT"/>
        </w:rPr>
        <w:t>q</w:t>
      </w:r>
      <w:r w:rsidR="003B303F" w:rsidRPr="00E113B9">
        <w:rPr>
          <w:lang w:val="it-IT"/>
        </w:rPr>
        <w:t>uis n</w:t>
      </w:r>
      <w:r w:rsidR="00173F46" w:rsidRPr="00E113B9">
        <w:rPr>
          <w:lang w:val="it-IT"/>
        </w:rPr>
        <w:t>ë</w:t>
      </w:r>
      <w:r w:rsidR="003B303F" w:rsidRPr="00E113B9">
        <w:rPr>
          <w:lang w:val="it-IT"/>
        </w:rPr>
        <w:t xml:space="preserve">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</w:t>
      </w:r>
      <w:r w:rsidR="00173F46" w:rsidRPr="00E113B9">
        <w:rPr>
          <w:lang w:val="it-IT"/>
        </w:rPr>
        <w:t>ë</w:t>
      </w:r>
      <w:r w:rsidR="003B303F" w:rsidRPr="00E113B9">
        <w:rPr>
          <w:lang w:val="it-IT"/>
        </w:rPr>
        <w:t xml:space="preserve"> fush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.</w:t>
      </w:r>
    </w:p>
    <w:p w:rsidR="00603068" w:rsidRPr="00E113B9" w:rsidRDefault="00603068" w:rsidP="00E878A5">
      <w:pPr>
        <w:jc w:val="both"/>
        <w:rPr>
          <w:lang w:val="it-IT"/>
        </w:rPr>
      </w:pPr>
    </w:p>
    <w:p w:rsidR="00603068" w:rsidRPr="00E113B9" w:rsidRDefault="003B303F" w:rsidP="00E878A5">
      <w:pPr>
        <w:jc w:val="both"/>
        <w:rPr>
          <w:lang w:val="it-IT"/>
        </w:rPr>
      </w:pPr>
      <w:r w:rsidRPr="00E113B9">
        <w:rPr>
          <w:lang w:val="it-IT"/>
        </w:rPr>
        <w:lastRenderedPageBreak/>
        <w:t>Miratimi i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tij projektligji nuk do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shoq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rohet me ndryshimin e ligjeve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tjera n</w:t>
      </w:r>
      <w:r w:rsidR="00173F46" w:rsidRPr="00E113B9">
        <w:rPr>
          <w:lang w:val="it-IT"/>
        </w:rPr>
        <w:t>ë</w:t>
      </w:r>
      <w:r w:rsidR="00603068" w:rsidRPr="00E113B9">
        <w:rPr>
          <w:lang w:val="it-IT"/>
        </w:rPr>
        <w:t xml:space="preserve"> fush</w:t>
      </w:r>
      <w:r w:rsidR="00173F46" w:rsidRPr="00E113B9">
        <w:rPr>
          <w:lang w:val="it-IT"/>
        </w:rPr>
        <w:t>ë</w:t>
      </w:r>
      <w:r w:rsidR="00603068" w:rsidRPr="00E113B9">
        <w:rPr>
          <w:lang w:val="it-IT"/>
        </w:rPr>
        <w:t>n fiskale.</w:t>
      </w:r>
    </w:p>
    <w:p w:rsidR="00603068" w:rsidRPr="00E113B9" w:rsidRDefault="003B303F" w:rsidP="00E878A5">
      <w:pPr>
        <w:jc w:val="both"/>
        <w:rPr>
          <w:lang w:val="it-IT"/>
        </w:rPr>
      </w:pPr>
      <w:r w:rsidRPr="00E113B9">
        <w:rPr>
          <w:lang w:val="it-IT"/>
        </w:rPr>
        <w:t>Ky projektligji do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shfuqizoj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ligjin ekzistues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tatimin mbi vler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 e shtuar dhe akteve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nligjore t</w:t>
      </w:r>
      <w:r w:rsidR="00173F46" w:rsidRPr="00E113B9">
        <w:rPr>
          <w:lang w:val="it-IT"/>
        </w:rPr>
        <w:t>ë</w:t>
      </w:r>
      <w:r w:rsidR="00573F5D" w:rsidRPr="00E113B9">
        <w:rPr>
          <w:lang w:val="it-IT"/>
        </w:rPr>
        <w:t xml:space="preserve"> </w:t>
      </w:r>
      <w:r w:rsidRPr="00E113B9">
        <w:rPr>
          <w:lang w:val="it-IT"/>
        </w:rPr>
        <w:t>dala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zbatim t</w:t>
      </w:r>
      <w:r w:rsidR="00173F46" w:rsidRPr="00E113B9">
        <w:rPr>
          <w:lang w:val="it-IT"/>
        </w:rPr>
        <w:t>ë</w:t>
      </w:r>
      <w:r w:rsidR="00603068" w:rsidRPr="00E113B9">
        <w:rPr>
          <w:lang w:val="it-IT"/>
        </w:rPr>
        <w:t xml:space="preserve"> tij.</w:t>
      </w:r>
    </w:p>
    <w:p w:rsidR="00603068" w:rsidRPr="00E113B9" w:rsidRDefault="00603068" w:rsidP="00E878A5">
      <w:pPr>
        <w:jc w:val="both"/>
        <w:rPr>
          <w:lang w:val="it-IT"/>
        </w:rPr>
      </w:pPr>
    </w:p>
    <w:p w:rsidR="00603068" w:rsidRPr="00E113B9" w:rsidRDefault="003B303F" w:rsidP="00E878A5">
      <w:pPr>
        <w:jc w:val="both"/>
        <w:rPr>
          <w:lang w:val="it-IT"/>
        </w:rPr>
      </w:pPr>
      <w:r w:rsidRPr="00E113B9">
        <w:rPr>
          <w:lang w:val="it-IT"/>
        </w:rPr>
        <w:t>Institucioni q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do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zbatoj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</w:t>
      </w:r>
      <w:r w:rsidR="00173F46" w:rsidRPr="00E113B9">
        <w:rPr>
          <w:lang w:val="it-IT"/>
        </w:rPr>
        <w:t>ë</w:t>
      </w:r>
      <w:r w:rsidR="00DF3EA4" w:rsidRPr="00E113B9">
        <w:rPr>
          <w:lang w:val="it-IT"/>
        </w:rPr>
        <w:t xml:space="preserve"> l</w:t>
      </w:r>
      <w:r w:rsidR="00DD6807" w:rsidRPr="00E113B9">
        <w:rPr>
          <w:lang w:val="it-IT"/>
        </w:rPr>
        <w:t xml:space="preserve">igj 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="00603068" w:rsidRPr="00E113B9">
        <w:rPr>
          <w:lang w:val="it-IT"/>
        </w:rPr>
        <w:t xml:space="preserve"> </w:t>
      </w:r>
      <w:r w:rsidR="008845BC" w:rsidRPr="00E113B9">
        <w:rPr>
          <w:lang w:val="it-IT"/>
        </w:rPr>
        <w:t xml:space="preserve">Ministria e Financave dhe </w:t>
      </w:r>
      <w:r w:rsidR="00603068" w:rsidRPr="00E113B9">
        <w:rPr>
          <w:lang w:val="it-IT"/>
        </w:rPr>
        <w:t>Drej</w:t>
      </w:r>
      <w:r w:rsidR="00DD6807" w:rsidRPr="00E113B9">
        <w:rPr>
          <w:lang w:val="it-IT"/>
        </w:rPr>
        <w:t>toria e P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rgjithshme e Tatimeve, nd</w:t>
      </w:r>
      <w:r w:rsidR="00173F46" w:rsidRPr="00E113B9">
        <w:rPr>
          <w:lang w:val="it-IT"/>
        </w:rPr>
        <w:t>ë</w:t>
      </w:r>
      <w:r w:rsidR="008845BC" w:rsidRPr="00E113B9">
        <w:rPr>
          <w:lang w:val="it-IT"/>
        </w:rPr>
        <w:t>r</w:t>
      </w:r>
      <w:r w:rsidR="00DD6807" w:rsidRPr="00E113B9">
        <w:rPr>
          <w:lang w:val="it-IT"/>
        </w:rPr>
        <w:t>sa  Drejtoria e P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 xml:space="preserve">rgjithshme e Doganave </w:t>
      </w:r>
      <w:r w:rsidR="00173F46" w:rsidRPr="00E113B9">
        <w:rPr>
          <w:lang w:val="it-IT"/>
        </w:rPr>
        <w:t>ë</w:t>
      </w:r>
      <w:r w:rsidR="008845BC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="008845BC"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rgjegj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se p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r t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 xml:space="preserve"> vler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suar, ngarkuar, k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>rkuar dhe mbledhur TVSH-n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="00DD6807" w:rsidRPr="00E113B9">
        <w:rPr>
          <w:lang w:val="it-IT"/>
        </w:rPr>
        <w:t xml:space="preserve"> importe, eksporte dhe n</w:t>
      </w:r>
      <w:r w:rsidR="00173F46" w:rsidRPr="00E113B9">
        <w:rPr>
          <w:lang w:val="it-IT"/>
        </w:rPr>
        <w:t>ë</w:t>
      </w:r>
      <w:r w:rsidR="008845BC" w:rsidRPr="00E113B9">
        <w:rPr>
          <w:lang w:val="it-IT"/>
        </w:rPr>
        <w:t xml:space="preserve"> lidhje me re</w:t>
      </w:r>
      <w:r w:rsidR="00DD6807" w:rsidRPr="00E113B9">
        <w:rPr>
          <w:lang w:val="it-IT"/>
        </w:rPr>
        <w:t>gjimet e tjera doganore sipas k</w:t>
      </w:r>
      <w:r w:rsidR="00173F46" w:rsidRPr="00E113B9">
        <w:rPr>
          <w:lang w:val="it-IT"/>
        </w:rPr>
        <w:t>ë</w:t>
      </w:r>
      <w:r w:rsidR="008845BC" w:rsidRPr="00E113B9">
        <w:rPr>
          <w:lang w:val="it-IT"/>
        </w:rPr>
        <w:t>tij ligji</w:t>
      </w:r>
      <w:r w:rsidR="00DD6807" w:rsidRPr="00E113B9">
        <w:rPr>
          <w:lang w:val="it-IT"/>
        </w:rPr>
        <w:t>.</w:t>
      </w:r>
    </w:p>
    <w:p w:rsidR="00603068" w:rsidRPr="00E113B9" w:rsidRDefault="00603068" w:rsidP="00E878A5">
      <w:pPr>
        <w:jc w:val="both"/>
        <w:rPr>
          <w:lang w:val="it-IT"/>
        </w:rPr>
      </w:pPr>
    </w:p>
    <w:p w:rsidR="00603068" w:rsidRPr="00E113B9" w:rsidRDefault="00DD6807" w:rsidP="00603068">
      <w:pPr>
        <w:numPr>
          <w:ilvl w:val="0"/>
          <w:numId w:val="16"/>
        </w:numPr>
        <w:jc w:val="both"/>
        <w:rPr>
          <w:b/>
          <w:lang w:val="it-IT"/>
        </w:rPr>
      </w:pPr>
      <w:r w:rsidRPr="00E113B9">
        <w:rPr>
          <w:b/>
          <w:lang w:val="it-IT"/>
        </w:rPr>
        <w:t>P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rshkrimi i hapave 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nd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rmarr</w:t>
      </w:r>
      <w:r w:rsidR="00173F46" w:rsidRPr="00E113B9">
        <w:rPr>
          <w:b/>
          <w:lang w:val="it-IT"/>
        </w:rPr>
        <w:t>ë</w:t>
      </w:r>
      <w:r w:rsidR="00603068" w:rsidRPr="00E113B9">
        <w:rPr>
          <w:b/>
          <w:lang w:val="it-IT"/>
        </w:rPr>
        <w:t>:</w:t>
      </w:r>
    </w:p>
    <w:p w:rsidR="00E878A5" w:rsidRPr="00E113B9" w:rsidRDefault="00E878A5" w:rsidP="00E878A5">
      <w:pPr>
        <w:jc w:val="both"/>
        <w:rPr>
          <w:lang w:val="sq-AL"/>
        </w:rPr>
      </w:pPr>
    </w:p>
    <w:p w:rsidR="00E878A5" w:rsidRPr="00E113B9" w:rsidRDefault="00E878A5" w:rsidP="003B0C14">
      <w:pPr>
        <w:numPr>
          <w:ilvl w:val="0"/>
          <w:numId w:val="17"/>
        </w:numPr>
        <w:jc w:val="both"/>
        <w:rPr>
          <w:lang w:val="sq-AL"/>
        </w:rPr>
      </w:pPr>
      <w:r w:rsidRPr="00E113B9">
        <w:rPr>
          <w:lang w:val="sq-AL"/>
        </w:rPr>
        <w:t xml:space="preserve">Projekt Ligji 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>sht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kon</w:t>
      </w:r>
      <w:r w:rsidR="00DD6807" w:rsidRPr="00E113B9">
        <w:rPr>
          <w:lang w:val="sq-AL"/>
        </w:rPr>
        <w:t>ceptuar dhe strukturuar n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 xml:space="preserve"> p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>rputhje me struktur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>n e Direktiv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>s 2006</w:t>
      </w:r>
      <w:r w:rsidR="00DD6807" w:rsidRPr="00E113B9">
        <w:rPr>
          <w:rFonts w:eastAsia="Calibri"/>
          <w:lang w:val="sq-AL"/>
        </w:rPr>
        <w:t>/112/EC dat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28.11.2006</w:t>
      </w:r>
      <w:r w:rsidR="00DD6807" w:rsidRPr="00E113B9">
        <w:rPr>
          <w:lang w:val="sq-AL"/>
        </w:rPr>
        <w:t xml:space="preserve"> t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 xml:space="preserve"> K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>shillit Europian</w:t>
      </w:r>
      <w:r w:rsidR="00DD6807" w:rsidRPr="00E113B9">
        <w:rPr>
          <w:lang w:val="sq-AL"/>
        </w:rPr>
        <w:t xml:space="preserve"> t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konsolidua</w:t>
      </w:r>
      <w:r w:rsidR="00DD6807" w:rsidRPr="00E113B9">
        <w:rPr>
          <w:lang w:val="sq-AL"/>
        </w:rPr>
        <w:t>r me ndryshimet apo shtesat e b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>ra me Direktiva t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 xml:space="preserve"> m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>passhme t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 xml:space="preserve"> K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>shillit t</w:t>
      </w:r>
      <w:r w:rsidR="00173F46" w:rsidRPr="00E113B9">
        <w:rPr>
          <w:lang w:val="sq-AL"/>
        </w:rPr>
        <w:t>ë</w:t>
      </w:r>
      <w:r w:rsidR="00DD6807" w:rsidRPr="00E113B9">
        <w:rPr>
          <w:lang w:val="sq-AL"/>
        </w:rPr>
        <w:t xml:space="preserve"> Europ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s.  </w:t>
      </w:r>
    </w:p>
    <w:p w:rsidR="00E878A5" w:rsidRPr="00E113B9" w:rsidRDefault="00E878A5" w:rsidP="00E878A5">
      <w:pPr>
        <w:jc w:val="both"/>
        <w:rPr>
          <w:rStyle w:val="Strong"/>
          <w:b w:val="0"/>
          <w:lang w:val="sq-AL"/>
        </w:rPr>
      </w:pPr>
      <w:r w:rsidRPr="00E113B9">
        <w:rPr>
          <w:rStyle w:val="Strong"/>
          <w:b w:val="0"/>
          <w:lang w:val="sq-AL"/>
        </w:rPr>
        <w:t>Konkretisht :</w:t>
      </w:r>
    </w:p>
    <w:p w:rsidR="00E878A5" w:rsidRPr="00E113B9" w:rsidRDefault="00E878A5" w:rsidP="00E878A5">
      <w:pPr>
        <w:jc w:val="both"/>
        <w:rPr>
          <w:bCs/>
          <w:lang w:val="sq-AL"/>
        </w:rPr>
      </w:pPr>
      <w:r w:rsidRPr="00E113B9">
        <w:rPr>
          <w:rStyle w:val="Strong"/>
          <w:b w:val="0"/>
          <w:lang w:val="sq-AL"/>
        </w:rPr>
        <w:t>Direktiva 2006 / 112 / CE e Këshillit, datë 28 nëntor 2006, mbi sistemin e përbashkët të tatimit mbi vlerën e shtuar</w:t>
      </w:r>
      <w:r w:rsidRPr="00E113B9">
        <w:rPr>
          <w:rStyle w:val="Emphasis"/>
          <w:i w:val="0"/>
          <w:lang w:val="sq-AL"/>
        </w:rPr>
        <w:t xml:space="preserve">, FLZ nr. 347, datë 11 / 12 / 2006, faqe 0001 – 0118, Celex No. </w:t>
      </w:r>
      <w:r w:rsidRPr="00E113B9">
        <w:rPr>
          <w:rStyle w:val="Strong"/>
          <w:b w:val="0"/>
          <w:lang w:val="sq-AL"/>
        </w:rPr>
        <w:t>32006L0112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sq-AL"/>
        </w:rPr>
      </w:pPr>
      <w:r w:rsidRPr="00E113B9">
        <w:rPr>
          <w:rFonts w:eastAsia="Calibri"/>
          <w:lang w:val="sq-AL"/>
        </w:rPr>
        <w:t xml:space="preserve">Amenduar nga: 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sq-AL"/>
        </w:rPr>
      </w:pPr>
      <w:r w:rsidRPr="00E113B9">
        <w:rPr>
          <w:rFonts w:eastAsia="Calibri"/>
          <w:lang w:val="sq-AL"/>
        </w:rPr>
        <w:t>►</w:t>
      </w:r>
      <w:r w:rsidRPr="00E113B9">
        <w:rPr>
          <w:rFonts w:eastAsia="Calibri"/>
          <w:bCs/>
          <w:lang w:val="sq-AL"/>
        </w:rPr>
        <w:t xml:space="preserve">M1 </w:t>
      </w:r>
      <w:r w:rsidR="00DB511D" w:rsidRPr="00E113B9">
        <w:rPr>
          <w:rFonts w:eastAsia="Calibri"/>
          <w:lang w:val="sq-AL"/>
        </w:rPr>
        <w:t>Direktiva e K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shillit 2006/138/EC of 19 Dhjetor 2006 Gazet</w:t>
      </w:r>
      <w:r w:rsidR="00DB511D" w:rsidRPr="00E113B9">
        <w:rPr>
          <w:rFonts w:eastAsia="Calibri"/>
          <w:lang w:val="sq-AL"/>
        </w:rPr>
        <w:t>a Zyrtare  No L 384, pg 92, dat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29.12.2006, Celex No </w:t>
      </w:r>
      <w:r w:rsidRPr="00E113B9">
        <w:rPr>
          <w:rStyle w:val="Strong"/>
          <w:b w:val="0"/>
          <w:lang w:val="sq-AL"/>
        </w:rPr>
        <w:t>32006L0138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sq-AL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sq-AL"/>
        </w:rPr>
      </w:pPr>
      <w:r w:rsidRPr="00E113B9">
        <w:rPr>
          <w:rFonts w:eastAsia="Calibri"/>
          <w:lang w:val="sq-AL"/>
        </w:rPr>
        <w:t>►</w:t>
      </w:r>
      <w:r w:rsidRPr="00E113B9">
        <w:rPr>
          <w:rFonts w:eastAsia="Calibri"/>
          <w:bCs/>
          <w:lang w:val="sq-AL"/>
        </w:rPr>
        <w:t>M2</w:t>
      </w:r>
      <w:r w:rsidR="00DB511D" w:rsidRPr="00E113B9">
        <w:rPr>
          <w:rFonts w:eastAsia="Calibri"/>
          <w:lang w:val="sq-AL"/>
        </w:rPr>
        <w:t xml:space="preserve"> Direktiva e K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shillit 2007/75/EC of 20 Dhjetor  2007 Gazet</w:t>
      </w:r>
      <w:r w:rsidR="00DB511D" w:rsidRPr="00E113B9">
        <w:rPr>
          <w:rFonts w:eastAsia="Calibri"/>
          <w:lang w:val="sq-AL"/>
        </w:rPr>
        <w:t>a Zyrtare  No L 346, pg 13, dat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29.12.2007, Celex No </w:t>
      </w:r>
      <w:r w:rsidRPr="00E113B9">
        <w:rPr>
          <w:rStyle w:val="Strong"/>
          <w:b w:val="0"/>
          <w:lang w:val="sq-AL"/>
        </w:rPr>
        <w:t>32007L0075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sq-AL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M3 </w:t>
      </w:r>
      <w:r w:rsidR="00DB511D" w:rsidRPr="00E113B9">
        <w:rPr>
          <w:rFonts w:eastAsia="Calibri"/>
        </w:rPr>
        <w:t>Direktiva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2008/8/EC of 12 Shkurt 2008 Gaze</w:t>
      </w:r>
      <w:r w:rsidR="00DB511D" w:rsidRPr="00E113B9">
        <w:rPr>
          <w:rFonts w:eastAsia="Calibri"/>
        </w:rPr>
        <w:t>ta Zyrtare  No L 44, pg 11,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20.02.2008, Celex No</w:t>
      </w:r>
      <w:r w:rsidRPr="00E113B9">
        <w:rPr>
          <w:rStyle w:val="Heading1Char"/>
          <w:b/>
          <w:sz w:val="24"/>
          <w:szCs w:val="24"/>
        </w:rPr>
        <w:t xml:space="preserve"> </w:t>
      </w:r>
      <w:r w:rsidRPr="00E113B9">
        <w:rPr>
          <w:rStyle w:val="Strong"/>
          <w:b w:val="0"/>
        </w:rPr>
        <w:t>32008L0008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  <w:r w:rsidRPr="00E113B9">
        <w:rPr>
          <w:rFonts w:eastAsia="Calibri"/>
        </w:rPr>
        <w:t xml:space="preserve"> 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M4 </w:t>
      </w:r>
      <w:r w:rsidR="00DB511D" w:rsidRPr="00E113B9">
        <w:rPr>
          <w:rFonts w:eastAsia="Calibri"/>
        </w:rPr>
        <w:t>Direktiva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2008/117/EC of 16 Dhjetor 2008 Gaz</w:t>
      </w:r>
      <w:r w:rsidR="00DB511D" w:rsidRPr="00E113B9">
        <w:rPr>
          <w:rFonts w:eastAsia="Calibri"/>
        </w:rPr>
        <w:t>eta Zyrtare  No L 14, pg 7,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20.01.2009, Celex No </w:t>
      </w:r>
      <w:r w:rsidRPr="00E113B9">
        <w:rPr>
          <w:rStyle w:val="Strong"/>
          <w:b w:val="0"/>
        </w:rPr>
        <w:t>32008L0117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M5 </w:t>
      </w:r>
      <w:r w:rsidRPr="00E113B9">
        <w:rPr>
          <w:rFonts w:eastAsia="Calibri"/>
        </w:rPr>
        <w:t>D</w:t>
      </w:r>
      <w:r w:rsidR="00DB511D" w:rsidRPr="00E113B9">
        <w:rPr>
          <w:rFonts w:eastAsia="Calibri"/>
        </w:rPr>
        <w:t>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2009/47/EC of 5 Maj 2009 Gazet</w:t>
      </w:r>
      <w:r w:rsidR="00DB511D" w:rsidRPr="00E113B9">
        <w:rPr>
          <w:rFonts w:eastAsia="Calibri"/>
        </w:rPr>
        <w:t>a Zyrtare  No L 116, pg 18,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09.05.2009, Celex No </w:t>
      </w:r>
      <w:r w:rsidRPr="00E113B9">
        <w:rPr>
          <w:rStyle w:val="Strong"/>
          <w:b w:val="0"/>
        </w:rPr>
        <w:t>32009L0047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M6 </w:t>
      </w:r>
      <w:r w:rsidR="00DB511D" w:rsidRPr="00E113B9">
        <w:rPr>
          <w:rFonts w:eastAsia="Calibri"/>
        </w:rPr>
        <w:t>Direktiva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2009/69/EC of 25 Qershor 2009 Gazet</w:t>
      </w:r>
      <w:r w:rsidR="00DB511D" w:rsidRPr="00E113B9">
        <w:rPr>
          <w:rFonts w:eastAsia="Calibri"/>
        </w:rPr>
        <w:t>a Zyrtare  No L 175, pg 12,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04.07.2009, Celex No</w:t>
      </w:r>
      <w:r w:rsidRPr="00E113B9">
        <w:rPr>
          <w:rStyle w:val="Heading1Char"/>
          <w:b/>
          <w:sz w:val="24"/>
          <w:szCs w:val="24"/>
        </w:rPr>
        <w:t xml:space="preserve"> </w:t>
      </w:r>
      <w:r w:rsidRPr="00E113B9">
        <w:rPr>
          <w:rStyle w:val="Strong"/>
          <w:b w:val="0"/>
        </w:rPr>
        <w:t>32009L0069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M7 </w:t>
      </w:r>
      <w:r w:rsidRPr="00E113B9">
        <w:rPr>
          <w:rFonts w:eastAsia="Calibri"/>
        </w:rPr>
        <w:t>Direktiv</w:t>
      </w:r>
      <w:r w:rsidR="00DB511D" w:rsidRPr="00E113B9">
        <w:rPr>
          <w:rFonts w:eastAsia="Calibri"/>
        </w:rPr>
        <w:t>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2009/162/EU of 22 Dhjetor 2009 Gaze</w:t>
      </w:r>
      <w:r w:rsidR="00DB511D" w:rsidRPr="00E113B9">
        <w:rPr>
          <w:rFonts w:eastAsia="Calibri"/>
        </w:rPr>
        <w:t>ta Zyrtare  No L 10, pg 14,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15.01.2010, Celex No</w:t>
      </w:r>
      <w:r w:rsidRPr="00E113B9">
        <w:rPr>
          <w:rStyle w:val="Heading1Char"/>
          <w:b/>
          <w:sz w:val="24"/>
          <w:szCs w:val="24"/>
        </w:rPr>
        <w:t xml:space="preserve"> </w:t>
      </w:r>
      <w:r w:rsidRPr="00E113B9">
        <w:rPr>
          <w:rStyle w:val="Strong"/>
          <w:b w:val="0"/>
        </w:rPr>
        <w:t>32009L0162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M8 </w:t>
      </w:r>
      <w:r w:rsidR="00DB511D" w:rsidRPr="00E113B9">
        <w:rPr>
          <w:rFonts w:eastAsia="Calibri"/>
        </w:rPr>
        <w:t>Direktiva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2010/23/EU of 16 Mars 2010 Gaz</w:t>
      </w:r>
      <w:r w:rsidR="00DB511D" w:rsidRPr="00E113B9">
        <w:rPr>
          <w:rFonts w:eastAsia="Calibri"/>
        </w:rPr>
        <w:t>eta Zyrtare  No L 72, pg 1,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20.03.2010, Celex No</w:t>
      </w:r>
      <w:r w:rsidRPr="00E113B9">
        <w:rPr>
          <w:rStyle w:val="Heading1Char"/>
          <w:b/>
          <w:sz w:val="24"/>
          <w:szCs w:val="24"/>
        </w:rPr>
        <w:t xml:space="preserve"> </w:t>
      </w:r>
      <w:r w:rsidRPr="00E113B9">
        <w:rPr>
          <w:rStyle w:val="Strong"/>
          <w:b w:val="0"/>
        </w:rPr>
        <w:t>32010L0023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M9 </w:t>
      </w:r>
      <w:r w:rsidR="00DB511D" w:rsidRPr="00E113B9">
        <w:rPr>
          <w:rFonts w:eastAsia="Calibri"/>
        </w:rPr>
        <w:t>Direktiva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2010/45/EU of 13 Korrik 2010 Gaze</w:t>
      </w:r>
      <w:r w:rsidR="00DB511D" w:rsidRPr="00E113B9">
        <w:rPr>
          <w:rFonts w:eastAsia="Calibri"/>
        </w:rPr>
        <w:t>ta Zyrtare  No L 189, pg 1,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22.07.2010, Celex No</w:t>
      </w:r>
      <w:r w:rsidRPr="00E113B9">
        <w:rPr>
          <w:rStyle w:val="Heading1Char"/>
          <w:b/>
          <w:sz w:val="24"/>
          <w:szCs w:val="24"/>
        </w:rPr>
        <w:t xml:space="preserve"> </w:t>
      </w:r>
      <w:r w:rsidRPr="00E113B9">
        <w:rPr>
          <w:rStyle w:val="Strong"/>
          <w:b w:val="0"/>
        </w:rPr>
        <w:t>32010L0045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E113B9">
        <w:rPr>
          <w:rFonts w:eastAsia="Calibri"/>
        </w:rPr>
        <w:t>►</w:t>
      </w:r>
      <w:r w:rsidRPr="00E113B9">
        <w:rPr>
          <w:rFonts w:eastAsia="Calibri"/>
          <w:bCs/>
        </w:rPr>
        <w:t xml:space="preserve">M10 </w:t>
      </w:r>
      <w:r w:rsidR="00DB511D" w:rsidRPr="00E113B9">
        <w:rPr>
          <w:rFonts w:eastAsia="Calibri"/>
        </w:rPr>
        <w:t>Direktiva e K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>shillit 2010/88/EU of 7 Dhjetor 2010 Gaze</w:t>
      </w:r>
      <w:r w:rsidR="00DB511D" w:rsidRPr="00E113B9">
        <w:rPr>
          <w:rFonts w:eastAsia="Calibri"/>
        </w:rPr>
        <w:t>ta Zyrtare  No L 326, pg 1, dat</w:t>
      </w:r>
      <w:r w:rsidR="00173F46" w:rsidRPr="00E113B9">
        <w:rPr>
          <w:rFonts w:eastAsia="Calibri"/>
        </w:rPr>
        <w:t>ë</w:t>
      </w:r>
      <w:r w:rsidRPr="00E113B9">
        <w:rPr>
          <w:rFonts w:eastAsia="Calibri"/>
        </w:rPr>
        <w:t xml:space="preserve"> 10.12.2010, Celex No</w:t>
      </w:r>
      <w:r w:rsidRPr="00E113B9">
        <w:rPr>
          <w:rStyle w:val="Heading1Char"/>
          <w:b/>
          <w:sz w:val="24"/>
          <w:szCs w:val="24"/>
        </w:rPr>
        <w:t xml:space="preserve"> </w:t>
      </w:r>
      <w:r w:rsidRPr="00E113B9">
        <w:rPr>
          <w:rStyle w:val="Strong"/>
          <w:b w:val="0"/>
        </w:rPr>
        <w:t>32010L0088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</w:rPr>
      </w:pPr>
    </w:p>
    <w:p w:rsidR="0021464B" w:rsidRPr="00E113B9" w:rsidRDefault="0021464B" w:rsidP="00E878A5">
      <w:pPr>
        <w:autoSpaceDE w:val="0"/>
        <w:autoSpaceDN w:val="0"/>
        <w:adjustRightInd w:val="0"/>
        <w:jc w:val="both"/>
        <w:rPr>
          <w:rFonts w:eastAsia="Calibri"/>
          <w:lang w:val="it-IT"/>
        </w:rPr>
      </w:pP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it-IT"/>
        </w:rPr>
      </w:pPr>
      <w:r w:rsidRPr="00E113B9">
        <w:rPr>
          <w:rFonts w:eastAsia="Calibri"/>
          <w:lang w:val="it-IT"/>
        </w:rPr>
        <w:t>Korrektuar nga :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lang w:val="it-IT"/>
        </w:rPr>
      </w:pPr>
      <w:r w:rsidRPr="00E113B9">
        <w:rPr>
          <w:rFonts w:eastAsia="Calibri"/>
          <w:lang w:val="it-IT"/>
        </w:rPr>
        <w:t>►</w:t>
      </w:r>
      <w:r w:rsidRPr="00E113B9">
        <w:rPr>
          <w:rFonts w:eastAsia="Calibri"/>
          <w:b/>
          <w:bCs/>
          <w:lang w:val="it-IT"/>
        </w:rPr>
        <w:t xml:space="preserve">C1 </w:t>
      </w:r>
      <w:r w:rsidRPr="00E113B9">
        <w:rPr>
          <w:rFonts w:eastAsia="Calibri"/>
          <w:lang w:val="it-IT"/>
        </w:rPr>
        <w:t>Corrigendum, OJ L 335, 20.12.2007, p. 60 (2006/112/EC) 2006L0112 — EN — 01.01.2011 — 011.002</w:t>
      </w:r>
    </w:p>
    <w:p w:rsidR="00E878A5" w:rsidRPr="00E113B9" w:rsidRDefault="00E878A5" w:rsidP="00E878A5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878A5" w:rsidRPr="00E113B9" w:rsidRDefault="00E878A5" w:rsidP="00E878A5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878A5" w:rsidRPr="00E113B9" w:rsidRDefault="00E878A5" w:rsidP="00E878A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E113B9">
        <w:rPr>
          <w:rFonts w:ascii="Times New Roman" w:hAnsi="Times New Roman"/>
          <w:sz w:val="24"/>
          <w:szCs w:val="24"/>
        </w:rPr>
        <w:t>Direktiva 2006/79/CE e Këshillit, datë 5 tetor 2006, mbi përjashtimet nga tatimi fiskal të zbatueshme në importimin e mallrave objekt dërgimesh të vogla me karakter jo tregtar me prejardhje nga vendet e treta (versioni i kodifikuar) (Gazeta Zyrtare, Ligj nr.286 datë 17.10.2006, faqe 15).</w:t>
      </w:r>
    </w:p>
    <w:p w:rsidR="00E878A5" w:rsidRPr="00E113B9" w:rsidRDefault="00E878A5" w:rsidP="00E878A5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:rsidR="00E878A5" w:rsidRPr="00E113B9" w:rsidRDefault="00E878A5" w:rsidP="00E878A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E113B9">
        <w:rPr>
          <w:rFonts w:ascii="Times New Roman" w:hAnsi="Times New Roman"/>
          <w:sz w:val="24"/>
          <w:szCs w:val="24"/>
        </w:rPr>
        <w:t xml:space="preserve">Rregullorja (CE) n. 1798/2003 e Këshillit, datë 7 tetor 2003, lidhur me kooperimin administrativ në fushën e tatimit mbi vlerën e shtuar (Gazeta Zyrtare, Ligj nr.264 datë 15.10.2003, faqe 1). Rregullore e modifikuar së fundi nga </w:t>
      </w:r>
      <w:r w:rsidR="00402151" w:rsidRPr="00E113B9">
        <w:rPr>
          <w:rFonts w:ascii="Times New Roman" w:hAnsi="Times New Roman"/>
          <w:sz w:val="24"/>
          <w:szCs w:val="24"/>
        </w:rPr>
        <w:t>R</w:t>
      </w:r>
      <w:r w:rsidRPr="00E113B9">
        <w:rPr>
          <w:rFonts w:ascii="Times New Roman" w:hAnsi="Times New Roman"/>
          <w:sz w:val="24"/>
          <w:szCs w:val="24"/>
        </w:rPr>
        <w:t>regullorja nr. 885/2004 (Gazeta Zyrtare, Ligj nr.168 datë 1.5.2004, faqe 1).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bCs/>
          <w:lang w:val="sq-AL"/>
        </w:rPr>
      </w:pPr>
    </w:p>
    <w:p w:rsidR="00E878A5" w:rsidRPr="00E113B9" w:rsidRDefault="00AC162D" w:rsidP="00E878A5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E113B9">
        <w:rPr>
          <w:rFonts w:eastAsia="Calibri"/>
          <w:bCs/>
        </w:rPr>
        <w:t>Direktiva e K</w:t>
      </w:r>
      <w:r w:rsidR="00173F46" w:rsidRPr="00E113B9">
        <w:rPr>
          <w:rFonts w:eastAsia="Calibri"/>
          <w:bCs/>
        </w:rPr>
        <w:t>ë</w:t>
      </w:r>
      <w:r w:rsidR="00E878A5" w:rsidRPr="00E113B9">
        <w:rPr>
          <w:rFonts w:eastAsia="Calibri"/>
          <w:bCs/>
        </w:rPr>
        <w:t xml:space="preserve">shillit </w:t>
      </w:r>
      <w:r w:rsidRPr="00E113B9">
        <w:rPr>
          <w:rFonts w:eastAsia="Calibri"/>
          <w:bCs/>
        </w:rPr>
        <w:t>2008/9/EC of 12 February 2008 “P</w:t>
      </w:r>
      <w:r w:rsidR="00173F46" w:rsidRPr="00E113B9">
        <w:rPr>
          <w:rFonts w:eastAsia="Calibri"/>
          <w:bCs/>
        </w:rPr>
        <w:t>ë</w:t>
      </w:r>
      <w:r w:rsidR="00E878A5" w:rsidRPr="00E113B9">
        <w:rPr>
          <w:rFonts w:eastAsia="Calibri"/>
          <w:bCs/>
        </w:rPr>
        <w:t>r rregullat e detajuara</w:t>
      </w:r>
      <w:r w:rsidRPr="00E113B9">
        <w:rPr>
          <w:rFonts w:eastAsia="Calibri"/>
          <w:bCs/>
        </w:rPr>
        <w:t xml:space="preserve"> t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rimbursimit t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tvsh-s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>, sipas  Direktiv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>s 2006/112/EC, p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>r nj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person t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tatuesh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>m jo t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themeluar n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shtetin an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>tar t</w:t>
      </w:r>
      <w:r w:rsidR="00173F46" w:rsidRPr="00E113B9">
        <w:rPr>
          <w:rFonts w:eastAsia="Calibri"/>
          <w:bCs/>
        </w:rPr>
        <w:t>ë</w:t>
      </w:r>
      <w:r w:rsidRPr="00E113B9">
        <w:rPr>
          <w:rFonts w:eastAsia="Calibri"/>
          <w:bCs/>
        </w:rPr>
        <w:t xml:space="preserve"> rimbursimit, por t</w:t>
      </w:r>
      <w:r w:rsidR="00173F46" w:rsidRPr="00E113B9">
        <w:rPr>
          <w:rFonts w:eastAsia="Calibri"/>
          <w:bCs/>
        </w:rPr>
        <w:t>ë</w:t>
      </w:r>
      <w:r w:rsidR="00C04C5B" w:rsidRPr="00E113B9">
        <w:rPr>
          <w:rFonts w:eastAsia="Calibri"/>
          <w:bCs/>
        </w:rPr>
        <w:t xml:space="preserve"> themeluar n</w:t>
      </w:r>
      <w:r w:rsidR="00173F46" w:rsidRPr="00E113B9">
        <w:rPr>
          <w:rFonts w:eastAsia="Calibri"/>
          <w:bCs/>
        </w:rPr>
        <w:t>ë</w:t>
      </w:r>
      <w:r w:rsidR="00C04C5B" w:rsidRPr="00E113B9">
        <w:rPr>
          <w:rFonts w:eastAsia="Calibri"/>
          <w:bCs/>
        </w:rPr>
        <w:t xml:space="preserve"> nj</w:t>
      </w:r>
      <w:r w:rsidR="00173F46" w:rsidRPr="00E113B9">
        <w:rPr>
          <w:rFonts w:eastAsia="Calibri"/>
          <w:bCs/>
        </w:rPr>
        <w:t>ë</w:t>
      </w:r>
      <w:r w:rsidR="00C04C5B" w:rsidRPr="00E113B9">
        <w:rPr>
          <w:rFonts w:eastAsia="Calibri"/>
          <w:bCs/>
        </w:rPr>
        <w:t xml:space="preserve"> tjet</w:t>
      </w:r>
      <w:r w:rsidR="00173F46" w:rsidRPr="00E113B9">
        <w:rPr>
          <w:rFonts w:eastAsia="Calibri"/>
          <w:bCs/>
        </w:rPr>
        <w:t>ë</w:t>
      </w:r>
      <w:r w:rsidR="00C04C5B" w:rsidRPr="00E113B9">
        <w:rPr>
          <w:rFonts w:eastAsia="Calibri"/>
          <w:bCs/>
        </w:rPr>
        <w:t>r shtet an</w:t>
      </w:r>
      <w:r w:rsidR="00173F46" w:rsidRPr="00E113B9">
        <w:rPr>
          <w:rFonts w:eastAsia="Calibri"/>
          <w:bCs/>
        </w:rPr>
        <w:t>ë</w:t>
      </w:r>
      <w:r w:rsidR="00E878A5" w:rsidRPr="00E113B9">
        <w:rPr>
          <w:rFonts w:eastAsia="Calibri"/>
          <w:bCs/>
        </w:rPr>
        <w:t xml:space="preserve">tar,  </w:t>
      </w:r>
      <w:r w:rsidR="00E878A5" w:rsidRPr="00E113B9">
        <w:rPr>
          <w:rFonts w:eastAsia="Calibri"/>
        </w:rPr>
        <w:t>20.2.2008 EN Official Journal of the European Union L 44/23, Celex No</w:t>
      </w:r>
      <w:r w:rsidR="00E878A5" w:rsidRPr="00E113B9">
        <w:rPr>
          <w:rStyle w:val="Heading1Char"/>
          <w:b/>
          <w:sz w:val="24"/>
          <w:szCs w:val="24"/>
        </w:rPr>
        <w:t xml:space="preserve"> </w:t>
      </w:r>
      <w:r w:rsidR="00E878A5" w:rsidRPr="00E113B9">
        <w:rPr>
          <w:rStyle w:val="Strong"/>
          <w:b w:val="0"/>
        </w:rPr>
        <w:t>32008L0009</w:t>
      </w:r>
      <w:r w:rsidR="00E878A5" w:rsidRPr="00E113B9">
        <w:rPr>
          <w:rFonts w:eastAsia="Calibri"/>
          <w:bCs/>
        </w:rPr>
        <w:t>.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E878A5" w:rsidRPr="00E113B9" w:rsidRDefault="00C04C5B" w:rsidP="00E878A5">
      <w:pPr>
        <w:autoSpaceDE w:val="0"/>
        <w:autoSpaceDN w:val="0"/>
        <w:adjustRightInd w:val="0"/>
        <w:jc w:val="both"/>
        <w:rPr>
          <w:rStyle w:val="Strong"/>
          <w:b w:val="0"/>
          <w:bCs w:val="0"/>
          <w:lang w:val="it-IT"/>
        </w:rPr>
      </w:pPr>
      <w:r w:rsidRPr="00E113B9">
        <w:rPr>
          <w:rFonts w:eastAsia="Calibri"/>
          <w:bCs/>
          <w:lang w:val="it-IT"/>
        </w:rPr>
        <w:t>Direktiva e 13 e K</w:t>
      </w:r>
      <w:r w:rsidR="00173F46" w:rsidRPr="00E113B9">
        <w:rPr>
          <w:rFonts w:eastAsia="Calibri"/>
          <w:bCs/>
          <w:lang w:val="it-IT"/>
        </w:rPr>
        <w:t>ë</w:t>
      </w:r>
      <w:r w:rsidR="00E878A5" w:rsidRPr="00E113B9">
        <w:rPr>
          <w:rFonts w:eastAsia="Calibri"/>
          <w:bCs/>
          <w:lang w:val="it-IT"/>
        </w:rPr>
        <w:t xml:space="preserve">shillit </w:t>
      </w:r>
      <w:r w:rsidRPr="00E113B9">
        <w:rPr>
          <w:lang w:val="it-IT"/>
        </w:rPr>
        <w:t>86/560/EEC e 17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ntorit</w:t>
      </w:r>
      <w:r w:rsidR="00E878A5" w:rsidRPr="00E113B9">
        <w:rPr>
          <w:lang w:val="it-IT"/>
        </w:rPr>
        <w:t xml:space="preserve"> 1986 </w:t>
      </w:r>
      <w:r w:rsidRPr="00E113B9">
        <w:rPr>
          <w:lang w:val="it-IT"/>
        </w:rPr>
        <w:t>“Mbi harmonizimin e ligjeve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vendeve an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tare p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r tatimin </w:t>
      </w:r>
      <w:r w:rsidRPr="00E113B9">
        <w:rPr>
          <w:lang w:val="it-IT"/>
        </w:rPr>
        <w:t>mbi qarkullimin – rregullimet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rimbursimin e TVSH-s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nj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person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tatueshem jo</w:t>
      </w:r>
      <w:r w:rsidRPr="00E113B9">
        <w:rPr>
          <w:lang w:val="it-IT"/>
        </w:rPr>
        <w:t xml:space="preserve">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themeluar 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territorin e komunitetit, </w:t>
      </w:r>
      <w:r w:rsidR="00E878A5" w:rsidRPr="00E113B9">
        <w:rPr>
          <w:rStyle w:val="Emphasis"/>
          <w:lang w:val="it-IT"/>
        </w:rPr>
        <w:t xml:space="preserve">OJ L 326, 21.11.1986, p. 40–41,  </w:t>
      </w:r>
      <w:r w:rsidR="00E878A5" w:rsidRPr="00E113B9">
        <w:rPr>
          <w:rFonts w:eastAsia="Calibri"/>
          <w:lang w:val="it-IT"/>
        </w:rPr>
        <w:t>Celex No</w:t>
      </w:r>
      <w:r w:rsidR="00E878A5" w:rsidRPr="00E113B9">
        <w:rPr>
          <w:rStyle w:val="Heading1Char"/>
          <w:sz w:val="24"/>
          <w:szCs w:val="24"/>
          <w:lang w:val="it-IT"/>
        </w:rPr>
        <w:t xml:space="preserve"> </w:t>
      </w:r>
      <w:r w:rsidR="00E878A5" w:rsidRPr="00E113B9">
        <w:rPr>
          <w:rStyle w:val="Strong"/>
          <w:b w:val="0"/>
          <w:lang w:val="it-IT"/>
        </w:rPr>
        <w:t>31986L0560</w:t>
      </w:r>
      <w:r w:rsidR="00AD1537" w:rsidRPr="00E113B9">
        <w:rPr>
          <w:rStyle w:val="Strong"/>
          <w:b w:val="0"/>
          <w:lang w:val="it-IT"/>
        </w:rPr>
        <w:t>.</w:t>
      </w:r>
    </w:p>
    <w:p w:rsidR="00C5736B" w:rsidRPr="00E113B9" w:rsidRDefault="00C5736B" w:rsidP="00E878A5">
      <w:pPr>
        <w:autoSpaceDE w:val="0"/>
        <w:autoSpaceDN w:val="0"/>
        <w:adjustRightInd w:val="0"/>
        <w:jc w:val="both"/>
        <w:rPr>
          <w:rFonts w:eastAsia="Calibri"/>
          <w:bCs/>
          <w:lang w:val="it-IT"/>
        </w:rPr>
      </w:pPr>
    </w:p>
    <w:p w:rsidR="00603068" w:rsidRPr="00E113B9" w:rsidRDefault="00603068" w:rsidP="00F02F72">
      <w:pPr>
        <w:pStyle w:val="NormalWeb"/>
        <w:spacing w:before="120" w:after="120"/>
        <w:jc w:val="both"/>
        <w:rPr>
          <w:rFonts w:eastAsia="MS Mincho"/>
          <w:b/>
          <w:i/>
          <w:lang w:val="it-IT"/>
        </w:rPr>
      </w:pPr>
      <w:r w:rsidRPr="00E113B9">
        <w:rPr>
          <w:rFonts w:eastAsia="MS Mincho"/>
          <w:b/>
          <w:i/>
          <w:lang w:val="it-IT"/>
        </w:rPr>
        <w:t>b) P</w:t>
      </w:r>
      <w:r w:rsidR="00C42D78" w:rsidRPr="00E113B9">
        <w:rPr>
          <w:rFonts w:eastAsia="MS Mincho"/>
          <w:b/>
          <w:i/>
          <w:lang w:val="it-IT"/>
        </w:rPr>
        <w:t>ë</w:t>
      </w:r>
      <w:r w:rsidRPr="00E113B9">
        <w:rPr>
          <w:rFonts w:eastAsia="MS Mincho"/>
          <w:b/>
          <w:i/>
          <w:lang w:val="it-IT"/>
        </w:rPr>
        <w:t>rkthimi</w:t>
      </w:r>
    </w:p>
    <w:p w:rsidR="00603068" w:rsidRPr="00E113B9" w:rsidRDefault="00926B3D" w:rsidP="00F02F72">
      <w:pPr>
        <w:pStyle w:val="NormalWeb"/>
        <w:spacing w:before="120" w:after="120"/>
        <w:jc w:val="both"/>
        <w:rPr>
          <w:rFonts w:eastAsia="MS Mincho"/>
          <w:lang w:val="it-IT"/>
        </w:rPr>
      </w:pPr>
      <w:r w:rsidRPr="00E113B9">
        <w:rPr>
          <w:rFonts w:eastAsia="MS Mincho"/>
          <w:lang w:val="it-IT"/>
        </w:rPr>
        <w:t>Pjes</w:t>
      </w:r>
      <w:r w:rsidR="00173F46" w:rsidRPr="00E113B9">
        <w:rPr>
          <w:rFonts w:eastAsia="MS Mincho"/>
          <w:lang w:val="it-IT"/>
        </w:rPr>
        <w:t>ë</w:t>
      </w:r>
      <w:r w:rsidR="00603068" w:rsidRPr="00E113B9">
        <w:rPr>
          <w:rFonts w:eastAsia="MS Mincho"/>
          <w:lang w:val="it-IT"/>
        </w:rPr>
        <w:t xml:space="preserve"> e projek</w:t>
      </w:r>
      <w:r w:rsidRPr="00E113B9">
        <w:rPr>
          <w:rFonts w:eastAsia="MS Mincho"/>
          <w:lang w:val="it-IT"/>
        </w:rPr>
        <w:t>tit t</w:t>
      </w:r>
      <w:r w:rsidR="00173F46" w:rsidRPr="00E113B9">
        <w:rPr>
          <w:rFonts w:eastAsia="MS Mincho"/>
          <w:lang w:val="it-IT"/>
        </w:rPr>
        <w:t>ë</w:t>
      </w:r>
      <w:r w:rsidR="00573F5D" w:rsidRPr="00E113B9">
        <w:rPr>
          <w:rFonts w:eastAsia="MS Mincho"/>
          <w:lang w:val="it-IT"/>
        </w:rPr>
        <w:t xml:space="preserve"> IPA</w:t>
      </w:r>
      <w:r w:rsidR="008845BC" w:rsidRPr="00E113B9">
        <w:rPr>
          <w:rFonts w:eastAsia="MS Mincho"/>
          <w:lang w:val="it-IT"/>
        </w:rPr>
        <w:t xml:space="preserve"> 2007 ka q</w:t>
      </w:r>
      <w:r w:rsidR="00573F5D" w:rsidRPr="00E113B9">
        <w:rPr>
          <w:rFonts w:eastAsia="MS Mincho"/>
          <w:lang w:val="it-IT"/>
        </w:rPr>
        <w:t>ë</w:t>
      </w:r>
      <w:r w:rsidR="008845BC" w:rsidRPr="00E113B9">
        <w:rPr>
          <w:rFonts w:eastAsia="MS Mincho"/>
          <w:lang w:val="it-IT"/>
        </w:rPr>
        <w:t>n</w:t>
      </w:r>
      <w:r w:rsidR="00573F5D" w:rsidRPr="00E113B9">
        <w:rPr>
          <w:rFonts w:eastAsia="MS Mincho"/>
          <w:lang w:val="it-IT"/>
        </w:rPr>
        <w:t>ë</w:t>
      </w:r>
      <w:r w:rsidR="008845BC" w:rsidRPr="00E113B9">
        <w:rPr>
          <w:rFonts w:eastAsia="MS Mincho"/>
          <w:lang w:val="it-IT"/>
        </w:rPr>
        <w:t xml:space="preserve"> p</w:t>
      </w:r>
      <w:r w:rsidR="00573F5D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>rkthimi n</w:t>
      </w:r>
      <w:r w:rsidR="00173F46" w:rsidRPr="00E113B9">
        <w:rPr>
          <w:rFonts w:eastAsia="MS Mincho"/>
          <w:lang w:val="it-IT"/>
        </w:rPr>
        <w:t>ë</w:t>
      </w:r>
      <w:r w:rsidR="008845BC" w:rsidRPr="00E113B9">
        <w:rPr>
          <w:rFonts w:eastAsia="MS Mincho"/>
          <w:lang w:val="it-IT"/>
        </w:rPr>
        <w:t xml:space="preserve"> gjuh</w:t>
      </w:r>
      <w:r w:rsidR="00173F46" w:rsidRPr="00E113B9">
        <w:rPr>
          <w:rFonts w:eastAsia="MS Mincho"/>
          <w:lang w:val="it-IT"/>
        </w:rPr>
        <w:t>ë</w:t>
      </w:r>
      <w:r w:rsidR="008845BC" w:rsidRPr="00E113B9">
        <w:rPr>
          <w:rFonts w:eastAsia="MS Mincho"/>
          <w:lang w:val="it-IT"/>
        </w:rPr>
        <w:t>n</w:t>
      </w:r>
      <w:r w:rsidRPr="00E113B9">
        <w:rPr>
          <w:rFonts w:eastAsia="MS Mincho"/>
          <w:lang w:val="it-IT"/>
        </w:rPr>
        <w:t xml:space="preserve"> Shqipe t</w:t>
      </w:r>
      <w:r w:rsidR="00173F46" w:rsidRPr="00E113B9">
        <w:rPr>
          <w:rFonts w:eastAsia="MS Mincho"/>
          <w:lang w:val="it-IT"/>
        </w:rPr>
        <w:t>ë</w:t>
      </w:r>
      <w:r w:rsidR="00573F5D" w:rsidRPr="00E113B9">
        <w:rPr>
          <w:rFonts w:eastAsia="MS Mincho"/>
          <w:lang w:val="it-IT"/>
        </w:rPr>
        <w:t xml:space="preserve"> Direkti</w:t>
      </w:r>
      <w:r w:rsidR="00603068" w:rsidRPr="00E113B9">
        <w:rPr>
          <w:rFonts w:eastAsia="MS Mincho"/>
          <w:lang w:val="it-IT"/>
        </w:rPr>
        <w:t>v</w:t>
      </w:r>
      <w:r w:rsidR="00573F5D" w:rsidRPr="00E113B9">
        <w:rPr>
          <w:rFonts w:eastAsia="MS Mincho"/>
          <w:lang w:val="it-IT"/>
        </w:rPr>
        <w:t xml:space="preserve">ave </w:t>
      </w:r>
      <w:r w:rsidRPr="00E113B9">
        <w:rPr>
          <w:rFonts w:eastAsia="MS Mincho"/>
          <w:lang w:val="it-IT"/>
        </w:rPr>
        <w:t>t</w:t>
      </w:r>
      <w:r w:rsidR="00173F46" w:rsidRPr="00E113B9">
        <w:rPr>
          <w:rFonts w:eastAsia="MS Mincho"/>
          <w:lang w:val="it-IT"/>
        </w:rPr>
        <w:t>ë</w:t>
      </w:r>
      <w:r w:rsidR="00603068" w:rsidRPr="00E113B9">
        <w:rPr>
          <w:rFonts w:eastAsia="MS Mincho"/>
          <w:lang w:val="it-IT"/>
        </w:rPr>
        <w:t xml:space="preserve"> ci</w:t>
      </w:r>
      <w:r w:rsidRPr="00E113B9">
        <w:rPr>
          <w:rFonts w:eastAsia="MS Mincho"/>
          <w:lang w:val="it-IT"/>
        </w:rPr>
        <w:t>lat jan</w:t>
      </w:r>
      <w:r w:rsidR="00173F46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 xml:space="preserve"> p</w:t>
      </w:r>
      <w:r w:rsidR="00173F46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>rafruar n</w:t>
      </w:r>
      <w:r w:rsidR="00173F46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 xml:space="preserve"> k</w:t>
      </w:r>
      <w:r w:rsidR="00173F46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>t</w:t>
      </w:r>
      <w:r w:rsidR="00173F46" w:rsidRPr="00E113B9">
        <w:rPr>
          <w:rFonts w:eastAsia="MS Mincho"/>
          <w:lang w:val="it-IT"/>
        </w:rPr>
        <w:t>ë</w:t>
      </w:r>
      <w:r w:rsidR="00573F5D" w:rsidRPr="00E113B9">
        <w:rPr>
          <w:rFonts w:eastAsia="MS Mincho"/>
          <w:lang w:val="it-IT"/>
        </w:rPr>
        <w:t xml:space="preserve"> proj</w:t>
      </w:r>
      <w:r w:rsidR="00603068" w:rsidRPr="00E113B9">
        <w:rPr>
          <w:rFonts w:eastAsia="MS Mincho"/>
          <w:lang w:val="it-IT"/>
        </w:rPr>
        <w:t>e</w:t>
      </w:r>
      <w:r w:rsidR="00573F5D" w:rsidRPr="00E113B9">
        <w:rPr>
          <w:rFonts w:eastAsia="MS Mincho"/>
          <w:lang w:val="it-IT"/>
        </w:rPr>
        <w:t>k</w:t>
      </w:r>
      <w:r w:rsidRPr="00E113B9">
        <w:rPr>
          <w:rFonts w:eastAsia="MS Mincho"/>
          <w:lang w:val="it-IT"/>
        </w:rPr>
        <w:t>tligji. Bashk</w:t>
      </w:r>
      <w:r w:rsidR="00173F46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>lidhur lutemi gjeni nj</w:t>
      </w:r>
      <w:r w:rsidR="00173F46" w:rsidRPr="00E113B9">
        <w:rPr>
          <w:rFonts w:eastAsia="MS Mincho"/>
          <w:lang w:val="it-IT"/>
        </w:rPr>
        <w:t>ë</w:t>
      </w:r>
      <w:r w:rsidRPr="00E113B9">
        <w:rPr>
          <w:rFonts w:eastAsia="MS Mincho"/>
          <w:lang w:val="it-IT"/>
        </w:rPr>
        <w:t xml:space="preserve"> kopje t</w:t>
      </w:r>
      <w:r w:rsidR="00173F46" w:rsidRPr="00E113B9">
        <w:rPr>
          <w:rFonts w:eastAsia="MS Mincho"/>
          <w:lang w:val="it-IT"/>
        </w:rPr>
        <w:t>ë</w:t>
      </w:r>
      <w:r w:rsidR="00603068" w:rsidRPr="00E113B9">
        <w:rPr>
          <w:rFonts w:eastAsia="MS Mincho"/>
          <w:lang w:val="it-IT"/>
        </w:rPr>
        <w:t xml:space="preserve"> tyre.</w:t>
      </w:r>
    </w:p>
    <w:p w:rsidR="00603068" w:rsidRPr="00E113B9" w:rsidRDefault="00603068" w:rsidP="00F02F72">
      <w:pPr>
        <w:pStyle w:val="NormalWeb"/>
        <w:spacing w:before="120" w:after="120"/>
        <w:jc w:val="both"/>
        <w:rPr>
          <w:rFonts w:eastAsia="MS Mincho"/>
          <w:b/>
          <w:i/>
          <w:lang w:val="it-IT"/>
        </w:rPr>
      </w:pPr>
    </w:p>
    <w:p w:rsidR="00E878A5" w:rsidRPr="00E113B9" w:rsidRDefault="00603068" w:rsidP="00F02F72">
      <w:pPr>
        <w:pStyle w:val="NormalWeb"/>
        <w:spacing w:before="120" w:after="120"/>
        <w:jc w:val="both"/>
        <w:rPr>
          <w:rFonts w:eastAsia="MS Mincho"/>
          <w:b/>
          <w:i/>
          <w:lang w:val="it-IT"/>
        </w:rPr>
      </w:pPr>
      <w:r w:rsidRPr="00E113B9">
        <w:rPr>
          <w:rFonts w:eastAsia="MS Mincho"/>
          <w:b/>
          <w:i/>
          <w:lang w:val="it-IT"/>
        </w:rPr>
        <w:t>c)</w:t>
      </w:r>
      <w:r w:rsidR="00ED2B6A">
        <w:rPr>
          <w:rFonts w:eastAsia="MS Mincho"/>
          <w:b/>
          <w:i/>
          <w:lang w:val="it-IT"/>
        </w:rPr>
        <w:t xml:space="preserve"> </w:t>
      </w:r>
      <w:r w:rsidR="004B029B" w:rsidRPr="00E113B9">
        <w:rPr>
          <w:rFonts w:eastAsia="MS Mincho"/>
          <w:b/>
          <w:i/>
          <w:lang w:val="it-IT"/>
        </w:rPr>
        <w:t>Mb</w:t>
      </w:r>
      <w:r w:rsidR="00173F46" w:rsidRPr="00E113B9">
        <w:rPr>
          <w:rFonts w:eastAsia="MS Mincho"/>
          <w:b/>
          <w:i/>
          <w:lang w:val="it-IT"/>
        </w:rPr>
        <w:t>ë</w:t>
      </w:r>
      <w:r w:rsidR="00E878A5" w:rsidRPr="00E113B9">
        <w:rPr>
          <w:rFonts w:eastAsia="MS Mincho"/>
          <w:b/>
          <w:i/>
          <w:lang w:val="it-IT"/>
        </w:rPr>
        <w:t>shtetja dhe b</w:t>
      </w:r>
      <w:r w:rsidR="004B029B" w:rsidRPr="00E113B9">
        <w:rPr>
          <w:rFonts w:eastAsia="MS Mincho"/>
          <w:b/>
          <w:i/>
          <w:lang w:val="it-IT"/>
        </w:rPr>
        <w:t>ashk</w:t>
      </w:r>
      <w:r w:rsidR="00173F46" w:rsidRPr="00E113B9">
        <w:rPr>
          <w:rFonts w:eastAsia="MS Mincho"/>
          <w:b/>
          <w:i/>
          <w:lang w:val="it-IT"/>
        </w:rPr>
        <w:t>ë</w:t>
      </w:r>
      <w:r w:rsidR="004B029B" w:rsidRPr="00E113B9">
        <w:rPr>
          <w:rFonts w:eastAsia="MS Mincho"/>
          <w:b/>
          <w:i/>
          <w:lang w:val="it-IT"/>
        </w:rPr>
        <w:t>punimi me ekspertiz</w:t>
      </w:r>
      <w:r w:rsidR="00173F46" w:rsidRPr="00E113B9">
        <w:rPr>
          <w:rFonts w:eastAsia="MS Mincho"/>
          <w:b/>
          <w:i/>
          <w:lang w:val="it-IT"/>
        </w:rPr>
        <w:t>ë</w:t>
      </w:r>
      <w:r w:rsidR="00E878A5" w:rsidRPr="00E113B9">
        <w:rPr>
          <w:rFonts w:eastAsia="MS Mincho"/>
          <w:b/>
          <w:i/>
          <w:lang w:val="it-IT"/>
        </w:rPr>
        <w:t>n e huaj</w:t>
      </w:r>
    </w:p>
    <w:p w:rsidR="00E878A5" w:rsidRPr="00E113B9" w:rsidRDefault="004B029B" w:rsidP="00E878A5">
      <w:pPr>
        <w:pStyle w:val="ListParagraph"/>
        <w:ind w:left="0"/>
        <w:jc w:val="both"/>
        <w:rPr>
          <w:lang w:val="sq-AL"/>
        </w:rPr>
      </w:pPr>
      <w:r w:rsidRPr="00E113B9">
        <w:rPr>
          <w:lang w:val="sq-AL"/>
        </w:rPr>
        <w:t xml:space="preserve">Projekt ligji 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>sht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hartuar me asistenc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>n e BE-s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n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kuad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>r t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 xml:space="preserve"> Projektit IPA 2007 </w:t>
      </w:r>
      <w:r w:rsidR="00FC6D80"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 xml:space="preserve"> zbatim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komponentit 1, Harmonizimi i legjislacionit </w:t>
      </w:r>
      <w:r w:rsidR="00FC6D80" w:rsidRPr="00E113B9">
        <w:rPr>
          <w:lang w:val="sq-AL"/>
        </w:rPr>
        <w:t>p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 xml:space="preserve">r Tatimet </w:t>
      </w:r>
      <w:r w:rsidR="00FC6D80" w:rsidRPr="00E113B9">
        <w:rPr>
          <w:lang w:val="sq-AL"/>
        </w:rPr>
        <w:t>- n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>nkomponenti TVSH</w:t>
      </w:r>
      <w:r w:rsidR="00FC6D80" w:rsidRPr="00E113B9">
        <w:rPr>
          <w:lang w:val="sq-AL"/>
        </w:rPr>
        <w:t>, n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 xml:space="preserve"> bashk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>punim t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 xml:space="preserve"> ngusht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 xml:space="preserve"> dhe t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 xml:space="preserve"> shk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>lqyer me eks</w:t>
      </w:r>
      <w:r w:rsidR="00FC6D80" w:rsidRPr="00E113B9">
        <w:rPr>
          <w:lang w:val="sq-AL"/>
        </w:rPr>
        <w:t>pert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 xml:space="preserve"> t</w:t>
      </w:r>
      <w:r w:rsidR="00173F46" w:rsidRPr="00E113B9">
        <w:rPr>
          <w:lang w:val="sq-AL"/>
        </w:rPr>
        <w:t>ë</w:t>
      </w:r>
      <w:r w:rsidR="00FC6D80" w:rsidRPr="00E113B9">
        <w:rPr>
          <w:lang w:val="sq-AL"/>
        </w:rPr>
        <w:t xml:space="preserve"> Administrat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 xml:space="preserve">s Tatimore  Franceze. </w:t>
      </w:r>
    </w:p>
    <w:p w:rsidR="00603068" w:rsidRPr="00E113B9" w:rsidRDefault="00603068" w:rsidP="00E878A5">
      <w:pPr>
        <w:pStyle w:val="ListParagraph"/>
        <w:ind w:left="0"/>
        <w:jc w:val="both"/>
        <w:rPr>
          <w:lang w:val="sq-AL"/>
        </w:rPr>
      </w:pPr>
    </w:p>
    <w:p w:rsidR="00E878A5" w:rsidRPr="00E113B9" w:rsidRDefault="00E878A5" w:rsidP="00E878A5">
      <w:pPr>
        <w:jc w:val="both"/>
        <w:rPr>
          <w:i/>
          <w:lang w:val="it-IT"/>
        </w:rPr>
      </w:pPr>
    </w:p>
    <w:p w:rsidR="00E878A5" w:rsidRPr="00E113B9" w:rsidRDefault="00603068" w:rsidP="00E878A5">
      <w:pPr>
        <w:jc w:val="both"/>
        <w:rPr>
          <w:b/>
          <w:i/>
          <w:lang w:val="it-IT"/>
        </w:rPr>
      </w:pPr>
      <w:r w:rsidRPr="00E113B9">
        <w:rPr>
          <w:b/>
          <w:i/>
          <w:lang w:val="it-IT"/>
        </w:rPr>
        <w:t>-</w:t>
      </w:r>
      <w:r w:rsidR="00E878A5" w:rsidRPr="00E113B9">
        <w:rPr>
          <w:b/>
          <w:i/>
          <w:lang w:val="it-IT"/>
        </w:rPr>
        <w:t>Shkalla e synuar e përputhshmërisë me acquis</w:t>
      </w:r>
    </w:p>
    <w:p w:rsidR="00603068" w:rsidRPr="00E113B9" w:rsidRDefault="00603068" w:rsidP="00227DED">
      <w:pPr>
        <w:jc w:val="both"/>
        <w:rPr>
          <w:lang w:val="it-IT"/>
        </w:rPr>
      </w:pPr>
    </w:p>
    <w:p w:rsidR="006E4B26" w:rsidRPr="00E113B9" w:rsidRDefault="00E878A5" w:rsidP="0021464B">
      <w:pPr>
        <w:jc w:val="both"/>
        <w:rPr>
          <w:lang w:val="it-IT"/>
        </w:rPr>
      </w:pPr>
      <w:r w:rsidRPr="00E113B9">
        <w:rPr>
          <w:lang w:val="it-IT"/>
        </w:rPr>
        <w:t>Ky projektligj</w:t>
      </w:r>
      <w:r w:rsidR="00FC6D80" w:rsidRPr="00E113B9">
        <w:rPr>
          <w:lang w:val="it-IT"/>
        </w:rPr>
        <w:t xml:space="preserve"> 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 xml:space="preserve"> pjes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risht i p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rputhsh</w:t>
      </w:r>
      <w:r w:rsidR="00173F46" w:rsidRPr="00E113B9">
        <w:rPr>
          <w:lang w:val="it-IT"/>
        </w:rPr>
        <w:t>ë</w:t>
      </w:r>
      <w:r w:rsidR="008845BC" w:rsidRPr="00E113B9">
        <w:rPr>
          <w:lang w:val="it-IT"/>
        </w:rPr>
        <w:t xml:space="preserve">m </w:t>
      </w:r>
      <w:r w:rsidRPr="00E113B9">
        <w:rPr>
          <w:lang w:val="it-IT"/>
        </w:rPr>
        <w:t xml:space="preserve">me </w:t>
      </w:r>
      <w:r w:rsidRPr="00E113B9">
        <w:rPr>
          <w:i/>
          <w:lang w:val="it-IT"/>
        </w:rPr>
        <w:t xml:space="preserve">acquis </w:t>
      </w:r>
      <w:r w:rsidR="00FC6D80" w:rsidRPr="00E113B9">
        <w:rPr>
          <w:lang w:val="it-IT"/>
        </w:rPr>
        <w:t>“P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r Tatimin mbi Vler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n e shtuar”, p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rafrim i cili ka q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 xml:space="preserve"> q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llimi i k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tij projektligji dhe do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realizohe</w:t>
      </w:r>
      <w:r w:rsidR="00FC6D80" w:rsidRPr="00E113B9">
        <w:rPr>
          <w:lang w:val="it-IT"/>
        </w:rPr>
        <w:t>t plot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sisht me aderimin e Shqip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>ris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="00FC6D80" w:rsidRPr="00E113B9">
        <w:rPr>
          <w:lang w:val="it-IT"/>
        </w:rPr>
        <w:t xml:space="preserve"> BE. Për m</w:t>
      </w:r>
      <w:r w:rsidRPr="00E113B9">
        <w:rPr>
          <w:lang w:val="it-IT"/>
        </w:rPr>
        <w:t>ë tepër, lutemi referojuni Tabelës së Përputhshëmrisë, bashkangjitur.</w:t>
      </w:r>
    </w:p>
    <w:p w:rsidR="0021464B" w:rsidRPr="00E113B9" w:rsidRDefault="0021464B" w:rsidP="0021464B">
      <w:pPr>
        <w:jc w:val="both"/>
        <w:rPr>
          <w:i/>
          <w:lang w:val="it-IT"/>
        </w:rPr>
      </w:pPr>
    </w:p>
    <w:p w:rsidR="00A96D19" w:rsidRPr="00E113B9" w:rsidRDefault="00C32FB8" w:rsidP="00FC6D80">
      <w:pPr>
        <w:pStyle w:val="NormalWeb"/>
        <w:numPr>
          <w:ilvl w:val="0"/>
          <w:numId w:val="16"/>
        </w:numPr>
        <w:spacing w:before="120" w:after="120"/>
        <w:jc w:val="both"/>
        <w:rPr>
          <w:rFonts w:eastAsia="Calibri"/>
          <w:bCs/>
          <w:lang w:val="it-IT"/>
        </w:rPr>
      </w:pPr>
      <w:r w:rsidRPr="00E113B9">
        <w:rPr>
          <w:rFonts w:eastAsia="Calibri"/>
          <w:bCs/>
          <w:lang w:val="it-IT"/>
        </w:rPr>
        <w:t>Arsyet p</w:t>
      </w:r>
      <w:r w:rsidR="00C42D78" w:rsidRPr="00E113B9">
        <w:rPr>
          <w:rFonts w:eastAsia="Calibri"/>
          <w:bCs/>
          <w:lang w:val="it-IT"/>
        </w:rPr>
        <w:t>ë</w:t>
      </w:r>
      <w:r w:rsidR="008845BC" w:rsidRPr="00E113B9">
        <w:rPr>
          <w:rFonts w:eastAsia="Calibri"/>
          <w:bCs/>
          <w:lang w:val="it-IT"/>
        </w:rPr>
        <w:t>r p</w:t>
      </w:r>
      <w:r w:rsidR="00C42D78" w:rsidRPr="00E113B9">
        <w:rPr>
          <w:rFonts w:eastAsia="Calibri"/>
          <w:bCs/>
          <w:lang w:val="it-IT"/>
        </w:rPr>
        <w:t>ë</w:t>
      </w:r>
      <w:r w:rsidR="008845BC" w:rsidRPr="00E113B9">
        <w:rPr>
          <w:rFonts w:eastAsia="Calibri"/>
          <w:bCs/>
          <w:lang w:val="it-IT"/>
        </w:rPr>
        <w:t>rputhshm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ri t</w:t>
      </w:r>
      <w:r w:rsidR="00C42D78" w:rsidRPr="00E113B9">
        <w:rPr>
          <w:rFonts w:eastAsia="Calibri"/>
          <w:bCs/>
          <w:lang w:val="it-IT"/>
        </w:rPr>
        <w:t>ë</w:t>
      </w:r>
      <w:r w:rsidR="008845BC" w:rsidRPr="00E113B9">
        <w:rPr>
          <w:rFonts w:eastAsia="Calibri"/>
          <w:bCs/>
          <w:lang w:val="it-IT"/>
        </w:rPr>
        <w:t xml:space="preserve"> pjesshme.</w:t>
      </w:r>
    </w:p>
    <w:p w:rsidR="00A70880" w:rsidRPr="00E113B9" w:rsidRDefault="00A70880" w:rsidP="006E4B26">
      <w:pPr>
        <w:jc w:val="both"/>
        <w:rPr>
          <w:rFonts w:eastAsia="Calibri"/>
          <w:bCs/>
          <w:lang w:val="it-IT"/>
        </w:rPr>
      </w:pPr>
      <w:r w:rsidRPr="00E113B9">
        <w:rPr>
          <w:rFonts w:eastAsia="Calibri"/>
          <w:bCs/>
          <w:lang w:val="it-IT"/>
        </w:rPr>
        <w:t>N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 xml:space="preserve"> k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t</w:t>
      </w:r>
      <w:r w:rsidR="00C42D78" w:rsidRPr="00E113B9">
        <w:rPr>
          <w:rFonts w:eastAsia="Calibri"/>
          <w:bCs/>
          <w:lang w:val="it-IT"/>
        </w:rPr>
        <w:t>ë</w:t>
      </w:r>
      <w:r w:rsidR="008845BC" w:rsidRPr="00E113B9">
        <w:rPr>
          <w:rFonts w:eastAsia="Calibri"/>
          <w:bCs/>
          <w:lang w:val="it-IT"/>
        </w:rPr>
        <w:t xml:space="preserve"> proje</w:t>
      </w:r>
      <w:r w:rsidR="00E0474F" w:rsidRPr="00E113B9">
        <w:rPr>
          <w:rFonts w:eastAsia="Calibri"/>
          <w:bCs/>
          <w:lang w:val="it-IT"/>
        </w:rPr>
        <w:t>k</w:t>
      </w:r>
      <w:r w:rsidR="008845BC" w:rsidRPr="00E113B9">
        <w:rPr>
          <w:rFonts w:eastAsia="Calibri"/>
          <w:bCs/>
          <w:lang w:val="it-IT"/>
        </w:rPr>
        <w:t xml:space="preserve">tligj nuk </w:t>
      </w:r>
      <w:r w:rsidR="00C42D78" w:rsidRPr="00E113B9">
        <w:rPr>
          <w:rFonts w:eastAsia="Calibri"/>
          <w:bCs/>
          <w:lang w:val="it-IT"/>
        </w:rPr>
        <w:t>ë</w:t>
      </w:r>
      <w:r w:rsidR="006E4B26" w:rsidRPr="00E113B9">
        <w:rPr>
          <w:rFonts w:eastAsia="Calibri"/>
          <w:bCs/>
          <w:lang w:val="it-IT"/>
        </w:rPr>
        <w:t>sht</w:t>
      </w:r>
      <w:r w:rsidR="00C42D78" w:rsidRPr="00E113B9">
        <w:rPr>
          <w:rFonts w:eastAsia="Calibri"/>
          <w:bCs/>
          <w:lang w:val="it-IT"/>
        </w:rPr>
        <w:t>ë</w:t>
      </w:r>
      <w:r w:rsidR="008845BC" w:rsidRPr="00E113B9">
        <w:rPr>
          <w:rFonts w:eastAsia="Calibri"/>
          <w:bCs/>
          <w:lang w:val="it-IT"/>
        </w:rPr>
        <w:t xml:space="preserve"> </w:t>
      </w:r>
      <w:r w:rsidR="00E0474F" w:rsidRPr="00E113B9">
        <w:rPr>
          <w:rFonts w:eastAsia="Calibri"/>
          <w:bCs/>
          <w:lang w:val="it-IT"/>
        </w:rPr>
        <w:t>b</w:t>
      </w:r>
      <w:r w:rsidR="00C42D78" w:rsidRPr="00E113B9">
        <w:rPr>
          <w:rFonts w:eastAsia="Calibri"/>
          <w:bCs/>
          <w:lang w:val="it-IT"/>
        </w:rPr>
        <w:t>ë</w:t>
      </w:r>
      <w:r w:rsidR="00C32FB8" w:rsidRPr="00E113B9">
        <w:rPr>
          <w:rFonts w:eastAsia="Calibri"/>
          <w:bCs/>
          <w:lang w:val="it-IT"/>
        </w:rPr>
        <w:t>r</w:t>
      </w:r>
      <w:r w:rsidR="00C42D78" w:rsidRPr="00E113B9">
        <w:rPr>
          <w:rFonts w:eastAsia="Calibri"/>
          <w:bCs/>
          <w:lang w:val="it-IT"/>
        </w:rPr>
        <w:t>ë</w:t>
      </w:r>
      <w:r w:rsidR="00E0474F" w:rsidRPr="00E113B9">
        <w:rPr>
          <w:rFonts w:eastAsia="Calibri"/>
          <w:bCs/>
          <w:lang w:val="it-IT"/>
        </w:rPr>
        <w:t xml:space="preserve"> </w:t>
      </w:r>
      <w:r w:rsidR="0059225C" w:rsidRPr="00E113B9">
        <w:rPr>
          <w:rFonts w:eastAsia="Calibri"/>
          <w:bCs/>
          <w:lang w:val="it-IT"/>
        </w:rPr>
        <w:t>p</w:t>
      </w:r>
      <w:r w:rsidR="00C42D78" w:rsidRPr="00E113B9">
        <w:rPr>
          <w:rFonts w:eastAsia="Calibri"/>
          <w:bCs/>
          <w:lang w:val="it-IT"/>
        </w:rPr>
        <w:t>ë</w:t>
      </w:r>
      <w:r w:rsidR="0059225C" w:rsidRPr="00E113B9">
        <w:rPr>
          <w:rFonts w:eastAsia="Calibri"/>
          <w:bCs/>
          <w:lang w:val="it-IT"/>
        </w:rPr>
        <w:t>rputhshm</w:t>
      </w:r>
      <w:r w:rsidR="00C42D78" w:rsidRPr="00E113B9">
        <w:rPr>
          <w:rFonts w:eastAsia="Calibri"/>
          <w:bCs/>
          <w:lang w:val="it-IT"/>
        </w:rPr>
        <w:t>ë</w:t>
      </w:r>
      <w:r w:rsidR="0059225C" w:rsidRPr="00E113B9">
        <w:rPr>
          <w:rFonts w:eastAsia="Calibri"/>
          <w:bCs/>
          <w:lang w:val="it-IT"/>
        </w:rPr>
        <w:t>ri e plot</w:t>
      </w:r>
      <w:r w:rsidR="00C42D78" w:rsidRPr="00E113B9">
        <w:rPr>
          <w:rFonts w:eastAsia="Calibri"/>
          <w:bCs/>
          <w:lang w:val="it-IT"/>
        </w:rPr>
        <w:t>ë</w:t>
      </w:r>
      <w:r w:rsidR="0059225C" w:rsidRPr="00E113B9">
        <w:rPr>
          <w:rFonts w:eastAsia="Calibri"/>
          <w:bCs/>
          <w:lang w:val="it-IT"/>
        </w:rPr>
        <w:t xml:space="preserve"> me</w:t>
      </w:r>
      <w:r w:rsidRPr="00E113B9">
        <w:rPr>
          <w:rFonts w:eastAsia="Calibri"/>
          <w:bCs/>
          <w:lang w:val="it-IT"/>
        </w:rPr>
        <w:t>:</w:t>
      </w:r>
    </w:p>
    <w:p w:rsidR="006B09FD" w:rsidRPr="00E113B9" w:rsidRDefault="006B09FD" w:rsidP="006E4B26">
      <w:pPr>
        <w:jc w:val="both"/>
        <w:rPr>
          <w:rFonts w:eastAsia="Calibri"/>
          <w:bCs/>
          <w:lang w:val="it-IT"/>
        </w:rPr>
      </w:pPr>
    </w:p>
    <w:p w:rsidR="0059225C" w:rsidRPr="00E113B9" w:rsidRDefault="00A70880" w:rsidP="00A70880">
      <w:pPr>
        <w:numPr>
          <w:ilvl w:val="0"/>
          <w:numId w:val="21"/>
        </w:numPr>
        <w:jc w:val="both"/>
        <w:rPr>
          <w:i/>
          <w:lang w:val="it-IT"/>
        </w:rPr>
      </w:pPr>
      <w:r w:rsidRPr="00E113B9">
        <w:rPr>
          <w:rFonts w:eastAsia="Calibri"/>
          <w:bCs/>
          <w:i/>
          <w:lang w:val="it-IT"/>
        </w:rPr>
        <w:t>N</w:t>
      </w:r>
      <w:r w:rsidR="0059225C" w:rsidRPr="00E113B9">
        <w:rPr>
          <w:rFonts w:eastAsia="Calibri"/>
          <w:bCs/>
          <w:i/>
          <w:lang w:val="it-IT"/>
        </w:rPr>
        <w:t>enin</w:t>
      </w:r>
      <w:r w:rsidR="0059225C" w:rsidRPr="00E113B9">
        <w:rPr>
          <w:i/>
          <w:lang w:val="it-IT"/>
        </w:rPr>
        <w:t xml:space="preserve"> </w:t>
      </w:r>
      <w:r w:rsidRPr="00E113B9">
        <w:rPr>
          <w:i/>
          <w:lang w:val="it-IT"/>
        </w:rPr>
        <w:t>132</w:t>
      </w:r>
      <w:r w:rsidRPr="00E113B9">
        <w:rPr>
          <w:i/>
        </w:rPr>
        <w:t>DE 2006/112 CE “Përjashtimi i disa veprimtarive me interes publi</w:t>
      </w:r>
      <w:r w:rsidR="006B09FD" w:rsidRPr="00E113B9">
        <w:rPr>
          <w:i/>
        </w:rPr>
        <w:t>k</w:t>
      </w:r>
      <w:r w:rsidRPr="00E113B9">
        <w:rPr>
          <w:i/>
        </w:rPr>
        <w:t>”</w:t>
      </w:r>
      <w:r w:rsidR="006E4B26" w:rsidRPr="00E113B9">
        <w:rPr>
          <w:i/>
          <w:lang w:val="it-IT"/>
        </w:rPr>
        <w:t>”,</w:t>
      </w:r>
      <w:r w:rsidR="00E0474F" w:rsidRPr="00E113B9">
        <w:rPr>
          <w:i/>
          <w:lang w:val="it-IT"/>
        </w:rPr>
        <w:t xml:space="preserve"> </w:t>
      </w:r>
      <w:r w:rsidR="006E4B26" w:rsidRPr="00E113B9">
        <w:rPr>
          <w:i/>
          <w:lang w:val="it-IT"/>
        </w:rPr>
        <w:t>(referuar nenit 51 t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 xml:space="preserve"> k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>tij projekt</w:t>
      </w:r>
      <w:r w:rsidR="00E0474F" w:rsidRPr="00E113B9">
        <w:rPr>
          <w:i/>
          <w:lang w:val="it-IT"/>
        </w:rPr>
        <w:t>ligji</w:t>
      </w:r>
      <w:r w:rsidR="006E4B26" w:rsidRPr="00E113B9">
        <w:rPr>
          <w:i/>
          <w:lang w:val="it-IT"/>
        </w:rPr>
        <w:t>)</w:t>
      </w:r>
      <w:r w:rsidR="00E0474F" w:rsidRPr="00E113B9">
        <w:rPr>
          <w:i/>
          <w:lang w:val="it-IT"/>
        </w:rPr>
        <w:t xml:space="preserve"> </w:t>
      </w:r>
    </w:p>
    <w:p w:rsidR="00A70880" w:rsidRPr="00E113B9" w:rsidRDefault="00A70880" w:rsidP="00A70880">
      <w:pPr>
        <w:jc w:val="both"/>
        <w:rPr>
          <w:lang w:val="sq-AL"/>
        </w:rPr>
      </w:pPr>
    </w:p>
    <w:p w:rsidR="00A70880" w:rsidRPr="00E113B9" w:rsidRDefault="00A70880" w:rsidP="00A70880">
      <w:pPr>
        <w:jc w:val="both"/>
        <w:rPr>
          <w:lang w:val="sq-AL"/>
        </w:rPr>
      </w:pPr>
      <w:r w:rsidRPr="00E113B9">
        <w:rPr>
          <w:lang w:val="sq-AL"/>
        </w:rPr>
        <w:t>Në këtë nen janë përfshirë të gjitha përjashtimet dhe kufizimet për to të parashikuara në nenin 132 të Direktivës. Përpos këtij transpozimi, në këtë nen janë shtuar di</w:t>
      </w:r>
      <w:r w:rsidR="00FC6D80" w:rsidRPr="00E113B9">
        <w:rPr>
          <w:lang w:val="sq-AL"/>
        </w:rPr>
        <w:t>s</w:t>
      </w:r>
      <w:r w:rsidRPr="00E113B9">
        <w:rPr>
          <w:lang w:val="sq-AL"/>
        </w:rPr>
        <w:t>a përjashtime të cilat reflektojnë politikën e qeverisë në sektorë të përcaktuar.</w:t>
      </w:r>
      <w:r w:rsidR="007D22C2" w:rsidRPr="00E113B9">
        <w:rPr>
          <w:lang w:val="sq-AL"/>
        </w:rPr>
        <w:t xml:space="preserve"> Konk</w:t>
      </w:r>
      <w:r w:rsidR="00FC6D80" w:rsidRPr="00E113B9">
        <w:rPr>
          <w:lang w:val="sq-AL"/>
        </w:rPr>
        <w:t>retisht:</w:t>
      </w:r>
    </w:p>
    <w:p w:rsidR="00A70880" w:rsidRPr="00E113B9" w:rsidRDefault="00A70880" w:rsidP="00A70880">
      <w:pPr>
        <w:jc w:val="both"/>
        <w:rPr>
          <w:lang w:val="sq-AL"/>
        </w:rPr>
      </w:pPr>
    </w:p>
    <w:p w:rsidR="00A70880" w:rsidRPr="00E113B9" w:rsidRDefault="00A70880" w:rsidP="00A70880">
      <w:pPr>
        <w:jc w:val="both"/>
        <w:rPr>
          <w:lang w:val="sq-AL"/>
        </w:rPr>
      </w:pPr>
      <w:r w:rsidRPr="00E113B9">
        <w:rPr>
          <w:lang w:val="sq-AL"/>
        </w:rPr>
        <w:t>1. Në këtë nen është shtuar përjashtimi nga TVSH-ja, në interes të përgjithshëm, të barnave.</w:t>
      </w:r>
    </w:p>
    <w:p w:rsidR="00A70880" w:rsidRPr="00E113B9" w:rsidRDefault="00A70880" w:rsidP="00A70880">
      <w:pPr>
        <w:jc w:val="both"/>
      </w:pPr>
      <w:r w:rsidRPr="00E113B9">
        <w:t>Arsyeja kryesore e mbajtjes së këtij përjashtimi është ofrimi i ba</w:t>
      </w:r>
      <w:r w:rsidR="009432C1" w:rsidRPr="00E113B9">
        <w:t>rnave me një çmim më të ulët te pacienti.</w:t>
      </w:r>
    </w:p>
    <w:p w:rsidR="00A70880" w:rsidRPr="00E113B9" w:rsidRDefault="00A70880" w:rsidP="00A70880">
      <w:pPr>
        <w:jc w:val="both"/>
      </w:pPr>
      <w:r w:rsidRPr="00E113B9">
        <w:t>Sipas Direktivë</w:t>
      </w:r>
      <w:r w:rsidR="00C32FB8" w:rsidRPr="00E113B9">
        <w:t>s</w:t>
      </w:r>
      <w:r w:rsidRPr="00E113B9">
        <w:t xml:space="preserve"> barnat trajtohen me normë të reduktuar TVSH-je.</w:t>
      </w:r>
    </w:p>
    <w:p w:rsidR="00A70880" w:rsidRPr="00E113B9" w:rsidRDefault="00A70880" w:rsidP="00A70880">
      <w:pPr>
        <w:jc w:val="both"/>
      </w:pPr>
    </w:p>
    <w:p w:rsidR="00A70880" w:rsidRPr="00E113B9" w:rsidRDefault="00A70880" w:rsidP="00A70880">
      <w:pPr>
        <w:jc w:val="both"/>
      </w:pPr>
      <w:r w:rsidRPr="00E113B9">
        <w:t>2.</w:t>
      </w:r>
      <w:r w:rsidR="00561659" w:rsidRPr="00E113B9">
        <w:t xml:space="preserve"> </w:t>
      </w:r>
      <w:r w:rsidRPr="00E113B9">
        <w:t xml:space="preserve">Përjashtimi nga tvsh-ja i furnizimit të mallrave dhe shërbimeve nga OJF që ushtrojnë aktivitet në interes publik është i kushtëzuar nga çmimi i ofrimit të këtyre mallrave dhe shërbimeve, i cili duhet të jetë më i ulët se 50%. Direktiva nuk e parashikon këtë kushtëzim. </w:t>
      </w:r>
    </w:p>
    <w:p w:rsidR="00A70880" w:rsidRPr="00E113B9" w:rsidRDefault="00A70880" w:rsidP="006E4B26">
      <w:pPr>
        <w:jc w:val="both"/>
        <w:rPr>
          <w:lang w:val="sq-AL"/>
        </w:rPr>
      </w:pPr>
    </w:p>
    <w:p w:rsidR="00A70880" w:rsidRPr="00E113B9" w:rsidRDefault="00E0474F" w:rsidP="009E40BA">
      <w:pPr>
        <w:pStyle w:val="ListParagraph"/>
        <w:numPr>
          <w:ilvl w:val="0"/>
          <w:numId w:val="21"/>
        </w:numPr>
        <w:rPr>
          <w:i/>
          <w:lang w:val="sq-AL"/>
        </w:rPr>
      </w:pPr>
      <w:r w:rsidRPr="00E113B9">
        <w:rPr>
          <w:i/>
          <w:lang w:val="sq-AL"/>
        </w:rPr>
        <w:t xml:space="preserve">Nuk </w:t>
      </w:r>
      <w:r w:rsidR="00C42D78" w:rsidRPr="00E113B9">
        <w:rPr>
          <w:i/>
          <w:lang w:val="sq-AL"/>
        </w:rPr>
        <w:t>ë</w:t>
      </w:r>
      <w:r w:rsidRPr="00E113B9">
        <w:rPr>
          <w:i/>
          <w:lang w:val="sq-AL"/>
        </w:rPr>
        <w:t>sht</w:t>
      </w:r>
      <w:r w:rsidR="00C42D78" w:rsidRPr="00E113B9">
        <w:rPr>
          <w:i/>
          <w:lang w:val="sq-AL"/>
        </w:rPr>
        <w:t>ë</w:t>
      </w:r>
      <w:r w:rsidRPr="00E113B9">
        <w:rPr>
          <w:i/>
          <w:lang w:val="sq-AL"/>
        </w:rPr>
        <w:t xml:space="preserve"> b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>r</w:t>
      </w:r>
      <w:r w:rsidR="00C42D78" w:rsidRPr="00E113B9">
        <w:rPr>
          <w:i/>
          <w:lang w:val="sq-AL"/>
        </w:rPr>
        <w:t>ë</w:t>
      </w:r>
      <w:r w:rsidRPr="00E113B9">
        <w:rPr>
          <w:i/>
          <w:lang w:val="sq-AL"/>
        </w:rPr>
        <w:t xml:space="preserve"> </w:t>
      </w:r>
      <w:r w:rsidR="00C32FB8" w:rsidRPr="00E113B9">
        <w:rPr>
          <w:i/>
          <w:lang w:val="sq-AL"/>
        </w:rPr>
        <w:t>p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>rputhshm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>ri e plot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 xml:space="preserve"> me nenin</w:t>
      </w:r>
      <w:r w:rsidR="00A70880" w:rsidRPr="00E113B9">
        <w:rPr>
          <w:i/>
        </w:rPr>
        <w:t xml:space="preserve"> 135 DE 2006/112 CE “Përjashtimi i disa veprimtarive të tjera”. </w:t>
      </w:r>
      <w:r w:rsidRPr="00E113B9">
        <w:rPr>
          <w:i/>
          <w:lang w:val="sq-AL"/>
        </w:rPr>
        <w:t>(</w:t>
      </w:r>
      <w:r w:rsidR="00A70880" w:rsidRPr="00E113B9">
        <w:rPr>
          <w:i/>
          <w:lang w:val="sq-AL"/>
        </w:rPr>
        <w:t>Neni 53 Përjashtimi i disa veprimtarive të tjera” t</w:t>
      </w:r>
      <w:r w:rsidR="00C42D78" w:rsidRPr="00E113B9">
        <w:rPr>
          <w:i/>
          <w:lang w:val="sq-AL"/>
        </w:rPr>
        <w:t>ë</w:t>
      </w:r>
      <w:r w:rsidR="00A70880" w:rsidRPr="00E113B9">
        <w:rPr>
          <w:i/>
          <w:lang w:val="sq-AL"/>
        </w:rPr>
        <w:t xml:space="preserve"> projektligjit) </w:t>
      </w:r>
    </w:p>
    <w:p w:rsidR="00A70880" w:rsidRPr="00E113B9" w:rsidRDefault="00A70880" w:rsidP="00A70880">
      <w:pPr>
        <w:rPr>
          <w:lang w:val="sq-AL"/>
        </w:rPr>
      </w:pPr>
    </w:p>
    <w:p w:rsidR="00A70880" w:rsidRPr="00E113B9" w:rsidRDefault="00A70880" w:rsidP="00A70880">
      <w:pPr>
        <w:rPr>
          <w:lang w:val="sq-AL"/>
        </w:rPr>
      </w:pPr>
      <w:r w:rsidRPr="00E113B9">
        <w:rPr>
          <w:lang w:val="sq-AL"/>
        </w:rPr>
        <w:t>Përputhshmëria është jo e plotë për arsye se në këtë nen  janë mbajtur disa përjashtime të cilat janë në ligjin ekzistues të TVSH-së, dhe më konkretisht:</w:t>
      </w:r>
    </w:p>
    <w:p w:rsidR="00A70880" w:rsidRPr="00E113B9" w:rsidRDefault="00A70880" w:rsidP="00A708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lang w:val="sq-AL"/>
        </w:rPr>
      </w:pPr>
      <w:r w:rsidRPr="00E113B9">
        <w:rPr>
          <w:lang w:val="sq-AL"/>
        </w:rPr>
        <w:t>Furnizimi i shërbimeve të shtypshkronjave për gazetat, furnizimi i gazetave, i revistave dhe i librave të çdo lloji.</w:t>
      </w:r>
    </w:p>
    <w:p w:rsidR="00A70880" w:rsidRPr="00E113B9" w:rsidRDefault="00A70880" w:rsidP="00A70880">
      <w:pPr>
        <w:autoSpaceDE w:val="0"/>
        <w:autoSpaceDN w:val="0"/>
        <w:adjustRightInd w:val="0"/>
        <w:ind w:left="360"/>
        <w:jc w:val="both"/>
        <w:rPr>
          <w:lang w:val="sq-AL"/>
        </w:rPr>
      </w:pPr>
      <w:r w:rsidRPr="00E113B9">
        <w:rPr>
          <w:lang w:val="sq-AL"/>
        </w:rPr>
        <w:t>Mbajtja e këtij pë</w:t>
      </w:r>
      <w:r w:rsidR="00037884" w:rsidRPr="00E113B9">
        <w:rPr>
          <w:lang w:val="sq-AL"/>
        </w:rPr>
        <w:t>rja</w:t>
      </w:r>
      <w:r w:rsidRPr="00E113B9">
        <w:rPr>
          <w:lang w:val="sq-AL"/>
        </w:rPr>
        <w:t>s</w:t>
      </w:r>
      <w:r w:rsidR="00037884" w:rsidRPr="00E113B9">
        <w:rPr>
          <w:lang w:val="sq-AL"/>
        </w:rPr>
        <w:t>h</w:t>
      </w:r>
      <w:r w:rsidRPr="00E113B9">
        <w:rPr>
          <w:lang w:val="sq-AL"/>
        </w:rPr>
        <w:t>timi bëhet në funksion të pol</w:t>
      </w:r>
      <w:r w:rsidR="00037884" w:rsidRPr="00E113B9">
        <w:rPr>
          <w:lang w:val="sq-AL"/>
        </w:rPr>
        <w:t>i</w:t>
      </w:r>
      <w:r w:rsidRPr="00E113B9">
        <w:rPr>
          <w:lang w:val="sq-AL"/>
        </w:rPr>
        <w:t xml:space="preserve">tikës së qeverisë për promovimin e kulturës së librit. Në ligjin ekzistues </w:t>
      </w:r>
      <w:r w:rsidR="00B51FAD" w:rsidRPr="00E113B9">
        <w:rPr>
          <w:lang w:val="sq-AL"/>
        </w:rPr>
        <w:t>në këtë pikë kanë qënë të përja</w:t>
      </w:r>
      <w:r w:rsidRPr="00E113B9">
        <w:rPr>
          <w:lang w:val="sq-AL"/>
        </w:rPr>
        <w:t>s</w:t>
      </w:r>
      <w:r w:rsidR="00B51FAD" w:rsidRPr="00E113B9">
        <w:rPr>
          <w:lang w:val="sq-AL"/>
        </w:rPr>
        <w:t>h</w:t>
      </w:r>
      <w:r w:rsidRPr="00E113B9">
        <w:rPr>
          <w:lang w:val="sq-AL"/>
        </w:rPr>
        <w:t>tuara edhe reklamat, të cilat nuk</w:t>
      </w:r>
      <w:r w:rsidR="006944A2" w:rsidRPr="00E113B9">
        <w:rPr>
          <w:lang w:val="sq-AL"/>
        </w:rPr>
        <w:t xml:space="preserve"> janë në përputhje me Direktivën</w:t>
      </w:r>
      <w:r w:rsidRPr="00E113B9">
        <w:rPr>
          <w:lang w:val="sq-AL"/>
        </w:rPr>
        <w:t xml:space="preserve"> dhe në këtë nen  është hequr ky përjashtim.</w:t>
      </w:r>
    </w:p>
    <w:p w:rsidR="00A70880" w:rsidRPr="00E113B9" w:rsidRDefault="00A70880" w:rsidP="00A708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lang w:val="sq-AL"/>
        </w:rPr>
      </w:pPr>
      <w:r w:rsidRPr="00E113B9">
        <w:rPr>
          <w:lang w:val="sq-AL"/>
        </w:rPr>
        <w:t>Furnizimi falas, si ndihmë për situatat e përcaktuara, sipas ligjit Nr. 8756 datë 26.03.2001 “Për emergjencat civile”</w:t>
      </w:r>
    </w:p>
    <w:p w:rsidR="00A70880" w:rsidRPr="00E113B9" w:rsidRDefault="009B7CC6" w:rsidP="00A70880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     </w:t>
      </w:r>
      <w:r w:rsidR="00A70880" w:rsidRPr="00E113B9">
        <w:rPr>
          <w:lang w:val="sq-AL"/>
        </w:rPr>
        <w:t>Sipas ekpertëve francezë, ky lloj furnizmi nuk është i tatueshëm për efekt të tvsh-</w:t>
      </w:r>
      <w:r w:rsidR="00864265" w:rsidRPr="00E113B9">
        <w:rPr>
          <w:lang w:val="sq-AL"/>
        </w:rPr>
        <w:t xml:space="preserve">je, por për </w:t>
      </w:r>
      <w:r w:rsidR="00872A56">
        <w:rPr>
          <w:lang w:val="sq-AL"/>
        </w:rPr>
        <w:t xml:space="preserve">       </w:t>
      </w:r>
      <w:r w:rsidR="00864265" w:rsidRPr="00E113B9">
        <w:rPr>
          <w:lang w:val="sq-AL"/>
        </w:rPr>
        <w:t>arsye të eleminimit t</w:t>
      </w:r>
      <w:r w:rsidR="00173F46" w:rsidRPr="00E113B9">
        <w:rPr>
          <w:lang w:val="sq-AL"/>
        </w:rPr>
        <w:t>ë</w:t>
      </w:r>
      <w:r w:rsidR="00864265" w:rsidRPr="00E113B9">
        <w:rPr>
          <w:lang w:val="sq-AL"/>
        </w:rPr>
        <w:t xml:space="preserve"> </w:t>
      </w:r>
      <w:r w:rsidR="00A70880" w:rsidRPr="00E113B9">
        <w:rPr>
          <w:lang w:val="sq-AL"/>
        </w:rPr>
        <w:t>keqinterpretimeve nga administrata tatimore, është lënë i përjashtuar.</w:t>
      </w:r>
    </w:p>
    <w:p w:rsidR="00A70880" w:rsidRPr="00E113B9" w:rsidRDefault="00A70880" w:rsidP="00A708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lang w:val="sq-AL"/>
        </w:rPr>
      </w:pPr>
      <w:r w:rsidRPr="00E113B9">
        <w:rPr>
          <w:lang w:val="sq-AL"/>
        </w:rPr>
        <w:t>Furnizimi i kartave të identitetit për shtetasit.</w:t>
      </w:r>
    </w:p>
    <w:p w:rsidR="00A70880" w:rsidRPr="00E113B9" w:rsidRDefault="00A70880" w:rsidP="00A70880">
      <w:pPr>
        <w:autoSpaceDE w:val="0"/>
        <w:autoSpaceDN w:val="0"/>
        <w:adjustRightInd w:val="0"/>
        <w:jc w:val="both"/>
        <w:rPr>
          <w:lang w:val="sq-AL"/>
        </w:rPr>
      </w:pPr>
      <w:r w:rsidRPr="00E113B9">
        <w:rPr>
          <w:lang w:val="sq-AL"/>
        </w:rPr>
        <w:t>Arsyeja e vetme për mbajtjen e përjashtimit</w:t>
      </w:r>
      <w:r w:rsidR="00864265" w:rsidRPr="00E113B9">
        <w:rPr>
          <w:lang w:val="sq-AL"/>
        </w:rPr>
        <w:t xml:space="preserve"> </w:t>
      </w:r>
      <w:r w:rsidRPr="00E113B9">
        <w:rPr>
          <w:lang w:val="sq-AL"/>
        </w:rPr>
        <w:t xml:space="preserve">nga tvsh-ja të kartave të identitetit lidhet me ruajtjen e politikës sociale, të ofrimit të kartave të identitetit me çmim 20% më të ulët tek qytetari. </w:t>
      </w:r>
    </w:p>
    <w:p w:rsidR="001556E1" w:rsidRPr="00E113B9" w:rsidRDefault="001556E1" w:rsidP="001556E1">
      <w:pPr>
        <w:rPr>
          <w:b/>
          <w:lang w:val="sq-AL"/>
        </w:rPr>
      </w:pPr>
    </w:p>
    <w:p w:rsidR="001556E1" w:rsidRPr="00E113B9" w:rsidRDefault="001556E1" w:rsidP="001556E1">
      <w:pPr>
        <w:rPr>
          <w:b/>
          <w:lang w:val="sq-AL"/>
        </w:rPr>
      </w:pPr>
    </w:p>
    <w:p w:rsidR="001556E1" w:rsidRPr="00E113B9" w:rsidRDefault="001556E1" w:rsidP="00864265">
      <w:pPr>
        <w:pStyle w:val="ListParagraph"/>
        <w:numPr>
          <w:ilvl w:val="0"/>
          <w:numId w:val="21"/>
        </w:numPr>
        <w:rPr>
          <w:i/>
          <w:lang w:val="sq-AL"/>
        </w:rPr>
      </w:pPr>
      <w:r w:rsidRPr="00E113B9">
        <w:rPr>
          <w:i/>
          <w:lang w:val="sq-AL"/>
        </w:rPr>
        <w:t>N</w:t>
      </w:r>
      <w:r w:rsidR="00C32FB8" w:rsidRPr="00E113B9">
        <w:rPr>
          <w:i/>
          <w:lang w:val="sq-AL"/>
        </w:rPr>
        <w:t xml:space="preserve">uk 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>sht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 xml:space="preserve"> b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>r</w:t>
      </w:r>
      <w:r w:rsidR="00C42D78" w:rsidRPr="00E113B9">
        <w:rPr>
          <w:i/>
          <w:lang w:val="sq-AL"/>
        </w:rPr>
        <w:t>ë</w:t>
      </w:r>
      <w:r w:rsidRPr="00E113B9">
        <w:rPr>
          <w:i/>
          <w:lang w:val="sq-AL"/>
        </w:rPr>
        <w:t xml:space="preserve"> </w:t>
      </w:r>
      <w:r w:rsidR="00C32FB8" w:rsidRPr="00E113B9">
        <w:rPr>
          <w:i/>
          <w:lang w:val="sq-AL"/>
        </w:rPr>
        <w:t>p</w:t>
      </w:r>
      <w:r w:rsidR="00C42D78" w:rsidRPr="00E113B9">
        <w:rPr>
          <w:i/>
          <w:lang w:val="sq-AL"/>
        </w:rPr>
        <w:t>ë</w:t>
      </w:r>
      <w:r w:rsidR="00C32FB8" w:rsidRPr="00E113B9">
        <w:rPr>
          <w:i/>
          <w:lang w:val="sq-AL"/>
        </w:rPr>
        <w:t>rputhshm</w:t>
      </w:r>
      <w:r w:rsidR="00780A86">
        <w:rPr>
          <w:i/>
          <w:lang w:val="sq-AL"/>
        </w:rPr>
        <w:t>ë</w:t>
      </w:r>
      <w:r w:rsidR="00C32FB8" w:rsidRPr="00E113B9">
        <w:rPr>
          <w:i/>
          <w:lang w:val="sq-AL"/>
        </w:rPr>
        <w:t>ri e plot</w:t>
      </w:r>
      <w:r w:rsidR="00C42D78" w:rsidRPr="00E113B9">
        <w:rPr>
          <w:i/>
          <w:lang w:val="sq-AL"/>
        </w:rPr>
        <w:t>ë</w:t>
      </w:r>
      <w:r w:rsidRPr="00E113B9">
        <w:rPr>
          <w:i/>
          <w:lang w:val="sq-AL"/>
        </w:rPr>
        <w:t xml:space="preserve"> me </w:t>
      </w:r>
      <w:r w:rsidRPr="00E113B9">
        <w:rPr>
          <w:i/>
        </w:rPr>
        <w:t xml:space="preserve">Nenin 143 DE 2006/112 CE  </w:t>
      </w:r>
      <w:r w:rsidRPr="00E113B9">
        <w:rPr>
          <w:i/>
          <w:lang w:val="sq-AL"/>
        </w:rPr>
        <w:t>(Neni 56 Përjashtime të veçanta në import</w:t>
      </w:r>
      <w:r w:rsidR="00B46CB0" w:rsidRPr="00E113B9">
        <w:rPr>
          <w:i/>
          <w:lang w:val="sq-AL"/>
        </w:rPr>
        <w:t>)</w:t>
      </w:r>
    </w:p>
    <w:p w:rsidR="001556E1" w:rsidRPr="00E113B9" w:rsidRDefault="001556E1" w:rsidP="001556E1">
      <w:pPr>
        <w:rPr>
          <w:lang w:val="sq-AL"/>
        </w:rPr>
      </w:pPr>
    </w:p>
    <w:p w:rsidR="001556E1" w:rsidRPr="00E113B9" w:rsidRDefault="001556E1" w:rsidP="00A74B98">
      <w:pPr>
        <w:jc w:val="both"/>
      </w:pPr>
      <w:r w:rsidRPr="00E113B9">
        <w:rPr>
          <w:lang w:val="sq-AL"/>
        </w:rPr>
        <w:t>Në këtë nen janë transpo</w:t>
      </w:r>
      <w:r w:rsidR="00340A5E">
        <w:rPr>
          <w:lang w:val="sq-AL"/>
        </w:rPr>
        <w:t>z</w:t>
      </w:r>
      <w:r w:rsidRPr="00E113B9">
        <w:rPr>
          <w:lang w:val="sq-AL"/>
        </w:rPr>
        <w:t>uar të gjitha përjashtimet e veçanta në import të përcaktura në Direktivën e BE, me përjashtim të pikës (l) të nenit 143 për përjashtimin në import të energjisë dhe gazit. Përpos kësaj, në</w:t>
      </w:r>
      <w:r w:rsidR="00D02B8C" w:rsidRPr="00E113B9">
        <w:rPr>
          <w:lang w:val="sq-AL"/>
        </w:rPr>
        <w:t xml:space="preserve"> k</w:t>
      </w:r>
      <w:r w:rsidRPr="00E113B9">
        <w:rPr>
          <w:lang w:val="sq-AL"/>
        </w:rPr>
        <w:t>ët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n</w:t>
      </w:r>
      <w:r w:rsidR="00D02B8C" w:rsidRPr="00E113B9">
        <w:rPr>
          <w:lang w:val="sq-AL"/>
        </w:rPr>
        <w:t>e</w:t>
      </w:r>
      <w:r w:rsidRPr="00E113B9">
        <w:rPr>
          <w:lang w:val="sq-AL"/>
        </w:rPr>
        <w:t>n</w:t>
      </w:r>
      <w:r w:rsidR="00D02B8C" w:rsidRPr="00E113B9">
        <w:rPr>
          <w:lang w:val="sq-AL"/>
        </w:rPr>
        <w:t>,</w:t>
      </w:r>
      <w:r w:rsidRPr="00E113B9">
        <w:rPr>
          <w:lang w:val="sq-AL"/>
        </w:rPr>
        <w:t xml:space="preserve"> janë shtuar disa përjashtime të ligjit ekzistues të TVSH-së, në të cilat reflektohen politikat e qeverisë për stimuj fiskal në sektorë të</w:t>
      </w:r>
      <w:r w:rsidR="00C32FB8" w:rsidRPr="00E113B9">
        <w:rPr>
          <w:lang w:val="sq-AL"/>
        </w:rPr>
        <w:t xml:space="preserve"> ndrysh</w:t>
      </w:r>
      <w:r w:rsidRPr="00E113B9">
        <w:rPr>
          <w:lang w:val="sq-AL"/>
        </w:rPr>
        <w:t>ë</w:t>
      </w:r>
      <w:r w:rsidR="00C32FB8" w:rsidRPr="00E113B9">
        <w:rPr>
          <w:lang w:val="sq-AL"/>
        </w:rPr>
        <w:t>m</w:t>
      </w:r>
      <w:r w:rsidRPr="00E113B9">
        <w:rPr>
          <w:lang w:val="sq-AL"/>
        </w:rPr>
        <w:t xml:space="preserve"> të</w:t>
      </w:r>
      <w:r w:rsidR="00C32FB8" w:rsidRPr="00E113B9">
        <w:rPr>
          <w:lang w:val="sq-AL"/>
        </w:rPr>
        <w:t xml:space="preserve"> ekonom</w:t>
      </w:r>
      <w:r w:rsidRPr="00E113B9">
        <w:rPr>
          <w:lang w:val="sq-AL"/>
        </w:rPr>
        <w:t>i</w:t>
      </w:r>
      <w:r w:rsidR="00C32FB8" w:rsidRPr="00E113B9">
        <w:rPr>
          <w:lang w:val="sq-AL"/>
        </w:rPr>
        <w:t>s</w:t>
      </w:r>
      <w:r w:rsidRPr="00E113B9">
        <w:rPr>
          <w:lang w:val="sq-AL"/>
        </w:rPr>
        <w:t>ë. Konkretisht</w:t>
      </w:r>
      <w:r w:rsidR="00A064DF" w:rsidRPr="00E113B9">
        <w:rPr>
          <w:lang w:val="sq-AL"/>
        </w:rPr>
        <w:t>:</w:t>
      </w:r>
    </w:p>
    <w:p w:rsidR="001556E1" w:rsidRPr="00E113B9" w:rsidRDefault="001556E1" w:rsidP="001556E1">
      <w:pPr>
        <w:numPr>
          <w:ilvl w:val="0"/>
          <w:numId w:val="21"/>
        </w:numPr>
        <w:rPr>
          <w:lang w:val="sq-AL"/>
        </w:rPr>
      </w:pPr>
      <w:r w:rsidRPr="00E113B9">
        <w:rPr>
          <w:lang w:val="sq-AL"/>
        </w:rPr>
        <w:t>Janë mbajtuar përjas</w:t>
      </w:r>
      <w:r w:rsidR="00D02B8C" w:rsidRPr="00E113B9">
        <w:rPr>
          <w:lang w:val="sq-AL"/>
        </w:rPr>
        <w:t>h</w:t>
      </w:r>
      <w:r w:rsidRPr="00E113B9">
        <w:rPr>
          <w:lang w:val="sq-AL"/>
        </w:rPr>
        <w:t>timet nga tvsh të makinerive dhe pajisjeve sipas ligjit aktual në f</w:t>
      </w:r>
      <w:r w:rsidR="005905A8" w:rsidRPr="00E113B9">
        <w:rPr>
          <w:lang w:val="sq-AL"/>
        </w:rPr>
        <w:t>uqi (neni 26 g-gj-h-i), megjith</w:t>
      </w:r>
      <w:r w:rsidR="00173F46" w:rsidRPr="00E113B9">
        <w:rPr>
          <w:lang w:val="sq-AL"/>
        </w:rPr>
        <w:t>ë</w:t>
      </w:r>
      <w:r w:rsidR="005905A8" w:rsidRPr="00E113B9">
        <w:rPr>
          <w:lang w:val="sq-AL"/>
        </w:rPr>
        <w:t>se DE nuk ka p</w:t>
      </w:r>
      <w:r w:rsidR="00173F46" w:rsidRPr="00E113B9">
        <w:rPr>
          <w:lang w:val="sq-AL"/>
        </w:rPr>
        <w:t>ë</w:t>
      </w:r>
      <w:r w:rsidR="005905A8" w:rsidRPr="00E113B9">
        <w:rPr>
          <w:lang w:val="sq-AL"/>
        </w:rPr>
        <w:t>rjashtime t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tilla.</w:t>
      </w:r>
    </w:p>
    <w:p w:rsidR="001556E1" w:rsidRPr="00E113B9" w:rsidRDefault="001556E1" w:rsidP="001556E1">
      <w:pPr>
        <w:numPr>
          <w:ilvl w:val="0"/>
          <w:numId w:val="21"/>
        </w:numPr>
        <w:rPr>
          <w:lang w:val="sq-AL"/>
        </w:rPr>
      </w:pPr>
      <w:r w:rsidRPr="00E113B9">
        <w:rPr>
          <w:lang w:val="sq-AL"/>
        </w:rPr>
        <w:t>Është mbajtur skema e shtyrjes së tvsh</w:t>
      </w:r>
      <w:r w:rsidR="005905A8" w:rsidRPr="00E113B9">
        <w:rPr>
          <w:lang w:val="sq-AL"/>
        </w:rPr>
        <w:t>-s</w:t>
      </w:r>
      <w:r w:rsidR="00173F46" w:rsidRPr="00E113B9">
        <w:rPr>
          <w:lang w:val="sq-AL"/>
        </w:rPr>
        <w:t>ë</w:t>
      </w:r>
      <w:r w:rsidRPr="00E113B9">
        <w:rPr>
          <w:lang w:val="sq-AL"/>
        </w:rPr>
        <w:t xml:space="preserve"> së makinerive dhe pajisjeve;</w:t>
      </w:r>
    </w:p>
    <w:p w:rsidR="001556E1" w:rsidRPr="00E113B9" w:rsidRDefault="001556E1" w:rsidP="001556E1">
      <w:pPr>
        <w:pStyle w:val="BodyText3"/>
        <w:numPr>
          <w:ilvl w:val="0"/>
          <w:numId w:val="21"/>
        </w:numPr>
        <w:spacing w:after="0"/>
        <w:jc w:val="both"/>
        <w:rPr>
          <w:sz w:val="24"/>
          <w:szCs w:val="24"/>
          <w:lang w:val="sq-AL"/>
        </w:rPr>
      </w:pPr>
      <w:r w:rsidRPr="00E113B9">
        <w:rPr>
          <w:sz w:val="24"/>
          <w:szCs w:val="24"/>
          <w:lang w:val="sq-AL"/>
        </w:rPr>
        <w:lastRenderedPageBreak/>
        <w:t>Importimi i mjeteve, të cilat ndihmojnë në integrimin në jetë të invalidëve paraplegjikë dhe tetraplegjikë, përfshirë këtu dhe autovetura të për</w:t>
      </w:r>
      <w:r w:rsidR="00C32FB8" w:rsidRPr="00E113B9">
        <w:rPr>
          <w:sz w:val="24"/>
          <w:szCs w:val="24"/>
          <w:lang w:val="sq-AL"/>
        </w:rPr>
        <w:t>shtatura për përdorim prej tyre.</w:t>
      </w:r>
    </w:p>
    <w:p w:rsidR="005905A8" w:rsidRPr="00E113B9" w:rsidRDefault="005905A8" w:rsidP="005905A8">
      <w:pPr>
        <w:jc w:val="both"/>
        <w:rPr>
          <w:lang w:val="it-IT"/>
        </w:rPr>
      </w:pPr>
    </w:p>
    <w:p w:rsidR="00B271A9" w:rsidRPr="00E113B9" w:rsidRDefault="005905A8" w:rsidP="005905A8">
      <w:pPr>
        <w:jc w:val="both"/>
        <w:rPr>
          <w:i/>
          <w:lang w:val="it-IT"/>
        </w:rPr>
      </w:pPr>
      <w:r w:rsidRPr="00E113B9">
        <w:rPr>
          <w:i/>
          <w:lang w:val="it-IT"/>
        </w:rPr>
        <w:t xml:space="preserve">d) </w:t>
      </w:r>
      <w:r w:rsidR="00B271A9" w:rsidRPr="00E113B9">
        <w:rPr>
          <w:i/>
          <w:lang w:val="it-IT"/>
        </w:rPr>
        <w:t xml:space="preserve">Nuk 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>sht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 xml:space="preserve"> b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>r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 xml:space="preserve"> p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>rputhshm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>ri e plot</w:t>
      </w:r>
      <w:r w:rsidR="00C42D78" w:rsidRPr="00E113B9">
        <w:rPr>
          <w:i/>
          <w:lang w:val="it-IT"/>
        </w:rPr>
        <w:t>ë</w:t>
      </w:r>
      <w:r w:rsidR="00B271A9" w:rsidRPr="00E113B9">
        <w:rPr>
          <w:i/>
          <w:lang w:val="it-IT"/>
        </w:rPr>
        <w:t xml:space="preserve"> me nenin 176 t</w:t>
      </w:r>
      <w:r w:rsidR="00C42D78" w:rsidRPr="00E113B9">
        <w:rPr>
          <w:i/>
          <w:lang w:val="it-IT"/>
        </w:rPr>
        <w:t>ë</w:t>
      </w:r>
      <w:r w:rsidR="00B271A9" w:rsidRPr="00E113B9">
        <w:rPr>
          <w:i/>
          <w:lang w:val="it-IT"/>
        </w:rPr>
        <w:t xml:space="preserve"> Direktiv</w:t>
      </w:r>
      <w:r w:rsidR="00C42D78" w:rsidRPr="00E113B9">
        <w:rPr>
          <w:i/>
          <w:lang w:val="it-IT"/>
        </w:rPr>
        <w:t>ë</w:t>
      </w:r>
      <w:r w:rsidR="006E4B26" w:rsidRPr="00E113B9">
        <w:rPr>
          <w:i/>
          <w:lang w:val="it-IT"/>
        </w:rPr>
        <w:t>s (refe</w:t>
      </w:r>
      <w:r w:rsidR="009038E2" w:rsidRPr="00E113B9">
        <w:rPr>
          <w:i/>
          <w:lang w:val="it-IT"/>
        </w:rPr>
        <w:t>ruar nenit 74 t</w:t>
      </w:r>
      <w:r w:rsidR="00173F46" w:rsidRPr="00E113B9">
        <w:rPr>
          <w:i/>
          <w:lang w:val="it-IT"/>
        </w:rPr>
        <w:t>ë</w:t>
      </w:r>
      <w:r w:rsidR="006B09FD" w:rsidRPr="00E113B9">
        <w:rPr>
          <w:i/>
          <w:lang w:val="it-IT"/>
        </w:rPr>
        <w:t xml:space="preserve"> proj</w:t>
      </w:r>
      <w:r w:rsidR="006E4B26" w:rsidRPr="00E113B9">
        <w:rPr>
          <w:i/>
          <w:lang w:val="it-IT"/>
        </w:rPr>
        <w:t>e</w:t>
      </w:r>
      <w:r w:rsidR="006B09FD" w:rsidRPr="00E113B9">
        <w:rPr>
          <w:i/>
          <w:lang w:val="it-IT"/>
        </w:rPr>
        <w:t>k</w:t>
      </w:r>
      <w:r w:rsidR="006E4B26" w:rsidRPr="00E113B9">
        <w:rPr>
          <w:i/>
          <w:lang w:val="it-IT"/>
        </w:rPr>
        <w:t>tligjit)</w:t>
      </w:r>
    </w:p>
    <w:p w:rsidR="00B271A9" w:rsidRPr="00E113B9" w:rsidRDefault="00B271A9" w:rsidP="006E4B26">
      <w:pPr>
        <w:jc w:val="both"/>
        <w:rPr>
          <w:lang w:val="it-IT"/>
        </w:rPr>
      </w:pPr>
    </w:p>
    <w:p w:rsidR="006E4B26" w:rsidRPr="00E113B9" w:rsidRDefault="00B271A9" w:rsidP="006E4B26">
      <w:pPr>
        <w:jc w:val="both"/>
        <w:rPr>
          <w:lang w:val="it-IT"/>
        </w:rPr>
      </w:pPr>
      <w:r w:rsidRPr="00E113B9">
        <w:rPr>
          <w:lang w:val="it-IT"/>
        </w:rPr>
        <w:t>Sipas nenit 176 t</w:t>
      </w:r>
      <w:r w:rsidR="00C42D78" w:rsidRPr="00E113B9">
        <w:rPr>
          <w:lang w:val="it-IT"/>
        </w:rPr>
        <w:t>ë</w:t>
      </w:r>
      <w:r w:rsidRPr="00E113B9">
        <w:rPr>
          <w:lang w:val="it-IT"/>
        </w:rPr>
        <w:t xml:space="preserve"> Direktiv</w:t>
      </w:r>
      <w:r w:rsidR="00C42D78" w:rsidRPr="00E113B9">
        <w:rPr>
          <w:lang w:val="it-IT"/>
        </w:rPr>
        <w:t>ë</w:t>
      </w:r>
      <w:r w:rsidRPr="00E113B9">
        <w:rPr>
          <w:lang w:val="it-IT"/>
        </w:rPr>
        <w:t>s, r</w:t>
      </w:r>
      <w:r w:rsidR="009038E2" w:rsidRPr="00E113B9">
        <w:rPr>
          <w:lang w:val="it-IT"/>
        </w:rPr>
        <w:t>r</w:t>
      </w:r>
      <w:r w:rsidR="006E4B26" w:rsidRPr="00E113B9">
        <w:rPr>
          <w:lang w:val="it-IT"/>
        </w:rPr>
        <w:t>egullat dhe kufizimet p</w:t>
      </w:r>
      <w:r w:rsidR="00C42D78" w:rsidRPr="00E113B9">
        <w:rPr>
          <w:lang w:val="it-IT"/>
        </w:rPr>
        <w:t>ë</w:t>
      </w:r>
      <w:r w:rsidR="006E4B26" w:rsidRPr="00E113B9">
        <w:rPr>
          <w:lang w:val="it-IT"/>
        </w:rPr>
        <w:t>rcaktohen me kusht q</w:t>
      </w:r>
      <w:r w:rsidR="00C42D78" w:rsidRPr="00E113B9">
        <w:rPr>
          <w:lang w:val="it-IT"/>
        </w:rPr>
        <w:t>ë</w:t>
      </w:r>
      <w:r w:rsidR="006E4B26" w:rsidRPr="00E113B9">
        <w:rPr>
          <w:lang w:val="it-IT"/>
        </w:rPr>
        <w:t xml:space="preserve"> t</w:t>
      </w:r>
      <w:r w:rsidR="00C42D78" w:rsidRPr="00E113B9">
        <w:rPr>
          <w:lang w:val="it-IT"/>
        </w:rPr>
        <w:t>ë</w:t>
      </w:r>
      <w:r w:rsidR="006E4B26" w:rsidRPr="00E113B9">
        <w:rPr>
          <w:lang w:val="it-IT"/>
        </w:rPr>
        <w:t xml:space="preserve"> përjashtohen nga e drejta e zbritjes shpenzimet që nuk kanë një karakter ngushtësisht profesional, si shpenzime luksi, të argëtimit </w:t>
      </w:r>
      <w:r w:rsidRPr="00E113B9">
        <w:rPr>
          <w:lang w:val="it-IT"/>
        </w:rPr>
        <w:t>apo të përfaqësimit. Kufizime t</w:t>
      </w:r>
      <w:r w:rsidR="00C42D78" w:rsidRPr="00E113B9">
        <w:rPr>
          <w:lang w:val="it-IT"/>
        </w:rPr>
        <w:t>ë</w:t>
      </w:r>
      <w:r w:rsidR="006E4B26" w:rsidRPr="00E113B9">
        <w:rPr>
          <w:lang w:val="it-IT"/>
        </w:rPr>
        <w:t xml:space="preserve"> cilat na p</w:t>
      </w:r>
      <w:r w:rsidR="00C42D78" w:rsidRPr="00E113B9">
        <w:rPr>
          <w:lang w:val="it-IT"/>
        </w:rPr>
        <w:t>ë</w:t>
      </w:r>
      <w:r w:rsidR="006E4B26" w:rsidRPr="00E113B9">
        <w:rPr>
          <w:lang w:val="it-IT"/>
        </w:rPr>
        <w:t>rputhen edhe me p</w:t>
      </w:r>
      <w:r w:rsidR="00C42D78" w:rsidRPr="00E113B9">
        <w:rPr>
          <w:lang w:val="it-IT"/>
        </w:rPr>
        <w:t>ë</w:t>
      </w:r>
      <w:r w:rsidR="006E4B26" w:rsidRPr="00E113B9">
        <w:rPr>
          <w:lang w:val="it-IT"/>
        </w:rPr>
        <w:t xml:space="preserve">rcaktimet e ligjit aktual. </w:t>
      </w:r>
      <w:r w:rsidR="006E4B26" w:rsidRPr="00E113B9">
        <w:rPr>
          <w:lang w:val="sq-AL"/>
        </w:rPr>
        <w:t>Kjo shtes</w:t>
      </w:r>
      <w:r w:rsidR="00C42D78" w:rsidRPr="00E113B9">
        <w:rPr>
          <w:lang w:val="sq-AL"/>
        </w:rPr>
        <w:t>ë</w:t>
      </w:r>
      <w:r w:rsidRPr="00E113B9">
        <w:rPr>
          <w:lang w:val="sq-AL"/>
        </w:rPr>
        <w:t xml:space="preserve"> b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>het p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>r t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 xml:space="preserve"> kufizuar t</w:t>
      </w:r>
      <w:r w:rsidR="00C42D78" w:rsidRPr="00E113B9">
        <w:rPr>
          <w:lang w:val="sq-AL"/>
        </w:rPr>
        <w:t>ë</w:t>
      </w:r>
      <w:r w:rsidRPr="00E113B9">
        <w:rPr>
          <w:lang w:val="sq-AL"/>
        </w:rPr>
        <w:t xml:space="preserve"> drejt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>n e kreditimit p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>r sh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>rbimet p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>r jasht</w:t>
      </w:r>
      <w:r w:rsidR="00C42D78" w:rsidRPr="00E113B9">
        <w:rPr>
          <w:lang w:val="sq-AL"/>
        </w:rPr>
        <w:t>ë</w:t>
      </w:r>
      <w:r w:rsidRPr="00E113B9">
        <w:rPr>
          <w:lang w:val="sq-AL"/>
        </w:rPr>
        <w:t xml:space="preserve"> sipas nenit 25/9 t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 xml:space="preserve"> ligjit aktual, por nuk </w:t>
      </w:r>
      <w:r w:rsidR="00C42D78" w:rsidRPr="00E113B9">
        <w:rPr>
          <w:lang w:val="sq-AL"/>
        </w:rPr>
        <w:t>ë</w:t>
      </w:r>
      <w:r w:rsidRPr="00E113B9">
        <w:rPr>
          <w:lang w:val="sq-AL"/>
        </w:rPr>
        <w:t>sht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 xml:space="preserve"> n</w:t>
      </w:r>
      <w:r w:rsidR="00C42D78" w:rsidRPr="00E113B9">
        <w:rPr>
          <w:lang w:val="sq-AL"/>
        </w:rPr>
        <w:t>ë</w:t>
      </w:r>
      <w:r w:rsidR="006E4B26" w:rsidRPr="00E113B9">
        <w:rPr>
          <w:lang w:val="sq-AL"/>
        </w:rPr>
        <w:t xml:space="preserve"> p</w:t>
      </w:r>
      <w:r w:rsidR="00C42D78" w:rsidRPr="00E113B9">
        <w:rPr>
          <w:lang w:val="sq-AL"/>
        </w:rPr>
        <w:t>ë</w:t>
      </w:r>
      <w:r w:rsidR="00EF659F" w:rsidRPr="00E113B9">
        <w:rPr>
          <w:lang w:val="sq-AL"/>
        </w:rPr>
        <w:t>rputhje me direktiv</w:t>
      </w:r>
      <w:r w:rsidR="00173F46" w:rsidRPr="00E113B9">
        <w:rPr>
          <w:lang w:val="sq-AL"/>
        </w:rPr>
        <w:t>ë</w:t>
      </w:r>
      <w:r w:rsidR="006E4B26" w:rsidRPr="00E113B9">
        <w:rPr>
          <w:lang w:val="sq-AL"/>
        </w:rPr>
        <w:t>n</w:t>
      </w:r>
      <w:r w:rsidR="00EF659F" w:rsidRPr="00E113B9">
        <w:rPr>
          <w:lang w:val="sq-AL"/>
        </w:rPr>
        <w:t>.</w:t>
      </w:r>
      <w:r w:rsidR="006E4B26" w:rsidRPr="00E113B9">
        <w:rPr>
          <w:lang w:val="sq-AL"/>
        </w:rPr>
        <w:t xml:space="preserve"> </w:t>
      </w:r>
    </w:p>
    <w:p w:rsidR="006E4B26" w:rsidRPr="00E113B9" w:rsidRDefault="006E4B26" w:rsidP="006E4B26">
      <w:pPr>
        <w:pStyle w:val="NormalWeb"/>
        <w:spacing w:before="120" w:after="120"/>
        <w:jc w:val="both"/>
        <w:rPr>
          <w:rFonts w:eastAsia="Calibri"/>
          <w:b/>
          <w:bCs/>
          <w:i/>
          <w:lang w:val="it-IT"/>
        </w:rPr>
      </w:pPr>
    </w:p>
    <w:p w:rsidR="007C2842" w:rsidRPr="00E113B9" w:rsidRDefault="00B271A9" w:rsidP="006E4B26">
      <w:pPr>
        <w:pStyle w:val="NormalWeb"/>
        <w:spacing w:before="120" w:after="120"/>
        <w:jc w:val="both"/>
        <w:rPr>
          <w:rFonts w:eastAsia="Calibri"/>
          <w:bCs/>
          <w:lang w:val="it-IT"/>
        </w:rPr>
      </w:pPr>
      <w:r w:rsidRPr="00E113B9">
        <w:rPr>
          <w:rFonts w:eastAsia="Calibri"/>
          <w:bCs/>
          <w:lang w:val="it-IT"/>
        </w:rPr>
        <w:t>P</w:t>
      </w:r>
      <w:r w:rsidR="00C42D78" w:rsidRPr="00E113B9">
        <w:rPr>
          <w:rFonts w:eastAsia="Calibri"/>
          <w:bCs/>
          <w:lang w:val="it-IT"/>
        </w:rPr>
        <w:t>ë</w:t>
      </w:r>
      <w:r w:rsidR="00573F5D" w:rsidRPr="00E113B9">
        <w:rPr>
          <w:rFonts w:eastAsia="Calibri"/>
          <w:bCs/>
          <w:lang w:val="it-IT"/>
        </w:rPr>
        <w:t>r</w:t>
      </w:r>
      <w:r w:rsidRPr="00E113B9">
        <w:rPr>
          <w:rFonts w:eastAsia="Calibri"/>
          <w:bCs/>
          <w:lang w:val="it-IT"/>
        </w:rPr>
        <w:t>puthshm</w:t>
      </w:r>
      <w:r w:rsidR="00C42D78" w:rsidRPr="00E113B9">
        <w:rPr>
          <w:rFonts w:eastAsia="Calibri"/>
          <w:bCs/>
          <w:lang w:val="it-IT"/>
        </w:rPr>
        <w:t>ë</w:t>
      </w:r>
      <w:r w:rsidR="007C2842" w:rsidRPr="00E113B9">
        <w:rPr>
          <w:rFonts w:eastAsia="Calibri"/>
          <w:bCs/>
          <w:lang w:val="it-IT"/>
        </w:rPr>
        <w:t>ria e plot</w:t>
      </w:r>
      <w:r w:rsidR="00C42D78" w:rsidRPr="00E113B9">
        <w:rPr>
          <w:rFonts w:eastAsia="Calibri"/>
          <w:bCs/>
          <w:lang w:val="it-IT"/>
        </w:rPr>
        <w:t>ë</w:t>
      </w:r>
      <w:r w:rsidR="007C2842" w:rsidRPr="00E113B9">
        <w:rPr>
          <w:rFonts w:eastAsia="Calibri"/>
          <w:bCs/>
          <w:lang w:val="it-IT"/>
        </w:rPr>
        <w:t xml:space="preserve"> e neneve</w:t>
      </w:r>
      <w:r w:rsidR="00573F5D" w:rsidRPr="00E113B9">
        <w:rPr>
          <w:rFonts w:eastAsia="Calibri"/>
          <w:bCs/>
          <w:lang w:val="it-IT"/>
        </w:rPr>
        <w:t xml:space="preserve"> </w:t>
      </w:r>
      <w:r w:rsidRPr="00E113B9">
        <w:rPr>
          <w:rFonts w:eastAsia="Calibri"/>
          <w:bCs/>
          <w:lang w:val="it-IT"/>
        </w:rPr>
        <w:t>t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 xml:space="preserve"> m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sip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rme do t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 xml:space="preserve"> b</w:t>
      </w:r>
      <w:r w:rsidR="00C42D78" w:rsidRPr="00E113B9">
        <w:rPr>
          <w:rFonts w:eastAsia="Calibri"/>
          <w:bCs/>
          <w:lang w:val="it-IT"/>
        </w:rPr>
        <w:t>ë</w:t>
      </w:r>
      <w:r w:rsidR="00573F5D" w:rsidRPr="00E113B9">
        <w:rPr>
          <w:rFonts w:eastAsia="Calibri"/>
          <w:bCs/>
          <w:lang w:val="it-IT"/>
        </w:rPr>
        <w:t>h</w:t>
      </w:r>
      <w:r w:rsidR="007C2842" w:rsidRPr="00E113B9">
        <w:rPr>
          <w:rFonts w:eastAsia="Calibri"/>
          <w:bCs/>
          <w:lang w:val="it-IT"/>
        </w:rPr>
        <w:t>e</w:t>
      </w:r>
      <w:r w:rsidR="00573F5D" w:rsidRPr="00E113B9">
        <w:rPr>
          <w:rFonts w:eastAsia="Calibri"/>
          <w:bCs/>
          <w:lang w:val="it-IT"/>
        </w:rPr>
        <w:t>t me an</w:t>
      </w:r>
      <w:r w:rsidR="00C42D78" w:rsidRPr="00E113B9">
        <w:rPr>
          <w:rFonts w:eastAsia="Calibri"/>
          <w:bCs/>
          <w:lang w:val="it-IT"/>
        </w:rPr>
        <w:t>ë</w:t>
      </w:r>
      <w:r w:rsidR="00CE3959" w:rsidRPr="00E113B9">
        <w:rPr>
          <w:rFonts w:eastAsia="Calibri"/>
          <w:bCs/>
          <w:lang w:val="it-IT"/>
        </w:rPr>
        <w:t>tar</w:t>
      </w:r>
      <w:r w:rsidR="00173F46" w:rsidRPr="00E113B9">
        <w:rPr>
          <w:rFonts w:eastAsia="Calibri"/>
          <w:bCs/>
          <w:lang w:val="it-IT"/>
        </w:rPr>
        <w:t>ë</w:t>
      </w:r>
      <w:r w:rsidR="00573F5D" w:rsidRPr="00E113B9">
        <w:rPr>
          <w:rFonts w:eastAsia="Calibri"/>
          <w:bCs/>
          <w:lang w:val="it-IT"/>
        </w:rPr>
        <w:t>simin e Shqip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ris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 xml:space="preserve"> n</w:t>
      </w:r>
      <w:r w:rsidR="00C42D78" w:rsidRPr="00E113B9">
        <w:rPr>
          <w:rFonts w:eastAsia="Calibri"/>
          <w:bCs/>
          <w:lang w:val="it-IT"/>
        </w:rPr>
        <w:t>ë</w:t>
      </w:r>
      <w:r w:rsidR="00573F5D" w:rsidRPr="00E113B9">
        <w:rPr>
          <w:rFonts w:eastAsia="Calibri"/>
          <w:bCs/>
          <w:lang w:val="it-IT"/>
        </w:rPr>
        <w:t xml:space="preserve"> Bashkimin Europian.</w:t>
      </w:r>
    </w:p>
    <w:p w:rsidR="007C2842" w:rsidRPr="00E113B9" w:rsidRDefault="007C2842" w:rsidP="006E4B26">
      <w:pPr>
        <w:pStyle w:val="NormalWeb"/>
        <w:spacing w:before="120" w:after="120"/>
        <w:jc w:val="both"/>
        <w:rPr>
          <w:rFonts w:eastAsia="Calibri"/>
          <w:b/>
          <w:bCs/>
          <w:i/>
          <w:lang w:val="it-IT"/>
        </w:rPr>
      </w:pP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/>
          <w:bCs/>
          <w:i/>
          <w:lang w:val="it-IT"/>
        </w:rPr>
      </w:pPr>
      <w:r w:rsidRPr="00E113B9">
        <w:rPr>
          <w:rFonts w:eastAsia="Calibri"/>
          <w:b/>
          <w:bCs/>
          <w:i/>
          <w:lang w:val="it-IT"/>
        </w:rPr>
        <w:t>4. Tabela e p</w:t>
      </w:r>
      <w:r w:rsidR="00C42D78" w:rsidRPr="00E113B9">
        <w:rPr>
          <w:rFonts w:eastAsia="Calibri"/>
          <w:b/>
          <w:bCs/>
          <w:i/>
          <w:lang w:val="it-IT"/>
        </w:rPr>
        <w:t>ë</w:t>
      </w:r>
      <w:r w:rsidR="00392CCC" w:rsidRPr="00E113B9">
        <w:rPr>
          <w:rFonts w:eastAsia="Calibri"/>
          <w:b/>
          <w:bCs/>
          <w:i/>
          <w:lang w:val="it-IT"/>
        </w:rPr>
        <w:t>rputhshm</w:t>
      </w:r>
      <w:r w:rsidR="00C42D78" w:rsidRPr="00E113B9">
        <w:rPr>
          <w:rFonts w:eastAsia="Calibri"/>
          <w:b/>
          <w:bCs/>
          <w:i/>
          <w:lang w:val="it-IT"/>
        </w:rPr>
        <w:t>ë</w:t>
      </w:r>
      <w:r w:rsidRPr="00E113B9">
        <w:rPr>
          <w:rFonts w:eastAsia="Calibri"/>
          <w:b/>
          <w:bCs/>
          <w:i/>
          <w:lang w:val="it-IT"/>
        </w:rPr>
        <w:t>ris</w:t>
      </w:r>
      <w:r w:rsidR="00C42D78" w:rsidRPr="00E113B9">
        <w:rPr>
          <w:rFonts w:eastAsia="Calibri"/>
          <w:b/>
          <w:bCs/>
          <w:i/>
          <w:lang w:val="it-IT"/>
        </w:rPr>
        <w:t>ë</w:t>
      </w:r>
      <w:r w:rsidRPr="00E113B9">
        <w:rPr>
          <w:rFonts w:eastAsia="Calibri"/>
          <w:b/>
          <w:bCs/>
          <w:i/>
          <w:lang w:val="it-IT"/>
        </w:rPr>
        <w:t>.</w:t>
      </w: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Cs/>
          <w:lang w:val="it-IT"/>
        </w:rPr>
      </w:pPr>
      <w:r w:rsidRPr="00E113B9">
        <w:rPr>
          <w:rFonts w:eastAsia="Calibri"/>
          <w:bCs/>
          <w:lang w:val="it-IT"/>
        </w:rPr>
        <w:t>Bashk</w:t>
      </w:r>
      <w:r w:rsidR="00C42D78" w:rsidRPr="00E113B9">
        <w:rPr>
          <w:rFonts w:eastAsia="Calibri"/>
          <w:bCs/>
          <w:lang w:val="it-IT"/>
        </w:rPr>
        <w:t>ë</w:t>
      </w:r>
      <w:r w:rsidR="00392CCC" w:rsidRPr="00E113B9">
        <w:rPr>
          <w:rFonts w:eastAsia="Calibri"/>
          <w:bCs/>
          <w:lang w:val="it-IT"/>
        </w:rPr>
        <w:t>lidhur k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 xml:space="preserve">tij projektligji </w:t>
      </w:r>
      <w:r w:rsidR="00C42D78" w:rsidRPr="00E113B9">
        <w:rPr>
          <w:rFonts w:eastAsia="Calibri"/>
          <w:bCs/>
          <w:lang w:val="it-IT"/>
        </w:rPr>
        <w:t>ë</w:t>
      </w:r>
      <w:r w:rsidR="00392CCC" w:rsidRPr="00E113B9">
        <w:rPr>
          <w:rFonts w:eastAsia="Calibri"/>
          <w:bCs/>
          <w:lang w:val="it-IT"/>
        </w:rPr>
        <w:t>sht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 xml:space="preserve"> Tabela “ Tabela e P</w:t>
      </w:r>
      <w:r w:rsidR="00C42D78" w:rsidRPr="00E113B9">
        <w:rPr>
          <w:rFonts w:eastAsia="Calibri"/>
          <w:bCs/>
          <w:lang w:val="it-IT"/>
        </w:rPr>
        <w:t>ë</w:t>
      </w:r>
      <w:r w:rsidR="00392CCC" w:rsidRPr="00E113B9">
        <w:rPr>
          <w:rFonts w:eastAsia="Calibri"/>
          <w:bCs/>
          <w:lang w:val="it-IT"/>
        </w:rPr>
        <w:t>rputhshm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ris</w:t>
      </w:r>
      <w:r w:rsidR="00C42D78" w:rsidRPr="00E113B9">
        <w:rPr>
          <w:rFonts w:eastAsia="Calibri"/>
          <w:bCs/>
          <w:lang w:val="it-IT"/>
        </w:rPr>
        <w:t>ë</w:t>
      </w:r>
      <w:r w:rsidRPr="00E113B9">
        <w:rPr>
          <w:rFonts w:eastAsia="Calibri"/>
          <w:bCs/>
          <w:lang w:val="it-IT"/>
        </w:rPr>
        <w:t>”</w:t>
      </w: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/>
          <w:bCs/>
          <w:i/>
          <w:lang w:val="it-IT"/>
        </w:rPr>
      </w:pP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/>
          <w:bCs/>
          <w:lang w:val="it-IT"/>
        </w:rPr>
      </w:pP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/>
          <w:bCs/>
          <w:lang w:val="it-IT"/>
        </w:rPr>
      </w:pP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/>
          <w:bCs/>
          <w:lang w:val="it-IT"/>
        </w:rPr>
      </w:pPr>
    </w:p>
    <w:p w:rsidR="00A96D19" w:rsidRPr="00E113B9" w:rsidRDefault="00A96D19" w:rsidP="00E878A5">
      <w:pPr>
        <w:pStyle w:val="NormalWeb"/>
        <w:spacing w:before="120" w:after="120"/>
        <w:rPr>
          <w:rFonts w:eastAsia="Calibri"/>
          <w:b/>
          <w:bCs/>
          <w:lang w:val="it-IT"/>
        </w:rPr>
      </w:pPr>
    </w:p>
    <w:p w:rsidR="00E878A5" w:rsidRPr="00E113B9" w:rsidRDefault="003B0C14" w:rsidP="00E878A5">
      <w:pPr>
        <w:pStyle w:val="NormalWeb"/>
        <w:spacing w:before="120" w:after="120"/>
        <w:rPr>
          <w:b/>
          <w:lang w:val="it-IT"/>
        </w:rPr>
      </w:pPr>
      <w:r w:rsidRPr="00E113B9">
        <w:rPr>
          <w:rFonts w:eastAsia="Calibri"/>
          <w:b/>
          <w:bCs/>
          <w:lang w:val="it-IT"/>
        </w:rPr>
        <w:br w:type="page"/>
      </w:r>
      <w:r w:rsidR="00F16553" w:rsidRPr="00E113B9">
        <w:rPr>
          <w:rFonts w:eastAsia="Calibri"/>
          <w:b/>
          <w:bCs/>
          <w:lang w:val="it-IT"/>
        </w:rPr>
        <w:lastRenderedPageBreak/>
        <w:t>STRUKTURA DHE P</w:t>
      </w:r>
      <w:r w:rsidR="00173F46" w:rsidRPr="00E113B9">
        <w:rPr>
          <w:rFonts w:eastAsia="Calibri"/>
          <w:b/>
          <w:bCs/>
          <w:lang w:val="it-IT"/>
        </w:rPr>
        <w:t>Ë</w:t>
      </w:r>
      <w:r w:rsidR="00F16553" w:rsidRPr="00E113B9">
        <w:rPr>
          <w:rFonts w:eastAsia="Calibri"/>
          <w:b/>
          <w:bCs/>
          <w:lang w:val="it-IT"/>
        </w:rPr>
        <w:t>RMBAJTJA E PROJEKT- LIGJIT T</w:t>
      </w:r>
      <w:r w:rsidR="00173F46" w:rsidRPr="00E113B9">
        <w:rPr>
          <w:rFonts w:eastAsia="Calibri"/>
          <w:b/>
          <w:bCs/>
          <w:lang w:val="it-IT"/>
        </w:rPr>
        <w:t>Ë</w:t>
      </w:r>
      <w:r w:rsidR="00F16553" w:rsidRPr="00E113B9">
        <w:rPr>
          <w:rFonts w:eastAsia="Calibri"/>
          <w:b/>
          <w:bCs/>
          <w:lang w:val="it-IT"/>
        </w:rPr>
        <w:t xml:space="preserve"> RI “P</w:t>
      </w:r>
      <w:r w:rsidR="00173F46" w:rsidRPr="00E113B9">
        <w:rPr>
          <w:rFonts w:eastAsia="Calibri"/>
          <w:b/>
          <w:bCs/>
          <w:lang w:val="it-IT"/>
        </w:rPr>
        <w:t>Ë</w:t>
      </w:r>
      <w:r w:rsidR="00F16553" w:rsidRPr="00E113B9">
        <w:rPr>
          <w:rFonts w:eastAsia="Calibri"/>
          <w:b/>
          <w:bCs/>
          <w:lang w:val="it-IT"/>
        </w:rPr>
        <w:t>R TVSH-N</w:t>
      </w:r>
      <w:r w:rsidR="00173F46" w:rsidRPr="00E113B9">
        <w:rPr>
          <w:rFonts w:eastAsia="Calibri"/>
          <w:b/>
          <w:bCs/>
          <w:lang w:val="it-IT"/>
        </w:rPr>
        <w:t>Ë</w:t>
      </w:r>
      <w:r w:rsidR="00A96D19" w:rsidRPr="00E113B9">
        <w:rPr>
          <w:rFonts w:eastAsia="Calibri"/>
          <w:b/>
          <w:bCs/>
          <w:lang w:val="it-IT"/>
        </w:rPr>
        <w:t>”.</w:t>
      </w:r>
    </w:p>
    <w:p w:rsidR="00F16553" w:rsidRPr="00E113B9" w:rsidRDefault="00F16553" w:rsidP="00E878A5">
      <w:pPr>
        <w:jc w:val="both"/>
        <w:rPr>
          <w:lang w:val="it-IT"/>
        </w:rPr>
      </w:pPr>
    </w:p>
    <w:p w:rsidR="00E878A5" w:rsidRPr="00E113B9" w:rsidRDefault="00643872" w:rsidP="00E878A5">
      <w:pPr>
        <w:jc w:val="both"/>
        <w:rPr>
          <w:lang w:val="it-IT"/>
        </w:rPr>
      </w:pPr>
      <w:r w:rsidRPr="00E113B9">
        <w:rPr>
          <w:lang w:val="it-IT"/>
        </w:rPr>
        <w:t xml:space="preserve">Ky draft ligj 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strukturuar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12 kapituj,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cil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 jan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ndar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seksione dhe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to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fun</w:t>
      </w:r>
      <w:r w:rsidRPr="00E113B9">
        <w:rPr>
          <w:lang w:val="it-IT"/>
        </w:rPr>
        <w:t>dit jan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ndar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nseksione. Pra ligji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rb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het nga </w:t>
      </w:r>
      <w:r w:rsidRPr="00E113B9">
        <w:rPr>
          <w:lang w:val="it-IT"/>
        </w:rPr>
        <w:t>12 kapituj, 31 seksione dhe 4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nseksione,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cilat 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tot</w:t>
      </w:r>
      <w:r w:rsidRPr="00E113B9">
        <w:rPr>
          <w:lang w:val="it-IT"/>
        </w:rPr>
        <w:t>al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rb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jn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155</w:t>
      </w:r>
      <w:r w:rsidRPr="00E113B9">
        <w:rPr>
          <w:lang w:val="it-IT"/>
        </w:rPr>
        <w:t xml:space="preserve"> nene, pa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rfshir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</w:t>
      </w:r>
      <w:r w:rsidRPr="00E113B9">
        <w:rPr>
          <w:lang w:val="it-IT"/>
        </w:rPr>
        <w:t>kapitullin e fundit i cili ka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b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me dispozitat kalimtare dhe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fundit, kapitull i cili do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hartohet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rpara se ky ligj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hyj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fuqi,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rcaktuar rregull</w:t>
      </w:r>
      <w:r w:rsidRPr="00E113B9">
        <w:rPr>
          <w:lang w:val="it-IT"/>
        </w:rPr>
        <w:t>imet kalimtare nga ligji i vjet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ligjin e ri,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dispozitat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cilat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sojn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ndryshime.</w:t>
      </w:r>
    </w:p>
    <w:p w:rsidR="00E878A5" w:rsidRPr="00E113B9" w:rsidRDefault="00643872" w:rsidP="00E878A5">
      <w:pPr>
        <w:jc w:val="both"/>
        <w:rPr>
          <w:lang w:val="it-IT"/>
        </w:rPr>
      </w:pP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draft-ligj nuk jan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rfshire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dispozitat p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r territorialitetin dhe transaksionet intrakomunita</w:t>
      </w:r>
      <w:r w:rsidRPr="00E113B9">
        <w:rPr>
          <w:lang w:val="it-IT"/>
        </w:rPr>
        <w:t>re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mallrave dhe 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rbimeve, pasi 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hartuar nj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ligj i cili synon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rputhshm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rin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me Direktiv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 edhe p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r aktualitetin. </w:t>
      </w:r>
    </w:p>
    <w:p w:rsidR="00861624" w:rsidRPr="00E113B9" w:rsidRDefault="00861624" w:rsidP="00E878A5">
      <w:pPr>
        <w:rPr>
          <w:lang w:val="it-IT"/>
        </w:rPr>
      </w:pPr>
    </w:p>
    <w:p w:rsidR="00E878A5" w:rsidRPr="00E113B9" w:rsidRDefault="001B3B37" w:rsidP="00E878A5">
      <w:pPr>
        <w:rPr>
          <w:lang w:val="it-IT"/>
        </w:rPr>
      </w:pPr>
      <w:r w:rsidRPr="00E113B9">
        <w:rPr>
          <w:lang w:val="it-IT"/>
        </w:rPr>
        <w:t>Konkretisht Ligji i ri “P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Tatimin mbi Vler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n e Shtuar” 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strukturuar si m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posht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: </w:t>
      </w:r>
    </w:p>
    <w:p w:rsidR="00E878A5" w:rsidRPr="00E113B9" w:rsidRDefault="00E878A5" w:rsidP="00E878A5">
      <w:pPr>
        <w:rPr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 xml:space="preserve">KAPITULLI I       </w:t>
      </w:r>
      <w:r w:rsidRPr="00E113B9">
        <w:rPr>
          <w:b/>
          <w:lang w:val="it-IT"/>
        </w:rPr>
        <w:tab/>
        <w:t>OBJEKTI DHE FUSHA E ZBATIMIT........................................</w:t>
      </w:r>
      <w:r w:rsidRPr="00E113B9">
        <w:rPr>
          <w:b/>
          <w:lang w:val="pt-BR"/>
        </w:rPr>
        <w:t xml:space="preserve"> </w:t>
      </w:r>
    </w:p>
    <w:p w:rsidR="00E878A5" w:rsidRPr="00E113B9" w:rsidRDefault="00E878A5" w:rsidP="00E878A5">
      <w:pPr>
        <w:rPr>
          <w:b/>
          <w:lang w:val="pt-BR"/>
        </w:rPr>
      </w:pPr>
    </w:p>
    <w:p w:rsidR="00E878A5" w:rsidRPr="00E113B9" w:rsidRDefault="00E878A5" w:rsidP="00E878A5">
      <w:pPr>
        <w:rPr>
          <w:b/>
          <w:lang w:val="pt-BR"/>
        </w:rPr>
      </w:pPr>
      <w:r w:rsidRPr="00E113B9">
        <w:rPr>
          <w:b/>
          <w:lang w:val="pt-BR"/>
        </w:rPr>
        <w:t>KAPITULLI II</w:t>
      </w:r>
      <w:r w:rsidRPr="00E113B9">
        <w:rPr>
          <w:b/>
          <w:lang w:val="pt-BR"/>
        </w:rPr>
        <w:tab/>
      </w:r>
      <w:r w:rsidRPr="00E113B9">
        <w:rPr>
          <w:b/>
          <w:lang w:val="pt-BR"/>
        </w:rPr>
        <w:tab/>
      </w:r>
      <w:r w:rsidR="001B3B37" w:rsidRPr="00E113B9">
        <w:rPr>
          <w:b/>
          <w:lang w:val="pt-BR"/>
        </w:rPr>
        <w:t>PERSONAT E TATUESH</w:t>
      </w:r>
      <w:r w:rsidR="00173F46" w:rsidRPr="00E113B9">
        <w:rPr>
          <w:b/>
          <w:lang w:val="pt-BR"/>
        </w:rPr>
        <w:t>Ë</w:t>
      </w:r>
      <w:r w:rsidRPr="00E113B9">
        <w:rPr>
          <w:b/>
          <w:lang w:val="pt-BR"/>
        </w:rPr>
        <w:t>M........................................................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E878A5" w:rsidP="00E878A5">
      <w:pPr>
        <w:rPr>
          <w:b/>
          <w:lang w:val="pt-BR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pt-BR"/>
        </w:rPr>
        <w:t>KAPITULLI III</w:t>
      </w:r>
      <w:r w:rsidRPr="00E113B9">
        <w:rPr>
          <w:b/>
          <w:lang w:val="pt-BR"/>
        </w:rPr>
        <w:tab/>
      </w:r>
      <w:r w:rsidRPr="00E113B9">
        <w:rPr>
          <w:b/>
          <w:lang w:val="pt-BR"/>
        </w:rPr>
        <w:tab/>
      </w:r>
      <w:r w:rsidRPr="00E113B9">
        <w:rPr>
          <w:b/>
          <w:lang w:val="it-IT"/>
        </w:rPr>
        <w:t>OPERACIONET E TATUESHME................................................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E878A5" w:rsidP="00E878A5">
      <w:pPr>
        <w:rPr>
          <w:lang w:val="it-IT"/>
        </w:rPr>
      </w:pPr>
      <w:r w:rsidRPr="00E113B9">
        <w:rPr>
          <w:lang w:val="it-IT"/>
        </w:rPr>
        <w:tab/>
        <w:t xml:space="preserve">Seksioni 1 </w:t>
      </w:r>
      <w:r w:rsidRPr="00E113B9">
        <w:rPr>
          <w:lang w:val="it-IT"/>
        </w:rPr>
        <w:tab/>
        <w:t>Furnizimi i mallrave............................................................................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1B3B37" w:rsidP="00E878A5">
      <w:pPr>
        <w:rPr>
          <w:lang w:val="it-IT"/>
        </w:rPr>
      </w:pPr>
      <w:r w:rsidRPr="00E113B9">
        <w:rPr>
          <w:lang w:val="it-IT"/>
        </w:rPr>
        <w:tab/>
        <w:t>Seksioni 2</w:t>
      </w:r>
      <w:r w:rsidRPr="00E113B9">
        <w:rPr>
          <w:lang w:val="it-IT"/>
        </w:rPr>
        <w:tab/>
        <w:t>Furnizimi i sh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rbimeve........................................................................</w:t>
      </w:r>
      <w:r w:rsidR="00E878A5" w:rsidRPr="00E113B9">
        <w:rPr>
          <w:lang w:val="pt-BR"/>
        </w:rPr>
        <w:t xml:space="preserve"> </w:t>
      </w:r>
    </w:p>
    <w:p w:rsidR="00E878A5" w:rsidRPr="00E113B9" w:rsidRDefault="00E878A5" w:rsidP="00E878A5">
      <w:pPr>
        <w:rPr>
          <w:lang w:val="it-IT"/>
        </w:rPr>
      </w:pPr>
      <w:r w:rsidRPr="00E113B9">
        <w:rPr>
          <w:lang w:val="it-IT"/>
        </w:rPr>
        <w:tab/>
        <w:t>Seksioni 3</w:t>
      </w:r>
      <w:r w:rsidRPr="00E113B9">
        <w:rPr>
          <w:lang w:val="it-IT"/>
        </w:rPr>
        <w:tab/>
        <w:t>Importimi  i mallrave................................................................................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E878A5" w:rsidP="00E878A5">
      <w:pPr>
        <w:ind w:firstLine="720"/>
        <w:rPr>
          <w:b/>
          <w:lang w:val="it-IT"/>
        </w:rPr>
      </w:pPr>
      <w:r w:rsidRPr="00E113B9">
        <w:rPr>
          <w:lang w:val="it-IT"/>
        </w:rPr>
        <w:t>Seksioni 4</w:t>
      </w:r>
      <w:r w:rsidRPr="00E113B9">
        <w:rPr>
          <w:lang w:val="it-IT"/>
        </w:rPr>
        <w:tab/>
      </w:r>
      <w:r w:rsidR="001B3B37" w:rsidRPr="00E113B9">
        <w:rPr>
          <w:lang w:val="it-IT"/>
        </w:rPr>
        <w:t>T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 xml:space="preserve"> tjera dispozita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operacionet e tatueshme…………………</w:t>
      </w:r>
      <w:r w:rsidRPr="00E113B9">
        <w:rPr>
          <w:lang w:val="pt-BR"/>
        </w:rPr>
        <w:t>.......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IV</w:t>
      </w: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</w:r>
      <w:r w:rsidR="001B3B37" w:rsidRPr="00E113B9">
        <w:rPr>
          <w:b/>
          <w:lang w:val="it-IT"/>
        </w:rPr>
        <w:t>VENDI I OPERACIONEVE 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TATUESHME...........................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</w:t>
      </w:r>
      <w:r w:rsidR="001B3B37" w:rsidRPr="00E113B9">
        <w:rPr>
          <w:lang w:val="it-IT"/>
        </w:rPr>
        <w:t xml:space="preserve">eksioni 1 </w:t>
      </w:r>
      <w:r w:rsidR="001B3B37" w:rsidRPr="00E113B9">
        <w:rPr>
          <w:lang w:val="it-IT"/>
        </w:rPr>
        <w:tab/>
        <w:t>Vendi i furnizimit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mallrave...............................................................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1B3B37" w:rsidP="00E878A5">
      <w:pPr>
        <w:ind w:firstLine="720"/>
        <w:rPr>
          <w:lang w:val="it-IT"/>
        </w:rPr>
      </w:pPr>
      <w:r w:rsidRPr="00E113B9">
        <w:rPr>
          <w:lang w:val="it-IT"/>
        </w:rPr>
        <w:t>Seksioni 2</w:t>
      </w:r>
      <w:r w:rsidRPr="00E113B9">
        <w:rPr>
          <w:lang w:val="it-IT"/>
        </w:rPr>
        <w:tab/>
        <w:t>Vendi i importimit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mallrave...............................................................</w:t>
      </w:r>
      <w:r w:rsidR="00E878A5" w:rsidRPr="00E113B9">
        <w:rPr>
          <w:lang w:val="pt-BR"/>
        </w:rPr>
        <w:t xml:space="preserve"> 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</w:t>
      </w:r>
      <w:r w:rsidR="001B3B37" w:rsidRPr="00E113B9">
        <w:rPr>
          <w:lang w:val="it-IT"/>
        </w:rPr>
        <w:t xml:space="preserve">eksioni 3 </w:t>
      </w:r>
      <w:r w:rsidR="001B3B37" w:rsidRPr="00E113B9">
        <w:rPr>
          <w:lang w:val="it-IT"/>
        </w:rPr>
        <w:tab/>
        <w:t>Vendi i furnizimit t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 xml:space="preserve"> 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rbimit...............................................................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V</w:t>
      </w: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</w:r>
      <w:r w:rsidR="001B3B37" w:rsidRPr="00E113B9">
        <w:rPr>
          <w:b/>
          <w:lang w:val="it-IT"/>
        </w:rPr>
        <w:t>LINDJA E TATIMIT , K</w:t>
      </w:r>
      <w:r w:rsidR="00173F46" w:rsidRPr="00E113B9">
        <w:rPr>
          <w:b/>
          <w:lang w:val="it-IT"/>
        </w:rPr>
        <w:t>Ë</w:t>
      </w:r>
      <w:r w:rsidR="001B3B37" w:rsidRPr="00E113B9">
        <w:rPr>
          <w:b/>
          <w:lang w:val="it-IT"/>
        </w:rPr>
        <w:t>RKUESHM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RIA..................................</w:t>
      </w:r>
      <w:r w:rsidRPr="00E113B9">
        <w:rPr>
          <w:b/>
          <w:lang w:val="pt-BR"/>
        </w:rPr>
        <w:t xml:space="preserve"> </w:t>
      </w:r>
    </w:p>
    <w:p w:rsidR="00E878A5" w:rsidRPr="00E113B9" w:rsidRDefault="00E878A5" w:rsidP="00E878A5">
      <w:pPr>
        <w:ind w:left="2160" w:hanging="1440"/>
        <w:rPr>
          <w:lang w:val="it-IT"/>
        </w:rPr>
      </w:pPr>
      <w:r w:rsidRPr="00E113B9">
        <w:rPr>
          <w:lang w:val="it-IT"/>
        </w:rPr>
        <w:t>Seksioni 1</w:t>
      </w:r>
      <w:r w:rsidRPr="00E113B9">
        <w:rPr>
          <w:lang w:val="it-IT"/>
        </w:rPr>
        <w:tab/>
      </w:r>
      <w:r w:rsidR="001B3B37" w:rsidRPr="00E113B9">
        <w:rPr>
          <w:lang w:val="it-IT"/>
        </w:rPr>
        <w:t>Lindja dhe k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>rkueshm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>ria e tatimit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furnizimet e  mallrave dhe shërbimeve………………………………………………………..</w:t>
      </w:r>
      <w:r w:rsidRPr="00E113B9">
        <w:rPr>
          <w:lang w:val="pt-BR"/>
        </w:rPr>
        <w:t>..............</w:t>
      </w:r>
    </w:p>
    <w:p w:rsidR="00E878A5" w:rsidRPr="00E113B9" w:rsidRDefault="00E878A5" w:rsidP="00E878A5">
      <w:pPr>
        <w:ind w:left="2160" w:hanging="1440"/>
        <w:rPr>
          <w:lang w:val="it-IT"/>
        </w:rPr>
      </w:pPr>
      <w:r w:rsidRPr="00E113B9">
        <w:rPr>
          <w:lang w:val="it-IT"/>
        </w:rPr>
        <w:t>Seksioni 2</w:t>
      </w:r>
      <w:r w:rsidRPr="00E113B9">
        <w:rPr>
          <w:lang w:val="it-IT"/>
        </w:rPr>
        <w:tab/>
      </w:r>
      <w:r w:rsidR="001B3B37" w:rsidRPr="00E113B9">
        <w:rPr>
          <w:lang w:val="it-IT"/>
        </w:rPr>
        <w:t>Lindja dhe k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>rkueshm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ria </w:t>
      </w:r>
      <w:r w:rsidR="001B3B37" w:rsidRPr="00E113B9">
        <w:rPr>
          <w:lang w:val="it-IT"/>
        </w:rPr>
        <w:t>e tatimit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importimin e  mallrave…</w:t>
      </w:r>
      <w:r w:rsidRPr="00E113B9">
        <w:rPr>
          <w:lang w:val="pt-BR"/>
        </w:rPr>
        <w:t>...............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VI</w:t>
      </w: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  <w:t>VLERA E TATUESHME..................................................................</w:t>
      </w:r>
      <w:r w:rsidRPr="00E113B9">
        <w:rPr>
          <w:b/>
          <w:lang w:val="pt-BR"/>
        </w:rPr>
        <w:t xml:space="preserve"> 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Seksioni 1</w:t>
      </w:r>
      <w:r w:rsidRPr="00E113B9">
        <w:rPr>
          <w:lang w:val="it-IT"/>
        </w:rPr>
        <w:tab/>
      </w:r>
      <w:r w:rsidR="001B3B37" w:rsidRPr="00E113B9">
        <w:rPr>
          <w:lang w:val="it-IT"/>
        </w:rPr>
        <w:t>Furnizimet e mallrave dhe 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rbimeve………………………….</w:t>
      </w:r>
      <w:r w:rsidRPr="00E113B9">
        <w:rPr>
          <w:lang w:val="pt-BR"/>
        </w:rPr>
        <w:t>.......</w:t>
      </w:r>
    </w:p>
    <w:p w:rsidR="00E878A5" w:rsidRPr="00E113B9" w:rsidRDefault="00E878A5" w:rsidP="00E878A5">
      <w:pPr>
        <w:rPr>
          <w:lang w:val="it-IT"/>
        </w:rPr>
      </w:pPr>
      <w:r w:rsidRPr="00E113B9">
        <w:rPr>
          <w:lang w:val="it-IT"/>
        </w:rPr>
        <w:tab/>
        <w:t>Seksioni 2</w:t>
      </w:r>
      <w:r w:rsidRPr="00E113B9">
        <w:rPr>
          <w:lang w:val="it-IT"/>
        </w:rPr>
        <w:tab/>
        <w:t>Importimi i mallrave............................................................................</w:t>
      </w:r>
      <w:r w:rsidRPr="00E113B9">
        <w:rPr>
          <w:lang w:val="pt-BR"/>
        </w:rPr>
        <w:t xml:space="preserve"> 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VII</w:t>
      </w:r>
      <w:r w:rsidRPr="00E113B9">
        <w:rPr>
          <w:b/>
          <w:lang w:val="it-IT"/>
        </w:rPr>
        <w:tab/>
        <w:t>SHKALLA TATIMORE...................................................................</w:t>
      </w:r>
      <w:r w:rsidRPr="00E113B9">
        <w:rPr>
          <w:b/>
          <w:lang w:val="pt-BR"/>
        </w:rPr>
        <w:t xml:space="preserve"> </w:t>
      </w:r>
    </w:p>
    <w:p w:rsidR="00E878A5" w:rsidRPr="00E113B9" w:rsidRDefault="00E878A5" w:rsidP="00E878A5">
      <w:pPr>
        <w:ind w:left="2160" w:hanging="2160"/>
        <w:rPr>
          <w:b/>
          <w:lang w:val="pt-BR"/>
        </w:rPr>
      </w:pPr>
    </w:p>
    <w:p w:rsidR="00E878A5" w:rsidRPr="00E113B9" w:rsidRDefault="00E878A5" w:rsidP="00E878A5">
      <w:pPr>
        <w:ind w:left="2160" w:hanging="2160"/>
        <w:rPr>
          <w:b/>
          <w:lang w:val="pt-BR"/>
        </w:rPr>
      </w:pPr>
      <w:r w:rsidRPr="00E113B9">
        <w:rPr>
          <w:b/>
          <w:lang w:val="pt-BR"/>
        </w:rPr>
        <w:t>KAPITULLI VIII</w:t>
      </w:r>
      <w:r w:rsidRPr="00E113B9">
        <w:rPr>
          <w:b/>
          <w:lang w:val="pt-BR"/>
        </w:rPr>
        <w:tab/>
        <w:t>PËR</w:t>
      </w:r>
      <w:r w:rsidR="001B3B37" w:rsidRPr="00E113B9">
        <w:rPr>
          <w:b/>
          <w:lang w:val="pt-BR"/>
        </w:rPr>
        <w:t>JASHTIMET, FURNIZIMET ME SHKALL</w:t>
      </w:r>
      <w:r w:rsidR="00173F46" w:rsidRPr="00E113B9">
        <w:rPr>
          <w:b/>
          <w:lang w:val="pt-BR"/>
        </w:rPr>
        <w:t>Ë</w:t>
      </w:r>
      <w:r w:rsidRPr="00E113B9">
        <w:rPr>
          <w:b/>
          <w:lang w:val="pt-BR"/>
        </w:rPr>
        <w:t xml:space="preserve"> ZERO, EKSPORTET</w:t>
      </w:r>
    </w:p>
    <w:p w:rsidR="00E878A5" w:rsidRPr="00E113B9" w:rsidRDefault="00E878A5" w:rsidP="00E878A5">
      <w:pPr>
        <w:rPr>
          <w:lang w:val="pt-BR"/>
        </w:rPr>
      </w:pPr>
      <w:r w:rsidRPr="00E113B9">
        <w:rPr>
          <w:lang w:val="pt-BR"/>
        </w:rPr>
        <w:tab/>
        <w:t>Seksioni 1</w:t>
      </w:r>
      <w:r w:rsidRPr="00E113B9">
        <w:rPr>
          <w:lang w:val="pt-BR"/>
        </w:rPr>
        <w:tab/>
        <w:t>Fur</w:t>
      </w:r>
      <w:r w:rsidR="001B3B37" w:rsidRPr="00E113B9">
        <w:rPr>
          <w:lang w:val="pt-BR"/>
        </w:rPr>
        <w:t>nizime t</w:t>
      </w:r>
      <w:r w:rsidR="00173F46" w:rsidRPr="00E113B9">
        <w:rPr>
          <w:lang w:val="pt-BR"/>
        </w:rPr>
        <w:t>ë</w:t>
      </w:r>
      <w:r w:rsidR="001B3B37" w:rsidRPr="00E113B9">
        <w:rPr>
          <w:lang w:val="pt-BR"/>
        </w:rPr>
        <w:t xml:space="preserve"> p</w:t>
      </w:r>
      <w:r w:rsidR="00173F46" w:rsidRPr="00E113B9">
        <w:rPr>
          <w:lang w:val="pt-BR"/>
        </w:rPr>
        <w:t>ë</w:t>
      </w:r>
      <w:r w:rsidRPr="00E113B9">
        <w:rPr>
          <w:lang w:val="pt-BR"/>
        </w:rPr>
        <w:t xml:space="preserve">rjashtuara..................................................................... </w:t>
      </w:r>
    </w:p>
    <w:p w:rsidR="00E878A5" w:rsidRPr="00E113B9" w:rsidRDefault="001B3B37" w:rsidP="00E878A5">
      <w:pPr>
        <w:rPr>
          <w:lang w:val="it-IT"/>
        </w:rPr>
      </w:pPr>
      <w:r w:rsidRPr="00E113B9">
        <w:rPr>
          <w:lang w:val="pt-BR"/>
        </w:rPr>
        <w:lastRenderedPageBreak/>
        <w:tab/>
        <w:t xml:space="preserve">Seksioni 2 </w:t>
      </w:r>
      <w:r w:rsidRPr="00E113B9">
        <w:rPr>
          <w:lang w:val="pt-BR"/>
        </w:rPr>
        <w:tab/>
        <w:t>P</w:t>
      </w:r>
      <w:r w:rsidR="00173F46" w:rsidRPr="00E113B9">
        <w:rPr>
          <w:lang w:val="pt-BR"/>
        </w:rPr>
        <w:t>ë</w:t>
      </w:r>
      <w:r w:rsidRPr="00E113B9">
        <w:rPr>
          <w:lang w:val="pt-BR"/>
        </w:rPr>
        <w:t>rjashtime n</w:t>
      </w:r>
      <w:r w:rsidR="00173F46" w:rsidRPr="00E113B9">
        <w:rPr>
          <w:lang w:val="pt-BR"/>
        </w:rPr>
        <w:t>ë</w:t>
      </w:r>
      <w:r w:rsidR="00E878A5" w:rsidRPr="00E113B9">
        <w:rPr>
          <w:lang w:val="pt-BR"/>
        </w:rPr>
        <w:t xml:space="preserve"> import........................................................................... </w:t>
      </w:r>
    </w:p>
    <w:p w:rsidR="00E878A5" w:rsidRPr="00E113B9" w:rsidRDefault="00E878A5" w:rsidP="00E878A5">
      <w:pPr>
        <w:rPr>
          <w:lang w:val="pt-BR"/>
        </w:rPr>
      </w:pPr>
      <w:r w:rsidRPr="00E113B9">
        <w:rPr>
          <w:lang w:val="it-IT"/>
        </w:rPr>
        <w:tab/>
        <w:t>Seksioni 3</w:t>
      </w:r>
      <w:r w:rsidRPr="00E113B9">
        <w:rPr>
          <w:lang w:val="it-IT"/>
        </w:rPr>
        <w:tab/>
      </w:r>
      <w:r w:rsidR="001B3B37" w:rsidRPr="00E113B9">
        <w:rPr>
          <w:lang w:val="pt-BR"/>
        </w:rPr>
        <w:t>Furnizimet me shkall</w:t>
      </w:r>
      <w:r w:rsidR="00173F46" w:rsidRPr="00E113B9">
        <w:rPr>
          <w:lang w:val="pt-BR"/>
        </w:rPr>
        <w:t>ë</w:t>
      </w:r>
      <w:r w:rsidR="001B3B37" w:rsidRPr="00E113B9">
        <w:rPr>
          <w:lang w:val="pt-BR"/>
        </w:rPr>
        <w:t xml:space="preserve"> tatimore 0% t</w:t>
      </w:r>
      <w:r w:rsidR="00173F46" w:rsidRPr="00E113B9">
        <w:rPr>
          <w:lang w:val="pt-BR"/>
        </w:rPr>
        <w:t>ë</w:t>
      </w:r>
      <w:r w:rsidRPr="00E113B9">
        <w:rPr>
          <w:lang w:val="pt-BR"/>
        </w:rPr>
        <w:t xml:space="preserve"> TVSH-</w:t>
      </w:r>
      <w:r w:rsidR="001B3B37" w:rsidRPr="00E113B9">
        <w:rPr>
          <w:lang w:val="pt-BR"/>
        </w:rPr>
        <w:t>s</w:t>
      </w:r>
      <w:r w:rsidR="00173F46" w:rsidRPr="00E113B9">
        <w:rPr>
          <w:lang w:val="pt-BR"/>
        </w:rPr>
        <w:t>ë</w:t>
      </w:r>
    </w:p>
    <w:p w:rsidR="00E878A5" w:rsidRPr="00E113B9" w:rsidRDefault="001B3B37" w:rsidP="00E878A5">
      <w:pPr>
        <w:rPr>
          <w:lang w:val="pt-BR"/>
        </w:rPr>
      </w:pPr>
      <w:r w:rsidRPr="00E113B9">
        <w:rPr>
          <w:lang w:val="pt-BR"/>
        </w:rPr>
        <w:tab/>
      </w:r>
      <w:r w:rsidRPr="00E113B9">
        <w:rPr>
          <w:lang w:val="pt-BR"/>
        </w:rPr>
        <w:tab/>
        <w:t>N</w:t>
      </w:r>
      <w:r w:rsidR="00173F46" w:rsidRPr="00E113B9">
        <w:rPr>
          <w:lang w:val="pt-BR"/>
        </w:rPr>
        <w:t>ë</w:t>
      </w:r>
      <w:r w:rsidR="00E878A5" w:rsidRPr="00E113B9">
        <w:rPr>
          <w:lang w:val="pt-BR"/>
        </w:rPr>
        <w:t>nseksi</w:t>
      </w:r>
      <w:r w:rsidRPr="00E113B9">
        <w:rPr>
          <w:lang w:val="pt-BR"/>
        </w:rPr>
        <w:t xml:space="preserve">oni 1 </w:t>
      </w:r>
      <w:r w:rsidRPr="00E113B9">
        <w:rPr>
          <w:lang w:val="pt-BR"/>
        </w:rPr>
        <w:tab/>
        <w:t>Eksportet, transporti nd</w:t>
      </w:r>
      <w:r w:rsidR="00173F46" w:rsidRPr="00E113B9">
        <w:rPr>
          <w:lang w:val="pt-BR"/>
        </w:rPr>
        <w:t>ë</w:t>
      </w:r>
      <w:r w:rsidRPr="00E113B9">
        <w:rPr>
          <w:lang w:val="pt-BR"/>
        </w:rPr>
        <w:t>rkomb</w:t>
      </w:r>
      <w:r w:rsidR="00173F46" w:rsidRPr="00E113B9">
        <w:rPr>
          <w:lang w:val="pt-BR"/>
        </w:rPr>
        <w:t>ë</w:t>
      </w:r>
      <w:r w:rsidRPr="00E113B9">
        <w:rPr>
          <w:lang w:val="pt-BR"/>
        </w:rPr>
        <w:t>tar dhe t</w:t>
      </w:r>
      <w:r w:rsidR="00173F46" w:rsidRPr="00E113B9">
        <w:rPr>
          <w:lang w:val="pt-BR"/>
        </w:rPr>
        <w:t>ë</w:t>
      </w:r>
      <w:r w:rsidR="00E878A5" w:rsidRPr="00E113B9">
        <w:rPr>
          <w:lang w:val="pt-BR"/>
        </w:rPr>
        <w:t xml:space="preserve"> tjera </w:t>
      </w:r>
    </w:p>
    <w:p w:rsidR="00E878A5" w:rsidRPr="00E113B9" w:rsidRDefault="001B3B37" w:rsidP="00E878A5">
      <w:pPr>
        <w:tabs>
          <w:tab w:val="left" w:pos="2880"/>
        </w:tabs>
        <w:ind w:left="2880" w:hanging="1440"/>
        <w:rPr>
          <w:lang w:val="pt-BR"/>
        </w:rPr>
      </w:pPr>
      <w:r w:rsidRPr="00E113B9">
        <w:rPr>
          <w:lang w:val="pt-BR"/>
        </w:rPr>
        <w:t>N</w:t>
      </w:r>
      <w:r w:rsidR="00173F46" w:rsidRPr="00E113B9">
        <w:rPr>
          <w:lang w:val="pt-BR"/>
        </w:rPr>
        <w:t>ë</w:t>
      </w:r>
      <w:r w:rsidR="00E878A5" w:rsidRPr="00E113B9">
        <w:rPr>
          <w:lang w:val="pt-BR"/>
        </w:rPr>
        <w:t>nseksioni 2</w:t>
      </w:r>
      <w:r w:rsidR="00E878A5" w:rsidRPr="00E113B9">
        <w:rPr>
          <w:lang w:val="pt-BR"/>
        </w:rPr>
        <w:tab/>
        <w:t>Përjashtimi i veprimeve që lidhen me trafikun ndërkombëtar të mallrave, Magazinat doganore, magazinat e tjera përveç atyre dogan</w:t>
      </w:r>
      <w:r w:rsidRPr="00E113B9">
        <w:rPr>
          <w:lang w:val="pt-BR"/>
        </w:rPr>
        <w:t>ore dhe regjime të njëjta dhe t</w:t>
      </w:r>
      <w:r w:rsidR="00173F46" w:rsidRPr="00E113B9">
        <w:rPr>
          <w:lang w:val="pt-BR"/>
        </w:rPr>
        <w:t>ë</w:t>
      </w:r>
      <w:r w:rsidRPr="00E113B9">
        <w:rPr>
          <w:lang w:val="pt-BR"/>
        </w:rPr>
        <w:t xml:space="preserve"> tjera p</w:t>
      </w:r>
      <w:r w:rsidR="00173F46" w:rsidRPr="00E113B9">
        <w:rPr>
          <w:lang w:val="pt-BR"/>
        </w:rPr>
        <w:t>ë</w:t>
      </w:r>
      <w:r w:rsidR="00E878A5" w:rsidRPr="00E113B9">
        <w:rPr>
          <w:lang w:val="pt-BR"/>
        </w:rPr>
        <w:t>rjashtime</w:t>
      </w:r>
    </w:p>
    <w:p w:rsidR="00E878A5" w:rsidRPr="00E113B9" w:rsidRDefault="00E878A5" w:rsidP="00E878A5">
      <w:pPr>
        <w:rPr>
          <w:b/>
          <w:lang w:val="pt-BR"/>
        </w:rPr>
      </w:pPr>
    </w:p>
    <w:p w:rsidR="000541B4" w:rsidRPr="00E113B9" w:rsidRDefault="000541B4" w:rsidP="00E878A5">
      <w:pPr>
        <w:rPr>
          <w:b/>
          <w:lang w:val="pt-BR"/>
        </w:rPr>
      </w:pPr>
    </w:p>
    <w:p w:rsidR="00E878A5" w:rsidRPr="00E113B9" w:rsidRDefault="00E878A5" w:rsidP="00E878A5">
      <w:pPr>
        <w:rPr>
          <w:b/>
          <w:lang w:val="pt-BR"/>
        </w:rPr>
      </w:pPr>
      <w:r w:rsidRPr="00E113B9">
        <w:rPr>
          <w:b/>
          <w:lang w:val="pt-BR"/>
        </w:rPr>
        <w:t>KAPI</w:t>
      </w:r>
      <w:r w:rsidR="001B3B37" w:rsidRPr="00E113B9">
        <w:rPr>
          <w:b/>
          <w:lang w:val="pt-BR"/>
        </w:rPr>
        <w:t>TULLI IX</w:t>
      </w:r>
      <w:r w:rsidR="001B3B37" w:rsidRPr="00E113B9">
        <w:rPr>
          <w:b/>
          <w:lang w:val="pt-BR"/>
        </w:rPr>
        <w:tab/>
        <w:t xml:space="preserve">              ZBRITSHM</w:t>
      </w:r>
      <w:r w:rsidR="00173F46" w:rsidRPr="00E113B9">
        <w:rPr>
          <w:b/>
          <w:lang w:val="pt-BR"/>
        </w:rPr>
        <w:t>Ë</w:t>
      </w:r>
      <w:r w:rsidRPr="00E113B9">
        <w:rPr>
          <w:b/>
          <w:lang w:val="pt-BR"/>
        </w:rPr>
        <w:t>RIA..........................................................................................</w:t>
      </w:r>
    </w:p>
    <w:p w:rsidR="00E878A5" w:rsidRPr="00E113B9" w:rsidRDefault="00E878A5" w:rsidP="00E878A5">
      <w:pPr>
        <w:ind w:firstLine="720"/>
        <w:rPr>
          <w:lang w:val="pt-BR"/>
        </w:rPr>
      </w:pPr>
      <w:r w:rsidRPr="00E113B9">
        <w:rPr>
          <w:lang w:val="pt-BR"/>
        </w:rPr>
        <w:t xml:space="preserve">Seksioni 1 </w:t>
      </w:r>
      <w:r w:rsidRPr="00E113B9">
        <w:rPr>
          <w:lang w:val="pt-BR"/>
        </w:rPr>
        <w:tab/>
        <w:t>Origjina dhe rëndësia e së drejtës së zbritjes…….…………………………..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Seksioni 2</w:t>
      </w:r>
      <w:r w:rsidR="001B3B37" w:rsidRPr="00E113B9">
        <w:rPr>
          <w:lang w:val="it-IT"/>
        </w:rPr>
        <w:t xml:space="preserve"> </w:t>
      </w:r>
      <w:r w:rsidR="001B3B37" w:rsidRPr="00E113B9">
        <w:rPr>
          <w:lang w:val="it-IT"/>
        </w:rPr>
        <w:tab/>
        <w:t>Zbritja e pjesshme e TVSH-s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…………………………..……………………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Seksioni 3</w:t>
      </w:r>
      <w:r w:rsidR="001B3B37" w:rsidRPr="00E113B9">
        <w:rPr>
          <w:lang w:val="it-IT"/>
        </w:rPr>
        <w:t xml:space="preserve"> </w:t>
      </w:r>
      <w:r w:rsidR="001B3B37" w:rsidRPr="00E113B9">
        <w:rPr>
          <w:lang w:val="it-IT"/>
        </w:rPr>
        <w:tab/>
        <w:t>Kufizime t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 xml:space="preserve"> s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 xml:space="preserve"> drejt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>s 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Zbritjes …………………………………………...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Seksioni 4</w:t>
      </w:r>
      <w:r w:rsidRPr="00E113B9">
        <w:rPr>
          <w:lang w:val="it-IT"/>
        </w:rPr>
        <w:tab/>
        <w:t>Rimbursimi ………………….……………………………………………...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</w:t>
      </w:r>
      <w:r w:rsidR="001B3B37" w:rsidRPr="00E113B9">
        <w:rPr>
          <w:lang w:val="it-IT"/>
        </w:rPr>
        <w:t>sioni 5</w:t>
      </w:r>
      <w:r w:rsidR="001B3B37" w:rsidRPr="00E113B9">
        <w:rPr>
          <w:lang w:val="it-IT"/>
        </w:rPr>
        <w:tab/>
        <w:t>Rregullimi i zbritjes s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 xml:space="preserve"> aplikuar t</w:t>
      </w:r>
      <w:r w:rsidR="00173F46" w:rsidRPr="00E113B9">
        <w:rPr>
          <w:lang w:val="it-IT"/>
        </w:rPr>
        <w:t>ë</w:t>
      </w:r>
      <w:r w:rsidR="001B3B37" w:rsidRPr="00E113B9">
        <w:rPr>
          <w:lang w:val="it-IT"/>
        </w:rPr>
        <w:t xml:space="preserve"> TVSH-s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………………………………..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X</w:t>
      </w: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</w:r>
      <w:r w:rsidR="005E3E32" w:rsidRPr="00E113B9">
        <w:rPr>
          <w:b/>
          <w:lang w:val="it-IT"/>
        </w:rPr>
        <w:t>DETYRIMET E PERSONIT T</w:t>
      </w:r>
      <w:r w:rsidR="00173F46" w:rsidRPr="00E113B9">
        <w:rPr>
          <w:b/>
          <w:lang w:val="it-IT"/>
        </w:rPr>
        <w:t>Ë</w:t>
      </w:r>
      <w:r w:rsidR="005E3E32" w:rsidRPr="00E113B9">
        <w:rPr>
          <w:b/>
          <w:lang w:val="it-IT"/>
        </w:rPr>
        <w:t xml:space="preserve"> TATUESH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M D</w:t>
      </w:r>
      <w:r w:rsidR="005E3E32" w:rsidRPr="00E113B9">
        <w:rPr>
          <w:b/>
          <w:lang w:val="it-IT"/>
        </w:rPr>
        <w:t>HE 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DISA</w:t>
      </w: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  <w:t>PERSONAVE JO 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TATUESHEM...........................................................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Seksioni 1</w:t>
      </w:r>
      <w:r w:rsidR="003343FB" w:rsidRPr="00E113B9">
        <w:rPr>
          <w:lang w:val="it-IT"/>
        </w:rPr>
        <w:t xml:space="preserve"> </w:t>
      </w:r>
      <w:r w:rsidR="003343FB" w:rsidRPr="00E113B9">
        <w:rPr>
          <w:lang w:val="it-IT"/>
        </w:rPr>
        <w:tab/>
        <w:t>Detyrimet e pages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>s s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TVSH-s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dhe personat p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>rgjegj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s…………………..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</w:t>
      </w:r>
      <w:r w:rsidR="003343FB" w:rsidRPr="00E113B9">
        <w:rPr>
          <w:lang w:val="it-IT"/>
        </w:rPr>
        <w:t>sioni 2</w:t>
      </w:r>
      <w:r w:rsidR="003343FB" w:rsidRPr="00E113B9">
        <w:rPr>
          <w:lang w:val="it-IT"/>
        </w:rPr>
        <w:tab/>
        <w:t>Modalitetet e pagimit t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TVSH-s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……………………………………………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>Seksioni 3</w:t>
      </w:r>
      <w:r w:rsidRPr="00E113B9">
        <w:rPr>
          <w:lang w:val="it-IT"/>
        </w:rPr>
        <w:tab/>
        <w:t>Identifikimi……………………………………………………………………..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t xml:space="preserve">Seksioni 4 </w:t>
      </w:r>
      <w:r w:rsidRPr="00E113B9">
        <w:rPr>
          <w:lang w:val="it-IT"/>
        </w:rPr>
        <w:tab/>
        <w:t>Faturimi ………………………………………………………………….......</w:t>
      </w:r>
    </w:p>
    <w:p w:rsidR="00E878A5" w:rsidRPr="00E113B9" w:rsidRDefault="00E878A5" w:rsidP="00E878A5">
      <w:pPr>
        <w:ind w:firstLine="720"/>
        <w:rPr>
          <w:lang w:val="sq-AL"/>
        </w:rPr>
      </w:pPr>
      <w:r w:rsidRPr="00E113B9">
        <w:rPr>
          <w:lang w:val="it-IT"/>
        </w:rPr>
        <w:t xml:space="preserve">Seksioni 5 </w:t>
      </w:r>
      <w:r w:rsidRPr="00E113B9">
        <w:rPr>
          <w:lang w:val="it-IT"/>
        </w:rPr>
        <w:tab/>
      </w:r>
      <w:r w:rsidRPr="00E113B9">
        <w:rPr>
          <w:lang w:val="sq-AL"/>
        </w:rPr>
        <w:t>Faturat Letër dhe faturat elektronike.................................................................</w:t>
      </w:r>
    </w:p>
    <w:p w:rsidR="00E878A5" w:rsidRPr="00E113B9" w:rsidRDefault="00E878A5" w:rsidP="00E878A5">
      <w:pPr>
        <w:ind w:firstLine="720"/>
        <w:rPr>
          <w:lang w:val="sq-AL"/>
        </w:rPr>
      </w:pPr>
      <w:r w:rsidRPr="00E113B9">
        <w:rPr>
          <w:lang w:val="sq-AL"/>
        </w:rPr>
        <w:t>Seksioni 6</w:t>
      </w:r>
      <w:r w:rsidRPr="00E113B9">
        <w:rPr>
          <w:lang w:val="sq-AL"/>
        </w:rPr>
        <w:tab/>
        <w:t>Deklarata...........................................................................................................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sq-AL"/>
        </w:rPr>
        <w:t>Seksioni 7</w:t>
      </w:r>
      <w:r w:rsidRPr="00E113B9">
        <w:rPr>
          <w:lang w:val="sq-AL"/>
        </w:rPr>
        <w:tab/>
        <w:t>Kontabiliteti.......................................................................................................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XI</w:t>
      </w:r>
      <w:r w:rsidRPr="00E113B9">
        <w:rPr>
          <w:b/>
          <w:lang w:val="it-IT"/>
        </w:rPr>
        <w:tab/>
      </w:r>
      <w:r w:rsidRPr="00E113B9">
        <w:rPr>
          <w:b/>
          <w:lang w:val="it-IT"/>
        </w:rPr>
        <w:tab/>
      </w:r>
      <w:r w:rsidR="003343FB" w:rsidRPr="00E113B9">
        <w:rPr>
          <w:b/>
          <w:lang w:val="it-IT"/>
        </w:rPr>
        <w:t>REGJIME 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VEÇANTA ............................................................................</w:t>
      </w:r>
    </w:p>
    <w:p w:rsidR="00E878A5" w:rsidRPr="00E113B9" w:rsidRDefault="003343FB" w:rsidP="00E878A5">
      <w:pPr>
        <w:rPr>
          <w:lang w:val="it-IT"/>
        </w:rPr>
      </w:pPr>
      <w:r w:rsidRPr="00E113B9">
        <w:rPr>
          <w:lang w:val="it-IT"/>
        </w:rPr>
        <w:tab/>
        <w:t>Seksioni 1</w:t>
      </w:r>
      <w:r w:rsidRPr="00E113B9">
        <w:rPr>
          <w:lang w:val="it-IT"/>
        </w:rPr>
        <w:tab/>
        <w:t>Regjimi i nd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rmarrjeve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vogla..............................................................</w:t>
      </w:r>
    </w:p>
    <w:p w:rsidR="00E878A5" w:rsidRPr="00E113B9" w:rsidRDefault="003343FB" w:rsidP="00E878A5">
      <w:pPr>
        <w:ind w:firstLine="720"/>
        <w:rPr>
          <w:lang w:val="it-IT"/>
        </w:rPr>
      </w:pPr>
      <w:r w:rsidRPr="00E113B9">
        <w:rPr>
          <w:lang w:val="it-IT"/>
        </w:rPr>
        <w:t>Seksioni 2</w:t>
      </w:r>
      <w:r w:rsidRPr="00E113B9">
        <w:rPr>
          <w:lang w:val="it-IT"/>
        </w:rPr>
        <w:tab/>
        <w:t>Regjimi i veçant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i agjensive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udh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timit.............................................. </w:t>
      </w:r>
    </w:p>
    <w:p w:rsidR="00E878A5" w:rsidRPr="00E113B9" w:rsidRDefault="00E878A5" w:rsidP="003343FB">
      <w:pPr>
        <w:ind w:left="2070" w:hanging="1350"/>
        <w:rPr>
          <w:lang w:val="it-IT"/>
        </w:rPr>
      </w:pPr>
      <w:r w:rsidRPr="00E113B9">
        <w:rPr>
          <w:lang w:val="it-IT"/>
        </w:rPr>
        <w:t xml:space="preserve">Seksioni 3         </w:t>
      </w:r>
      <w:r w:rsidRPr="00E113B9">
        <w:rPr>
          <w:lang w:val="it-IT"/>
        </w:rPr>
        <w:tab/>
      </w:r>
      <w:r w:rsidRPr="00E113B9">
        <w:rPr>
          <w:lang w:val="it-IT"/>
        </w:rPr>
        <w:tab/>
      </w:r>
      <w:r w:rsidR="003343FB" w:rsidRPr="00E113B9">
        <w:rPr>
          <w:lang w:val="it-IT"/>
        </w:rPr>
        <w:t>Regjim i ve</w:t>
      </w:r>
      <w:r w:rsidR="00780A86">
        <w:rPr>
          <w:lang w:val="it-IT"/>
        </w:rPr>
        <w:t>ç</w:t>
      </w:r>
      <w:r w:rsidR="003343FB" w:rsidRPr="00E113B9">
        <w:rPr>
          <w:lang w:val="it-IT"/>
        </w:rPr>
        <w:t>ant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i zbatuar p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>r shitjen e mallrave t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dor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>s s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dyt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>, pun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ve artistike, </w:t>
      </w:r>
      <w:r w:rsidR="003343FB" w:rsidRPr="00E113B9">
        <w:rPr>
          <w:lang w:val="it-IT"/>
        </w:rPr>
        <w:t xml:space="preserve">   artikujve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koleksionit dhe antikuare</w:t>
      </w:r>
    </w:p>
    <w:p w:rsidR="00E878A5" w:rsidRPr="00E113B9" w:rsidRDefault="000A0615" w:rsidP="00E878A5">
      <w:pPr>
        <w:ind w:left="2070" w:hanging="630"/>
        <w:rPr>
          <w:lang w:val="it-IT"/>
        </w:rPr>
      </w:pP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nseksion</w:t>
      </w:r>
      <w:r w:rsidR="003343FB" w:rsidRPr="00E113B9">
        <w:rPr>
          <w:lang w:val="it-IT"/>
        </w:rPr>
        <w:t>i 1</w:t>
      </w:r>
      <w:r w:rsidR="003343FB" w:rsidRPr="00E113B9">
        <w:rPr>
          <w:lang w:val="it-IT"/>
        </w:rPr>
        <w:tab/>
        <w:t xml:space="preserve">         </w:t>
      </w:r>
      <w:r w:rsidR="003343FB" w:rsidRPr="00E113B9">
        <w:rPr>
          <w:lang w:val="it-IT"/>
        </w:rPr>
        <w:tab/>
        <w:t>Skema e marzhit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fitimit ...................................................</w:t>
      </w:r>
    </w:p>
    <w:p w:rsidR="00E878A5" w:rsidRPr="00E113B9" w:rsidRDefault="000A0615" w:rsidP="00E878A5">
      <w:pPr>
        <w:ind w:left="2070" w:hanging="630"/>
        <w:rPr>
          <w:lang w:val="en-US"/>
        </w:rPr>
      </w:pPr>
      <w:r w:rsidRPr="00E113B9">
        <w:rPr>
          <w:lang w:val="en-US"/>
        </w:rPr>
        <w:t>N</w:t>
      </w:r>
      <w:r w:rsidR="00173F46" w:rsidRPr="00E113B9">
        <w:rPr>
          <w:lang w:val="en-US"/>
        </w:rPr>
        <w:t>ë</w:t>
      </w:r>
      <w:r w:rsidR="003343FB" w:rsidRPr="00E113B9">
        <w:rPr>
          <w:lang w:val="en-US"/>
        </w:rPr>
        <w:t>nseksioni 2</w:t>
      </w:r>
      <w:r w:rsidR="003343FB" w:rsidRPr="00E113B9">
        <w:rPr>
          <w:lang w:val="en-US"/>
        </w:rPr>
        <w:tab/>
      </w:r>
      <w:r w:rsidR="003343FB" w:rsidRPr="00E113B9">
        <w:rPr>
          <w:lang w:val="en-US"/>
        </w:rPr>
        <w:tab/>
        <w:t>Rregullat p</w:t>
      </w:r>
      <w:r w:rsidR="00173F46" w:rsidRPr="00E113B9">
        <w:rPr>
          <w:lang w:val="en-US"/>
        </w:rPr>
        <w:t>ë</w:t>
      </w:r>
      <w:r w:rsidR="00E878A5" w:rsidRPr="00E113B9">
        <w:rPr>
          <w:lang w:val="en-US"/>
        </w:rPr>
        <w:t>r shitjet me ankand publik................................</w:t>
      </w:r>
    </w:p>
    <w:p w:rsidR="00E878A5" w:rsidRPr="00E113B9" w:rsidRDefault="00E878A5" w:rsidP="00E878A5">
      <w:pPr>
        <w:ind w:firstLine="720"/>
        <w:rPr>
          <w:lang w:val="it-IT"/>
        </w:rPr>
      </w:pPr>
      <w:r w:rsidRPr="00E113B9">
        <w:rPr>
          <w:lang w:val="it-IT"/>
        </w:rPr>
        <w:lastRenderedPageBreak/>
        <w:t>Seksion</w:t>
      </w:r>
      <w:r w:rsidR="003343FB" w:rsidRPr="00E113B9">
        <w:rPr>
          <w:lang w:val="it-IT"/>
        </w:rPr>
        <w:t>i 4</w:t>
      </w:r>
      <w:r w:rsidR="003343FB" w:rsidRPr="00E113B9">
        <w:rPr>
          <w:lang w:val="it-IT"/>
        </w:rPr>
        <w:tab/>
        <w:t>Regjimi mbi prodhuesit bujq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>sor (skema e kompensimit t</w:t>
      </w:r>
      <w:r w:rsidR="00173F46" w:rsidRPr="00E113B9">
        <w:rPr>
          <w:lang w:val="it-IT"/>
        </w:rPr>
        <w:t>ë</w:t>
      </w:r>
      <w:r w:rsidR="003343FB" w:rsidRPr="00E113B9">
        <w:rPr>
          <w:lang w:val="it-IT"/>
        </w:rPr>
        <w:t xml:space="preserve"> fermer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ve)............</w:t>
      </w:r>
    </w:p>
    <w:p w:rsidR="00E878A5" w:rsidRPr="00E113B9" w:rsidRDefault="003343FB" w:rsidP="00E878A5">
      <w:pPr>
        <w:ind w:firstLine="720"/>
        <w:rPr>
          <w:lang w:val="it-IT"/>
        </w:rPr>
      </w:pPr>
      <w:r w:rsidRPr="00E113B9">
        <w:rPr>
          <w:lang w:val="it-IT"/>
        </w:rPr>
        <w:t>Seksioni 5</w:t>
      </w:r>
      <w:r w:rsidRPr="00E113B9">
        <w:rPr>
          <w:lang w:val="it-IT"/>
        </w:rPr>
        <w:tab/>
        <w:t>Regjimi i veçant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arin 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investim................................................................</w:t>
      </w:r>
    </w:p>
    <w:p w:rsidR="00E878A5" w:rsidRPr="00E113B9" w:rsidRDefault="00E878A5" w:rsidP="00E878A5">
      <w:pPr>
        <w:rPr>
          <w:b/>
          <w:lang w:val="it-IT"/>
        </w:rPr>
      </w:pPr>
    </w:p>
    <w:p w:rsidR="00E878A5" w:rsidRPr="00E113B9" w:rsidRDefault="00E878A5" w:rsidP="00E878A5">
      <w:pPr>
        <w:rPr>
          <w:b/>
          <w:lang w:val="it-IT"/>
        </w:rPr>
      </w:pPr>
      <w:r w:rsidRPr="00E113B9">
        <w:rPr>
          <w:b/>
          <w:lang w:val="it-IT"/>
        </w:rPr>
        <w:t>KAPITULLI XII</w:t>
      </w:r>
      <w:r w:rsidRPr="00E113B9">
        <w:rPr>
          <w:b/>
          <w:lang w:val="it-IT"/>
        </w:rPr>
        <w:tab/>
      </w:r>
      <w:r w:rsidR="003343FB" w:rsidRPr="00E113B9">
        <w:rPr>
          <w:b/>
          <w:lang w:val="it-IT"/>
        </w:rPr>
        <w:t>DISPOZITA T</w:t>
      </w:r>
      <w:r w:rsidR="00173F46" w:rsidRPr="00E113B9">
        <w:rPr>
          <w:b/>
          <w:lang w:val="it-IT"/>
        </w:rPr>
        <w:t>Ë</w:t>
      </w:r>
      <w:r w:rsidR="003343FB" w:rsidRPr="00E113B9">
        <w:rPr>
          <w:b/>
          <w:lang w:val="it-IT"/>
        </w:rPr>
        <w:t xml:space="preserve"> P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RGJITHSHME DHE KALIMTARE............................</w:t>
      </w:r>
    </w:p>
    <w:p w:rsidR="00E878A5" w:rsidRPr="00E113B9" w:rsidRDefault="00E878A5" w:rsidP="00E878A5">
      <w:pPr>
        <w:jc w:val="both"/>
        <w:rPr>
          <w:lang w:val="de-DE"/>
        </w:rPr>
      </w:pPr>
    </w:p>
    <w:p w:rsidR="00E878A5" w:rsidRPr="00E113B9" w:rsidRDefault="00E878A5" w:rsidP="00E878A5">
      <w:pPr>
        <w:rPr>
          <w:lang w:val="de-DE"/>
        </w:rPr>
      </w:pPr>
    </w:p>
    <w:p w:rsidR="00E878A5" w:rsidRPr="00E113B9" w:rsidRDefault="003343FB" w:rsidP="00E878A5">
      <w:pPr>
        <w:rPr>
          <w:lang w:val="it-IT"/>
        </w:rPr>
      </w:pPr>
      <w:r w:rsidRPr="00E113B9">
        <w:rPr>
          <w:b/>
          <w:lang w:val="sq-AL"/>
        </w:rPr>
        <w:t>Kapitulli i par</w:t>
      </w:r>
      <w:r w:rsidR="00173F46" w:rsidRPr="00E113B9">
        <w:rPr>
          <w:b/>
          <w:lang w:val="sq-AL"/>
        </w:rPr>
        <w:t>ë</w:t>
      </w:r>
      <w:r w:rsidR="00E878A5" w:rsidRPr="00E113B9">
        <w:rPr>
          <w:b/>
          <w:lang w:val="sq-AL"/>
        </w:rPr>
        <w:t xml:space="preserve"> i ligjit </w:t>
      </w:r>
      <w:r w:rsidR="00E878A5" w:rsidRPr="00E113B9">
        <w:rPr>
          <w:b/>
          <w:lang w:val="it-IT"/>
        </w:rPr>
        <w:t>“Objekti dhe Fusha e zbatimit”</w:t>
      </w:r>
      <w:r w:rsidR="000A0615"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="000A0615" w:rsidRPr="00E113B9">
        <w:rPr>
          <w:lang w:val="it-IT"/>
        </w:rPr>
        <w:t>rb</w:t>
      </w:r>
      <w:r w:rsidR="00173F46" w:rsidRPr="00E113B9">
        <w:rPr>
          <w:lang w:val="it-IT"/>
        </w:rPr>
        <w:t>ë</w:t>
      </w:r>
      <w:r w:rsidR="000A0615" w:rsidRPr="00E113B9">
        <w:rPr>
          <w:lang w:val="it-IT"/>
        </w:rPr>
        <w:t>het nga 2 nene t</w:t>
      </w:r>
      <w:r w:rsidR="00173F46" w:rsidRPr="00E113B9">
        <w:rPr>
          <w:lang w:val="it-IT"/>
        </w:rPr>
        <w:t>ë</w:t>
      </w:r>
      <w:r w:rsidR="000A0615" w:rsidRPr="00E113B9">
        <w:rPr>
          <w:lang w:val="it-IT"/>
        </w:rPr>
        <w:t xml:space="preserve"> cilat japin p</w:t>
      </w:r>
      <w:r w:rsidR="00173F46" w:rsidRPr="00E113B9">
        <w:rPr>
          <w:lang w:val="it-IT"/>
        </w:rPr>
        <w:t>ë</w:t>
      </w:r>
      <w:r w:rsidR="000A0615" w:rsidRPr="00E113B9">
        <w:rPr>
          <w:lang w:val="it-IT"/>
        </w:rPr>
        <w:t>rkufizimin e TVSH-s</w:t>
      </w:r>
      <w:r w:rsidR="00173F46" w:rsidRPr="00E113B9">
        <w:rPr>
          <w:lang w:val="it-IT"/>
        </w:rPr>
        <w:t>ë</w:t>
      </w:r>
      <w:r w:rsidR="000A0615" w:rsidRPr="00E113B9">
        <w:rPr>
          <w:lang w:val="it-IT"/>
        </w:rPr>
        <w:t xml:space="preserve"> si dhe fush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n e zbatim</w:t>
      </w:r>
      <w:r w:rsidR="000A0615" w:rsidRPr="00E113B9">
        <w:rPr>
          <w:lang w:val="it-IT"/>
        </w:rPr>
        <w:t>it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saj.</w:t>
      </w:r>
    </w:p>
    <w:p w:rsidR="00E878A5" w:rsidRPr="00E113B9" w:rsidRDefault="00E878A5" w:rsidP="00E878A5">
      <w:pPr>
        <w:rPr>
          <w:lang w:val="it-IT"/>
        </w:rPr>
      </w:pPr>
    </w:p>
    <w:p w:rsidR="00E878A5" w:rsidRPr="00E113B9" w:rsidRDefault="000A0615" w:rsidP="00E878A5">
      <w:pPr>
        <w:jc w:val="both"/>
        <w:rPr>
          <w:lang w:val="it-IT"/>
        </w:rPr>
      </w:pPr>
      <w:r w:rsidRPr="00E113B9">
        <w:rPr>
          <w:b/>
          <w:lang w:val="it-IT"/>
        </w:rPr>
        <w:t>Kapitulli i dyt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“Personat e Tatuesh</w:t>
      </w:r>
      <w:r w:rsidR="00173F46" w:rsidRPr="00E113B9">
        <w:rPr>
          <w:b/>
          <w:lang w:val="it-IT"/>
        </w:rPr>
        <w:t>ë</w:t>
      </w:r>
      <w:r w:rsidR="00E878A5" w:rsidRPr="00E113B9">
        <w:rPr>
          <w:b/>
          <w:lang w:val="it-IT"/>
        </w:rPr>
        <w:t>m”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rb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het nga 4 nene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cilat jepen qart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sisht nocionet e </w:t>
      </w:r>
      <w:r w:rsidRPr="00E113B9">
        <w:rPr>
          <w:u w:val="single"/>
          <w:lang w:val="it-IT"/>
        </w:rPr>
        <w:t>personit t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 xml:space="preserve"> tatuesh</w:t>
      </w:r>
      <w:r w:rsidR="00173F46" w:rsidRPr="00E113B9">
        <w:rPr>
          <w:u w:val="single"/>
          <w:lang w:val="it-IT"/>
        </w:rPr>
        <w:t>ë</w:t>
      </w:r>
      <w:r w:rsidR="00E878A5" w:rsidRPr="00E113B9">
        <w:rPr>
          <w:u w:val="single"/>
          <w:lang w:val="it-IT"/>
        </w:rPr>
        <w:t>m</w:t>
      </w:r>
      <w:r w:rsidR="00E878A5" w:rsidRPr="00E113B9">
        <w:rPr>
          <w:lang w:val="it-IT"/>
        </w:rPr>
        <w:t xml:space="preserve">, </w:t>
      </w:r>
      <w:r w:rsidRPr="00E113B9">
        <w:rPr>
          <w:u w:val="single"/>
          <w:lang w:val="it-IT"/>
        </w:rPr>
        <w:t>veprimtaris</w:t>
      </w:r>
      <w:r w:rsidR="00173F46" w:rsidRPr="00E113B9">
        <w:rPr>
          <w:u w:val="single"/>
          <w:lang w:val="it-IT"/>
        </w:rPr>
        <w:t>ë</w:t>
      </w:r>
      <w:r w:rsidR="00E878A5" w:rsidRPr="00E113B9">
        <w:rPr>
          <w:u w:val="single"/>
          <w:lang w:val="it-IT"/>
        </w:rPr>
        <w:t xml:space="preserve"> ekonomike</w:t>
      </w:r>
      <w:r w:rsidR="00E878A5" w:rsidRPr="00E113B9">
        <w:rPr>
          <w:lang w:val="it-IT"/>
        </w:rPr>
        <w:t xml:space="preserve">, </w:t>
      </w:r>
      <w:r w:rsidRPr="00E113B9">
        <w:rPr>
          <w:u w:val="single"/>
          <w:lang w:val="it-IT"/>
        </w:rPr>
        <w:t>ushtrimi i nj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 xml:space="preserve"> veprimtarie n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 xml:space="preserve"> m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>nyr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 xml:space="preserve"> t</w:t>
      </w:r>
      <w:r w:rsidR="00173F46" w:rsidRPr="00E113B9">
        <w:rPr>
          <w:u w:val="single"/>
          <w:lang w:val="it-IT"/>
        </w:rPr>
        <w:t>ë</w:t>
      </w:r>
      <w:r w:rsidR="00E878A5" w:rsidRPr="00E113B9">
        <w:rPr>
          <w:u w:val="single"/>
          <w:lang w:val="it-IT"/>
        </w:rPr>
        <w:t xml:space="preserve"> pavarur</w:t>
      </w:r>
      <w:r w:rsidR="00E878A5" w:rsidRPr="00E113B9">
        <w:rPr>
          <w:lang w:val="it-IT"/>
        </w:rPr>
        <w:t xml:space="preserve"> </w:t>
      </w:r>
      <w:r w:rsidRPr="00E113B9">
        <w:rPr>
          <w:lang w:val="it-IT"/>
        </w:rPr>
        <w:t>duke b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dallimin e personave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lidhur me nj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p</w:t>
      </w:r>
      <w:r w:rsidRPr="00E113B9">
        <w:rPr>
          <w:lang w:val="it-IT"/>
        </w:rPr>
        <w:t>un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dh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rmjet nj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kontrate pun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simi apo </w:t>
      </w:r>
      <w:r w:rsidR="00780A86">
        <w:rPr>
          <w:lang w:val="it-IT"/>
        </w:rPr>
        <w:t>ç</w:t>
      </w:r>
      <w:r w:rsidRPr="00E113B9">
        <w:rPr>
          <w:lang w:val="it-IT"/>
        </w:rPr>
        <w:t>do lloj mardh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nie q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krijon nj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lidhje pun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dhe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s-pun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marr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s si dhe </w:t>
      </w:r>
      <w:r w:rsidRPr="00E113B9">
        <w:rPr>
          <w:lang w:val="it-IT"/>
        </w:rPr>
        <w:t>duke b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qart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dallimin se kur </w:t>
      </w:r>
      <w:r w:rsidR="00E878A5" w:rsidRPr="00E113B9">
        <w:rPr>
          <w:u w:val="single"/>
          <w:lang w:val="it-IT"/>
        </w:rPr>
        <w:t>entet publike</w:t>
      </w:r>
      <w:r w:rsidRPr="00E113B9">
        <w:rPr>
          <w:u w:val="single"/>
          <w:lang w:val="it-IT"/>
        </w:rPr>
        <w:t xml:space="preserve"> nuk konsiderohen persona t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 xml:space="preserve"> tatuesh</w:t>
      </w:r>
      <w:r w:rsidR="00173F46" w:rsidRPr="00E113B9">
        <w:rPr>
          <w:u w:val="single"/>
          <w:lang w:val="it-IT"/>
        </w:rPr>
        <w:t>ë</w:t>
      </w:r>
      <w:r w:rsidRPr="00E113B9">
        <w:rPr>
          <w:u w:val="single"/>
          <w:lang w:val="it-IT"/>
        </w:rPr>
        <w:t>m dhe kur konsiderohen si t</w:t>
      </w:r>
      <w:r w:rsidR="00173F46" w:rsidRPr="00E113B9">
        <w:rPr>
          <w:u w:val="single"/>
          <w:lang w:val="it-IT"/>
        </w:rPr>
        <w:t>ë</w:t>
      </w:r>
      <w:r w:rsidR="00E878A5" w:rsidRPr="00E113B9">
        <w:rPr>
          <w:u w:val="single"/>
          <w:lang w:val="it-IT"/>
        </w:rPr>
        <w:t xml:space="preserve"> till</w:t>
      </w:r>
      <w:r w:rsidR="00173F46" w:rsidRPr="00E113B9">
        <w:rPr>
          <w:u w:val="single"/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 q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llime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</w:t>
      </w:r>
      <w:r w:rsidRPr="00E113B9">
        <w:rPr>
          <w:lang w:val="it-IT"/>
        </w:rPr>
        <w:t>k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tij lig</w:t>
      </w:r>
      <w:r w:rsidRPr="00E113B9">
        <w:rPr>
          <w:lang w:val="it-IT"/>
        </w:rPr>
        <w:t xml:space="preserve">ji. Gjithashtu 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rcaktuar edhe nj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list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me veprimtarit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cilat kur i kryejn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entet publike jan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tatueshme.  </w:t>
      </w:r>
    </w:p>
    <w:p w:rsidR="00E878A5" w:rsidRPr="00E113B9" w:rsidRDefault="00E878A5" w:rsidP="00E878A5">
      <w:pPr>
        <w:jc w:val="both"/>
        <w:rPr>
          <w:lang w:val="it-IT"/>
        </w:rPr>
      </w:pPr>
    </w:p>
    <w:p w:rsidR="00E878A5" w:rsidRPr="00E113B9" w:rsidRDefault="000A0615" w:rsidP="00E878A5">
      <w:pPr>
        <w:jc w:val="both"/>
        <w:rPr>
          <w:i/>
          <w:lang w:val="it-IT"/>
        </w:rPr>
      </w:pPr>
      <w:r w:rsidRPr="00E113B9">
        <w:rPr>
          <w:i/>
          <w:lang w:val="it-IT"/>
        </w:rPr>
        <w:t>N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ligjin aktual k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>to nocione nuk kan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qen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t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qarta dhe t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mirp</w:t>
      </w:r>
      <w:r w:rsidR="00173F46" w:rsidRPr="00E113B9">
        <w:rPr>
          <w:i/>
          <w:lang w:val="it-IT"/>
        </w:rPr>
        <w:t>ë</w:t>
      </w:r>
      <w:r w:rsidR="00E878A5" w:rsidRPr="00E113B9">
        <w:rPr>
          <w:i/>
          <w:lang w:val="it-IT"/>
        </w:rPr>
        <w:t>rcaktuara. Ps</w:t>
      </w:r>
      <w:r w:rsidRPr="00E113B9">
        <w:rPr>
          <w:i/>
          <w:lang w:val="it-IT"/>
        </w:rPr>
        <w:t>h konsiderohej person i tatuesh</w:t>
      </w:r>
      <w:r w:rsidR="00173F46" w:rsidRPr="00E113B9">
        <w:rPr>
          <w:i/>
          <w:lang w:val="it-IT"/>
        </w:rPr>
        <w:t>ë</w:t>
      </w:r>
      <w:r w:rsidR="00E878A5" w:rsidRPr="00E113B9">
        <w:rPr>
          <w:i/>
          <w:lang w:val="it-IT"/>
        </w:rPr>
        <w:t>m ai person i cili ka q</w:t>
      </w:r>
      <w:r w:rsidRPr="00E113B9">
        <w:rPr>
          <w:i/>
          <w:lang w:val="it-IT"/>
        </w:rPr>
        <w:t>en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i regjistruar dhe nuk 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>sht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</w:t>
      </w:r>
      <w:r w:rsidR="00780A86">
        <w:rPr>
          <w:i/>
          <w:lang w:val="it-IT"/>
        </w:rPr>
        <w:t>ç</w:t>
      </w:r>
      <w:r w:rsidR="00E878A5" w:rsidRPr="00E113B9">
        <w:rPr>
          <w:i/>
          <w:lang w:val="it-IT"/>
        </w:rPr>
        <w:t>regjistruar.</w:t>
      </w:r>
      <w:r w:rsidRPr="00E113B9">
        <w:rPr>
          <w:i/>
          <w:lang w:val="it-IT"/>
        </w:rPr>
        <w:t xml:space="preserve"> Nuk kemi pasur nj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nocion t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qart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 xml:space="preserve"> p</w:t>
      </w:r>
      <w:r w:rsidR="00173F46" w:rsidRPr="00E113B9">
        <w:rPr>
          <w:i/>
          <w:lang w:val="it-IT"/>
        </w:rPr>
        <w:t>ë</w:t>
      </w:r>
      <w:r w:rsidRPr="00E113B9">
        <w:rPr>
          <w:i/>
          <w:lang w:val="it-IT"/>
        </w:rPr>
        <w:t>r veprimtarin</w:t>
      </w:r>
      <w:r w:rsidR="00173F46" w:rsidRPr="00E113B9">
        <w:rPr>
          <w:i/>
          <w:lang w:val="it-IT"/>
        </w:rPr>
        <w:t>ë</w:t>
      </w:r>
      <w:r w:rsidR="00E878A5" w:rsidRPr="00E113B9">
        <w:rPr>
          <w:i/>
          <w:lang w:val="it-IT"/>
        </w:rPr>
        <w:t xml:space="preserve"> ekonomike. </w:t>
      </w:r>
    </w:p>
    <w:p w:rsidR="00E878A5" w:rsidRPr="00E113B9" w:rsidRDefault="00E878A5" w:rsidP="00E878A5">
      <w:pPr>
        <w:jc w:val="both"/>
        <w:rPr>
          <w:lang w:val="it-IT"/>
        </w:rPr>
      </w:pPr>
    </w:p>
    <w:p w:rsidR="00E878A5" w:rsidRPr="00E113B9" w:rsidRDefault="00CA597B" w:rsidP="00E878A5">
      <w:pPr>
        <w:jc w:val="both"/>
        <w:rPr>
          <w:lang w:val="it-IT"/>
        </w:rPr>
      </w:pPr>
      <w:r w:rsidRPr="00E113B9">
        <w:rPr>
          <w:b/>
          <w:lang w:val="it-IT"/>
        </w:rPr>
        <w:t>Kapitulli i tret</w:t>
      </w:r>
      <w:r w:rsidR="00173F46" w:rsidRPr="00E113B9">
        <w:rPr>
          <w:b/>
          <w:lang w:val="it-IT"/>
        </w:rPr>
        <w:t>ë</w:t>
      </w:r>
      <w:r w:rsidR="00E878A5" w:rsidRPr="00E113B9">
        <w:rPr>
          <w:b/>
          <w:lang w:val="it-IT"/>
        </w:rPr>
        <w:t xml:space="preserve"> “ Operacionet e Tatueshme”,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rb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het nga 4 seksione konkretisht: </w:t>
      </w:r>
      <w:r w:rsidR="00E878A5" w:rsidRPr="00E113B9">
        <w:rPr>
          <w:u w:val="single"/>
          <w:lang w:val="it-IT"/>
        </w:rPr>
        <w:t>Furnizimet e mallrave</w:t>
      </w:r>
      <w:r w:rsidR="00E878A5" w:rsidRPr="00E113B9">
        <w:rPr>
          <w:lang w:val="it-IT"/>
        </w:rPr>
        <w:t xml:space="preserve">, </w:t>
      </w:r>
      <w:r w:rsidRPr="00E113B9">
        <w:rPr>
          <w:u w:val="single"/>
          <w:lang w:val="it-IT"/>
        </w:rPr>
        <w:t>sh</w:t>
      </w:r>
      <w:r w:rsidR="00173F46" w:rsidRPr="00E113B9">
        <w:rPr>
          <w:u w:val="single"/>
          <w:lang w:val="it-IT"/>
        </w:rPr>
        <w:t>ë</w:t>
      </w:r>
      <w:r w:rsidR="00E878A5" w:rsidRPr="00E113B9">
        <w:rPr>
          <w:u w:val="single"/>
          <w:lang w:val="it-IT"/>
        </w:rPr>
        <w:t>rbimeve</w:t>
      </w:r>
      <w:r w:rsidR="00E878A5" w:rsidRPr="00E113B9">
        <w:rPr>
          <w:lang w:val="it-IT"/>
        </w:rPr>
        <w:t xml:space="preserve">, </w:t>
      </w:r>
      <w:r w:rsidR="00E878A5" w:rsidRPr="00E113B9">
        <w:rPr>
          <w:u w:val="single"/>
          <w:lang w:val="it-IT"/>
        </w:rPr>
        <w:t xml:space="preserve">importet </w:t>
      </w:r>
      <w:r w:rsidR="00E878A5" w:rsidRPr="00E113B9">
        <w:rPr>
          <w:lang w:val="it-IT"/>
        </w:rPr>
        <w:t xml:space="preserve">dhe </w:t>
      </w:r>
      <w:r w:rsidRPr="00E113B9">
        <w:rPr>
          <w:u w:val="single"/>
          <w:lang w:val="it-IT"/>
        </w:rPr>
        <w:t>t</w:t>
      </w:r>
      <w:r w:rsidR="00173F46" w:rsidRPr="00E113B9">
        <w:rPr>
          <w:u w:val="single"/>
          <w:lang w:val="it-IT"/>
        </w:rPr>
        <w:t>ë</w:t>
      </w:r>
      <w:r w:rsidR="00E878A5" w:rsidRPr="00E113B9">
        <w:rPr>
          <w:u w:val="single"/>
          <w:lang w:val="it-IT"/>
        </w:rPr>
        <w:t xml:space="preserve"> tjera operacione,</w:t>
      </w:r>
      <w:r w:rsidR="00245C7B" w:rsidRPr="00E113B9">
        <w:rPr>
          <w:u w:val="single"/>
          <w:lang w:val="it-IT"/>
        </w:rPr>
        <w:t xml:space="preserve"> </w:t>
      </w: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total jan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11 nene.</w:t>
      </w:r>
    </w:p>
    <w:p w:rsidR="00E878A5" w:rsidRPr="00E113B9" w:rsidRDefault="00E878A5" w:rsidP="00E878A5">
      <w:pPr>
        <w:jc w:val="both"/>
        <w:rPr>
          <w:lang w:val="it-IT"/>
        </w:rPr>
      </w:pPr>
    </w:p>
    <w:p w:rsidR="00E878A5" w:rsidRPr="00E113B9" w:rsidRDefault="00173F46" w:rsidP="00E878A5">
      <w:pPr>
        <w:jc w:val="both"/>
        <w:rPr>
          <w:lang w:val="it-IT"/>
        </w:rPr>
      </w:pPr>
      <w:r w:rsidRPr="00E113B9">
        <w:rPr>
          <w:lang w:val="it-IT"/>
        </w:rPr>
        <w:t>Ë</w:t>
      </w:r>
      <w:r w:rsidR="00CA597B" w:rsidRPr="00E113B9">
        <w:rPr>
          <w:lang w:val="it-IT"/>
        </w:rPr>
        <w:t>sht</w:t>
      </w:r>
      <w:r w:rsidRPr="00E113B9">
        <w:rPr>
          <w:lang w:val="it-IT"/>
        </w:rPr>
        <w:t>ë</w:t>
      </w:r>
      <w:r w:rsidR="00CA597B" w:rsidRPr="00E113B9">
        <w:rPr>
          <w:lang w:val="it-IT"/>
        </w:rPr>
        <w:t xml:space="preserve"> dh</w:t>
      </w:r>
      <w:r w:rsidRPr="00E113B9">
        <w:rPr>
          <w:lang w:val="it-IT"/>
        </w:rPr>
        <w:t>ë</w:t>
      </w:r>
      <w:r w:rsidR="00CA597B" w:rsidRPr="00E113B9">
        <w:rPr>
          <w:lang w:val="it-IT"/>
        </w:rPr>
        <w:t>n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koncept m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i gjer</w:t>
      </w:r>
      <w:r w:rsidRPr="00E113B9">
        <w:rPr>
          <w:lang w:val="it-IT"/>
        </w:rPr>
        <w:t>ë</w:t>
      </w:r>
      <w:r w:rsidR="00E878A5" w:rsidRPr="00E113B9">
        <w:rPr>
          <w:lang w:val="it-IT"/>
        </w:rPr>
        <w:t xml:space="preserve"> d</w:t>
      </w:r>
      <w:r w:rsidR="00BD464B" w:rsidRPr="00E113B9">
        <w:rPr>
          <w:lang w:val="it-IT"/>
        </w:rPr>
        <w:t>he m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i qart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p</w:t>
      </w:r>
      <w:r w:rsidRPr="00E113B9">
        <w:rPr>
          <w:lang w:val="it-IT"/>
        </w:rPr>
        <w:t>ë</w:t>
      </w:r>
      <w:r w:rsidR="00E878A5" w:rsidRPr="00E113B9">
        <w:rPr>
          <w:lang w:val="it-IT"/>
        </w:rPr>
        <w:t xml:space="preserve">r </w:t>
      </w:r>
      <w:r w:rsidR="00E878A5" w:rsidRPr="00E113B9">
        <w:rPr>
          <w:b/>
          <w:u w:val="single"/>
          <w:lang w:val="it-IT"/>
        </w:rPr>
        <w:t>furnizimin e mallrave</w:t>
      </w:r>
      <w:r w:rsidR="00BD464B" w:rsidRPr="00E113B9">
        <w:rPr>
          <w:lang w:val="it-IT"/>
        </w:rPr>
        <w:t xml:space="preserve"> duke p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>rcaktuar n</w:t>
      </w:r>
      <w:r w:rsidRPr="00E113B9">
        <w:rPr>
          <w:lang w:val="it-IT"/>
        </w:rPr>
        <w:t>ë</w:t>
      </w:r>
      <w:r w:rsidR="00E878A5" w:rsidRPr="00E113B9">
        <w:rPr>
          <w:lang w:val="it-IT"/>
        </w:rPr>
        <w:t xml:space="preserve"> lig</w:t>
      </w:r>
      <w:r w:rsidR="00BD464B" w:rsidRPr="00E113B9">
        <w:rPr>
          <w:lang w:val="it-IT"/>
        </w:rPr>
        <w:t>j dhe trajtuar si mallra edhe 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drejtat mbi pasurin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e paluajtshme, aksioneve q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i japin mbajt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>sit 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tyre 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drejt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>n e zot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>rimit ose shfryt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>zimit t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pasuris</w:t>
      </w:r>
      <w:r w:rsidRPr="00E113B9">
        <w:rPr>
          <w:lang w:val="it-IT"/>
        </w:rPr>
        <w:t>ë</w:t>
      </w:r>
      <w:r w:rsidR="00BD464B" w:rsidRPr="00E113B9">
        <w:rPr>
          <w:lang w:val="it-IT"/>
        </w:rPr>
        <w:t xml:space="preserve"> s</w:t>
      </w:r>
      <w:r w:rsidRPr="00E113B9">
        <w:rPr>
          <w:lang w:val="it-IT"/>
        </w:rPr>
        <w:t>ë</w:t>
      </w:r>
      <w:r w:rsidR="00E878A5" w:rsidRPr="00E113B9">
        <w:rPr>
          <w:lang w:val="it-IT"/>
        </w:rPr>
        <w:t xml:space="preserve"> paluajtshme.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Po ashtu transferi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mi i mallrave mbi baz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n e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kontrate sipas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cil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ko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misionerit i paguhet komision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r blerjen ose shitjen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rkoh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ai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ose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het pr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onar i mallit sipas konceptit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furnizimit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 xml:space="preserve"> mallit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D464B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furnizim malli.</w:t>
      </w:r>
    </w:p>
    <w:p w:rsidR="00E878A5" w:rsidRPr="00E113B9" w:rsidRDefault="00BD464B" w:rsidP="00E878A5">
      <w:pPr>
        <w:pStyle w:val="CommentText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E113B9">
        <w:rPr>
          <w:rFonts w:ascii="Times New Roman" w:hAnsi="Times New Roman"/>
          <w:i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 xml:space="preserve"> ligjin aktual kemi vet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m nj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nocio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n p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r agjentin i cili vepron p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r kryesorin e tij pa b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dallim kur ai sillet si agjent transparent, pra kur 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rfiton vet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m komisionin dhe sh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rbimin apo furnizimin e mallit e 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 xml:space="preserve">ofron kryesori  si edhe kur ai 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agjent i fshehur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, pra e blen mallin p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>r t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 xml:space="preserve">’ 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>ia s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hitur atij q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e ka k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>rkuar at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duke marr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zot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>rim mallin dhe duke u b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pronar i tij dhe 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9A1EC6" w:rsidRPr="00E113B9">
        <w:rPr>
          <w:rFonts w:ascii="Times New Roman" w:hAnsi="Times New Roman"/>
          <w:i/>
          <w:sz w:val="24"/>
          <w:szCs w:val="24"/>
          <w:lang w:val="it-IT"/>
        </w:rPr>
        <w:t xml:space="preserve"> rast i gjith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furnizimi trajtohet si furnizim malli.</w:t>
      </w:r>
    </w:p>
    <w:p w:rsidR="00F45697" w:rsidRPr="00E113B9" w:rsidRDefault="009A1EC6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672B4" w:rsidRPr="00E113B9">
        <w:rPr>
          <w:rFonts w:ascii="Times New Roman" w:hAnsi="Times New Roman"/>
          <w:sz w:val="24"/>
          <w:szCs w:val="24"/>
          <w:lang w:val="it-IT"/>
        </w:rPr>
        <w:t xml:space="preserve"> ligjin e ri trajtohet me gjer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672B4" w:rsidRPr="00E113B9">
        <w:rPr>
          <w:rFonts w:ascii="Times New Roman" w:hAnsi="Times New Roman"/>
          <w:sz w:val="24"/>
          <w:szCs w:val="24"/>
          <w:lang w:val="it-IT"/>
        </w:rPr>
        <w:t xml:space="preserve"> dhe i detajuar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672B4" w:rsidRPr="00E113B9">
        <w:rPr>
          <w:rFonts w:ascii="Times New Roman" w:hAnsi="Times New Roman"/>
          <w:sz w:val="24"/>
          <w:szCs w:val="24"/>
          <w:lang w:val="it-IT"/>
        </w:rPr>
        <w:t xml:space="preserve">r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do rast “furn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>izimi i mallrave kundrejt pages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s”.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>gj ndryshe nga ligji aktual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 xml:space="preserve"> ndar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86A91" w:rsidRPr="00E113B9">
        <w:rPr>
          <w:rFonts w:ascii="Times New Roman" w:hAnsi="Times New Roman"/>
          <w:sz w:val="24"/>
          <w:szCs w:val="24"/>
          <w:lang w:val="it-IT"/>
        </w:rPr>
        <w:t xml:space="preserve"> 2 nene me vet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878A5" w:rsidRPr="00E113B9">
        <w:rPr>
          <w:rFonts w:ascii="Times New Roman" w:hAnsi="Times New Roman"/>
          <w:sz w:val="24"/>
          <w:szCs w:val="24"/>
          <w:u w:val="single"/>
          <w:lang w:val="it-IT"/>
        </w:rPr>
        <w:t>fur</w:t>
      </w:r>
      <w:r w:rsidR="003D21E4" w:rsidRPr="00E113B9">
        <w:rPr>
          <w:rFonts w:ascii="Times New Roman" w:hAnsi="Times New Roman"/>
          <w:sz w:val="24"/>
          <w:szCs w:val="24"/>
          <w:u w:val="single"/>
          <w:lang w:val="it-IT"/>
        </w:rPr>
        <w:t>nizmi i mallrave kundrejt pages</w:t>
      </w:r>
      <w:r w:rsidR="00173F46" w:rsidRPr="00E113B9">
        <w:rPr>
          <w:rFonts w:ascii="Times New Roman" w:hAnsi="Times New Roman"/>
          <w:sz w:val="24"/>
          <w:szCs w:val="24"/>
          <w:u w:val="single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u w:val="single"/>
          <w:lang w:val="it-IT"/>
        </w:rPr>
        <w:t>s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nga </w:t>
      </w:r>
      <w:r w:rsidR="003D21E4" w:rsidRPr="00E113B9">
        <w:rPr>
          <w:rFonts w:ascii="Times New Roman" w:hAnsi="Times New Roman"/>
          <w:sz w:val="24"/>
          <w:szCs w:val="24"/>
          <w:u w:val="single"/>
          <w:lang w:val="it-IT"/>
        </w:rPr>
        <w:t>furnizimi i sh</w:t>
      </w:r>
      <w:r w:rsidR="00173F46" w:rsidRPr="00E113B9">
        <w:rPr>
          <w:rFonts w:ascii="Times New Roman" w:hAnsi="Times New Roman"/>
          <w:sz w:val="24"/>
          <w:szCs w:val="24"/>
          <w:u w:val="single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u w:val="single"/>
          <w:lang w:val="it-IT"/>
        </w:rPr>
        <w:t>rbimeve kundrejt pages</w:t>
      </w:r>
      <w:r w:rsidR="00173F46" w:rsidRPr="00E113B9">
        <w:rPr>
          <w:rFonts w:ascii="Times New Roman" w:hAnsi="Times New Roman"/>
          <w:sz w:val="24"/>
          <w:szCs w:val="24"/>
          <w:u w:val="single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u w:val="single"/>
          <w:lang w:val="it-IT"/>
        </w:rPr>
        <w:t>s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.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 xml:space="preserve"> Ka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 xml:space="preserve"> dallim nga ligji aktual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lidhje 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>me nocionin e dhuratave me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 xml:space="preserve"> vog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>l. Sipas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tij ligji dhur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>atat me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D21E4" w:rsidRPr="00E113B9">
        <w:rPr>
          <w:rFonts w:ascii="Times New Roman" w:hAnsi="Times New Roman"/>
          <w:sz w:val="24"/>
          <w:szCs w:val="24"/>
          <w:lang w:val="it-IT"/>
        </w:rPr>
        <w:t xml:space="preserve"> vog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l nuk konsid</w:t>
      </w:r>
      <w:r w:rsidR="00192711" w:rsidRPr="00E113B9">
        <w:rPr>
          <w:rFonts w:ascii="Times New Roman" w:hAnsi="Times New Roman"/>
          <w:sz w:val="24"/>
          <w:szCs w:val="24"/>
          <w:lang w:val="it-IT"/>
        </w:rPr>
        <w:t>erohen furnizime kundrejt pages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s. </w:t>
      </w:r>
      <w:r w:rsidR="00F45697" w:rsidRPr="00E113B9">
        <w:rPr>
          <w:rFonts w:ascii="Times New Roman" w:hAnsi="Times New Roman"/>
          <w:sz w:val="24"/>
          <w:szCs w:val="24"/>
          <w:lang w:val="sq-AL"/>
        </w:rPr>
        <w:t xml:space="preserve">Ministri i Financave ka të drejtë të përcaktojë me udhëzim se cilat do të konsiderohen “mostër” dhe vlerën </w:t>
      </w:r>
      <w:r w:rsidR="00192711" w:rsidRPr="00E113B9">
        <w:rPr>
          <w:rFonts w:ascii="Times New Roman" w:hAnsi="Times New Roman"/>
          <w:sz w:val="24"/>
          <w:szCs w:val="24"/>
          <w:lang w:val="sq-AL"/>
        </w:rPr>
        <w:t>maksimale të “dhuratave me vler</w:t>
      </w:r>
      <w:r w:rsidR="00173F46" w:rsidRPr="00E113B9">
        <w:rPr>
          <w:rFonts w:ascii="Times New Roman" w:hAnsi="Times New Roman"/>
          <w:sz w:val="24"/>
          <w:szCs w:val="24"/>
          <w:lang w:val="sq-AL"/>
        </w:rPr>
        <w:t>ë</w:t>
      </w:r>
      <w:r w:rsidR="00F45697" w:rsidRPr="00E113B9">
        <w:rPr>
          <w:rFonts w:ascii="Times New Roman" w:hAnsi="Times New Roman"/>
          <w:sz w:val="24"/>
          <w:szCs w:val="24"/>
          <w:lang w:val="sq-AL"/>
        </w:rPr>
        <w:t xml:space="preserve"> të vogël</w:t>
      </w:r>
      <w:r w:rsidR="008D148D" w:rsidRPr="00E113B9">
        <w:rPr>
          <w:rFonts w:ascii="Times New Roman" w:hAnsi="Times New Roman"/>
          <w:sz w:val="24"/>
          <w:szCs w:val="24"/>
          <w:lang w:val="sq-AL"/>
        </w:rPr>
        <w:t>.</w:t>
      </w:r>
    </w:p>
    <w:p w:rsidR="00E878A5" w:rsidRPr="00E113B9" w:rsidRDefault="00192711" w:rsidP="00E878A5">
      <w:pPr>
        <w:pStyle w:val="CommentText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E113B9">
        <w:rPr>
          <w:rFonts w:ascii="Times New Roman" w:hAnsi="Times New Roman"/>
          <w:i/>
          <w:sz w:val="24"/>
          <w:szCs w:val="24"/>
          <w:lang w:val="it-IT"/>
        </w:rPr>
        <w:lastRenderedPageBreak/>
        <w:t>Nd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>rkoh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 xml:space="preserve"> q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i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ligjin aktual </w:t>
      </w:r>
      <w:r w:rsidR="00780A86">
        <w:rPr>
          <w:rFonts w:ascii="Times New Roman" w:hAnsi="Times New Roman"/>
          <w:i/>
          <w:sz w:val="24"/>
          <w:szCs w:val="24"/>
          <w:lang w:val="it-IT"/>
        </w:rPr>
        <w:t>ç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do gj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q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quhet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dhurat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e konsi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deronim furnizim kundrejt pages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s pavar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sisht vler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tyre,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madje edhe artikujt publicitar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dhe promocional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me vler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vog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l 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cilat nuk i konsiderojm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si furnizim kundrejt pages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s, me udh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zim kan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kufizuar 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>n e zb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>ritjes s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C678A7" w:rsidRPr="00E113B9">
        <w:rPr>
          <w:rFonts w:ascii="Times New Roman" w:hAnsi="Times New Roman"/>
          <w:i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i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i/>
          <w:sz w:val="24"/>
          <w:szCs w:val="24"/>
          <w:lang w:val="it-IT"/>
        </w:rPr>
        <w:t xml:space="preserve"> blerje.</w:t>
      </w:r>
    </w:p>
    <w:p w:rsidR="00E878A5" w:rsidRPr="00E113B9" w:rsidRDefault="00FC267D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Furnizimi i sh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rbimit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zgjeruar dhe pasuruar si koncept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psh kalimi i pasuris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patrup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zuar konsiderohet furnizim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rbimi, si edhe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do opera</w:t>
      </w:r>
      <w:r w:rsidRPr="00E113B9">
        <w:rPr>
          <w:rFonts w:ascii="Times New Roman" w:hAnsi="Times New Roman"/>
          <w:sz w:val="24"/>
          <w:szCs w:val="24"/>
          <w:lang w:val="it-IT"/>
        </w:rPr>
        <w:t>cion me aksionet, pjesmarrjet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shoq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ri etj</w:t>
      </w:r>
      <w:r w:rsidRPr="00E113B9">
        <w:rPr>
          <w:rFonts w:ascii="Times New Roman" w:hAnsi="Times New Roman"/>
          <w:sz w:val="24"/>
          <w:szCs w:val="24"/>
          <w:lang w:val="it-IT"/>
        </w:rPr>
        <w:t>, kur nuk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me pasuri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paluajtshme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si furnizime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rbimi.</w:t>
      </w:r>
    </w:p>
    <w:p w:rsidR="00E878A5" w:rsidRPr="00E113B9" w:rsidRDefault="006E77A9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 xml:space="preserve">Me tej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rikonceptuar vet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furni</w:t>
      </w:r>
      <w:r w:rsidRPr="00E113B9">
        <w:rPr>
          <w:rFonts w:ascii="Times New Roman" w:hAnsi="Times New Roman"/>
          <w:sz w:val="24"/>
          <w:szCs w:val="24"/>
          <w:lang w:val="it-IT"/>
        </w:rPr>
        <w:t>zimi, transferimi i veprimtaris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ekonomike duke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edhe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procedur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njoftimi nga tatimpaguesi pran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organit tatimor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rpara transferimit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veprimtaris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ekonomike.</w:t>
      </w:r>
    </w:p>
    <w:p w:rsidR="00E878A5" w:rsidRPr="00E113B9" w:rsidRDefault="006E77A9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Neni 16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me transferimin e veprimtaris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ekonomike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sakt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suar i sugjeruar nga ekspert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hequr disa kufizime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shkruara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nen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e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nin at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jo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rputhje me DE. Kufizime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tilla duke u  konsideruar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panevojsh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me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>rshtatur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nenin 16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A7ACD" w:rsidRPr="00E113B9">
        <w:rPr>
          <w:rFonts w:ascii="Times New Roman" w:hAnsi="Times New Roman"/>
          <w:sz w:val="24"/>
          <w:szCs w:val="24"/>
          <w:lang w:val="it-IT"/>
        </w:rPr>
        <w:t xml:space="preserve"> Ligjit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ri. </w:t>
      </w:r>
    </w:p>
    <w:p w:rsidR="00E878A5" w:rsidRPr="00E113B9" w:rsidRDefault="00F13927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>Kapitulli i “Operacioneve 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 xml:space="preserve"> tatueshme”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, vijon llogji</w:t>
      </w:r>
      <w:r w:rsidRPr="00E113B9">
        <w:rPr>
          <w:rFonts w:ascii="Times New Roman" w:hAnsi="Times New Roman"/>
          <w:sz w:val="24"/>
          <w:szCs w:val="24"/>
          <w:lang w:val="it-IT"/>
        </w:rPr>
        <w:t>kisht me konceptet (kapitujt)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pasojn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dhe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na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rbejn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te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rcaktuar tatimin dhe konkretisht me:</w:t>
      </w:r>
    </w:p>
    <w:p w:rsidR="00E878A5" w:rsidRPr="00E113B9" w:rsidRDefault="00F13927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>Vendin e furnizimit mallit/sh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>rbimit/importit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; (3 seksione dhe 13 nene) </w:t>
      </w:r>
    </w:p>
    <w:p w:rsidR="00E878A5" w:rsidRPr="00E113B9" w:rsidRDefault="00F13927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Sipas ligjit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ri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detajuar 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vendi i furnizimit t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mallrave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me t</w:t>
      </w:r>
      <w:r w:rsidRPr="00E113B9">
        <w:rPr>
          <w:rFonts w:ascii="Times New Roman" w:hAnsi="Times New Roman"/>
          <w:sz w:val="24"/>
          <w:szCs w:val="24"/>
          <w:lang w:val="it-IT"/>
        </w:rPr>
        <w:t>ransport, pa transport si dhe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bordin e anijeve, aeroplaneve os</w:t>
      </w:r>
      <w:r w:rsidRPr="00E113B9">
        <w:rPr>
          <w:rFonts w:ascii="Times New Roman" w:hAnsi="Times New Roman"/>
          <w:sz w:val="24"/>
          <w:szCs w:val="24"/>
          <w:lang w:val="it-IT"/>
        </w:rPr>
        <w:t>e trenave, vendi i furnizimit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gazit natyror, energjis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rmjet sistemeve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rndarjes du</w:t>
      </w:r>
      <w:r w:rsidRPr="00E113B9">
        <w:rPr>
          <w:rFonts w:ascii="Times New Roman" w:hAnsi="Times New Roman"/>
          <w:sz w:val="24"/>
          <w:szCs w:val="24"/>
          <w:lang w:val="it-IT"/>
        </w:rPr>
        <w:t>ke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dallimin e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furnizimi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person rishit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dhe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furnizimi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konsum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tij malli.</w:t>
      </w:r>
    </w:p>
    <w:p w:rsidR="00E878A5" w:rsidRPr="00E113B9" w:rsidRDefault="00971EE9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Vendi i furnizimit t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sh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rbimeve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sisht duke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si koncept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rgjithsh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 faktin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furnizime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</w:t>
      </w:r>
      <w:r w:rsidRPr="00E113B9">
        <w:rPr>
          <w:rFonts w:ascii="Times New Roman" w:hAnsi="Times New Roman"/>
          <w:sz w:val="24"/>
          <w:szCs w:val="24"/>
          <w:lang w:val="it-IT"/>
        </w:rPr>
        <w:t>it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ofrohen nga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person i </w:t>
      </w:r>
      <w:r w:rsidRPr="00E113B9">
        <w:rPr>
          <w:rFonts w:ascii="Times New Roman" w:hAnsi="Times New Roman"/>
          <w:sz w:val="24"/>
          <w:szCs w:val="24"/>
          <w:lang w:val="it-IT"/>
        </w:rPr>
        <w:t>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person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m jasht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, vendi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vendin e marr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rbimit, ose anasjelltas.</w:t>
      </w:r>
    </w:p>
    <w:p w:rsidR="00E878A5" w:rsidRPr="00E113B9" w:rsidRDefault="00971EE9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rbimi ofrohet kundrejt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personi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patatuesh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 jasht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, vendi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ve</w:t>
      </w:r>
      <w:r w:rsidRPr="00E113B9">
        <w:rPr>
          <w:rFonts w:ascii="Times New Roman" w:hAnsi="Times New Roman"/>
          <w:sz w:val="24"/>
          <w:szCs w:val="24"/>
          <w:lang w:val="it-IT"/>
        </w:rPr>
        <w:t>ndin e furnizuesit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rbimit, pra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ri</w:t>
      </w:r>
      <w:r w:rsidRPr="00E113B9">
        <w:rPr>
          <w:rFonts w:ascii="Times New Roman" w:hAnsi="Times New Roman"/>
          <w:sz w:val="24"/>
          <w:szCs w:val="24"/>
          <w:lang w:val="it-IT"/>
        </w:rPr>
        <w:t>.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E878A5" w:rsidRPr="00E113B9" w:rsidRDefault="00971EE9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Gjith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sesi nga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to rregulla ka edhe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rjashtime</w:t>
      </w:r>
      <w:r w:rsidRPr="00E113B9">
        <w:rPr>
          <w:rFonts w:ascii="Times New Roman" w:hAnsi="Times New Roman"/>
          <w:sz w:val="24"/>
          <w:szCs w:val="24"/>
          <w:lang w:val="it-IT"/>
        </w:rPr>
        <w:t>.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dy rastet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caktuara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 psh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pasurin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e patundshme, transportin, ngjarje kulturore, sportive, artistike e</w:t>
      </w:r>
      <w:r w:rsidRPr="00E113B9">
        <w:rPr>
          <w:rFonts w:ascii="Times New Roman" w:hAnsi="Times New Roman"/>
          <w:sz w:val="24"/>
          <w:szCs w:val="24"/>
          <w:lang w:val="it-IT"/>
        </w:rPr>
        <w:t>tj,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rbimet e restorantit, 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nia me qira e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mjeti transporti ku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</w:t>
      </w:r>
      <w:r w:rsidRPr="00E113B9">
        <w:rPr>
          <w:rFonts w:ascii="Times New Roman" w:hAnsi="Times New Roman"/>
          <w:sz w:val="24"/>
          <w:szCs w:val="24"/>
          <w:lang w:val="it-IT"/>
        </w:rPr>
        <w:t>caktohet si vend i furnizimit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rbimit vendi ku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to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rbime </w:t>
      </w:r>
      <w:r w:rsidRPr="00E113B9">
        <w:rPr>
          <w:rFonts w:ascii="Times New Roman" w:hAnsi="Times New Roman"/>
          <w:sz w:val="24"/>
          <w:szCs w:val="24"/>
          <w:lang w:val="it-IT"/>
        </w:rPr>
        <w:t>kryhen faktikisht. Gjithashtu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rca</w:t>
      </w:r>
      <w:r w:rsidRPr="00E113B9">
        <w:rPr>
          <w:rFonts w:ascii="Times New Roman" w:hAnsi="Times New Roman"/>
          <w:sz w:val="24"/>
          <w:szCs w:val="24"/>
          <w:lang w:val="it-IT"/>
        </w:rPr>
        <w:t>ktuar edhe vendi i furnizimit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furnizuara elekt</w:t>
      </w:r>
      <w:r w:rsidRPr="00E113B9">
        <w:rPr>
          <w:rFonts w:ascii="Times New Roman" w:hAnsi="Times New Roman"/>
          <w:sz w:val="24"/>
          <w:szCs w:val="24"/>
          <w:lang w:val="it-IT"/>
        </w:rPr>
        <w:t>ronikisht ndaj personave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patatuesh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m.</w:t>
      </w:r>
    </w:p>
    <w:p w:rsidR="00E878A5" w:rsidRPr="00E113B9" w:rsidRDefault="00E878A5" w:rsidP="00E878A5">
      <w:pPr>
        <w:jc w:val="both"/>
        <w:rPr>
          <w:lang w:val="it-IT"/>
        </w:rPr>
      </w:pPr>
    </w:p>
    <w:p w:rsidR="00E878A5" w:rsidRPr="00E113B9" w:rsidRDefault="006D147D" w:rsidP="00E878A5">
      <w:pPr>
        <w:pStyle w:val="CommentTex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lastRenderedPageBreak/>
        <w:t>Momentin e lindjes s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tatimit dhe k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rkueshm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ria 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e tij p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r mallrat / sh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>rbimet / importin; (2 seksione, 4 nene)</w:t>
      </w:r>
    </w:p>
    <w:p w:rsidR="00E878A5" w:rsidRPr="00E113B9" w:rsidRDefault="00173F46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sht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rcaktuar qart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sisht momenti i lindjes s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tatimit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 xml:space="preserve"> jo vet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m p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r mallrat dhe sh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rbimet por edhe p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 importin, apo daljen nga regjimet doganore.  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V</w:t>
      </w:r>
      <w:r w:rsidR="006D147D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lera e tatueshme e mallrave/ sh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rbimeve/ importit; (2 seksione, 11 nene)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Ndryshe ng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>a ligji ekzistues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6D147D" w:rsidRPr="00E113B9">
        <w:rPr>
          <w:rFonts w:ascii="Times New Roman" w:hAnsi="Times New Roman"/>
          <w:sz w:val="24"/>
          <w:szCs w:val="24"/>
          <w:lang w:val="it-IT"/>
        </w:rPr>
        <w:t xml:space="preserve"> cilin vlera e tatueshme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rcaktohej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nen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vet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m,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tu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rcaktuar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nocionet e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tregut si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r mallrat dhe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r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rbimet.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>rcaktuar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 vlera e tatueshme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31356" w:rsidRPr="00E113B9">
        <w:rPr>
          <w:rFonts w:ascii="Times New Roman" w:hAnsi="Times New Roman"/>
          <w:sz w:val="24"/>
          <w:szCs w:val="24"/>
          <w:lang w:val="it-IT"/>
        </w:rPr>
        <w:t xml:space="preserve">r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do furnizimin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kryer kundrejt pages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s 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duke mos 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hapesir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r asnj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keqkuptim si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ka pasur shpeshher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deri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sot.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rkoh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rcaktuar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gjith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element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rb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n e tatueshme dhe ato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nuk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>rfshihen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8A12F9" w:rsidRPr="00E113B9">
        <w:rPr>
          <w:rFonts w:ascii="Times New Roman" w:hAnsi="Times New Roman"/>
          <w:sz w:val="24"/>
          <w:szCs w:val="24"/>
          <w:lang w:val="it-IT"/>
        </w:rPr>
        <w:t xml:space="preserve">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n e tatueshme. </w:t>
      </w:r>
    </w:p>
    <w:p w:rsidR="00E878A5" w:rsidRPr="00E113B9" w:rsidRDefault="00764C14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parandaluar evazionin apo shmangjet tatimor</w:t>
      </w:r>
      <w:r w:rsidRPr="00E113B9">
        <w:rPr>
          <w:rFonts w:ascii="Times New Roman" w:hAnsi="Times New Roman"/>
          <w:sz w:val="24"/>
          <w:szCs w:val="24"/>
          <w:lang w:val="it-IT"/>
        </w:rPr>
        <w:t>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transaksione midis personave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lidhur apo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mardh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nie familjare apo pun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s-pun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marr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s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se cila do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Pr="00E113B9">
        <w:rPr>
          <w:rFonts w:ascii="Times New Roman" w:hAnsi="Times New Roman"/>
          <w:sz w:val="24"/>
          <w:szCs w:val="24"/>
          <w:lang w:val="it-IT"/>
        </w:rPr>
        <w:t>onsiderohet vlera e tatueshme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se k</w:t>
      </w:r>
      <w:r w:rsidRPr="00E113B9">
        <w:rPr>
          <w:rFonts w:ascii="Times New Roman" w:hAnsi="Times New Roman"/>
          <w:sz w:val="24"/>
          <w:szCs w:val="24"/>
          <w:lang w:val="it-IT"/>
        </w:rPr>
        <w:t>onstatohen transaksione midis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tyre personave. </w:t>
      </w:r>
    </w:p>
    <w:p w:rsidR="00E878A5" w:rsidRPr="00E113B9" w:rsidRDefault="00764C14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rcaktohet gjithashtu edhe vlera e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tatueshme e konvertuar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transaksione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kryera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monedha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ndryshme, pra jo me monedh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n komb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tare si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furnizimet brenda vendit dhe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importin.</w:t>
      </w:r>
    </w:p>
    <w:p w:rsidR="00E878A5" w:rsidRPr="00E113B9" w:rsidRDefault="00E207A8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 e tatueshme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arit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rpunuar kemi mbajtur dispozit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kemi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kushtet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direktiva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neni</w:t>
      </w:r>
      <w:r w:rsidRPr="00E113B9">
        <w:rPr>
          <w:rFonts w:ascii="Times New Roman" w:hAnsi="Times New Roman"/>
          <w:sz w:val="24"/>
          <w:szCs w:val="24"/>
          <w:lang w:val="it-IT"/>
        </w:rPr>
        <w:t>n 82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saj dispozit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 e parashikuar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 e tatueshme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 arin e kishte me “mund”.     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Shkalla tatimore normale/ reduktuar; </w:t>
      </w:r>
      <w:r w:rsidR="00DC437A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(2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nene)</w:t>
      </w:r>
    </w:p>
    <w:p w:rsidR="00E878A5" w:rsidRPr="00E113B9" w:rsidRDefault="00173F46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sht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rcaktuar nocioni i shkall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s normale 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q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ne e kemi 20 % dhe sipas 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nenit 95 dhe 96 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DE shkalla normale e TVSH 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>n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asnj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rast nuk mund 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jet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m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207A8" w:rsidRPr="00E113B9">
        <w:rPr>
          <w:rFonts w:ascii="Times New Roman" w:hAnsi="Times New Roman"/>
          <w:sz w:val="24"/>
          <w:szCs w:val="24"/>
          <w:lang w:val="it-IT"/>
        </w:rPr>
        <w:t xml:space="preserve"> e vog</w:t>
      </w:r>
      <w:r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l se 15 % </w:t>
      </w:r>
    </w:p>
    <w:p w:rsidR="00E878A5" w:rsidRPr="00E113B9" w:rsidRDefault="00E207A8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koh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sisht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n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 redukuar sipas nenit 98/ 1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DE kufizohet aplikimi i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reduktuara, pra shtetet anetar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aplikojn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1 ose 2 tarifa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reduktuara dhe sipas nenit 99</w:t>
      </w:r>
      <w:r w:rsidRPr="00E113B9">
        <w:rPr>
          <w:rFonts w:ascii="Times New Roman" w:hAnsi="Times New Roman"/>
          <w:sz w:val="24"/>
          <w:szCs w:val="24"/>
          <w:lang w:val="it-IT"/>
        </w:rPr>
        <w:t>/1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 D</w:t>
      </w:r>
      <w:r w:rsidRPr="00E113B9">
        <w:rPr>
          <w:rFonts w:ascii="Times New Roman" w:hAnsi="Times New Roman"/>
          <w:sz w:val="24"/>
          <w:szCs w:val="24"/>
          <w:lang w:val="it-IT"/>
        </w:rPr>
        <w:t>E tarifa e reduktuar nuk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 vog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l se 5%.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nenin 49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tij ligji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aplikimi i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reduktuar vet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 furnizimet e barnave, mjeksore dhe </w:t>
      </w:r>
      <w:r w:rsidRPr="00E113B9">
        <w:rPr>
          <w:rFonts w:ascii="Times New Roman" w:hAnsi="Times New Roman"/>
          <w:sz w:val="24"/>
          <w:szCs w:val="24"/>
          <w:lang w:val="it-IT"/>
        </w:rPr>
        <w:t>veterinare pasi furnizimet 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rbimeve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ndet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sore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aktualisht i k</w:t>
      </w:r>
      <w:r w:rsidRPr="00E113B9">
        <w:rPr>
          <w:rFonts w:ascii="Times New Roman" w:hAnsi="Times New Roman"/>
          <w:sz w:val="24"/>
          <w:szCs w:val="24"/>
          <w:lang w:val="it-IT"/>
        </w:rPr>
        <w:t>emi me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reduktuar nuk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rputhje me DE, sipas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rbimet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ndet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sore si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interes publik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rjashtuara nga TVSH. </w:t>
      </w:r>
    </w:p>
    <w:p w:rsidR="00E878A5" w:rsidRPr="00E113B9" w:rsidRDefault="00E207A8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rkoh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,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Direktiva 2006/112 CE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shtojcat bashkangjitur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, konkretisht shtojc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n III ka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rcaktuar lis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n e furnizimeve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cilat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tra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jtohen si furnizime me tarifa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reduktuara si dhe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shtojc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n X ka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rcaktuar list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n e furnizimeve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cilat vendet 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tare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vazhdojn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ti tatojn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si edhe ato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cilat mund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vazhdojn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rjashtojn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736DF" w:rsidRPr="00E113B9">
        <w:rPr>
          <w:rFonts w:ascii="Times New Roman" w:hAnsi="Times New Roman"/>
          <w:sz w:val="24"/>
          <w:szCs w:val="24"/>
          <w:lang w:val="it-IT"/>
        </w:rPr>
        <w:t>.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rbimet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e stomatolog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ve psh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rfshira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shtojc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si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>rbime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trajtohen me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reduktuar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D32E6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E878A5" w:rsidRPr="00E113B9" w:rsidRDefault="004D32E6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lastRenderedPageBreak/>
        <w:t>Aktualisht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ligjin e ri ashtu si edhe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ligjin ekzistues </w:t>
      </w:r>
      <w:r w:rsidRPr="00E113B9">
        <w:rPr>
          <w:rFonts w:ascii="Times New Roman" w:hAnsi="Times New Roman"/>
          <w:sz w:val="24"/>
          <w:szCs w:val="24"/>
          <w:lang w:val="it-IT"/>
        </w:rPr>
        <w:t>nuk kemi frunizime mallrash</w:t>
      </w:r>
      <w:r w:rsidR="00DC437A" w:rsidRPr="00E113B9">
        <w:rPr>
          <w:rFonts w:ascii="Times New Roman" w:hAnsi="Times New Roman"/>
          <w:sz w:val="24"/>
          <w:szCs w:val="24"/>
          <w:lang w:val="it-IT"/>
        </w:rPr>
        <w:t xml:space="preserve"> apo sh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C437A" w:rsidRPr="00E113B9">
        <w:rPr>
          <w:rFonts w:ascii="Times New Roman" w:hAnsi="Times New Roman"/>
          <w:sz w:val="24"/>
          <w:szCs w:val="24"/>
          <w:lang w:val="it-IT"/>
        </w:rPr>
        <w:t>rbimesh me norm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C437A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C437A" w:rsidRPr="00E113B9">
        <w:rPr>
          <w:rFonts w:ascii="Times New Roman" w:hAnsi="Times New Roman"/>
          <w:sz w:val="24"/>
          <w:szCs w:val="24"/>
          <w:lang w:val="it-IT"/>
        </w:rPr>
        <w:t xml:space="preserve"> reduktuar TVSH-je</w:t>
      </w:r>
      <w:r w:rsidR="0054418F" w:rsidRPr="00E113B9">
        <w:rPr>
          <w:rFonts w:ascii="Times New Roman" w:hAnsi="Times New Roman"/>
          <w:sz w:val="24"/>
          <w:szCs w:val="24"/>
          <w:lang w:val="it-IT"/>
        </w:rPr>
        <w:t>.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Gjithashtu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nen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rcak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>tuar edhe e drejta e zbritjes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pavar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>sisht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 xml:space="preserve"> aplikuar (normale apo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reduktuar)</w:t>
      </w:r>
      <w:r w:rsidR="00A448D6" w:rsidRPr="00E113B9">
        <w:rPr>
          <w:rFonts w:ascii="Times New Roman" w:hAnsi="Times New Roman"/>
          <w:sz w:val="24"/>
          <w:szCs w:val="24"/>
          <w:lang w:val="it-IT"/>
        </w:rPr>
        <w:t>.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Pra</w:t>
      </w:r>
      <w:r w:rsidR="001A243A" w:rsidRPr="00E113B9">
        <w:rPr>
          <w:rFonts w:ascii="Times New Roman" w:hAnsi="Times New Roman"/>
          <w:sz w:val="24"/>
          <w:szCs w:val="24"/>
          <w:lang w:val="it-IT"/>
        </w:rPr>
        <w:t>,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pasi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trajtuar kapitujt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>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me op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>eracionet e tatueshme dhe gjith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>ka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lidhet 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rcaktimin e tatimit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>,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ligji vijon me </w:t>
      </w:r>
      <w:r w:rsidR="00274CDA" w:rsidRPr="00E113B9">
        <w:rPr>
          <w:rFonts w:ascii="Times New Roman" w:hAnsi="Times New Roman"/>
          <w:b/>
          <w:sz w:val="24"/>
          <w:szCs w:val="24"/>
          <w:lang w:val="it-IT"/>
        </w:rPr>
        <w:t>Operacionet e p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rjashtuara (brenda vendit /import/eksport/</w:t>
      </w:r>
      <w:r w:rsidR="00274CDA" w:rsidRPr="00E113B9">
        <w:rPr>
          <w:rFonts w:ascii="Times New Roman" w:hAnsi="Times New Roman"/>
          <w:b/>
          <w:sz w:val="24"/>
          <w:szCs w:val="24"/>
          <w:lang w:val="it-IT"/>
        </w:rPr>
        <w:t>transport nd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b/>
          <w:sz w:val="24"/>
          <w:szCs w:val="24"/>
          <w:lang w:val="it-IT"/>
        </w:rPr>
        <w:t>rkomb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b/>
          <w:sz w:val="24"/>
          <w:szCs w:val="24"/>
          <w:lang w:val="it-IT"/>
        </w:rPr>
        <w:t>tar/ 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b/>
          <w:sz w:val="24"/>
          <w:szCs w:val="24"/>
          <w:lang w:val="it-IT"/>
        </w:rPr>
        <w:t xml:space="preserve"> tjera me shkall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 xml:space="preserve"> 0%</w:t>
      </w:r>
      <w:r w:rsidR="00274CDA" w:rsidRPr="00E113B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cilat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74CDA" w:rsidRPr="00E113B9">
        <w:rPr>
          <w:rFonts w:ascii="Times New Roman" w:hAnsi="Times New Roman"/>
          <w:sz w:val="24"/>
          <w:szCs w:val="24"/>
          <w:lang w:val="it-IT"/>
        </w:rPr>
        <w:t xml:space="preserve"> trajtuar: (3 seksione, 2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nseksione, 17 nene).</w:t>
      </w:r>
      <w:r w:rsidRPr="00E113B9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it-IT"/>
        </w:rPr>
        <w:t xml:space="preserve"> </w:t>
      </w:r>
    </w:p>
    <w:p w:rsidR="00227DED" w:rsidRPr="00E113B9" w:rsidRDefault="00274CDA" w:rsidP="00E878A5">
      <w:pPr>
        <w:pStyle w:val="Comment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543EC" w:rsidRPr="00E113B9">
        <w:rPr>
          <w:rFonts w:ascii="Times New Roman" w:hAnsi="Times New Roman"/>
          <w:sz w:val="24"/>
          <w:szCs w:val="24"/>
          <w:lang w:val="it-IT"/>
        </w:rPr>
        <w:t>rjashtimet 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cilat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mbartur nga Direktiva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Ligjin e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ri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nuk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opsionale por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 xml:space="preserve"> detyrueshme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FD607B" w:rsidRPr="00E113B9">
        <w:rPr>
          <w:rFonts w:ascii="Times New Roman" w:hAnsi="Times New Roman"/>
          <w:sz w:val="24"/>
          <w:szCs w:val="24"/>
          <w:lang w:val="it-IT"/>
        </w:rPr>
        <w:t>’u aplikuar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227DED" w:rsidRPr="00E113B9" w:rsidRDefault="00FD607B" w:rsidP="00227DED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Operacionet 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rjashtuara  sipas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tij ligji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rbimi publik postar sipas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rbimit universal postar,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rbimi privat postar nuk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rjashtuar;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rbimet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ndet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sore d</w:t>
      </w:r>
      <w:r w:rsidRPr="00E113B9">
        <w:rPr>
          <w:rFonts w:ascii="Times New Roman" w:hAnsi="Times New Roman"/>
          <w:sz w:val="24"/>
          <w:szCs w:val="24"/>
          <w:lang w:val="it-IT"/>
        </w:rPr>
        <w:t>he furnizimet e mallrave dhe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lidhura ngusht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me to,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kryera si nga institucionet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ndet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sore pu</w:t>
      </w:r>
      <w:r w:rsidRPr="00E113B9">
        <w:rPr>
          <w:rFonts w:ascii="Times New Roman" w:hAnsi="Times New Roman"/>
          <w:sz w:val="24"/>
          <w:szCs w:val="24"/>
          <w:lang w:val="it-IT"/>
        </w:rPr>
        <w:t>blike dhe nga ato private por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fundit duhet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kryejn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rbimin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kushte sociale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krahasueshme me ato publike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rfitojn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nga </w:t>
      </w: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rjashtimi.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nenin 51, b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shmangur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ritjet sipas tekstit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parsh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rguar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disa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rshtatje. </w:t>
      </w:r>
    </w:p>
    <w:p w:rsidR="00E878A5" w:rsidRPr="00E113B9" w:rsidRDefault="00FD607B" w:rsidP="001B619C">
      <w:pPr>
        <w:pStyle w:val="CommentText"/>
        <w:tabs>
          <w:tab w:val="left" w:pos="360"/>
        </w:tabs>
        <w:ind w:left="54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rbimet e mjek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ve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kuad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ushtrimit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profesionit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tyre,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licens</w:t>
      </w:r>
      <w:r w:rsidRPr="00E113B9">
        <w:rPr>
          <w:rFonts w:ascii="Times New Roman" w:hAnsi="Times New Roman"/>
          <w:sz w:val="24"/>
          <w:szCs w:val="24"/>
          <w:lang w:val="it-IT"/>
        </w:rPr>
        <w:t>uar nga autoriteti kompetent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ndet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sor;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rbimet e stom</w:t>
      </w:r>
      <w:r w:rsidRPr="00E113B9">
        <w:rPr>
          <w:rFonts w:ascii="Times New Roman" w:hAnsi="Times New Roman"/>
          <w:sz w:val="24"/>
          <w:szCs w:val="24"/>
          <w:lang w:val="it-IT"/>
        </w:rPr>
        <w:t>atolog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ve dhe laboranteve dentare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kuad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ushtrimit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profesionit;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Furnizimi i organeve, gjakut, qum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shtit njer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zor;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rbimet dhe mallrat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me ndihm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n sociale, mbrojtjen e f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mij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ve,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rinjve, furnizimi i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rbimeve sportive, kulturo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re kur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to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rbime kryhen nga organiz</w:t>
      </w:r>
      <w:r w:rsidR="007644EF" w:rsidRPr="00E113B9">
        <w:rPr>
          <w:rFonts w:ascii="Times New Roman" w:hAnsi="Times New Roman"/>
          <w:sz w:val="24"/>
          <w:szCs w:val="24"/>
          <w:lang w:val="it-IT"/>
        </w:rPr>
        <w:t>a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ta pa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llim fitimi dhe me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mime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cilat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se nuk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aprovuara nga institucionet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rkat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se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jokonkur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ruese.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tu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kemi vendosur si kriter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mimet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n </w:t>
      </w:r>
      <w:r w:rsidR="00DC437A" w:rsidRPr="00E113B9">
        <w:rPr>
          <w:rFonts w:ascii="Times New Roman" w:hAnsi="Times New Roman"/>
          <w:sz w:val="24"/>
          <w:szCs w:val="24"/>
          <w:lang w:val="it-IT"/>
        </w:rPr>
        <w:t>5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0%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mimeve</w:t>
      </w:r>
      <w:r w:rsidR="00D065E2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tregut si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e kemi aktualisht sipas VKM-s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,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pra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rezultoj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si mas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e marr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r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mime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nuk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konkuruese me subjektet me TVSH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dhe nuk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llim fitimin.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Furnizime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v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nies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dispozicion personeli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llime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ndihm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s shpirt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rore nga organizatat fetare.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Furnizimet 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rbimeve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esimdh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nies shkollore dhe universitare sipas ligjeve specifike;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Furnizimi i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simdh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nies s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hkollore apo universitare nga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suesit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em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personal.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Furnizimi i transportit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mur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ve apo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plagosurve me mjete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posa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me;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Furnizimi i mallrave apo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eve me rastin e manifestimeve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mbledhjen e fondeve. (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Psh. Franca e ka shum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n e ark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tuar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total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vit jo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shum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se 60.000 euro dhe n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e manifestimeve 6)</w:t>
      </w:r>
      <w:r w:rsidR="00227DED" w:rsidRPr="00E113B9">
        <w:rPr>
          <w:rFonts w:ascii="Times New Roman" w:hAnsi="Times New Roman"/>
          <w:sz w:val="24"/>
          <w:szCs w:val="24"/>
          <w:lang w:val="it-IT"/>
        </w:rPr>
        <w:t xml:space="preserve">; 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Veprimtaria e radio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televizionit publik shqiptar,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>rve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C86114" w:rsidRPr="00E113B9">
        <w:rPr>
          <w:rFonts w:ascii="Times New Roman" w:hAnsi="Times New Roman"/>
          <w:sz w:val="24"/>
          <w:szCs w:val="24"/>
          <w:lang w:val="it-IT"/>
        </w:rPr>
        <w:t xml:space="preserve"> veprimtaris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me karakter tregtar. </w:t>
      </w:r>
    </w:p>
    <w:p w:rsidR="00E878A5" w:rsidRPr="00E113B9" w:rsidRDefault="00C86114" w:rsidP="00AA5E83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Pra sipas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nenin 132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DE reklamat nga media e </w:t>
      </w:r>
      <w:r w:rsidRPr="00E113B9">
        <w:rPr>
          <w:rFonts w:ascii="Times New Roman" w:hAnsi="Times New Roman"/>
          <w:sz w:val="24"/>
          <w:szCs w:val="24"/>
          <w:lang w:val="it-IT"/>
        </w:rPr>
        <w:t>shkruar ose elektronike nuk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rjashtuara nga TVSH. </w:t>
      </w:r>
    </w:p>
    <w:p w:rsidR="00E878A5" w:rsidRPr="00E113B9" w:rsidRDefault="00C86114" w:rsidP="009B5610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rkoh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E113B9">
        <w:rPr>
          <w:rFonts w:ascii="Times New Roman" w:hAnsi="Times New Roman"/>
          <w:sz w:val="24"/>
          <w:szCs w:val="24"/>
          <w:lang w:val="it-IT"/>
        </w:rPr>
        <w:t>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rbimet financiare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rgjith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si me ndonj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ndryshim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l vazhdojm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ti kemi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rjashtuara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rpu</w:t>
      </w:r>
      <w:r w:rsidRPr="00E113B9">
        <w:rPr>
          <w:rFonts w:ascii="Times New Roman" w:hAnsi="Times New Roman"/>
          <w:sz w:val="24"/>
          <w:szCs w:val="24"/>
          <w:lang w:val="it-IT"/>
        </w:rPr>
        <w:t>thje edhe me direktiv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n;</w:t>
      </w:r>
      <w:r w:rsidR="009B5610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pullat postare</w:t>
      </w:r>
      <w:r w:rsidR="00B022D5" w:rsidRPr="00E113B9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Pr="00E113B9">
        <w:rPr>
          <w:rFonts w:ascii="Times New Roman" w:hAnsi="Times New Roman"/>
          <w:color w:val="000000"/>
          <w:sz w:val="24"/>
          <w:szCs w:val="24"/>
          <w:lang w:val="sq-AL"/>
        </w:rPr>
        <w:t>pullat t</w:t>
      </w:r>
      <w:r w:rsidR="00173F46" w:rsidRPr="00E113B9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022D5" w:rsidRPr="00E113B9">
        <w:rPr>
          <w:rFonts w:ascii="Times New Roman" w:hAnsi="Times New Roman"/>
          <w:color w:val="000000"/>
          <w:sz w:val="24"/>
          <w:szCs w:val="24"/>
          <w:lang w:val="sq-AL"/>
        </w:rPr>
        <w:t xml:space="preserve"> taksës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ngjashme;</w:t>
      </w:r>
      <w:r w:rsidR="009B5610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lojrat e fatit, bastet</w:t>
      </w:r>
      <w:r w:rsidR="009B5610" w:rsidRPr="00E113B9">
        <w:rPr>
          <w:rFonts w:ascii="Times New Roman" w:hAnsi="Times New Roman"/>
          <w:sz w:val="24"/>
          <w:szCs w:val="24"/>
          <w:lang w:val="it-IT"/>
        </w:rPr>
        <w:t xml:space="preserve">; </w:t>
      </w:r>
      <w:r w:rsidRPr="00E113B9">
        <w:rPr>
          <w:rFonts w:ascii="Times New Roman" w:hAnsi="Times New Roman"/>
          <w:sz w:val="24"/>
          <w:szCs w:val="24"/>
          <w:lang w:val="it-IT"/>
        </w:rPr>
        <w:t>furnizimi i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rtesave; tok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, qiradh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nia e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rtesave me disa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rjashtime.</w:t>
      </w:r>
    </w:p>
    <w:p w:rsidR="00E878A5" w:rsidRPr="00E113B9" w:rsidRDefault="007833B7" w:rsidP="00E878A5">
      <w:pPr>
        <w:pStyle w:val="CommentTex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lastRenderedPageBreak/>
        <w:t>Furnizimet e shtypshkronjave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E113B9">
        <w:rPr>
          <w:rFonts w:ascii="Times New Roman" w:hAnsi="Times New Roman"/>
          <w:sz w:val="24"/>
          <w:szCs w:val="24"/>
          <w:lang w:val="it-IT"/>
        </w:rPr>
        <w:t>gazetave, revistave dhe librave,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rve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reklam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</w:t>
      </w:r>
      <w:r w:rsidR="00BC74AB" w:rsidRPr="00E113B9">
        <w:rPr>
          <w:rFonts w:ascii="Times New Roman" w:hAnsi="Times New Roman"/>
          <w:sz w:val="24"/>
          <w:szCs w:val="24"/>
          <w:lang w:val="it-IT"/>
        </w:rPr>
        <w:t>,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>e kemi mbartur si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>rjashtuar por theksojm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se DE nuk e ka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>rjashtuar. Madje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shtojc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>n 3 i liston si furnizime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trajtohen me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50777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reduktuar. </w:t>
      </w:r>
    </w:p>
    <w:p w:rsidR="00E878A5" w:rsidRPr="00E113B9" w:rsidRDefault="00350777" w:rsidP="00E878A5">
      <w:pPr>
        <w:pStyle w:val="CommentTex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Furnizimi i kartave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identitetit po ashtu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specif</w:t>
      </w:r>
      <w:r w:rsidRPr="00E113B9">
        <w:rPr>
          <w:rFonts w:ascii="Times New Roman" w:hAnsi="Times New Roman"/>
          <w:sz w:val="24"/>
          <w:szCs w:val="24"/>
          <w:lang w:val="it-IT"/>
        </w:rPr>
        <w:t>ike, pasi Direktiva nuk e ka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parashikim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till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.</w:t>
      </w:r>
    </w:p>
    <w:p w:rsidR="00D52F8C" w:rsidRPr="00E113B9" w:rsidRDefault="00622678" w:rsidP="00D52F8C">
      <w:pPr>
        <w:pStyle w:val="CommentText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rjashtimet e fundit </w:t>
      </w:r>
      <w:r w:rsidR="00B630AE" w:rsidRPr="00E113B9">
        <w:rPr>
          <w:rFonts w:ascii="Times New Roman" w:hAnsi="Times New Roman"/>
          <w:sz w:val="24"/>
          <w:szCs w:val="24"/>
          <w:lang w:val="it-IT"/>
        </w:rPr>
        <w:t>jan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ruajtur si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B630AE" w:rsidRPr="00E113B9">
        <w:rPr>
          <w:rFonts w:ascii="Times New Roman" w:hAnsi="Times New Roman"/>
          <w:sz w:val="24"/>
          <w:szCs w:val="24"/>
          <w:lang w:val="it-IT"/>
        </w:rPr>
        <w:t xml:space="preserve"> jan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630AE"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Ligjin aktual</w:t>
      </w:r>
      <w:r w:rsidR="00B630AE" w:rsidRPr="00E113B9">
        <w:rPr>
          <w:rFonts w:ascii="Times New Roman" w:hAnsi="Times New Roman"/>
          <w:sz w:val="24"/>
          <w:szCs w:val="24"/>
          <w:lang w:val="it-IT"/>
        </w:rPr>
        <w:t xml:space="preserve"> dhe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nga ekspert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konsideruar jo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rputhje me DE.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rjashtimi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me furn</w:t>
      </w:r>
      <w:r w:rsidR="00B630AE" w:rsidRPr="00E113B9">
        <w:rPr>
          <w:rFonts w:ascii="Times New Roman" w:hAnsi="Times New Roman"/>
          <w:sz w:val="24"/>
          <w:szCs w:val="24"/>
          <w:lang w:val="it-IT"/>
        </w:rPr>
        <w:t>i</w:t>
      </w:r>
      <w:r w:rsidRPr="00E113B9">
        <w:rPr>
          <w:rFonts w:ascii="Times New Roman" w:hAnsi="Times New Roman"/>
          <w:sz w:val="24"/>
          <w:szCs w:val="24"/>
          <w:lang w:val="it-IT"/>
        </w:rPr>
        <w:t>zimin e mallrave falas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situata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emergjencave civile nga ekspert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t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sugje</w:t>
      </w:r>
      <w:r w:rsidRPr="00E113B9">
        <w:rPr>
          <w:rFonts w:ascii="Times New Roman" w:hAnsi="Times New Roman"/>
          <w:sz w:val="24"/>
          <w:szCs w:val="24"/>
          <w:lang w:val="it-IT"/>
        </w:rPr>
        <w:t>ruar i panevojsh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m.  </w:t>
      </w:r>
    </w:p>
    <w:p w:rsidR="0057182A" w:rsidRPr="00E113B9" w:rsidRDefault="008F1E30" w:rsidP="00D52F8C">
      <w:pPr>
        <w:pStyle w:val="CommentText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 xml:space="preserve">Gjithashtu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329A6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hequr</w:t>
      </w:r>
      <w:r w:rsidR="004F65C1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F65C1" w:rsidRPr="00E113B9">
        <w:rPr>
          <w:rFonts w:ascii="Times New Roman" w:hAnsi="Times New Roman"/>
          <w:sz w:val="24"/>
          <w:szCs w:val="24"/>
          <w:lang w:val="it-IT"/>
        </w:rPr>
        <w:t>rjashtimi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A329A6" w:rsidRPr="00E113B9">
        <w:rPr>
          <w:rFonts w:ascii="Times New Roman" w:hAnsi="Times New Roman"/>
          <w:sz w:val="24"/>
          <w:szCs w:val="24"/>
          <w:lang w:val="it-IT"/>
        </w:rPr>
        <w:t>r f</w:t>
      </w:r>
      <w:r w:rsidR="0057182A" w:rsidRPr="00E113B9">
        <w:rPr>
          <w:rFonts w:ascii="Times New Roman" w:hAnsi="Times New Roman"/>
          <w:sz w:val="24"/>
          <w:szCs w:val="24"/>
          <w:lang w:val="it-IT"/>
        </w:rPr>
        <w:t>urnizimi</w:t>
      </w:r>
      <w:r w:rsidR="00A329A6" w:rsidRPr="00E113B9">
        <w:rPr>
          <w:rFonts w:ascii="Times New Roman" w:hAnsi="Times New Roman"/>
          <w:sz w:val="24"/>
          <w:szCs w:val="24"/>
          <w:lang w:val="it-IT"/>
        </w:rPr>
        <w:t>n e h</w:t>
      </w:r>
      <w:r w:rsidR="0057182A" w:rsidRPr="00E113B9">
        <w:rPr>
          <w:rFonts w:ascii="Times New Roman" w:hAnsi="Times New Roman"/>
          <w:sz w:val="24"/>
          <w:szCs w:val="24"/>
          <w:lang w:val="it-IT"/>
        </w:rPr>
        <w:t>ekurit, i klasifikuar në krerët 7213 dhe 7214 të NKM-së dhe çimentos, i klasifikuar në kodet 2523 29 00; 2523 30 00 dhe 2523 90 00 të NKM-së ndaj subjekteve ndërtuese të hidrocentraleve, të cilat, në bazë të marrëveshjes respektive, i përdorin si lëndë të parë për ndërtimin e hidrocentraleve,</w:t>
      </w:r>
      <w:r w:rsidR="00501675" w:rsidRPr="00E113B9">
        <w:rPr>
          <w:rFonts w:ascii="Times New Roman" w:hAnsi="Times New Roman"/>
          <w:sz w:val="24"/>
          <w:szCs w:val="24"/>
          <w:lang w:val="it-IT"/>
        </w:rPr>
        <w:t xml:space="preserve"> dhe,</w:t>
      </w:r>
      <w:r w:rsidR="0057182A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E57EB9" w:rsidRPr="00E113B9" w:rsidRDefault="00724153" w:rsidP="00D52F8C">
      <w:pPr>
        <w:pStyle w:val="CommentText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Është hequr përjashtimi nga TVS</w:t>
      </w:r>
      <w:r w:rsidR="004F65C1" w:rsidRPr="00E113B9">
        <w:rPr>
          <w:rFonts w:ascii="Times New Roman" w:hAnsi="Times New Roman"/>
          <w:sz w:val="24"/>
          <w:szCs w:val="24"/>
          <w:lang w:val="it-IT"/>
        </w:rPr>
        <w:t>H për furnizimet e shërbimeve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F65C1" w:rsidRPr="00E113B9">
        <w:rPr>
          <w:rFonts w:ascii="Times New Roman" w:hAnsi="Times New Roman"/>
          <w:sz w:val="24"/>
          <w:szCs w:val="24"/>
          <w:lang w:val="it-IT"/>
        </w:rPr>
        <w:t xml:space="preserve"> destinuara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realizimin e fazave të kërkimit dhe të zhvillimit të operacioneve hidrokarbure, të kryera nga kontraktorët ose nënkontraktorë</w:t>
      </w:r>
      <w:r w:rsidR="002F22F5" w:rsidRPr="00E113B9">
        <w:rPr>
          <w:rFonts w:ascii="Times New Roman" w:hAnsi="Times New Roman"/>
          <w:sz w:val="24"/>
          <w:szCs w:val="24"/>
          <w:lang w:val="it-IT"/>
        </w:rPr>
        <w:t>t që punojnë për realizimin e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tyre fazave si edhe furnizimi i mallrave që bëjnë kontraktorët për njëri-tjetrin ose nënkontraktorët për kontraktorët e tyre. </w:t>
      </w:r>
    </w:p>
    <w:p w:rsidR="00E878A5" w:rsidRPr="00E113B9" w:rsidRDefault="002F22F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rjashtimet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vendi 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tar i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ka aktualisht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fuqi dhe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rkon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Pr="00E113B9">
        <w:rPr>
          <w:rFonts w:ascii="Times New Roman" w:hAnsi="Times New Roman"/>
          <w:sz w:val="24"/>
          <w:szCs w:val="24"/>
          <w:lang w:val="it-IT"/>
        </w:rPr>
        <w:t>’i mbaj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tilla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momentin kur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vend 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tar duhet t</w:t>
      </w:r>
      <w:r w:rsidRPr="00E113B9">
        <w:rPr>
          <w:rFonts w:ascii="Times New Roman" w:hAnsi="Times New Roman"/>
          <w:sz w:val="24"/>
          <w:szCs w:val="24"/>
          <w:lang w:val="it-IT"/>
        </w:rPr>
        <w:t>’i paraqiten Komitetit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shillin Europian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vendosur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se do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mbahen si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tilla ose jo. </w:t>
      </w:r>
    </w:p>
    <w:p w:rsidR="00E878A5" w:rsidRPr="00E113B9" w:rsidRDefault="002F22F5" w:rsidP="00661B1B">
      <w:pPr>
        <w:pStyle w:val="CommentText"/>
        <w:numPr>
          <w:ilvl w:val="0"/>
          <w:numId w:val="8"/>
        </w:numPr>
        <w:ind w:hanging="54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Furnizimet 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rbimeve nga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nkontraktor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mallrat joshqiptare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cilat i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nshtrohen regjimit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rpunimit aktiv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t</w:t>
      </w:r>
      <w:r w:rsidRPr="00E113B9">
        <w:rPr>
          <w:rFonts w:ascii="Times New Roman" w:hAnsi="Times New Roman"/>
          <w:sz w:val="24"/>
          <w:szCs w:val="24"/>
          <w:lang w:val="it-IT"/>
        </w:rPr>
        <w:t>’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u eksportuar, </w:t>
      </w:r>
      <w:r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ligjin aktual ne i kemi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rjashtuara pa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kreditimi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.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dispozit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nuk e kemi mbartur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ligjin e ri pasi nga ekspert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 fran</w:t>
      </w:r>
      <w:r w:rsidRPr="00E113B9">
        <w:rPr>
          <w:rFonts w:ascii="Times New Roman" w:hAnsi="Times New Roman"/>
          <w:sz w:val="24"/>
          <w:szCs w:val="24"/>
          <w:lang w:val="it-IT"/>
        </w:rPr>
        <w:t>cez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kjo dispozit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nuk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rputhje me Direktiv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n. Furnizimet 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rbimeve ose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mallrave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cilat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llim eksportin sipas DE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jen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furnizime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tatueshme 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t</w:t>
      </w:r>
      <w:r w:rsidRPr="00E113B9">
        <w:rPr>
          <w:rFonts w:ascii="Times New Roman" w:hAnsi="Times New Roman"/>
          <w:sz w:val="24"/>
          <w:szCs w:val="24"/>
          <w:lang w:val="it-IT"/>
        </w:rPr>
        <w:t>’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u rimbursuar eksportuesi i mallit. </w:t>
      </w:r>
    </w:p>
    <w:p w:rsidR="00E878A5" w:rsidRPr="00E113B9" w:rsidRDefault="002F22F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tej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kapitull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seksion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vete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trajtuar </w:t>
      </w: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rjashtimet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import</w:t>
      </w:r>
      <w:r w:rsidRPr="00E113B9">
        <w:rPr>
          <w:rFonts w:ascii="Times New Roman" w:hAnsi="Times New Roman"/>
          <w:sz w:val="24"/>
          <w:szCs w:val="24"/>
          <w:lang w:val="it-IT"/>
        </w:rPr>
        <w:t>, rast pas rasti, parashikim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cilin nuk e kemi pasur deri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sot. Gjithashtu jem</w:t>
      </w:r>
      <w:r w:rsidRPr="00E113B9">
        <w:rPr>
          <w:rFonts w:ascii="Times New Roman" w:hAnsi="Times New Roman"/>
          <w:sz w:val="24"/>
          <w:szCs w:val="24"/>
          <w:lang w:val="it-IT"/>
        </w:rPr>
        <w:t>i konsultuar me Kodin doganor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</w:t>
      </w:r>
      <w:r w:rsidRPr="00E113B9">
        <w:rPr>
          <w:rFonts w:ascii="Times New Roman" w:hAnsi="Times New Roman"/>
          <w:sz w:val="24"/>
          <w:szCs w:val="24"/>
          <w:lang w:val="it-IT"/>
        </w:rPr>
        <w:t>epublik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fuqi i cili i kishte disa nga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to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rjashtime por jo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detajuara kaq holl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sisht. </w:t>
      </w:r>
    </w:p>
    <w:p w:rsidR="00E878A5" w:rsidRPr="00E113B9" w:rsidRDefault="007B70CE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>Operacione me shkall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 xml:space="preserve"> 0 %/eksportet, transporti nd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rkomb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tar, 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 xml:space="preserve"> ngjashme me eksportet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.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Kryesisht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detajuar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gj</w:t>
      </w:r>
      <w:r w:rsidRPr="00E113B9">
        <w:rPr>
          <w:rFonts w:ascii="Times New Roman" w:hAnsi="Times New Roman"/>
          <w:sz w:val="24"/>
          <w:szCs w:val="24"/>
          <w:lang w:val="it-IT"/>
        </w:rPr>
        <w:t>itha llojet e furnizimeve por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gjitha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to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me eksportet, transportin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rkombetar dhe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lidhje me regjimet doganore, furnizimet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 Naton, Organiztata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rkomb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tare, Trupin diplomatik e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e ngjashme.</w:t>
      </w:r>
    </w:p>
    <w:p w:rsidR="00E878A5" w:rsidRPr="00E113B9" w:rsidRDefault="002F5310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lastRenderedPageBreak/>
        <w:t>Disa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rhyrje tek nenet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trajtojn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kryesisht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rjashtimet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113B9">
        <w:rPr>
          <w:rFonts w:ascii="Times New Roman" w:hAnsi="Times New Roman"/>
          <w:sz w:val="24"/>
          <w:szCs w:val="24"/>
          <w:lang w:val="it-IT"/>
        </w:rPr>
        <w:t>import apo furnizimet me shakll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zero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kryesisht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sakt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suar dhe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suar apo plot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suar disp</w:t>
      </w:r>
      <w:r w:rsidRPr="00E113B9">
        <w:rPr>
          <w:rFonts w:ascii="Times New Roman" w:hAnsi="Times New Roman"/>
          <w:sz w:val="24"/>
          <w:szCs w:val="24"/>
          <w:lang w:val="it-IT"/>
        </w:rPr>
        <w:t>ozitat e 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rguara me </w:t>
      </w:r>
      <w:r w:rsidRPr="00E113B9">
        <w:rPr>
          <w:rFonts w:ascii="Times New Roman" w:hAnsi="Times New Roman"/>
          <w:sz w:val="24"/>
          <w:szCs w:val="24"/>
          <w:lang w:val="it-IT"/>
        </w:rPr>
        <w:t>draftin e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parsh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m, pa ndryshuar thelbin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rmbajtje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nenit.  </w:t>
      </w:r>
    </w:p>
    <w:p w:rsidR="00E878A5" w:rsidRPr="00E113B9" w:rsidRDefault="002F5310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pas ky ligj vijon rrjedhshm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risht me kapitullin “ Zbritshm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ria e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” (5 seksione, 17 nene)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lidhet pik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risht me kapitullin e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rm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rjashtimet/ furnizime</w:t>
      </w:r>
      <w:r w:rsidRPr="00E113B9">
        <w:rPr>
          <w:rFonts w:ascii="Times New Roman" w:hAnsi="Times New Roman"/>
          <w:sz w:val="24"/>
          <w:szCs w:val="24"/>
          <w:lang w:val="it-IT"/>
        </w:rPr>
        <w:t>t me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zero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cilin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rcaktohet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sisht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kur lind e drejta e zbritjes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dhe kufizimet e saj; zbritja e pjesshme, rregullimi i zbritjes dhe rimbursimi.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Ko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nkretisht e drejta e zbritjes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lidhet ngusht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rdorimin e mallrave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cilat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paguar TVSH  dhe bazuar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n 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rdorimit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rcaktuar edhe rregullat 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zbritjes. Gjithashtu jo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kot kemi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dallimin duke i 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trajtuar si furnizime me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zero, pasi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gjitha furnizimet me shkall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zer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o lind e drejta e zbritjes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. Kjo e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lind gjithashtu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 furnizime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kryera jasht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, furnizime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cilat po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kryheshin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brenda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’i jepnin personit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 e zbritjes si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dhe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 furnizimet 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rjashtuara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 sigurimet dhe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rbimet financiare kur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to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hen jasht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2F5310" w:rsidRPr="00E113B9">
        <w:rPr>
          <w:rFonts w:ascii="Times New Roman" w:hAnsi="Times New Roman"/>
          <w:sz w:val="24"/>
          <w:szCs w:val="24"/>
          <w:lang w:val="it-IT"/>
        </w:rPr>
        <w:t>rs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 lind  e drejta e zbritjes.</w:t>
      </w:r>
    </w:p>
    <w:p w:rsidR="00E878A5" w:rsidRPr="00E113B9" w:rsidRDefault="002F5310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Rregullat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zbritjen e pjesshme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TVSH-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jepen pasi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rcaktohen k</w:t>
      </w:r>
      <w:r w:rsidRPr="00E113B9">
        <w:rPr>
          <w:rFonts w:ascii="Times New Roman" w:hAnsi="Times New Roman"/>
          <w:sz w:val="24"/>
          <w:szCs w:val="24"/>
          <w:lang w:val="it-IT"/>
        </w:rPr>
        <w:t>onceptet e qarkullimit si dhe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rqindjes fillestare dhe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rfundimtare. Pak </w:t>
      </w:r>
      <w:r w:rsidRPr="00E113B9">
        <w:rPr>
          <w:rFonts w:ascii="Times New Roman" w:hAnsi="Times New Roman"/>
          <w:sz w:val="24"/>
          <w:szCs w:val="24"/>
          <w:lang w:val="it-IT"/>
        </w:rPr>
        <w:t>a shum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procedur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 ngjashme me at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kemi aktualisht, por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hequr kriteri i ndryshimit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koeficentit me 20 si kriter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aplikuar ose jo rregullimin e kreditimit.   </w:t>
      </w:r>
    </w:p>
    <w:p w:rsidR="00E878A5" w:rsidRPr="00E113B9" w:rsidRDefault="002F5310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Gjithashtu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 kufizimet e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zbritjes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cilat akt</w:t>
      </w:r>
      <w:r w:rsidRPr="00E113B9">
        <w:rPr>
          <w:rFonts w:ascii="Times New Roman" w:hAnsi="Times New Roman"/>
          <w:sz w:val="24"/>
          <w:szCs w:val="24"/>
          <w:lang w:val="it-IT"/>
        </w:rPr>
        <w:t>ualisht i kemi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trajtuara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zimin e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. Tek kufizimet e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zbritjes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shtuar shpenzimet e luksit dhe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rfaq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simit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rtej norm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lejuar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 njohjen e tyre si shpenzime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zbritshme  sipas Ligjit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Tatimit mbi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Ardhurat”. K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jo shtes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u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pasi 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Direktiva shprehej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kufizimet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hen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lidhje me shpenzimet 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rfaq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simit, si dhe nuk kemi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rfshir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shpenzimet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artikujt publicitare dhe pr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omocionale, pasi sipas Direktiv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s dhuratat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vog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l,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cilat pse jo m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rfshihen edhe shpenzimet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r artikujt publicitare me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 xml:space="preserve"> vog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l, nuk konsid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erohen furnizime kundrejt pag</w:t>
      </w:r>
      <w:r w:rsidR="004C0C03" w:rsidRPr="00E113B9">
        <w:rPr>
          <w:rFonts w:ascii="Times New Roman" w:hAnsi="Times New Roman"/>
          <w:sz w:val="24"/>
          <w:szCs w:val="24"/>
          <w:lang w:val="it-IT"/>
        </w:rPr>
        <w:t>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s.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shtu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moslejimi i kreditimit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r to do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binte ndesh 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rcaktimin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nenin 9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ligjit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ri. 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regulla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tjera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zbritjes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rikonceptuar dhe plot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>suar por nuk kan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ndonj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F7962" w:rsidRPr="00E113B9">
        <w:rPr>
          <w:rFonts w:ascii="Times New Roman" w:hAnsi="Times New Roman"/>
          <w:sz w:val="24"/>
          <w:szCs w:val="24"/>
          <w:lang w:val="it-IT"/>
        </w:rPr>
        <w:t xml:space="preserve"> ndryshim nga ato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kemi pasur. </w:t>
      </w:r>
    </w:p>
    <w:p w:rsidR="00E878A5" w:rsidRPr="00E113B9" w:rsidRDefault="00DF7962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rimbursimin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 xml:space="preserve"> jan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mbajtur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 xml:space="preserve">jtat 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dispozit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a</w:t>
      </w:r>
      <w:r w:rsidRPr="00E113B9">
        <w:rPr>
          <w:rFonts w:ascii="Times New Roman" w:hAnsi="Times New Roman"/>
          <w:sz w:val="24"/>
          <w:szCs w:val="24"/>
          <w:lang w:val="it-IT"/>
        </w:rPr>
        <w:t>, pra kushtet vazhdojn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jen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jta, 3 periudha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mba</w:t>
      </w:r>
      <w:r w:rsidRPr="00E113B9">
        <w:rPr>
          <w:rFonts w:ascii="Times New Roman" w:hAnsi="Times New Roman"/>
          <w:sz w:val="24"/>
          <w:szCs w:val="24"/>
          <w:lang w:val="it-IT"/>
        </w:rPr>
        <w:t>rtura, 400.000 lek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dhe 30 dit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r eksportuesit dhe marr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veshjet nd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rkomb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tare dhe 60 dit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0270E" w:rsidRPr="00E113B9">
        <w:rPr>
          <w:rFonts w:ascii="Times New Roman" w:hAnsi="Times New Roman"/>
          <w:sz w:val="24"/>
          <w:szCs w:val="24"/>
          <w:lang w:val="it-IT"/>
        </w:rPr>
        <w:t>r tatimpaguesit e tjer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(Afatin e rim</w:t>
      </w:r>
      <w:r w:rsidRPr="00E113B9">
        <w:rPr>
          <w:rFonts w:ascii="Times New Roman" w:hAnsi="Times New Roman"/>
          <w:sz w:val="24"/>
          <w:szCs w:val="24"/>
          <w:lang w:val="it-IT"/>
        </w:rPr>
        <w:t>bursimit Franca e ka mbi 60 dit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, varion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baz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analiz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riskut)</w:t>
      </w:r>
      <w:r w:rsidRPr="00E113B9">
        <w:rPr>
          <w:rFonts w:ascii="Times New Roman" w:hAnsi="Times New Roman"/>
          <w:sz w:val="24"/>
          <w:szCs w:val="24"/>
          <w:lang w:val="it-IT"/>
        </w:rPr>
        <w:t>.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Bazau</w:t>
      </w:r>
      <w:r w:rsidRPr="00E113B9">
        <w:rPr>
          <w:rFonts w:ascii="Times New Roman" w:hAnsi="Times New Roman"/>
          <w:sz w:val="24"/>
          <w:szCs w:val="24"/>
          <w:lang w:val="it-IT"/>
        </w:rPr>
        <w:t>a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r edhe 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eksperi</w:t>
      </w:r>
      <w:r w:rsidRPr="00E113B9">
        <w:rPr>
          <w:rFonts w:ascii="Times New Roman" w:hAnsi="Times New Roman"/>
          <w:sz w:val="24"/>
          <w:szCs w:val="24"/>
          <w:lang w:val="it-IT"/>
        </w:rPr>
        <w:t>e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nc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n franceze, 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Pr="00E113B9">
        <w:rPr>
          <w:rFonts w:ascii="Times New Roman" w:hAnsi="Times New Roman"/>
          <w:sz w:val="24"/>
          <w:szCs w:val="24"/>
          <w:lang w:val="it-IT"/>
        </w:rPr>
        <w:t>rojekt ligj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parashikuar se n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rast se ka arsye 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justifikueshme, Drejtori i P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rgjithsh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m i Tatimeve , mund 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shtyj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 xml:space="preserve"> afat edhe me 60 dit</w:t>
      </w:r>
      <w:r w:rsidR="00C42D78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0564A1" w:rsidRPr="00E113B9">
        <w:rPr>
          <w:rFonts w:ascii="Times New Roman" w:hAnsi="Times New Roman"/>
          <w:sz w:val="24"/>
          <w:szCs w:val="24"/>
          <w:lang w:val="it-IT"/>
        </w:rPr>
        <w:t>.</w:t>
      </w:r>
    </w:p>
    <w:p w:rsidR="005A2BC8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lastRenderedPageBreak/>
        <w:t>R</w:t>
      </w:r>
      <w:r w:rsidR="00956D1D"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egullimi i kreditimit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nd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ryshim nga ligji ekzistues ka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rcaktuar 2 periudha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rdorimi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ndr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yshme, konkretisht rregullimi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het kur ndryshon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80625" w:rsidRPr="00E113B9">
        <w:rPr>
          <w:rFonts w:ascii="Times New Roman" w:hAnsi="Times New Roman"/>
          <w:sz w:val="24"/>
          <w:szCs w:val="24"/>
          <w:lang w:val="it-IT"/>
        </w:rPr>
        <w:t>rdorimi i mallrave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ka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pitale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aluajtshme brenda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5A2BC8" w:rsidRPr="00E113B9">
        <w:rPr>
          <w:rFonts w:ascii="Times New Roman" w:hAnsi="Times New Roman"/>
          <w:sz w:val="24"/>
          <w:szCs w:val="24"/>
          <w:lang w:val="it-IT"/>
        </w:rPr>
        <w:t xml:space="preserve"> periudhe 1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0 vjet dhe 5 vjet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r mallra kapitale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luajtshme.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 xml:space="preserve">- Kapitulli 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Detyrimet e tatimpaguesit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 xml:space="preserve"> (7 seksione, 32 nene)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 xml:space="preserve"> pik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risht kapitulli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rcakton procedurat dhe adminstrimin e personave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 xml:space="preserve"> 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m, ku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>seksione me vete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970135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rcaktuar:</w:t>
      </w:r>
    </w:p>
    <w:p w:rsidR="00E878A5" w:rsidRPr="00E113B9" w:rsidRDefault="00E878A5" w:rsidP="00E878A5">
      <w:pPr>
        <w:autoSpaceDE w:val="0"/>
        <w:autoSpaceDN w:val="0"/>
        <w:adjustRightInd w:val="0"/>
        <w:jc w:val="both"/>
        <w:rPr>
          <w:b/>
          <w:lang w:val="it-IT"/>
        </w:rPr>
      </w:pPr>
      <w:r w:rsidRPr="00E113B9">
        <w:rPr>
          <w:lang w:val="it-IT"/>
        </w:rPr>
        <w:t xml:space="preserve">- </w:t>
      </w:r>
      <w:r w:rsidR="00970135" w:rsidRPr="00E113B9">
        <w:rPr>
          <w:b/>
          <w:lang w:val="it-IT"/>
        </w:rPr>
        <w:t>Personat p</w:t>
      </w:r>
      <w:r w:rsidR="00173F46" w:rsidRPr="00E113B9">
        <w:rPr>
          <w:b/>
          <w:lang w:val="it-IT"/>
        </w:rPr>
        <w:t>ë</w:t>
      </w:r>
      <w:r w:rsidR="00970135" w:rsidRPr="00E113B9">
        <w:rPr>
          <w:b/>
          <w:lang w:val="it-IT"/>
        </w:rPr>
        <w:t>rgjegj</w:t>
      </w:r>
      <w:r w:rsidR="00173F46" w:rsidRPr="00E113B9">
        <w:rPr>
          <w:b/>
          <w:lang w:val="it-IT"/>
        </w:rPr>
        <w:t>ë</w:t>
      </w:r>
      <w:r w:rsidR="00970135" w:rsidRPr="00E113B9">
        <w:rPr>
          <w:b/>
          <w:lang w:val="it-IT"/>
        </w:rPr>
        <w:t>s p</w:t>
      </w:r>
      <w:r w:rsidR="00173F46" w:rsidRPr="00E113B9">
        <w:rPr>
          <w:b/>
          <w:lang w:val="it-IT"/>
        </w:rPr>
        <w:t>ë</w:t>
      </w:r>
      <w:r w:rsidR="00970135" w:rsidRPr="00E113B9">
        <w:rPr>
          <w:b/>
          <w:lang w:val="it-IT"/>
        </w:rPr>
        <w:t>r pages</w:t>
      </w:r>
      <w:r w:rsidR="00173F46" w:rsidRPr="00E113B9">
        <w:rPr>
          <w:b/>
          <w:lang w:val="it-IT"/>
        </w:rPr>
        <w:t>ë</w:t>
      </w:r>
      <w:r w:rsidR="00970135" w:rsidRPr="00E113B9">
        <w:rPr>
          <w:b/>
          <w:lang w:val="it-IT"/>
        </w:rPr>
        <w:t>n e TVSH-s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;</w:t>
      </w:r>
      <w:r w:rsidR="00970135" w:rsidRPr="00E113B9">
        <w:rPr>
          <w:lang w:val="it-IT"/>
        </w:rPr>
        <w:t xml:space="preserve"> B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het qart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rcaktimi i personit p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rgjegj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s p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r pages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n e tvsh-s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 xml:space="preserve">, kur ky person 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</w:t>
      </w:r>
      <w:r w:rsidR="00970135" w:rsidRPr="00E113B9">
        <w:rPr>
          <w:lang w:val="it-IT"/>
        </w:rPr>
        <w:t>furnizuesi apo personi i cili p</w:t>
      </w:r>
      <w:r w:rsidR="00173F46" w:rsidRPr="00E113B9">
        <w:rPr>
          <w:lang w:val="it-IT"/>
        </w:rPr>
        <w:t>ë</w:t>
      </w:r>
      <w:r w:rsidR="00970135" w:rsidRPr="00E113B9">
        <w:rPr>
          <w:lang w:val="it-IT"/>
        </w:rPr>
        <w:t>rfiton 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rbimin (reverse charge). </w:t>
      </w:r>
    </w:p>
    <w:p w:rsidR="00E878A5" w:rsidRPr="00E113B9" w:rsidRDefault="00970135" w:rsidP="00E878A5">
      <w:pPr>
        <w:autoSpaceDE w:val="0"/>
        <w:autoSpaceDN w:val="0"/>
        <w:adjustRightInd w:val="0"/>
        <w:jc w:val="both"/>
        <w:rPr>
          <w:rFonts w:eastAsia="Calibri"/>
          <w:lang w:val="it-IT"/>
        </w:rPr>
      </w:pPr>
      <w:r w:rsidRPr="00E113B9">
        <w:rPr>
          <w:lang w:val="it-IT"/>
        </w:rPr>
        <w:t>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nenin e par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k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tij kapitulli madje 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p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rcaktuar qart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edhe koncepti i personit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tatuesh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>m n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lidhje me vendndodhjen </w:t>
      </w:r>
      <w:r w:rsidR="00780A86">
        <w:rPr>
          <w:lang w:val="it-IT"/>
        </w:rPr>
        <w:t>ç</w:t>
      </w:r>
      <w:r w:rsidRPr="00E113B9">
        <w:rPr>
          <w:lang w:val="it-IT"/>
        </w:rPr>
        <w:t>ka do 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thot</w:t>
      </w:r>
      <w:r w:rsidR="00173F46" w:rsidRPr="00E113B9">
        <w:rPr>
          <w:lang w:val="it-IT"/>
        </w:rPr>
        <w:t>ë</w:t>
      </w:r>
      <w:r w:rsidRPr="00E113B9">
        <w:rPr>
          <w:lang w:val="it-IT"/>
        </w:rPr>
        <w:t xml:space="preserve"> q</w:t>
      </w:r>
      <w:r w:rsidR="00173F46" w:rsidRPr="00E113B9">
        <w:rPr>
          <w:lang w:val="it-IT"/>
        </w:rPr>
        <w:t>ë</w:t>
      </w:r>
      <w:r w:rsidRPr="00E113B9">
        <w:rPr>
          <w:rFonts w:eastAsia="Calibri"/>
          <w:lang w:val="it-IT"/>
        </w:rPr>
        <w:t xml:space="preserve">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se nj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person i tatuesh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m q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ka nj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vendndodhje fikse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Shqip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ri, kryen nj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furnizim sh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rbimesh t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tatuesh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m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Shqip</w:t>
      </w:r>
      <w:r w:rsidR="00173F46" w:rsidRPr="00E113B9">
        <w:rPr>
          <w:rFonts w:eastAsia="Calibri"/>
          <w:lang w:val="it-IT"/>
        </w:rPr>
        <w:t>ë</w:t>
      </w:r>
      <w:r w:rsidR="00E878A5" w:rsidRPr="00E113B9">
        <w:rPr>
          <w:rFonts w:eastAsia="Calibri"/>
          <w:lang w:val="it-IT"/>
        </w:rPr>
        <w:t xml:space="preserve">ri, vend </w:t>
      </w:r>
      <w:r w:rsidRPr="00E113B9">
        <w:rPr>
          <w:rFonts w:eastAsia="Calibri"/>
          <w:lang w:val="it-IT"/>
        </w:rPr>
        <w:t>ku lind detyrimi 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 t</w:t>
      </w:r>
      <w:r w:rsidR="00173F46" w:rsidRPr="00E113B9">
        <w:rPr>
          <w:rFonts w:eastAsia="Calibri"/>
          <w:lang w:val="it-IT"/>
        </w:rPr>
        <w:t>ë</w:t>
      </w:r>
      <w:r w:rsidR="00E878A5" w:rsidRPr="00E113B9">
        <w:rPr>
          <w:rFonts w:eastAsia="Calibri"/>
          <w:lang w:val="it-IT"/>
        </w:rPr>
        <w:t xml:space="preserve"> pagua</w:t>
      </w:r>
      <w:r w:rsidRPr="00E113B9">
        <w:rPr>
          <w:rFonts w:eastAsia="Calibri"/>
          <w:lang w:val="it-IT"/>
        </w:rPr>
        <w:t>r TVSH, dhe vendndodhja fikse q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ka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Shqip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ri nuk merr pjes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kryerjen e k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tij furnizimi, do t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konsiderohet si nj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person i tatuesh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m q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nuk 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sht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i vendosur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territorin e Shqip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ris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. Po n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k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t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seksion p</w:t>
      </w:r>
      <w:r w:rsidR="00173F46" w:rsidRPr="00E113B9">
        <w:rPr>
          <w:rFonts w:eastAsia="Calibri"/>
          <w:lang w:val="it-IT"/>
        </w:rPr>
        <w:t>ë</w:t>
      </w:r>
      <w:r w:rsidR="00E878A5" w:rsidRPr="00E113B9">
        <w:rPr>
          <w:rFonts w:eastAsia="Calibri"/>
          <w:lang w:val="it-IT"/>
        </w:rPr>
        <w:t xml:space="preserve">rcaktohet edhe </w:t>
      </w:r>
      <w:r w:rsidRPr="00E113B9">
        <w:rPr>
          <w:rFonts w:eastAsia="Calibri"/>
          <w:lang w:val="it-IT"/>
        </w:rPr>
        <w:t>nocioni i 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rfaq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suesit tatimor si person 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rgjegj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s p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r pages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>n e TVSH-s</w:t>
      </w:r>
      <w:r w:rsidR="00173F46" w:rsidRPr="00E113B9">
        <w:rPr>
          <w:rFonts w:eastAsia="Calibri"/>
          <w:lang w:val="it-IT"/>
        </w:rPr>
        <w:t>ë</w:t>
      </w:r>
      <w:r w:rsidR="00E878A5" w:rsidRPr="00E113B9">
        <w:rPr>
          <w:rFonts w:eastAsia="Calibri"/>
          <w:lang w:val="it-IT"/>
        </w:rPr>
        <w:t xml:space="preserve">. </w:t>
      </w:r>
    </w:p>
    <w:p w:rsidR="00E878A5" w:rsidRPr="00E113B9" w:rsidRDefault="00970135" w:rsidP="00E878A5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>- Identifikimi i personit 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 xml:space="preserve"> tatuesh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>m.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mbajtur dispozitat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kemi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ligjin aktual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r regjistrimin dhe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Pr="00E113B9">
        <w:rPr>
          <w:rFonts w:ascii="Times New Roman" w:hAnsi="Times New Roman"/>
          <w:sz w:val="24"/>
          <w:szCs w:val="24"/>
          <w:lang w:val="it-IT"/>
        </w:rPr>
        <w:t>regjistrimin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rputhje me ligjin “P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Procedurat Tatimore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R</w:t>
      </w:r>
      <w:r w:rsidRPr="00E113B9">
        <w:rPr>
          <w:rFonts w:ascii="Times New Roman" w:hAnsi="Times New Roman"/>
          <w:sz w:val="24"/>
          <w:szCs w:val="24"/>
          <w:lang w:val="it-IT"/>
        </w:rPr>
        <w:t>epublik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n e Shqip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ris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”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dhe “P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rr QKR-n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” </w:t>
      </w:r>
    </w:p>
    <w:p w:rsidR="00E878A5" w:rsidRPr="00E113B9" w:rsidRDefault="00E878A5" w:rsidP="00E878A5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 xml:space="preserve">- 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Faturimi.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seksion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konceptet e fatur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s, fatur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s elektronike dhe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not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debitit dhe not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kreditit,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rcaktuar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rastet kur 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shohet fatura dhe kur nuk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e detyrueshme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shohet fatura tati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more.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detajuar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gjith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element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>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duhet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32373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rmbaje fatura tatimore. </w:t>
      </w:r>
    </w:p>
    <w:p w:rsidR="00D2551A" w:rsidRPr="00E113B9" w:rsidRDefault="00323736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2551A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nenin 103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siguruar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rputhshm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rin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pasi sipas nenit 229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DE nuk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e detyrueshme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fatura tatimore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jet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e firmosur nga bler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si dhe gjithashtu 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2551A" w:rsidRPr="00E113B9">
        <w:rPr>
          <w:rFonts w:ascii="Times New Roman" w:hAnsi="Times New Roman"/>
          <w:sz w:val="24"/>
          <w:szCs w:val="24"/>
          <w:lang w:val="it-IT"/>
        </w:rPr>
        <w:t>rputhje me nenin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231 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DE 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pik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n 2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tij neni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B97497" w:rsidRPr="00E113B9">
        <w:rPr>
          <w:rFonts w:ascii="Times New Roman" w:hAnsi="Times New Roman"/>
          <w:sz w:val="24"/>
          <w:szCs w:val="24"/>
          <w:lang w:val="it-IT"/>
        </w:rPr>
        <w:t xml:space="preserve"> parashikuar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D2551A" w:rsidRPr="00E113B9">
        <w:rPr>
          <w:rFonts w:ascii="Times New Roman" w:hAnsi="Times New Roman"/>
          <w:sz w:val="24"/>
          <w:szCs w:val="24"/>
          <w:lang w:val="it-IT"/>
        </w:rPr>
        <w:t>rkthimi i faturave.</w:t>
      </w:r>
    </w:p>
    <w:p w:rsidR="00E878A5" w:rsidRPr="00E113B9" w:rsidRDefault="00B97497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 xml:space="preserve">Po ashtu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rikonceptuar neni 98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rsa i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rket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furnizimit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cilat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 detyrueshme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shohet fatura tatimore, duk</w:t>
      </w:r>
      <w:r w:rsidRPr="00E113B9">
        <w:rPr>
          <w:rFonts w:ascii="Times New Roman" w:hAnsi="Times New Roman"/>
          <w:sz w:val="24"/>
          <w:szCs w:val="24"/>
          <w:lang w:val="it-IT"/>
        </w:rPr>
        <w:t>e suptimuar edhe diferencimin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 hiper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marketet, meq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nuk ka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rkufizim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r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nocion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legjislaci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onin shqiptar. Edhe nga ekspert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t francez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sugjeruar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CD122E" w:rsidRPr="00E113B9">
        <w:rPr>
          <w:rFonts w:ascii="Times New Roman" w:hAnsi="Times New Roman"/>
          <w:sz w:val="24"/>
          <w:szCs w:val="24"/>
          <w:lang w:val="it-IT"/>
        </w:rPr>
        <w:t xml:space="preserve"> zgjidhje e till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.      </w:t>
      </w:r>
    </w:p>
    <w:p w:rsidR="00E878A5" w:rsidRPr="00E113B9" w:rsidRDefault="00E878A5" w:rsidP="00E878A5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192A75" w:rsidRPr="00E113B9">
        <w:rPr>
          <w:rFonts w:ascii="Times New Roman" w:hAnsi="Times New Roman"/>
          <w:b/>
          <w:sz w:val="24"/>
          <w:szCs w:val="24"/>
          <w:lang w:val="it-IT"/>
        </w:rPr>
        <w:t>Faturat let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r dhe elektronike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. Faturat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rve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se let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rgohen dhe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nyr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elektr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onike por kjo mund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het e mundur vet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m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rmjet nj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sistemi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shk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mbimit elektronik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nave EDI si dhe pasi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jet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v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rtetuar v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rte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sia e origjin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s dhe integritetit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rmbajtjes. R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regullat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llim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rcaktohen nga vendi 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tar. </w:t>
      </w:r>
    </w:p>
    <w:p w:rsidR="00E878A5" w:rsidRPr="00E113B9" w:rsidRDefault="00D4232F" w:rsidP="00E878A5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-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>Deklarata,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rcakton qart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sisht deklarat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n,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rmbajtjen, dat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n e dor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zimit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saj.</w:t>
      </w:r>
    </w:p>
    <w:p w:rsidR="00E878A5" w:rsidRPr="00E113B9" w:rsidRDefault="00E878A5" w:rsidP="00E878A5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-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Kontabiliteti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rcakton rregullat e mbajtjes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kontabilitetit, ruajtjes 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 xml:space="preserve"> dokumentacionit, 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192A75" w:rsidRPr="00E113B9">
        <w:rPr>
          <w:rFonts w:ascii="Times New Roman" w:hAnsi="Times New Roman"/>
          <w:sz w:val="24"/>
          <w:szCs w:val="24"/>
          <w:lang w:val="it-IT"/>
        </w:rPr>
        <w:t>rgimit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dokumentacionit, librave.</w:t>
      </w:r>
    </w:p>
    <w:p w:rsidR="00E878A5" w:rsidRPr="00E113B9" w:rsidRDefault="00192A7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lastRenderedPageBreak/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kapitull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disa shtesa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pika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ndryshme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nene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caktuara, ndryshime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cilat jan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reflektuar me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kuqe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projektin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po ju 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rgojm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,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plot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suar disa detyrime dhe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rgjegj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si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lidhje me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rgjegj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sin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 pages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n e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dhe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e zbritjes ose jo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>raste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7C01B9" w:rsidRPr="00E113B9">
        <w:rPr>
          <w:rFonts w:ascii="Times New Roman" w:hAnsi="Times New Roman"/>
          <w:sz w:val="24"/>
          <w:szCs w:val="24"/>
          <w:lang w:val="it-IT"/>
        </w:rPr>
        <w:t xml:space="preserve"> shkeljeve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 ndryshme.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 xml:space="preserve">- </w:t>
      </w:r>
      <w:r w:rsidR="004D57B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Kapitulli i XI “ Regjimet e ve</w:t>
      </w:r>
      <w:r w:rsidR="00780A86">
        <w:rPr>
          <w:rFonts w:ascii="Times New Roman" w:hAnsi="Times New Roman"/>
          <w:b/>
          <w:sz w:val="24"/>
          <w:szCs w:val="24"/>
          <w:u w:val="single"/>
          <w:lang w:val="it-IT"/>
        </w:rPr>
        <w:t>ç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anta” (5 seksione, 2 n</w:t>
      </w:r>
      <w:r w:rsidR="00173F46"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u w:val="single"/>
          <w:lang w:val="it-IT"/>
        </w:rPr>
        <w:t>nseksione, 39 nene)</w:t>
      </w:r>
    </w:p>
    <w:p w:rsidR="00E878A5" w:rsidRPr="00E113B9" w:rsidRDefault="004D57B6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>1. Regjimi i Nd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rmarrjeve 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 xml:space="preserve"> vogla. </w:t>
      </w:r>
      <w:r w:rsidRPr="00E113B9">
        <w:rPr>
          <w:rFonts w:ascii="Times New Roman" w:hAnsi="Times New Roman"/>
          <w:sz w:val="24"/>
          <w:szCs w:val="24"/>
          <w:lang w:val="it-IT"/>
        </w:rPr>
        <w:t>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regjim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rfshihen personat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cil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 realizojn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qarkullim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n kufirin e regjistrimit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TVSH-n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, kushte</w:t>
      </w:r>
      <w:r w:rsidRPr="00E113B9">
        <w:rPr>
          <w:rFonts w:ascii="Times New Roman" w:hAnsi="Times New Roman"/>
          <w:sz w:val="24"/>
          <w:szCs w:val="24"/>
          <w:lang w:val="it-IT"/>
        </w:rPr>
        <w:t>t e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rfitimit os</w:t>
      </w:r>
      <w:r w:rsidRPr="00E113B9">
        <w:rPr>
          <w:rFonts w:ascii="Times New Roman" w:hAnsi="Times New Roman"/>
          <w:sz w:val="24"/>
          <w:szCs w:val="24"/>
          <w:lang w:val="it-IT"/>
        </w:rPr>
        <w:t>e jo nga regjimi, zgjedhja me 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shir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qen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pjes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e regjimit normal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, kalimi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regjimin normal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tvsh-s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dhe kushtet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, e drejta e kreditimit etj.</w:t>
      </w:r>
    </w:p>
    <w:p w:rsidR="00E878A5" w:rsidRPr="00E113B9" w:rsidRDefault="009A402E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b/>
          <w:sz w:val="24"/>
          <w:szCs w:val="24"/>
          <w:lang w:val="it-IT"/>
        </w:rPr>
        <w:t>2. Regjimi  p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r agjent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t e udh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b/>
          <w:sz w:val="24"/>
          <w:szCs w:val="24"/>
          <w:lang w:val="it-IT"/>
        </w:rPr>
        <w:t>timit, regjim i cili ka p</w:t>
      </w:r>
      <w:r w:rsidR="00173F46" w:rsidRPr="00E113B9">
        <w:rPr>
          <w:rFonts w:ascii="Times New Roman" w:hAnsi="Times New Roman"/>
          <w:b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b/>
          <w:sz w:val="24"/>
          <w:szCs w:val="24"/>
          <w:lang w:val="it-IT"/>
        </w:rPr>
        <w:t xml:space="preserve">r objekt 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agjentin 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e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timit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 vepron si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rmjet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s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emrin e tij dhe kujdeset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realizuar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timin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 klient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t; Organizatori i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>timeve turis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tike konsiderohet si agjent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E878A5" w:rsidRPr="00E113B9">
        <w:rPr>
          <w:rFonts w:ascii="Times New Roman" w:hAnsi="Times New Roman"/>
          <w:sz w:val="24"/>
          <w:szCs w:val="24"/>
          <w:lang w:val="it-IT"/>
        </w:rPr>
        <w:t xml:space="preserve">timi; </w:t>
      </w:r>
    </w:p>
    <w:p w:rsidR="00E878A5" w:rsidRPr="00E113B9" w:rsidRDefault="00E878A5" w:rsidP="00E878A5">
      <w:pPr>
        <w:pStyle w:val="CommentText"/>
        <w:jc w:val="both"/>
        <w:rPr>
          <w:rFonts w:ascii="Times New Roman" w:hAnsi="Times New Roman"/>
          <w:sz w:val="24"/>
          <w:szCs w:val="24"/>
          <w:lang w:val="it-IT"/>
        </w:rPr>
      </w:pPr>
      <w:r w:rsidRPr="00E113B9">
        <w:rPr>
          <w:rFonts w:ascii="Times New Roman" w:hAnsi="Times New Roman"/>
          <w:sz w:val="24"/>
          <w:szCs w:val="24"/>
          <w:lang w:val="it-IT"/>
        </w:rPr>
        <w:t>V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lera e tatueshme e furnizimit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rbimit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rastin e k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saj skeme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 vet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m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sht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Marzhi i agjentit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>timit, i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cili konsiderohet diferenca nd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rmjet </w:t>
      </w:r>
      <w:r w:rsidR="00780A86">
        <w:rPr>
          <w:rFonts w:ascii="Times New Roman" w:hAnsi="Times New Roman"/>
          <w:sz w:val="24"/>
          <w:szCs w:val="24"/>
          <w:lang w:val="it-IT"/>
        </w:rPr>
        <w:t>ç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mimit total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detyrohet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paguaj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klienti dhe vler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s reale q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detyrohet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paguaj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agjenti i udh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timit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 furnizimet e mallrave dhe 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rbimeve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faturuara nga persona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tje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tatuesh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m,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 veprimet e kryera n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rfitim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drejtp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>rdrejt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="004E4346" w:rsidRPr="00E113B9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73F46" w:rsidRPr="00E113B9">
        <w:rPr>
          <w:rFonts w:ascii="Times New Roman" w:hAnsi="Times New Roman"/>
          <w:sz w:val="24"/>
          <w:szCs w:val="24"/>
          <w:lang w:val="it-IT"/>
        </w:rPr>
        <w:t>ë</w:t>
      </w:r>
      <w:r w:rsidRPr="00E113B9">
        <w:rPr>
          <w:rFonts w:ascii="Times New Roman" w:hAnsi="Times New Roman"/>
          <w:sz w:val="24"/>
          <w:szCs w:val="24"/>
          <w:lang w:val="it-IT"/>
        </w:rPr>
        <w:t xml:space="preserve"> klientit.</w:t>
      </w:r>
    </w:p>
    <w:p w:rsidR="00E878A5" w:rsidRPr="00E113B9" w:rsidRDefault="00E878A5" w:rsidP="00E878A5">
      <w:pPr>
        <w:pStyle w:val="BodyText3"/>
        <w:rPr>
          <w:b/>
          <w:sz w:val="24"/>
          <w:szCs w:val="24"/>
          <w:lang w:val="sq-AL"/>
        </w:rPr>
      </w:pPr>
      <w:r w:rsidRPr="00E113B9">
        <w:rPr>
          <w:b/>
          <w:sz w:val="24"/>
          <w:szCs w:val="24"/>
          <w:lang w:val="it-IT"/>
        </w:rPr>
        <w:t>3. R</w:t>
      </w:r>
      <w:r w:rsidR="00F83E04" w:rsidRPr="00E113B9">
        <w:rPr>
          <w:b/>
          <w:sz w:val="24"/>
          <w:szCs w:val="24"/>
          <w:lang w:val="sq-AL"/>
        </w:rPr>
        <w:t>egjim i ve</w:t>
      </w:r>
      <w:r w:rsidR="00780A86">
        <w:rPr>
          <w:b/>
          <w:sz w:val="24"/>
          <w:szCs w:val="24"/>
          <w:lang w:val="sq-AL"/>
        </w:rPr>
        <w:t>ç</w:t>
      </w:r>
      <w:r w:rsidR="00F83E04" w:rsidRPr="00E113B9">
        <w:rPr>
          <w:b/>
          <w:sz w:val="24"/>
          <w:szCs w:val="24"/>
          <w:lang w:val="sq-AL"/>
        </w:rPr>
        <w:t>ant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 xml:space="preserve"> i zbatuar p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>r shitjen e mallrave t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 xml:space="preserve"> dor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>s s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 xml:space="preserve"> dyt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>, pun</w:t>
      </w:r>
      <w:r w:rsidR="00173F46" w:rsidRPr="00E113B9">
        <w:rPr>
          <w:b/>
          <w:sz w:val="24"/>
          <w:szCs w:val="24"/>
          <w:lang w:val="sq-AL"/>
        </w:rPr>
        <w:t>ë</w:t>
      </w:r>
      <w:r w:rsidR="00F83E04" w:rsidRPr="00E113B9">
        <w:rPr>
          <w:b/>
          <w:sz w:val="24"/>
          <w:szCs w:val="24"/>
          <w:lang w:val="sq-AL"/>
        </w:rPr>
        <w:t>ve artistike, artikujve t</w:t>
      </w:r>
      <w:r w:rsidR="00173F46" w:rsidRPr="00E113B9">
        <w:rPr>
          <w:b/>
          <w:sz w:val="24"/>
          <w:szCs w:val="24"/>
          <w:lang w:val="sq-AL"/>
        </w:rPr>
        <w:t>ë</w:t>
      </w:r>
      <w:r w:rsidRPr="00E113B9">
        <w:rPr>
          <w:b/>
          <w:sz w:val="24"/>
          <w:szCs w:val="24"/>
          <w:lang w:val="sq-AL"/>
        </w:rPr>
        <w:t xml:space="preserve"> koleksionit dhe antikuare. </w:t>
      </w:r>
    </w:p>
    <w:p w:rsidR="00E878A5" w:rsidRPr="00E113B9" w:rsidRDefault="00E878A5" w:rsidP="00E878A5">
      <w:pPr>
        <w:numPr>
          <w:ilvl w:val="0"/>
          <w:numId w:val="13"/>
        </w:numPr>
        <w:autoSpaceDE w:val="0"/>
        <w:autoSpaceDN w:val="0"/>
        <w:spacing w:after="200" w:line="276" w:lineRule="auto"/>
        <w:jc w:val="both"/>
        <w:rPr>
          <w:rFonts w:eastAsia="Calibri"/>
          <w:lang w:val="sq-AL"/>
        </w:rPr>
      </w:pPr>
      <w:r w:rsidRPr="00E113B9">
        <w:rPr>
          <w:b/>
          <w:lang w:val="sq-AL"/>
        </w:rPr>
        <w:t>R</w:t>
      </w:r>
      <w:r w:rsidR="00F83E04" w:rsidRPr="00E113B9">
        <w:rPr>
          <w:rFonts w:eastAsia="Calibri"/>
          <w:b/>
          <w:i/>
          <w:lang w:val="sq-AL"/>
        </w:rPr>
        <w:t>egjimi i marzhit t</w:t>
      </w:r>
      <w:r w:rsidR="00173F46" w:rsidRPr="00E113B9">
        <w:rPr>
          <w:rFonts w:eastAsia="Calibri"/>
          <w:b/>
          <w:i/>
          <w:lang w:val="sq-AL"/>
        </w:rPr>
        <w:t>ë</w:t>
      </w:r>
      <w:r w:rsidRPr="00E113B9">
        <w:rPr>
          <w:rFonts w:eastAsia="Calibri"/>
          <w:b/>
          <w:i/>
          <w:lang w:val="sq-AL"/>
        </w:rPr>
        <w:t xml:space="preserve"> fitimit</w:t>
      </w:r>
      <w:r w:rsidRPr="00E113B9">
        <w:rPr>
          <w:rFonts w:eastAsia="Calibri"/>
          <w:lang w:val="sq-AL"/>
        </w:rPr>
        <w:t>, Marzhi i reali</w:t>
      </w:r>
      <w:r w:rsidR="00BE19C1" w:rsidRPr="00E113B9">
        <w:rPr>
          <w:rFonts w:eastAsia="Calibri"/>
          <w:lang w:val="sq-AL"/>
        </w:rPr>
        <w:t xml:space="preserve">zuar nga personi i tatueshem 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sht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i barabart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me diferenc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n nd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rmjet </w:t>
      </w:r>
      <w:r w:rsidR="00780A86">
        <w:rPr>
          <w:rFonts w:eastAsia="Calibri"/>
          <w:lang w:val="sq-AL"/>
        </w:rPr>
        <w:t>ç</w:t>
      </w:r>
      <w:r w:rsidR="00BE19C1" w:rsidRPr="00E113B9">
        <w:rPr>
          <w:rFonts w:eastAsia="Calibri"/>
          <w:lang w:val="sq-AL"/>
        </w:rPr>
        <w:t>mimit 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shitjes 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k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rkuar nga personi i tatuesh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m rishit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s dhe </w:t>
      </w:r>
      <w:r w:rsidR="00780A86">
        <w:rPr>
          <w:rFonts w:eastAsia="Calibri"/>
          <w:lang w:val="sq-AL"/>
        </w:rPr>
        <w:t>ç</w:t>
      </w:r>
      <w:r w:rsidR="00BE19C1" w:rsidRPr="00E113B9">
        <w:rPr>
          <w:rFonts w:eastAsia="Calibri"/>
          <w:lang w:val="sq-AL"/>
        </w:rPr>
        <w:t>mimit 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blerjes.</w:t>
      </w:r>
    </w:p>
    <w:p w:rsidR="00E878A5" w:rsidRPr="00E113B9" w:rsidRDefault="00E878A5" w:rsidP="00E878A5">
      <w:pPr>
        <w:numPr>
          <w:ilvl w:val="0"/>
          <w:numId w:val="13"/>
        </w:numPr>
        <w:autoSpaceDE w:val="0"/>
        <w:autoSpaceDN w:val="0"/>
        <w:spacing w:after="200" w:line="276" w:lineRule="auto"/>
        <w:jc w:val="both"/>
        <w:rPr>
          <w:rFonts w:eastAsia="Calibri"/>
          <w:lang w:val="sq-AL"/>
        </w:rPr>
      </w:pPr>
      <w:r w:rsidRPr="00E113B9">
        <w:rPr>
          <w:rFonts w:eastAsia="Calibri"/>
          <w:b/>
          <w:i/>
          <w:lang w:val="sq-AL"/>
        </w:rPr>
        <w:t>Regjimi i ankandeve,</w:t>
      </w:r>
      <w:r w:rsidR="00BE19C1" w:rsidRPr="00E113B9">
        <w:rPr>
          <w:rFonts w:eastAsia="Calibri"/>
          <w:lang w:val="sq-AL"/>
        </w:rPr>
        <w:t xml:space="preserve"> Vlera e tatueshme, p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r furnizimin e mallrave n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n k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regjim p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rb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het nga vlera </w:t>
      </w:r>
      <w:r w:rsidR="00BE19C1" w:rsidRPr="00E113B9">
        <w:rPr>
          <w:rFonts w:eastAsia="Calibri"/>
          <w:lang w:val="sq-AL"/>
        </w:rPr>
        <w:t>totale q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i faturohet bler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sit ofertues m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mir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nga ana e organizatorit  t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 xml:space="preserve"> shitjes me ankand, zvog</w:t>
      </w:r>
      <w:r w:rsidR="00173F46" w:rsidRPr="00E113B9">
        <w:rPr>
          <w:rFonts w:eastAsia="Calibri"/>
          <w:lang w:val="sq-AL"/>
        </w:rPr>
        <w:t>ë</w:t>
      </w:r>
      <w:r w:rsidR="00BE19C1" w:rsidRPr="00E113B9">
        <w:rPr>
          <w:rFonts w:eastAsia="Calibri"/>
          <w:lang w:val="sq-AL"/>
        </w:rPr>
        <w:t>luar me vlerat e m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poshtme:</w:t>
      </w:r>
    </w:p>
    <w:p w:rsidR="00E878A5" w:rsidRPr="00E113B9" w:rsidRDefault="00BE19C1" w:rsidP="00E878A5">
      <w:pPr>
        <w:numPr>
          <w:ilvl w:val="0"/>
          <w:numId w:val="9"/>
        </w:numPr>
        <w:autoSpaceDE w:val="0"/>
        <w:autoSpaceDN w:val="0"/>
        <w:spacing w:after="200" w:line="276" w:lineRule="auto"/>
        <w:jc w:val="both"/>
        <w:rPr>
          <w:rFonts w:eastAsia="Calibri"/>
          <w:lang w:val="sq-AL"/>
        </w:rPr>
      </w:pPr>
      <w:r w:rsidRPr="00E113B9">
        <w:rPr>
          <w:rFonts w:eastAsia="Calibri"/>
          <w:lang w:val="sq-AL"/>
        </w:rPr>
        <w:t>Vlera neto q</w:t>
      </w:r>
      <w:r w:rsidR="00173F46" w:rsidRPr="00E113B9">
        <w:rPr>
          <w:rFonts w:eastAsia="Calibri"/>
          <w:lang w:val="sq-AL"/>
        </w:rPr>
        <w:t>ë</w:t>
      </w:r>
      <w:r w:rsidR="00E878A5" w:rsidRPr="00E113B9">
        <w:rPr>
          <w:rFonts w:eastAsia="Calibri"/>
          <w:lang w:val="sq-AL"/>
        </w:rPr>
        <w:t xml:space="preserve"> organizatori i shitjes me ankand i ka paguar apo do t</w:t>
      </w:r>
      <w:r w:rsidRPr="00E113B9">
        <w:rPr>
          <w:rFonts w:eastAsia="Calibri"/>
          <w:lang w:val="sq-AL"/>
        </w:rPr>
        <w:t>’i paguaj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porosit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sit, e cila p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rb</w:t>
      </w:r>
      <w:r w:rsidR="00173F46" w:rsidRPr="00E113B9">
        <w:rPr>
          <w:rFonts w:eastAsia="Calibri"/>
          <w:lang w:val="sq-AL"/>
        </w:rPr>
        <w:t>ë</w:t>
      </w:r>
      <w:r w:rsidR="00E878A5" w:rsidRPr="00E113B9">
        <w:rPr>
          <w:rFonts w:eastAsia="Calibri"/>
          <w:lang w:val="sq-AL"/>
        </w:rPr>
        <w:t>het nga diferenca midis</w:t>
      </w:r>
      <w:r w:rsidRPr="00E113B9">
        <w:rPr>
          <w:rFonts w:eastAsia="Calibri"/>
          <w:lang w:val="sq-AL"/>
        </w:rPr>
        <w:t xml:space="preserve"> </w:t>
      </w:r>
      <w:r w:rsidR="00780A86">
        <w:rPr>
          <w:rFonts w:eastAsia="Calibri"/>
          <w:lang w:val="sq-AL"/>
        </w:rPr>
        <w:t>ç</w:t>
      </w:r>
      <w:r w:rsidRPr="00E113B9">
        <w:rPr>
          <w:rFonts w:eastAsia="Calibri"/>
          <w:lang w:val="sq-AL"/>
        </w:rPr>
        <w:t>mimit 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shitjes n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ankand 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mallit dhe vler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s s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komisionit q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organizatori i shitjes n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ankand ka marr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ose do 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marr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prej porosit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sit mbi baz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n e kontrat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>s komisioner</w:t>
      </w:r>
      <w:r w:rsidR="00173F46" w:rsidRPr="00E113B9">
        <w:rPr>
          <w:rFonts w:eastAsia="Calibri"/>
          <w:lang w:val="sq-AL"/>
        </w:rPr>
        <w:t>ë</w:t>
      </w:r>
      <w:r w:rsidRPr="00E113B9">
        <w:rPr>
          <w:rFonts w:eastAsia="Calibri"/>
          <w:lang w:val="sq-AL"/>
        </w:rPr>
        <w:t xml:space="preserve"> p</w:t>
      </w:r>
      <w:r w:rsidR="00173F46" w:rsidRPr="00E113B9">
        <w:rPr>
          <w:rFonts w:eastAsia="Calibri"/>
          <w:lang w:val="sq-AL"/>
        </w:rPr>
        <w:t>ë</w:t>
      </w:r>
      <w:r w:rsidR="00E878A5" w:rsidRPr="00E113B9">
        <w:rPr>
          <w:rFonts w:eastAsia="Calibri"/>
          <w:lang w:val="sq-AL"/>
        </w:rPr>
        <w:t>r shitjen.</w:t>
      </w:r>
    </w:p>
    <w:p w:rsidR="00E878A5" w:rsidRPr="00E113B9" w:rsidRDefault="00BE19C1" w:rsidP="00E878A5">
      <w:pPr>
        <w:numPr>
          <w:ilvl w:val="0"/>
          <w:numId w:val="9"/>
        </w:numPr>
        <w:autoSpaceDE w:val="0"/>
        <w:autoSpaceDN w:val="0"/>
        <w:spacing w:after="200" w:line="276" w:lineRule="auto"/>
        <w:jc w:val="both"/>
        <w:rPr>
          <w:rFonts w:eastAsia="Calibri"/>
          <w:lang w:val="it-IT"/>
        </w:rPr>
      </w:pPr>
      <w:r w:rsidRPr="00E113B9">
        <w:rPr>
          <w:rFonts w:eastAsia="Calibri"/>
          <w:lang w:val="it-IT"/>
        </w:rPr>
        <w:t>Vlera e TVSH-s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p</w:t>
      </w:r>
      <w:r w:rsidR="00173F46" w:rsidRPr="00E113B9">
        <w:rPr>
          <w:rFonts w:eastAsia="Calibri"/>
          <w:lang w:val="it-IT"/>
        </w:rPr>
        <w:t>ë</w:t>
      </w:r>
      <w:r w:rsidR="00E878A5" w:rsidRPr="00E113B9">
        <w:rPr>
          <w:rFonts w:eastAsia="Calibri"/>
          <w:lang w:val="it-IT"/>
        </w:rPr>
        <w:t>r t</w:t>
      </w:r>
      <w:r w:rsidRPr="00E113B9">
        <w:rPr>
          <w:rFonts w:eastAsia="Calibri"/>
          <w:lang w:val="it-IT"/>
        </w:rPr>
        <w:t>’</w:t>
      </w:r>
      <w:r w:rsidR="00E878A5" w:rsidRPr="00E113B9">
        <w:rPr>
          <w:rFonts w:eastAsia="Calibri"/>
          <w:lang w:val="it-IT"/>
        </w:rPr>
        <w:t>u p</w:t>
      </w:r>
      <w:r w:rsidRPr="00E113B9">
        <w:rPr>
          <w:rFonts w:eastAsia="Calibri"/>
          <w:lang w:val="it-IT"/>
        </w:rPr>
        <w:t>aguar nga ana e organizatorit t</w:t>
      </w:r>
      <w:r w:rsidR="00173F46" w:rsidRPr="00E113B9">
        <w:rPr>
          <w:rFonts w:eastAsia="Calibri"/>
          <w:lang w:val="it-IT"/>
        </w:rPr>
        <w:t>ë</w:t>
      </w:r>
      <w:r w:rsidRPr="00E113B9">
        <w:rPr>
          <w:rFonts w:eastAsia="Calibri"/>
          <w:lang w:val="it-IT"/>
        </w:rPr>
        <w:t xml:space="preserve"> shitjes me ankand p</w:t>
      </w:r>
      <w:r w:rsidR="00173F46" w:rsidRPr="00E113B9">
        <w:rPr>
          <w:rFonts w:eastAsia="Calibri"/>
          <w:lang w:val="it-IT"/>
        </w:rPr>
        <w:t>ë</w:t>
      </w:r>
      <w:r w:rsidR="00E878A5" w:rsidRPr="00E113B9">
        <w:rPr>
          <w:rFonts w:eastAsia="Calibri"/>
          <w:lang w:val="it-IT"/>
        </w:rPr>
        <w:t>r furnizimin e kryer.</w:t>
      </w:r>
    </w:p>
    <w:p w:rsidR="00E878A5" w:rsidRPr="00E113B9" w:rsidRDefault="00BE19C1" w:rsidP="00E878A5">
      <w:pPr>
        <w:numPr>
          <w:ilvl w:val="0"/>
          <w:numId w:val="12"/>
        </w:numPr>
        <w:jc w:val="both"/>
        <w:rPr>
          <w:lang w:val="it-IT"/>
        </w:rPr>
      </w:pPr>
      <w:r w:rsidRPr="00E113B9">
        <w:rPr>
          <w:b/>
          <w:lang w:val="it-IT"/>
        </w:rPr>
        <w:t>Regjimi i Kompensimit 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prodhuesve bujq</w:t>
      </w:r>
      <w:r w:rsidR="00173F46" w:rsidRPr="00E113B9">
        <w:rPr>
          <w:b/>
          <w:lang w:val="it-IT"/>
        </w:rPr>
        <w:t>ë</w:t>
      </w:r>
      <w:r w:rsidR="00E878A5" w:rsidRPr="00E113B9">
        <w:rPr>
          <w:b/>
          <w:lang w:val="it-IT"/>
        </w:rPr>
        <w:t>sor</w:t>
      </w:r>
      <w:r w:rsidR="00B314B5" w:rsidRPr="00E113B9">
        <w:rPr>
          <w:lang w:val="it-IT"/>
        </w:rPr>
        <w:t>, skem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e cila 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mbajtur e nj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jt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me skem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n q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kemi n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 xml:space="preserve"> ligjin ekzistues</w:t>
      </w:r>
      <w:r w:rsidR="00B314B5" w:rsidRPr="00E113B9">
        <w:rPr>
          <w:lang w:val="it-IT"/>
        </w:rPr>
        <w:t xml:space="preserve"> me disa rregullime. Ndryshim p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r t</w:t>
      </w:r>
      <w:r w:rsidR="00B314B5" w:rsidRPr="00E113B9">
        <w:rPr>
          <w:lang w:val="it-IT"/>
        </w:rPr>
        <w:t>’</w:t>
      </w:r>
      <w:r w:rsidR="00E878A5" w:rsidRPr="00E113B9">
        <w:rPr>
          <w:lang w:val="it-IT"/>
        </w:rPr>
        <w:t>u t</w:t>
      </w:r>
      <w:r w:rsidR="00B314B5" w:rsidRPr="00E113B9">
        <w:rPr>
          <w:lang w:val="it-IT"/>
        </w:rPr>
        <w:t>heksuar k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tu 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q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kodi i fermerit 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sht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shnd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rruar n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 xml:space="preserve"> Num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r identifikimi i cili l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shohet nga organi tatimor p</w:t>
      </w:r>
      <w:r w:rsidR="00173F46" w:rsidRPr="00E113B9">
        <w:rPr>
          <w:lang w:val="it-IT"/>
        </w:rPr>
        <w:t>ë</w:t>
      </w:r>
      <w:r w:rsidR="00B314B5" w:rsidRPr="00E113B9">
        <w:rPr>
          <w:lang w:val="it-IT"/>
        </w:rPr>
        <w:t>r fermer</w:t>
      </w:r>
      <w:r w:rsidR="00173F46" w:rsidRPr="00E113B9">
        <w:rPr>
          <w:lang w:val="it-IT"/>
        </w:rPr>
        <w:t>ë</w:t>
      </w:r>
      <w:r w:rsidR="00E878A5" w:rsidRPr="00E113B9">
        <w:rPr>
          <w:lang w:val="it-IT"/>
        </w:rPr>
        <w:t>t.</w:t>
      </w:r>
    </w:p>
    <w:p w:rsidR="005F4FE6" w:rsidRPr="00E113B9" w:rsidRDefault="00B314B5" w:rsidP="00603087">
      <w:pPr>
        <w:numPr>
          <w:ilvl w:val="0"/>
          <w:numId w:val="12"/>
        </w:numPr>
        <w:spacing w:after="200" w:line="276" w:lineRule="auto"/>
        <w:jc w:val="both"/>
        <w:rPr>
          <w:rFonts w:eastAsia="MS Mincho"/>
          <w:lang w:val="sq-AL"/>
        </w:rPr>
      </w:pPr>
      <w:r w:rsidRPr="00E113B9">
        <w:rPr>
          <w:b/>
          <w:lang w:val="it-IT"/>
        </w:rPr>
        <w:lastRenderedPageBreak/>
        <w:t>Regjimi i ve</w:t>
      </w:r>
      <w:r w:rsidR="00780A86">
        <w:rPr>
          <w:b/>
          <w:lang w:val="it-IT"/>
        </w:rPr>
        <w:t>ç</w:t>
      </w:r>
      <w:r w:rsidRPr="00E113B9">
        <w:rPr>
          <w:b/>
          <w:lang w:val="it-IT"/>
        </w:rPr>
        <w:t>ant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 xml:space="preserve"> mbi arin p</w:t>
      </w:r>
      <w:r w:rsidR="00173F46" w:rsidRPr="00E113B9">
        <w:rPr>
          <w:b/>
          <w:lang w:val="it-IT"/>
        </w:rPr>
        <w:t>ë</w:t>
      </w:r>
      <w:r w:rsidRPr="00E113B9">
        <w:rPr>
          <w:b/>
          <w:lang w:val="it-IT"/>
        </w:rPr>
        <w:t>r</w:t>
      </w:r>
      <w:r w:rsidR="00E878A5" w:rsidRPr="00E113B9">
        <w:rPr>
          <w:b/>
          <w:lang w:val="it-IT"/>
        </w:rPr>
        <w:t xml:space="preserve"> investim</w:t>
      </w:r>
      <w:r w:rsidR="00E878A5" w:rsidRPr="00E113B9">
        <w:rPr>
          <w:b/>
          <w:lang w:val="sq-AL"/>
        </w:rPr>
        <w:t xml:space="preserve">. </w:t>
      </w:r>
      <w:r w:rsidR="007A3667" w:rsidRPr="00E113B9">
        <w:rPr>
          <w:lang w:val="sq-AL"/>
        </w:rPr>
        <w:t>Në kuptim të këtij seksioni p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rcaktohet koncepti i arit p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r investim si dhe p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>rcaktohen r</w:t>
      </w:r>
      <w:r w:rsidR="007A3667" w:rsidRPr="00E113B9">
        <w:rPr>
          <w:lang w:val="sq-AL"/>
        </w:rPr>
        <w:t>regullat p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r tatueshm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rin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, p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rjashtimin e transaksioneve q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 xml:space="preserve"> kan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 xml:space="preserve"> t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 xml:space="preserve"> b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jn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 xml:space="preserve"> me k</w:t>
      </w:r>
      <w:r w:rsidR="00173F46" w:rsidRPr="00E113B9">
        <w:rPr>
          <w:lang w:val="sq-AL"/>
        </w:rPr>
        <w:t>ë</w:t>
      </w:r>
      <w:r w:rsidR="007A3667" w:rsidRPr="00E113B9">
        <w:rPr>
          <w:lang w:val="sq-AL"/>
        </w:rPr>
        <w:t>t</w:t>
      </w:r>
      <w:r w:rsidR="00173F46" w:rsidRPr="00E113B9">
        <w:rPr>
          <w:lang w:val="sq-AL"/>
        </w:rPr>
        <w:t>ë</w:t>
      </w:r>
      <w:r w:rsidR="00E878A5" w:rsidRPr="00E113B9">
        <w:rPr>
          <w:lang w:val="sq-AL"/>
        </w:rPr>
        <w:t xml:space="preserve"> regjim duke pasur parasysh edhe rregullat evropiane. </w:t>
      </w:r>
    </w:p>
    <w:p w:rsidR="00D62BA5" w:rsidRPr="00E113B9" w:rsidRDefault="00D62BA5" w:rsidP="00603087">
      <w:pPr>
        <w:spacing w:after="200" w:line="276" w:lineRule="auto"/>
        <w:jc w:val="both"/>
        <w:rPr>
          <w:lang w:val="sq-AL"/>
        </w:rPr>
      </w:pPr>
    </w:p>
    <w:p w:rsidR="00D62BA5" w:rsidRPr="00E113B9" w:rsidRDefault="00D62BA5" w:rsidP="00603087">
      <w:pPr>
        <w:spacing w:after="200" w:line="276" w:lineRule="auto"/>
        <w:jc w:val="both"/>
        <w:rPr>
          <w:lang w:val="sq-AL"/>
        </w:rPr>
      </w:pPr>
      <w:r w:rsidRPr="00E113B9">
        <w:rPr>
          <w:lang w:val="sq-AL"/>
        </w:rPr>
        <w:t xml:space="preserve">Në zbatim të Vendimit të Këshillit të Ministrave nr. 584, datë 28.03.2003, “Për miratimin e Rregullores së Këshillit të Ministrave”, i ndryshuar, ky projektvendim </w:t>
      </w:r>
      <w:r w:rsidR="000564A1" w:rsidRPr="00E113B9">
        <w:rPr>
          <w:lang w:val="sq-AL"/>
        </w:rPr>
        <w:t>i përcillet p</w:t>
      </w:r>
      <w:r w:rsidR="00C42D78" w:rsidRPr="00E113B9">
        <w:rPr>
          <w:lang w:val="sq-AL"/>
        </w:rPr>
        <w:t>ë</w:t>
      </w:r>
      <w:r w:rsidR="000564A1" w:rsidRPr="00E113B9">
        <w:rPr>
          <w:lang w:val="sq-AL"/>
        </w:rPr>
        <w:t xml:space="preserve">r mendim </w:t>
      </w:r>
      <w:r w:rsidR="009F3B64" w:rsidRPr="00E113B9">
        <w:rPr>
          <w:lang w:val="sq-AL"/>
        </w:rPr>
        <w:t>Ministris</w:t>
      </w:r>
      <w:r w:rsidR="00C42D78" w:rsidRPr="00E113B9">
        <w:rPr>
          <w:lang w:val="sq-AL"/>
        </w:rPr>
        <w:t>ë</w:t>
      </w:r>
      <w:r w:rsidR="009F3B64" w:rsidRPr="00E113B9">
        <w:rPr>
          <w:lang w:val="sq-AL"/>
        </w:rPr>
        <w:t xml:space="preserve"> s</w:t>
      </w:r>
      <w:r w:rsidR="00C42D78" w:rsidRPr="00E113B9">
        <w:rPr>
          <w:lang w:val="sq-AL"/>
        </w:rPr>
        <w:t>ë</w:t>
      </w:r>
      <w:r w:rsidR="009F3B64" w:rsidRPr="00E113B9">
        <w:rPr>
          <w:lang w:val="sq-AL"/>
        </w:rPr>
        <w:t xml:space="preserve"> Dr</w:t>
      </w:r>
      <w:r w:rsidR="008E0752" w:rsidRPr="00E113B9">
        <w:rPr>
          <w:lang w:val="sq-AL"/>
        </w:rPr>
        <w:t>ej</w:t>
      </w:r>
      <w:r w:rsidR="009F3B64" w:rsidRPr="00E113B9">
        <w:rPr>
          <w:lang w:val="sq-AL"/>
        </w:rPr>
        <w:t>t</w:t>
      </w:r>
      <w:r w:rsidR="00C42D78" w:rsidRPr="00E113B9">
        <w:rPr>
          <w:lang w:val="sq-AL"/>
        </w:rPr>
        <w:t>ë</w:t>
      </w:r>
      <w:r w:rsidR="009F3B64" w:rsidRPr="00E113B9">
        <w:rPr>
          <w:lang w:val="sq-AL"/>
        </w:rPr>
        <w:t>sis</w:t>
      </w:r>
      <w:r w:rsidR="00C42D78" w:rsidRPr="00E113B9">
        <w:rPr>
          <w:lang w:val="sq-AL"/>
        </w:rPr>
        <w:t>ë</w:t>
      </w:r>
      <w:r w:rsidR="009F3B64" w:rsidRPr="00E113B9">
        <w:rPr>
          <w:lang w:val="sq-AL"/>
        </w:rPr>
        <w:t xml:space="preserve"> dhe Ministris</w:t>
      </w:r>
      <w:r w:rsidR="00C42D78" w:rsidRPr="00E113B9">
        <w:rPr>
          <w:lang w:val="sq-AL"/>
        </w:rPr>
        <w:t>ë</w:t>
      </w:r>
      <w:r w:rsidR="009F3B64" w:rsidRPr="00E113B9">
        <w:rPr>
          <w:lang w:val="sq-AL"/>
        </w:rPr>
        <w:t xml:space="preserve"> s</w:t>
      </w:r>
      <w:r w:rsidR="00C42D78" w:rsidRPr="00E113B9">
        <w:rPr>
          <w:lang w:val="sq-AL"/>
        </w:rPr>
        <w:t>ë</w:t>
      </w:r>
      <w:r w:rsidR="009F3B64" w:rsidRPr="00E113B9">
        <w:rPr>
          <w:lang w:val="sq-AL"/>
        </w:rPr>
        <w:t xml:space="preserve"> Integrimit.</w:t>
      </w:r>
    </w:p>
    <w:p w:rsidR="00586E83" w:rsidRPr="00E113B9" w:rsidRDefault="00586E83" w:rsidP="00E878A5">
      <w:pPr>
        <w:jc w:val="both"/>
        <w:rPr>
          <w:lang w:val="sq-AL"/>
        </w:rPr>
      </w:pPr>
    </w:p>
    <w:p w:rsidR="001F413C" w:rsidRPr="00E113B9" w:rsidRDefault="001F413C" w:rsidP="00E878A5">
      <w:pPr>
        <w:jc w:val="both"/>
        <w:rPr>
          <w:lang w:val="sq-AL"/>
        </w:rPr>
      </w:pPr>
    </w:p>
    <w:p w:rsidR="00586E83" w:rsidRPr="00E113B9" w:rsidRDefault="00586E83" w:rsidP="00E878A5">
      <w:pPr>
        <w:jc w:val="both"/>
        <w:rPr>
          <w:lang w:val="sq-AL"/>
        </w:rPr>
      </w:pPr>
    </w:p>
    <w:p w:rsidR="00E3274F" w:rsidRPr="00E113B9" w:rsidRDefault="000564A1" w:rsidP="00E3274F">
      <w:pPr>
        <w:rPr>
          <w:b/>
          <w:lang w:val="sq-AL"/>
        </w:rPr>
      </w:pPr>
      <w:r w:rsidRPr="00E113B9">
        <w:rPr>
          <w:b/>
          <w:lang w:val="sq-AL"/>
        </w:rPr>
        <w:t xml:space="preserve">M I N I S T </w:t>
      </w:r>
      <w:r w:rsidR="00C42D78" w:rsidRPr="00E113B9">
        <w:rPr>
          <w:b/>
          <w:lang w:val="sq-AL"/>
        </w:rPr>
        <w:t>Ë</w:t>
      </w:r>
      <w:r w:rsidR="00E3274F" w:rsidRPr="00E113B9">
        <w:rPr>
          <w:b/>
          <w:lang w:val="sq-AL"/>
        </w:rPr>
        <w:t xml:space="preserve"> R</w:t>
      </w:r>
    </w:p>
    <w:p w:rsidR="00E3274F" w:rsidRPr="00E113B9" w:rsidRDefault="00E3274F" w:rsidP="00E3274F">
      <w:pPr>
        <w:ind w:left="360"/>
        <w:rPr>
          <w:b/>
          <w:lang w:val="sq-AL"/>
        </w:rPr>
      </w:pPr>
    </w:p>
    <w:p w:rsidR="00E3274F" w:rsidRPr="00E113B9" w:rsidRDefault="00E3274F" w:rsidP="00E3274F">
      <w:pPr>
        <w:rPr>
          <w:b/>
          <w:lang w:val="sq-AL"/>
        </w:rPr>
      </w:pPr>
      <w:r w:rsidRPr="00E113B9">
        <w:rPr>
          <w:b/>
          <w:lang w:val="sq-AL"/>
        </w:rPr>
        <w:t>______________</w:t>
      </w:r>
    </w:p>
    <w:p w:rsidR="00724502" w:rsidRPr="00E113B9" w:rsidRDefault="000564A1" w:rsidP="00C27B66">
      <w:pPr>
        <w:rPr>
          <w:lang w:val="sq-AL"/>
        </w:rPr>
      </w:pPr>
      <w:r w:rsidRPr="00E113B9">
        <w:rPr>
          <w:b/>
          <w:lang w:val="sq-AL"/>
        </w:rPr>
        <w:t>SHK</w:t>
      </w:r>
      <w:r w:rsidR="00C42D78" w:rsidRPr="00E113B9">
        <w:rPr>
          <w:b/>
          <w:lang w:val="sq-AL"/>
        </w:rPr>
        <w:t>Ë</w:t>
      </w:r>
      <w:r w:rsidRPr="00E113B9">
        <w:rPr>
          <w:b/>
          <w:lang w:val="sq-AL"/>
        </w:rPr>
        <w:t>LQIM CANI</w:t>
      </w:r>
    </w:p>
    <w:p w:rsidR="00C27B66" w:rsidRPr="00E113B9" w:rsidRDefault="00C27B66" w:rsidP="00C27B66">
      <w:pPr>
        <w:rPr>
          <w:lang w:val="sq-AL"/>
        </w:rPr>
      </w:pPr>
    </w:p>
    <w:p w:rsidR="009774C2" w:rsidRPr="00E113B9" w:rsidRDefault="009774C2" w:rsidP="00C27B66">
      <w:pPr>
        <w:rPr>
          <w:lang w:val="sq-AL"/>
        </w:rPr>
      </w:pPr>
    </w:p>
    <w:p w:rsidR="00E60FFE" w:rsidRPr="00E113B9" w:rsidRDefault="00E60FFE">
      <w:pPr>
        <w:rPr>
          <w:lang w:val="it-IT"/>
        </w:rPr>
      </w:pPr>
    </w:p>
    <w:sectPr w:rsidR="00E60FFE" w:rsidRPr="00E113B9" w:rsidSect="00227DED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C7" w:rsidRDefault="00C810C7" w:rsidP="00E933D0">
      <w:r>
        <w:separator/>
      </w:r>
    </w:p>
  </w:endnote>
  <w:endnote w:type="continuationSeparator" w:id="0">
    <w:p w:rsidR="00C810C7" w:rsidRDefault="00C810C7" w:rsidP="00E9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7B" w:rsidRDefault="00C810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18F8">
      <w:rPr>
        <w:noProof/>
      </w:rPr>
      <w:t>1</w:t>
    </w:r>
    <w:r>
      <w:rPr>
        <w:noProof/>
      </w:rPr>
      <w:fldChar w:fldCharType="end"/>
    </w:r>
  </w:p>
  <w:p w:rsidR="00CA597B" w:rsidRDefault="00CA5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C7" w:rsidRDefault="00C810C7" w:rsidP="00E933D0">
      <w:r>
        <w:separator/>
      </w:r>
    </w:p>
  </w:footnote>
  <w:footnote w:type="continuationSeparator" w:id="0">
    <w:p w:rsidR="00C810C7" w:rsidRDefault="00C810C7" w:rsidP="00E9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88D"/>
    <w:multiLevelType w:val="hybridMultilevel"/>
    <w:tmpl w:val="84DC8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2F13"/>
    <w:multiLevelType w:val="hybridMultilevel"/>
    <w:tmpl w:val="22A8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729D"/>
    <w:multiLevelType w:val="hybridMultilevel"/>
    <w:tmpl w:val="9AAE72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419DA"/>
    <w:multiLevelType w:val="hybridMultilevel"/>
    <w:tmpl w:val="9962D1D4"/>
    <w:lvl w:ilvl="0" w:tplc="FFFFFFFF">
      <w:start w:val="1"/>
      <w:numFmt w:val="lowerLetter"/>
      <w:pStyle w:val="bulletmeshkronjaudhezimi"/>
      <w:lvlText w:val="%1."/>
      <w:lvlJc w:val="left"/>
      <w:pPr>
        <w:tabs>
          <w:tab w:val="num" w:pos="1247"/>
        </w:tabs>
        <w:ind w:left="1247" w:hanging="396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1A1A041F"/>
    <w:multiLevelType w:val="hybridMultilevel"/>
    <w:tmpl w:val="972C1D74"/>
    <w:lvl w:ilvl="0" w:tplc="9A7E7D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66852"/>
    <w:multiLevelType w:val="hybridMultilevel"/>
    <w:tmpl w:val="62224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A271A"/>
    <w:multiLevelType w:val="hybridMultilevel"/>
    <w:tmpl w:val="F33E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9232F"/>
    <w:multiLevelType w:val="hybridMultilevel"/>
    <w:tmpl w:val="DEA85AC2"/>
    <w:lvl w:ilvl="0" w:tplc="D5F8206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44502"/>
    <w:multiLevelType w:val="hybridMultilevel"/>
    <w:tmpl w:val="2F1EFC62"/>
    <w:lvl w:ilvl="0" w:tplc="34BED7B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2081746"/>
    <w:multiLevelType w:val="hybridMultilevel"/>
    <w:tmpl w:val="600040A6"/>
    <w:lvl w:ilvl="0" w:tplc="041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A614DD82">
      <w:start w:val="1"/>
      <w:numFmt w:val="lowerRoman"/>
      <w:lvlText w:val="%3."/>
      <w:lvlJc w:val="right"/>
      <w:pPr>
        <w:ind w:left="1800" w:hanging="180"/>
      </w:pPr>
      <w:rPr>
        <w:rFonts w:ascii="Times New Roman" w:eastAsia="MS Mincho" w:hAnsi="Times New Roman" w:cs="Times New Roman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D958E4"/>
    <w:multiLevelType w:val="hybridMultilevel"/>
    <w:tmpl w:val="8D044AAA"/>
    <w:lvl w:ilvl="0" w:tplc="EA2E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1340F"/>
    <w:multiLevelType w:val="hybridMultilevel"/>
    <w:tmpl w:val="DAD83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C276D"/>
    <w:multiLevelType w:val="hybridMultilevel"/>
    <w:tmpl w:val="964E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07E70"/>
    <w:multiLevelType w:val="hybridMultilevel"/>
    <w:tmpl w:val="600040A6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A614DD82">
      <w:start w:val="1"/>
      <w:numFmt w:val="lowerRoman"/>
      <w:lvlText w:val="%3.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15066"/>
    <w:multiLevelType w:val="hybridMultilevel"/>
    <w:tmpl w:val="5D60AB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F224D5"/>
    <w:multiLevelType w:val="hybridMultilevel"/>
    <w:tmpl w:val="A7F63252"/>
    <w:lvl w:ilvl="0" w:tplc="EE9445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C6E1A"/>
    <w:multiLevelType w:val="hybridMultilevel"/>
    <w:tmpl w:val="22A8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A4D87"/>
    <w:multiLevelType w:val="hybridMultilevel"/>
    <w:tmpl w:val="83306CC6"/>
    <w:lvl w:ilvl="0" w:tplc="385C849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00373"/>
    <w:multiLevelType w:val="hybridMultilevel"/>
    <w:tmpl w:val="0618072A"/>
    <w:lvl w:ilvl="0" w:tplc="88D865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55B8C"/>
    <w:multiLevelType w:val="hybridMultilevel"/>
    <w:tmpl w:val="842CF7C4"/>
    <w:lvl w:ilvl="0" w:tplc="BF1C4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0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29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C12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4BB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B4AD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64E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CE8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7EB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920698"/>
    <w:multiLevelType w:val="hybridMultilevel"/>
    <w:tmpl w:val="4F3E6738"/>
    <w:lvl w:ilvl="0" w:tplc="0809000F">
      <w:start w:val="1"/>
      <w:numFmt w:val="bullet"/>
      <w:pStyle w:val="BULLETUDHEZIM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F178E4"/>
    <w:multiLevelType w:val="hybridMultilevel"/>
    <w:tmpl w:val="4004509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F7F0383"/>
    <w:multiLevelType w:val="hybridMultilevel"/>
    <w:tmpl w:val="444EEE58"/>
    <w:lvl w:ilvl="0" w:tplc="59CEC9DA">
      <w:start w:val="1"/>
      <w:numFmt w:val="bullet"/>
      <w:lvlText w:val="-"/>
      <w:lvlJc w:val="left"/>
      <w:pPr>
        <w:ind w:left="4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21"/>
  </w:num>
  <w:num w:numId="10">
    <w:abstractNumId w:val="19"/>
  </w:num>
  <w:num w:numId="11">
    <w:abstractNumId w:val="12"/>
  </w:num>
  <w:num w:numId="12">
    <w:abstractNumId w:val="18"/>
  </w:num>
  <w:num w:numId="13">
    <w:abstractNumId w:val="11"/>
  </w:num>
  <w:num w:numId="14">
    <w:abstractNumId w:val="14"/>
  </w:num>
  <w:num w:numId="15">
    <w:abstractNumId w:val="13"/>
  </w:num>
  <w:num w:numId="16">
    <w:abstractNumId w:val="22"/>
  </w:num>
  <w:num w:numId="17">
    <w:abstractNumId w:val="5"/>
  </w:num>
  <w:num w:numId="18">
    <w:abstractNumId w:val="10"/>
  </w:num>
  <w:num w:numId="19">
    <w:abstractNumId w:val="15"/>
  </w:num>
  <w:num w:numId="20">
    <w:abstractNumId w:val="0"/>
  </w:num>
  <w:num w:numId="21">
    <w:abstractNumId w:val="17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39"/>
    <w:rsid w:val="00003B5E"/>
    <w:rsid w:val="00004D4C"/>
    <w:rsid w:val="000263BA"/>
    <w:rsid w:val="000337A3"/>
    <w:rsid w:val="00037884"/>
    <w:rsid w:val="000379F1"/>
    <w:rsid w:val="00041AD5"/>
    <w:rsid w:val="000541B4"/>
    <w:rsid w:val="000564A1"/>
    <w:rsid w:val="00061C39"/>
    <w:rsid w:val="00071B07"/>
    <w:rsid w:val="00077DE1"/>
    <w:rsid w:val="00086063"/>
    <w:rsid w:val="00095A8D"/>
    <w:rsid w:val="000A0615"/>
    <w:rsid w:val="000B1FCE"/>
    <w:rsid w:val="000E167D"/>
    <w:rsid w:val="000F62D0"/>
    <w:rsid w:val="0010391B"/>
    <w:rsid w:val="001142BD"/>
    <w:rsid w:val="0013660D"/>
    <w:rsid w:val="00137AAE"/>
    <w:rsid w:val="00150636"/>
    <w:rsid w:val="0015431D"/>
    <w:rsid w:val="001554EF"/>
    <w:rsid w:val="001556E1"/>
    <w:rsid w:val="001612F2"/>
    <w:rsid w:val="0016468E"/>
    <w:rsid w:val="001715E6"/>
    <w:rsid w:val="00173F46"/>
    <w:rsid w:val="0018084B"/>
    <w:rsid w:val="001860D0"/>
    <w:rsid w:val="00192711"/>
    <w:rsid w:val="00192A75"/>
    <w:rsid w:val="001A243A"/>
    <w:rsid w:val="001A3E20"/>
    <w:rsid w:val="001A497E"/>
    <w:rsid w:val="001B29B2"/>
    <w:rsid w:val="001B3B37"/>
    <w:rsid w:val="001B619C"/>
    <w:rsid w:val="001C556A"/>
    <w:rsid w:val="001D71EF"/>
    <w:rsid w:val="001E79A1"/>
    <w:rsid w:val="001F413C"/>
    <w:rsid w:val="001F51C4"/>
    <w:rsid w:val="00207F2F"/>
    <w:rsid w:val="002109C3"/>
    <w:rsid w:val="0021464B"/>
    <w:rsid w:val="0021789F"/>
    <w:rsid w:val="002217C5"/>
    <w:rsid w:val="00227DED"/>
    <w:rsid w:val="00240463"/>
    <w:rsid w:val="00245C7B"/>
    <w:rsid w:val="0025427F"/>
    <w:rsid w:val="00254751"/>
    <w:rsid w:val="002708DD"/>
    <w:rsid w:val="00274CDA"/>
    <w:rsid w:val="00277FA7"/>
    <w:rsid w:val="00283023"/>
    <w:rsid w:val="002918F8"/>
    <w:rsid w:val="0029244C"/>
    <w:rsid w:val="00293A87"/>
    <w:rsid w:val="002A278C"/>
    <w:rsid w:val="002B15A7"/>
    <w:rsid w:val="002E44B8"/>
    <w:rsid w:val="002E4C4E"/>
    <w:rsid w:val="002E7280"/>
    <w:rsid w:val="002F22F5"/>
    <w:rsid w:val="002F2E5E"/>
    <w:rsid w:val="002F35E1"/>
    <w:rsid w:val="002F5310"/>
    <w:rsid w:val="00301D40"/>
    <w:rsid w:val="00323736"/>
    <w:rsid w:val="00327EC1"/>
    <w:rsid w:val="00330E98"/>
    <w:rsid w:val="003343FB"/>
    <w:rsid w:val="00340A5E"/>
    <w:rsid w:val="00342548"/>
    <w:rsid w:val="0034735C"/>
    <w:rsid w:val="00350777"/>
    <w:rsid w:val="00352916"/>
    <w:rsid w:val="003548B9"/>
    <w:rsid w:val="003603B1"/>
    <w:rsid w:val="00363001"/>
    <w:rsid w:val="00363F44"/>
    <w:rsid w:val="00365B70"/>
    <w:rsid w:val="00370395"/>
    <w:rsid w:val="00372736"/>
    <w:rsid w:val="003761C6"/>
    <w:rsid w:val="00380768"/>
    <w:rsid w:val="00383075"/>
    <w:rsid w:val="00392CCC"/>
    <w:rsid w:val="003A1FCC"/>
    <w:rsid w:val="003A341E"/>
    <w:rsid w:val="003A6CB2"/>
    <w:rsid w:val="003B0C14"/>
    <w:rsid w:val="003B17F7"/>
    <w:rsid w:val="003B303F"/>
    <w:rsid w:val="003B4F93"/>
    <w:rsid w:val="003B523A"/>
    <w:rsid w:val="003C261E"/>
    <w:rsid w:val="003C4A4C"/>
    <w:rsid w:val="003D21E4"/>
    <w:rsid w:val="003D38E6"/>
    <w:rsid w:val="003E5F02"/>
    <w:rsid w:val="003F1AD5"/>
    <w:rsid w:val="003F6108"/>
    <w:rsid w:val="00402151"/>
    <w:rsid w:val="00402D61"/>
    <w:rsid w:val="00433D20"/>
    <w:rsid w:val="0045189F"/>
    <w:rsid w:val="004614D9"/>
    <w:rsid w:val="004B029B"/>
    <w:rsid w:val="004B284C"/>
    <w:rsid w:val="004B4E9B"/>
    <w:rsid w:val="004C0C03"/>
    <w:rsid w:val="004D32E6"/>
    <w:rsid w:val="004D57B6"/>
    <w:rsid w:val="004E4346"/>
    <w:rsid w:val="004F65C1"/>
    <w:rsid w:val="00500031"/>
    <w:rsid w:val="00501675"/>
    <w:rsid w:val="00502A21"/>
    <w:rsid w:val="00512066"/>
    <w:rsid w:val="005165EF"/>
    <w:rsid w:val="0054398B"/>
    <w:rsid w:val="0054418F"/>
    <w:rsid w:val="00561659"/>
    <w:rsid w:val="0057182A"/>
    <w:rsid w:val="00573F5D"/>
    <w:rsid w:val="00586E83"/>
    <w:rsid w:val="005905A8"/>
    <w:rsid w:val="0059225C"/>
    <w:rsid w:val="00592720"/>
    <w:rsid w:val="005929A7"/>
    <w:rsid w:val="005A2BC8"/>
    <w:rsid w:val="005B4B1B"/>
    <w:rsid w:val="005C52F6"/>
    <w:rsid w:val="005E3E32"/>
    <w:rsid w:val="005F1205"/>
    <w:rsid w:val="005F259D"/>
    <w:rsid w:val="005F37EF"/>
    <w:rsid w:val="005F4FE6"/>
    <w:rsid w:val="00603068"/>
    <w:rsid w:val="00603087"/>
    <w:rsid w:val="00604392"/>
    <w:rsid w:val="00611712"/>
    <w:rsid w:val="00622678"/>
    <w:rsid w:val="0063382E"/>
    <w:rsid w:val="00643872"/>
    <w:rsid w:val="00647E31"/>
    <w:rsid w:val="00654185"/>
    <w:rsid w:val="00656245"/>
    <w:rsid w:val="00656A84"/>
    <w:rsid w:val="00661B1B"/>
    <w:rsid w:val="00671026"/>
    <w:rsid w:val="00671E3C"/>
    <w:rsid w:val="00683CE7"/>
    <w:rsid w:val="00685C5C"/>
    <w:rsid w:val="00690034"/>
    <w:rsid w:val="006928E5"/>
    <w:rsid w:val="006944A2"/>
    <w:rsid w:val="006B09FD"/>
    <w:rsid w:val="006C04EE"/>
    <w:rsid w:val="006C06C7"/>
    <w:rsid w:val="006D147D"/>
    <w:rsid w:val="006E041F"/>
    <w:rsid w:val="006E0421"/>
    <w:rsid w:val="006E4B26"/>
    <w:rsid w:val="006E77A9"/>
    <w:rsid w:val="006F13D2"/>
    <w:rsid w:val="006F215C"/>
    <w:rsid w:val="006F553D"/>
    <w:rsid w:val="0070270E"/>
    <w:rsid w:val="00706951"/>
    <w:rsid w:val="007101DA"/>
    <w:rsid w:val="00724153"/>
    <w:rsid w:val="00724502"/>
    <w:rsid w:val="007329CC"/>
    <w:rsid w:val="00752C8A"/>
    <w:rsid w:val="007543EC"/>
    <w:rsid w:val="0075702C"/>
    <w:rsid w:val="007644EF"/>
    <w:rsid w:val="00764C14"/>
    <w:rsid w:val="00780625"/>
    <w:rsid w:val="00780A86"/>
    <w:rsid w:val="007833B7"/>
    <w:rsid w:val="007A2048"/>
    <w:rsid w:val="007A228A"/>
    <w:rsid w:val="007A3667"/>
    <w:rsid w:val="007A779D"/>
    <w:rsid w:val="007A7ACD"/>
    <w:rsid w:val="007B70CE"/>
    <w:rsid w:val="007C01B9"/>
    <w:rsid w:val="007C2842"/>
    <w:rsid w:val="007D21A7"/>
    <w:rsid w:val="007D22C2"/>
    <w:rsid w:val="007D5452"/>
    <w:rsid w:val="007E7DEA"/>
    <w:rsid w:val="007F6B8D"/>
    <w:rsid w:val="00801B4D"/>
    <w:rsid w:val="00813AED"/>
    <w:rsid w:val="00816A4C"/>
    <w:rsid w:val="008437B5"/>
    <w:rsid w:val="00861624"/>
    <w:rsid w:val="00864265"/>
    <w:rsid w:val="00872A56"/>
    <w:rsid w:val="008779F4"/>
    <w:rsid w:val="008845BC"/>
    <w:rsid w:val="00885111"/>
    <w:rsid w:val="008905BA"/>
    <w:rsid w:val="0089414C"/>
    <w:rsid w:val="0089731A"/>
    <w:rsid w:val="008A12F9"/>
    <w:rsid w:val="008A278F"/>
    <w:rsid w:val="008A6824"/>
    <w:rsid w:val="008A79A2"/>
    <w:rsid w:val="008B753F"/>
    <w:rsid w:val="008B7908"/>
    <w:rsid w:val="008D148D"/>
    <w:rsid w:val="008E0752"/>
    <w:rsid w:val="008E4F24"/>
    <w:rsid w:val="008E738D"/>
    <w:rsid w:val="008F0770"/>
    <w:rsid w:val="008F093A"/>
    <w:rsid w:val="008F1E30"/>
    <w:rsid w:val="009038E2"/>
    <w:rsid w:val="00911A2C"/>
    <w:rsid w:val="00912B0D"/>
    <w:rsid w:val="00917119"/>
    <w:rsid w:val="009240B0"/>
    <w:rsid w:val="00926B3D"/>
    <w:rsid w:val="00930525"/>
    <w:rsid w:val="009432C1"/>
    <w:rsid w:val="00955490"/>
    <w:rsid w:val="00956D1D"/>
    <w:rsid w:val="00970135"/>
    <w:rsid w:val="00971EE9"/>
    <w:rsid w:val="009743E5"/>
    <w:rsid w:val="009774C2"/>
    <w:rsid w:val="009A1EC6"/>
    <w:rsid w:val="009A402E"/>
    <w:rsid w:val="009A4F7D"/>
    <w:rsid w:val="009B0322"/>
    <w:rsid w:val="009B5610"/>
    <w:rsid w:val="009B7CC6"/>
    <w:rsid w:val="009C4131"/>
    <w:rsid w:val="009D02D1"/>
    <w:rsid w:val="009D1CCD"/>
    <w:rsid w:val="009D5EA9"/>
    <w:rsid w:val="009D64B1"/>
    <w:rsid w:val="009E40BA"/>
    <w:rsid w:val="009F3B64"/>
    <w:rsid w:val="00A064DF"/>
    <w:rsid w:val="00A2167C"/>
    <w:rsid w:val="00A22444"/>
    <w:rsid w:val="00A231CA"/>
    <w:rsid w:val="00A329A6"/>
    <w:rsid w:val="00A448D6"/>
    <w:rsid w:val="00A67902"/>
    <w:rsid w:val="00A70880"/>
    <w:rsid w:val="00A736DF"/>
    <w:rsid w:val="00A74B98"/>
    <w:rsid w:val="00A7663A"/>
    <w:rsid w:val="00A82C3B"/>
    <w:rsid w:val="00A96D19"/>
    <w:rsid w:val="00AA0BFD"/>
    <w:rsid w:val="00AA5E83"/>
    <w:rsid w:val="00AB2222"/>
    <w:rsid w:val="00AC162D"/>
    <w:rsid w:val="00AD1537"/>
    <w:rsid w:val="00AD5B36"/>
    <w:rsid w:val="00AE03A8"/>
    <w:rsid w:val="00AE7BB5"/>
    <w:rsid w:val="00AF141E"/>
    <w:rsid w:val="00B022D5"/>
    <w:rsid w:val="00B05106"/>
    <w:rsid w:val="00B13C4A"/>
    <w:rsid w:val="00B15997"/>
    <w:rsid w:val="00B271A9"/>
    <w:rsid w:val="00B314B5"/>
    <w:rsid w:val="00B332B6"/>
    <w:rsid w:val="00B34698"/>
    <w:rsid w:val="00B46CB0"/>
    <w:rsid w:val="00B51FAD"/>
    <w:rsid w:val="00B53E60"/>
    <w:rsid w:val="00B630AE"/>
    <w:rsid w:val="00B64021"/>
    <w:rsid w:val="00B64D2F"/>
    <w:rsid w:val="00B802C5"/>
    <w:rsid w:val="00B910DC"/>
    <w:rsid w:val="00B947AC"/>
    <w:rsid w:val="00B9717C"/>
    <w:rsid w:val="00B97497"/>
    <w:rsid w:val="00BA1139"/>
    <w:rsid w:val="00BA36C5"/>
    <w:rsid w:val="00BC74AB"/>
    <w:rsid w:val="00BD01C8"/>
    <w:rsid w:val="00BD464B"/>
    <w:rsid w:val="00BE19C1"/>
    <w:rsid w:val="00BE1B78"/>
    <w:rsid w:val="00BE4700"/>
    <w:rsid w:val="00BF2213"/>
    <w:rsid w:val="00C04C5B"/>
    <w:rsid w:val="00C152C7"/>
    <w:rsid w:val="00C21849"/>
    <w:rsid w:val="00C21F86"/>
    <w:rsid w:val="00C27B66"/>
    <w:rsid w:val="00C32FB8"/>
    <w:rsid w:val="00C40A58"/>
    <w:rsid w:val="00C42D78"/>
    <w:rsid w:val="00C47E25"/>
    <w:rsid w:val="00C5736B"/>
    <w:rsid w:val="00C678A7"/>
    <w:rsid w:val="00C810C7"/>
    <w:rsid w:val="00C83074"/>
    <w:rsid w:val="00C86114"/>
    <w:rsid w:val="00C93860"/>
    <w:rsid w:val="00C972D0"/>
    <w:rsid w:val="00CA597B"/>
    <w:rsid w:val="00CB0B20"/>
    <w:rsid w:val="00CB139C"/>
    <w:rsid w:val="00CD122E"/>
    <w:rsid w:val="00CD58FD"/>
    <w:rsid w:val="00CE3959"/>
    <w:rsid w:val="00CE45D9"/>
    <w:rsid w:val="00CE7323"/>
    <w:rsid w:val="00CF1C19"/>
    <w:rsid w:val="00CF34DE"/>
    <w:rsid w:val="00D0057F"/>
    <w:rsid w:val="00D02B8C"/>
    <w:rsid w:val="00D065E2"/>
    <w:rsid w:val="00D2551A"/>
    <w:rsid w:val="00D32D78"/>
    <w:rsid w:val="00D35990"/>
    <w:rsid w:val="00D37072"/>
    <w:rsid w:val="00D4232F"/>
    <w:rsid w:val="00D42E39"/>
    <w:rsid w:val="00D52F8C"/>
    <w:rsid w:val="00D62BA5"/>
    <w:rsid w:val="00D73520"/>
    <w:rsid w:val="00D815B7"/>
    <w:rsid w:val="00D86A91"/>
    <w:rsid w:val="00D956EC"/>
    <w:rsid w:val="00DB511D"/>
    <w:rsid w:val="00DC12F9"/>
    <w:rsid w:val="00DC437A"/>
    <w:rsid w:val="00DD28D4"/>
    <w:rsid w:val="00DD3B93"/>
    <w:rsid w:val="00DD6807"/>
    <w:rsid w:val="00DE3138"/>
    <w:rsid w:val="00DE4F21"/>
    <w:rsid w:val="00DF3EA4"/>
    <w:rsid w:val="00DF6D9A"/>
    <w:rsid w:val="00DF7962"/>
    <w:rsid w:val="00E0381D"/>
    <w:rsid w:val="00E04101"/>
    <w:rsid w:val="00E0474F"/>
    <w:rsid w:val="00E05ADE"/>
    <w:rsid w:val="00E113B9"/>
    <w:rsid w:val="00E13FFC"/>
    <w:rsid w:val="00E15443"/>
    <w:rsid w:val="00E207A8"/>
    <w:rsid w:val="00E30014"/>
    <w:rsid w:val="00E3274F"/>
    <w:rsid w:val="00E32EC2"/>
    <w:rsid w:val="00E42FA8"/>
    <w:rsid w:val="00E50081"/>
    <w:rsid w:val="00E53832"/>
    <w:rsid w:val="00E56789"/>
    <w:rsid w:val="00E57EB9"/>
    <w:rsid w:val="00E60FFE"/>
    <w:rsid w:val="00E612FF"/>
    <w:rsid w:val="00E61FDF"/>
    <w:rsid w:val="00E672B4"/>
    <w:rsid w:val="00E878A5"/>
    <w:rsid w:val="00E933D0"/>
    <w:rsid w:val="00E948C5"/>
    <w:rsid w:val="00EA1682"/>
    <w:rsid w:val="00EA3480"/>
    <w:rsid w:val="00EB2EBC"/>
    <w:rsid w:val="00ED2B6A"/>
    <w:rsid w:val="00ED5146"/>
    <w:rsid w:val="00EE4BB9"/>
    <w:rsid w:val="00EF2DCA"/>
    <w:rsid w:val="00EF659F"/>
    <w:rsid w:val="00F012B0"/>
    <w:rsid w:val="00F02F72"/>
    <w:rsid w:val="00F13927"/>
    <w:rsid w:val="00F16553"/>
    <w:rsid w:val="00F31356"/>
    <w:rsid w:val="00F45697"/>
    <w:rsid w:val="00F55B8B"/>
    <w:rsid w:val="00F8256B"/>
    <w:rsid w:val="00F83E04"/>
    <w:rsid w:val="00FA285A"/>
    <w:rsid w:val="00FA2F96"/>
    <w:rsid w:val="00FA3B78"/>
    <w:rsid w:val="00FA789C"/>
    <w:rsid w:val="00FB18DD"/>
    <w:rsid w:val="00FB6E70"/>
    <w:rsid w:val="00FC267D"/>
    <w:rsid w:val="00FC6D80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39"/>
    <w:rPr>
      <w:rFonts w:ascii="Times New Roman" w:eastAsia="Batang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2E39"/>
    <w:pPr>
      <w:keepNext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0B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42E39"/>
    <w:pPr>
      <w:keepNext/>
      <w:jc w:val="center"/>
      <w:outlineLvl w:val="3"/>
    </w:pPr>
    <w:rPr>
      <w:rFonts w:ascii="Bookman Old Style" w:hAnsi="Bookman Old Style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E39"/>
    <w:pPr>
      <w:spacing w:beforeAutospacing="1" w:afterAutospacing="1"/>
      <w:jc w:val="both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42E39"/>
    <w:rPr>
      <w:rFonts w:ascii="Times New Roman" w:eastAsia="Batang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42E39"/>
    <w:rPr>
      <w:rFonts w:ascii="Bookman Old Style" w:eastAsia="Batang" w:hAnsi="Bookman Old Style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0FF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12066"/>
    <w:pPr>
      <w:jc w:val="center"/>
    </w:pPr>
    <w:rPr>
      <w:rFonts w:eastAsia="MS Mincho"/>
      <w:b/>
      <w:bCs/>
      <w:u w:val="single"/>
      <w:lang w:val="sq-AL"/>
    </w:rPr>
  </w:style>
  <w:style w:type="character" w:customStyle="1" w:styleId="TitleChar">
    <w:name w:val="Title Char"/>
    <w:basedOn w:val="DefaultParagraphFont"/>
    <w:link w:val="Title"/>
    <w:rsid w:val="00512066"/>
    <w:rPr>
      <w:rFonts w:ascii="Times New Roman" w:eastAsia="MS Mincho" w:hAnsi="Times New Roman"/>
      <w:b/>
      <w:bCs/>
      <w:sz w:val="24"/>
      <w:szCs w:val="24"/>
      <w:u w:val="single"/>
      <w:lang w:val="sq-AL"/>
    </w:rPr>
  </w:style>
  <w:style w:type="paragraph" w:styleId="BodyText">
    <w:name w:val="Body Text"/>
    <w:basedOn w:val="Normal"/>
    <w:link w:val="BodyTextChar"/>
    <w:rsid w:val="00512066"/>
    <w:pPr>
      <w:jc w:val="both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rsid w:val="00512066"/>
    <w:rPr>
      <w:rFonts w:ascii="Times New Roman" w:eastAsia="MS Mincho" w:hAnsi="Times New Roman"/>
      <w:sz w:val="24"/>
      <w:szCs w:val="24"/>
      <w:lang w:val="en-GB"/>
    </w:rPr>
  </w:style>
  <w:style w:type="paragraph" w:customStyle="1" w:styleId="BULLETUDHEZIM">
    <w:name w:val="BULLET UDHEZIM"/>
    <w:basedOn w:val="Normal"/>
    <w:rsid w:val="00512066"/>
    <w:pPr>
      <w:numPr>
        <w:numId w:val="1"/>
      </w:numPr>
      <w:spacing w:before="120" w:after="120"/>
      <w:jc w:val="both"/>
    </w:pPr>
    <w:rPr>
      <w:rFonts w:ascii="Book Antiqua" w:eastAsia="MS Mincho" w:hAnsi="Book Antiqua"/>
      <w:sz w:val="22"/>
      <w:lang w:val="sq-AL"/>
    </w:rPr>
  </w:style>
  <w:style w:type="paragraph" w:customStyle="1" w:styleId="normaludhezimi">
    <w:name w:val="normal udhezimi"/>
    <w:basedOn w:val="Normal"/>
    <w:rsid w:val="00C27B66"/>
    <w:pPr>
      <w:spacing w:before="120" w:after="120"/>
      <w:jc w:val="both"/>
    </w:pPr>
    <w:rPr>
      <w:rFonts w:ascii="Book Antiqua" w:eastAsia="MS Mincho" w:hAnsi="Book Antiqua"/>
      <w:sz w:val="22"/>
      <w:lang w:val="pl-PL"/>
    </w:rPr>
  </w:style>
  <w:style w:type="paragraph" w:styleId="NormalWeb">
    <w:name w:val="Normal (Web)"/>
    <w:basedOn w:val="Normal"/>
    <w:uiPriority w:val="99"/>
    <w:rsid w:val="003F6108"/>
    <w:rPr>
      <w:rFonts w:eastAsia="Times New Roman"/>
    </w:rPr>
  </w:style>
  <w:style w:type="paragraph" w:customStyle="1" w:styleId="bulletmeshkronjaudhezimi">
    <w:name w:val="bullet me shkronja udhezimi"/>
    <w:basedOn w:val="Normal"/>
    <w:rsid w:val="00671026"/>
    <w:pPr>
      <w:numPr>
        <w:numId w:val="5"/>
      </w:numPr>
      <w:tabs>
        <w:tab w:val="left" w:pos="-1440"/>
      </w:tabs>
      <w:spacing w:before="120" w:after="120"/>
      <w:jc w:val="both"/>
    </w:pPr>
    <w:rPr>
      <w:rFonts w:ascii="Book Antiqua" w:eastAsia="MS Mincho" w:hAnsi="Book Antiqua" w:cs="Arial"/>
      <w:sz w:val="22"/>
      <w:szCs w:val="2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E878A5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rsid w:val="00E878A5"/>
    <w:rPr>
      <w:rFonts w:ascii="Calibri" w:eastAsia="Calibri" w:hAnsi="Calibri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uiPriority w:val="99"/>
    <w:semiHidden/>
    <w:rsid w:val="00E878A5"/>
    <w:rPr>
      <w:rFonts w:ascii="Times New Roman" w:eastAsia="Batang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878A5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8A5"/>
  </w:style>
  <w:style w:type="paragraph" w:styleId="BodyText3">
    <w:name w:val="Body Text 3"/>
    <w:basedOn w:val="Normal"/>
    <w:link w:val="BodyText3Char"/>
    <w:uiPriority w:val="99"/>
    <w:unhideWhenUsed/>
    <w:rsid w:val="00E878A5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878A5"/>
    <w:rPr>
      <w:rFonts w:ascii="Times New Roman" w:eastAsia="MS Mincho" w:hAnsi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878A5"/>
    <w:pPr>
      <w:ind w:left="720"/>
      <w:contextualSpacing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E878A5"/>
    <w:rPr>
      <w:b/>
      <w:bCs/>
    </w:rPr>
  </w:style>
  <w:style w:type="character" w:styleId="Emphasis">
    <w:name w:val="Emphasis"/>
    <w:uiPriority w:val="20"/>
    <w:qFormat/>
    <w:rsid w:val="00E878A5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3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D0"/>
    <w:rPr>
      <w:rFonts w:ascii="Times New Roman" w:eastAsia="Batang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3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D0"/>
    <w:rPr>
      <w:rFonts w:ascii="Times New Roman" w:eastAsia="Batang" w:hAnsi="Times New Roman"/>
      <w:sz w:val="24"/>
      <w:szCs w:val="24"/>
      <w:lang w:val="en-GB"/>
    </w:rPr>
  </w:style>
  <w:style w:type="paragraph" w:styleId="NoSpacing">
    <w:name w:val="No Spacing"/>
    <w:qFormat/>
    <w:rsid w:val="00E3274F"/>
    <w:rPr>
      <w:rFonts w:eastAsia="Times New Roman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39"/>
    <w:rPr>
      <w:rFonts w:ascii="Times New Roman" w:eastAsia="Batang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2E39"/>
    <w:pPr>
      <w:keepNext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0B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42E39"/>
    <w:pPr>
      <w:keepNext/>
      <w:jc w:val="center"/>
      <w:outlineLvl w:val="3"/>
    </w:pPr>
    <w:rPr>
      <w:rFonts w:ascii="Bookman Old Style" w:hAnsi="Bookman Old Style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E39"/>
    <w:pPr>
      <w:spacing w:beforeAutospacing="1" w:afterAutospacing="1"/>
      <w:jc w:val="both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42E39"/>
    <w:rPr>
      <w:rFonts w:ascii="Times New Roman" w:eastAsia="Batang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42E39"/>
    <w:rPr>
      <w:rFonts w:ascii="Bookman Old Style" w:eastAsia="Batang" w:hAnsi="Bookman Old Style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0FF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12066"/>
    <w:pPr>
      <w:jc w:val="center"/>
    </w:pPr>
    <w:rPr>
      <w:rFonts w:eastAsia="MS Mincho"/>
      <w:b/>
      <w:bCs/>
      <w:u w:val="single"/>
      <w:lang w:val="sq-AL"/>
    </w:rPr>
  </w:style>
  <w:style w:type="character" w:customStyle="1" w:styleId="TitleChar">
    <w:name w:val="Title Char"/>
    <w:basedOn w:val="DefaultParagraphFont"/>
    <w:link w:val="Title"/>
    <w:rsid w:val="00512066"/>
    <w:rPr>
      <w:rFonts w:ascii="Times New Roman" w:eastAsia="MS Mincho" w:hAnsi="Times New Roman"/>
      <w:b/>
      <w:bCs/>
      <w:sz w:val="24"/>
      <w:szCs w:val="24"/>
      <w:u w:val="single"/>
      <w:lang w:val="sq-AL"/>
    </w:rPr>
  </w:style>
  <w:style w:type="paragraph" w:styleId="BodyText">
    <w:name w:val="Body Text"/>
    <w:basedOn w:val="Normal"/>
    <w:link w:val="BodyTextChar"/>
    <w:rsid w:val="00512066"/>
    <w:pPr>
      <w:jc w:val="both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rsid w:val="00512066"/>
    <w:rPr>
      <w:rFonts w:ascii="Times New Roman" w:eastAsia="MS Mincho" w:hAnsi="Times New Roman"/>
      <w:sz w:val="24"/>
      <w:szCs w:val="24"/>
      <w:lang w:val="en-GB"/>
    </w:rPr>
  </w:style>
  <w:style w:type="paragraph" w:customStyle="1" w:styleId="BULLETUDHEZIM">
    <w:name w:val="BULLET UDHEZIM"/>
    <w:basedOn w:val="Normal"/>
    <w:rsid w:val="00512066"/>
    <w:pPr>
      <w:numPr>
        <w:numId w:val="1"/>
      </w:numPr>
      <w:spacing w:before="120" w:after="120"/>
      <w:jc w:val="both"/>
    </w:pPr>
    <w:rPr>
      <w:rFonts w:ascii="Book Antiqua" w:eastAsia="MS Mincho" w:hAnsi="Book Antiqua"/>
      <w:sz w:val="22"/>
      <w:lang w:val="sq-AL"/>
    </w:rPr>
  </w:style>
  <w:style w:type="paragraph" w:customStyle="1" w:styleId="normaludhezimi">
    <w:name w:val="normal udhezimi"/>
    <w:basedOn w:val="Normal"/>
    <w:rsid w:val="00C27B66"/>
    <w:pPr>
      <w:spacing w:before="120" w:after="120"/>
      <w:jc w:val="both"/>
    </w:pPr>
    <w:rPr>
      <w:rFonts w:ascii="Book Antiqua" w:eastAsia="MS Mincho" w:hAnsi="Book Antiqua"/>
      <w:sz w:val="22"/>
      <w:lang w:val="pl-PL"/>
    </w:rPr>
  </w:style>
  <w:style w:type="paragraph" w:styleId="NormalWeb">
    <w:name w:val="Normal (Web)"/>
    <w:basedOn w:val="Normal"/>
    <w:uiPriority w:val="99"/>
    <w:rsid w:val="003F6108"/>
    <w:rPr>
      <w:rFonts w:eastAsia="Times New Roman"/>
    </w:rPr>
  </w:style>
  <w:style w:type="paragraph" w:customStyle="1" w:styleId="bulletmeshkronjaudhezimi">
    <w:name w:val="bullet me shkronja udhezimi"/>
    <w:basedOn w:val="Normal"/>
    <w:rsid w:val="00671026"/>
    <w:pPr>
      <w:numPr>
        <w:numId w:val="5"/>
      </w:numPr>
      <w:tabs>
        <w:tab w:val="left" w:pos="-1440"/>
      </w:tabs>
      <w:spacing w:before="120" w:after="120"/>
      <w:jc w:val="both"/>
    </w:pPr>
    <w:rPr>
      <w:rFonts w:ascii="Book Antiqua" w:eastAsia="MS Mincho" w:hAnsi="Book Antiqua" w:cs="Arial"/>
      <w:sz w:val="22"/>
      <w:szCs w:val="2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E878A5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rsid w:val="00E878A5"/>
    <w:rPr>
      <w:rFonts w:ascii="Calibri" w:eastAsia="Calibri" w:hAnsi="Calibri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uiPriority w:val="99"/>
    <w:semiHidden/>
    <w:rsid w:val="00E878A5"/>
    <w:rPr>
      <w:rFonts w:ascii="Times New Roman" w:eastAsia="Batang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878A5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8A5"/>
  </w:style>
  <w:style w:type="paragraph" w:styleId="BodyText3">
    <w:name w:val="Body Text 3"/>
    <w:basedOn w:val="Normal"/>
    <w:link w:val="BodyText3Char"/>
    <w:uiPriority w:val="99"/>
    <w:unhideWhenUsed/>
    <w:rsid w:val="00E878A5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878A5"/>
    <w:rPr>
      <w:rFonts w:ascii="Times New Roman" w:eastAsia="MS Mincho" w:hAnsi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878A5"/>
    <w:pPr>
      <w:ind w:left="720"/>
      <w:contextualSpacing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E878A5"/>
    <w:rPr>
      <w:b/>
      <w:bCs/>
    </w:rPr>
  </w:style>
  <w:style w:type="character" w:styleId="Emphasis">
    <w:name w:val="Emphasis"/>
    <w:uiPriority w:val="20"/>
    <w:qFormat/>
    <w:rsid w:val="00E878A5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3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D0"/>
    <w:rPr>
      <w:rFonts w:ascii="Times New Roman" w:eastAsia="Batang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3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D0"/>
    <w:rPr>
      <w:rFonts w:ascii="Times New Roman" w:eastAsia="Batang" w:hAnsi="Times New Roman"/>
      <w:sz w:val="24"/>
      <w:szCs w:val="24"/>
      <w:lang w:val="en-GB"/>
    </w:rPr>
  </w:style>
  <w:style w:type="paragraph" w:styleId="NoSpacing">
    <w:name w:val="No Spacing"/>
    <w:qFormat/>
    <w:rsid w:val="00E3274F"/>
    <w:rPr>
      <w:rFonts w:eastAsia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5925</Words>
  <Characters>33774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</dc:creator>
  <cp:lastModifiedBy>Administrator</cp:lastModifiedBy>
  <cp:revision>2</cp:revision>
  <cp:lastPrinted>2013-07-22T09:45:00Z</cp:lastPrinted>
  <dcterms:created xsi:type="dcterms:W3CDTF">2014-04-10T07:42:00Z</dcterms:created>
  <dcterms:modified xsi:type="dcterms:W3CDTF">2014-04-10T07:42:00Z</dcterms:modified>
</cp:coreProperties>
</file>