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79" w:rsidRPr="00352934" w:rsidRDefault="00573A79" w:rsidP="00352934">
      <w:pPr>
        <w:pStyle w:val="BodyText"/>
        <w:spacing w:after="180"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</w:pPr>
      <w:r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I nderuar zoti Zëvendëskryeministër,</w:t>
      </w:r>
    </w:p>
    <w:p w:rsidR="00573A79" w:rsidRPr="00352934" w:rsidRDefault="00573A79" w:rsidP="00352934">
      <w:pPr>
        <w:pStyle w:val="BodyText"/>
        <w:spacing w:after="180"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</w:pPr>
      <w:r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I nderuar zoti Ambasador i Republikës së Italisë,</w:t>
      </w:r>
    </w:p>
    <w:p w:rsidR="001C0CBD" w:rsidRPr="00352934" w:rsidRDefault="00573A79" w:rsidP="00352934">
      <w:pPr>
        <w:pStyle w:val="BodyText"/>
        <w:spacing w:after="180"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</w:pPr>
      <w:r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Të nderuar</w:t>
      </w:r>
      <w:r w:rsidR="001C0CBD"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 xml:space="preserve"> kolegë</w:t>
      </w:r>
      <w:r w:rsidR="00283793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,</w:t>
      </w:r>
    </w:p>
    <w:p w:rsidR="00573A79" w:rsidRPr="00352934" w:rsidRDefault="001C0CBD" w:rsidP="00352934">
      <w:pPr>
        <w:pStyle w:val="BodyText"/>
        <w:spacing w:after="180"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</w:pPr>
      <w:r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Të nderuara</w:t>
      </w:r>
      <w:r w:rsidR="00573A79"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 xml:space="preserve"> </w:t>
      </w:r>
      <w:r w:rsidR="00266626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z</w:t>
      </w:r>
      <w:r w:rsidR="00573A79"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 xml:space="preserve">onja dhe </w:t>
      </w:r>
      <w:r w:rsidR="00266626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z</w:t>
      </w:r>
      <w:r w:rsidR="00573A79" w:rsidRPr="00352934">
        <w:rPr>
          <w:rFonts w:ascii="Times New Roman" w:hAnsi="Times New Roman" w:cs="Times New Roman"/>
          <w:b/>
          <w:bCs/>
          <w:iCs/>
          <w:sz w:val="28"/>
          <w:szCs w:val="28"/>
          <w:lang w:val="sq-AL"/>
        </w:rPr>
        <w:t>otërinj,</w:t>
      </w:r>
    </w:p>
    <w:p w:rsidR="00573A79" w:rsidRPr="00352934" w:rsidRDefault="00573A79" w:rsidP="00352934">
      <w:pPr>
        <w:pStyle w:val="BodyText"/>
        <w:spacing w:after="180"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:rsidR="0042103D" w:rsidRPr="00352934" w:rsidRDefault="00352934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Marrëdhëniet</w:t>
      </w:r>
      <w:r w:rsidR="001C0CBD" w:rsidRPr="00352934">
        <w:rPr>
          <w:rFonts w:ascii="Times New Roman" w:hAnsi="Times New Roman"/>
          <w:sz w:val="28"/>
          <w:szCs w:val="28"/>
          <w:lang w:val="sq-AL"/>
        </w:rPr>
        <w:t xml:space="preserve"> italo shqiptare janë karakterizu</w:t>
      </w:r>
      <w:bookmarkStart w:id="0" w:name="_GoBack"/>
      <w:bookmarkEnd w:id="0"/>
      <w:r w:rsidR="001C0CBD" w:rsidRPr="00352934">
        <w:rPr>
          <w:rFonts w:ascii="Times New Roman" w:hAnsi="Times New Roman"/>
          <w:sz w:val="28"/>
          <w:szCs w:val="28"/>
          <w:lang w:val="sq-AL"/>
        </w:rPr>
        <w:t>ar prej vitesh nga një klimë tejet pozitive dhe frytdhënëse. Dy vendet tona, të lidhura nga dinamika historike, ekonomike dhe kulturore, janë një shembull pozitiv i një bashkëpunimi për zhvillim efikas. Në këtë kuadër,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C0CBD" w:rsidRPr="00352934">
        <w:rPr>
          <w:rFonts w:ascii="Times New Roman" w:hAnsi="Times New Roman"/>
          <w:sz w:val="28"/>
          <w:szCs w:val="28"/>
          <w:lang w:val="sq-AL"/>
        </w:rPr>
        <w:t>Programi i Konvertimit të Borxhit për Zhvillim (IADSA)</w:t>
      </w:r>
      <w:r w:rsidRPr="00352934">
        <w:rPr>
          <w:rFonts w:ascii="Times New Roman" w:hAnsi="Times New Roman"/>
          <w:sz w:val="28"/>
          <w:szCs w:val="28"/>
          <w:lang w:val="sq-AL"/>
        </w:rPr>
        <w:t>,</w:t>
      </w:r>
      <w:r w:rsidR="001C0CBD" w:rsidRPr="00352934">
        <w:rPr>
          <w:rFonts w:ascii="Times New Roman" w:hAnsi="Times New Roman"/>
          <w:sz w:val="28"/>
          <w:szCs w:val="28"/>
          <w:lang w:val="sq-AL"/>
        </w:rPr>
        <w:t xml:space="preserve"> një instrument inovativ për vendin tonë</w:t>
      </w:r>
      <w:r w:rsidRPr="00352934">
        <w:rPr>
          <w:rFonts w:ascii="Times New Roman" w:hAnsi="Times New Roman"/>
          <w:sz w:val="28"/>
          <w:szCs w:val="28"/>
          <w:lang w:val="sq-AL"/>
        </w:rPr>
        <w:t>,</w:t>
      </w:r>
      <w:r w:rsidR="001C0CBD" w:rsidRPr="00352934">
        <w:rPr>
          <w:rFonts w:ascii="Times New Roman" w:hAnsi="Times New Roman"/>
          <w:sz w:val="28"/>
          <w:szCs w:val="28"/>
          <w:lang w:val="sq-AL"/>
        </w:rPr>
        <w:t xml:space="preserve">  deri tani ka rezultuar të jetë një nga programet më të sukse</w:t>
      </w:r>
      <w:r w:rsidRPr="00352934">
        <w:rPr>
          <w:rFonts w:ascii="Times New Roman" w:hAnsi="Times New Roman"/>
          <w:sz w:val="28"/>
          <w:szCs w:val="28"/>
          <w:lang w:val="sq-AL"/>
        </w:rPr>
        <w:t>s</w:t>
      </w:r>
      <w:r w:rsidR="001C0CBD" w:rsidRPr="00352934">
        <w:rPr>
          <w:rFonts w:ascii="Times New Roman" w:hAnsi="Times New Roman"/>
          <w:sz w:val="28"/>
          <w:szCs w:val="28"/>
          <w:lang w:val="sq-AL"/>
        </w:rPr>
        <w:t xml:space="preserve">shme italo shqiptare të viteve të fundit. </w:t>
      </w:r>
    </w:p>
    <w:p w:rsidR="001C0CBD" w:rsidRPr="00352934" w:rsidRDefault="0042103D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 xml:space="preserve">Disponibiliteti i Qeverisë Italiane, në rastin specifik, meriton mirënjohjen tonë më të thellë, dhe përfitoj këtu nga rasti të falenderoj </w:t>
      </w:r>
      <w:r w:rsidR="00283793">
        <w:rPr>
          <w:rFonts w:ascii="Times New Roman" w:hAnsi="Times New Roman"/>
          <w:sz w:val="28"/>
          <w:szCs w:val="28"/>
          <w:lang w:val="sq-AL"/>
        </w:rPr>
        <w:t>a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mbasadorin Gaiani për angazhimin dhe vullnetin e tij për të avancuar sa më shumë me këtë program. </w:t>
      </w:r>
    </w:p>
    <w:p w:rsidR="001C0CBD" w:rsidRPr="00352934" w:rsidRDefault="001C0CBD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Pas një pune cilësore parapërgatitore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 të Njësisë Teknik</w:t>
      </w:r>
      <w:r w:rsidR="00641E56">
        <w:rPr>
          <w:rFonts w:ascii="Times New Roman" w:hAnsi="Times New Roman"/>
          <w:sz w:val="28"/>
          <w:szCs w:val="28"/>
          <w:lang w:val="sq-AL"/>
        </w:rPr>
        <w:t>e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 Mbështetëse, kemi arritur sot në shpalljen e thirrjes së tretë për propozime. Kjo thirrje, si do u shpjegojnë më pas edhe vetë Drejtorët e TSU-së, 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ka nj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 xml:space="preserve"> risi. Aplikimet do t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 xml:space="preserve"> jen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 xml:space="preserve"> hapura ve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tëm për </w:t>
      </w:r>
      <w:r w:rsidR="00C12CA6">
        <w:rPr>
          <w:rFonts w:ascii="Times New Roman" w:hAnsi="Times New Roman"/>
          <w:sz w:val="28"/>
          <w:szCs w:val="28"/>
          <w:lang w:val="sq-AL"/>
        </w:rPr>
        <w:t>m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inistritë e </w:t>
      </w:r>
      <w:r w:rsidR="00C12CA6">
        <w:rPr>
          <w:rFonts w:ascii="Times New Roman" w:hAnsi="Times New Roman"/>
          <w:sz w:val="28"/>
          <w:szCs w:val="28"/>
          <w:lang w:val="sq-AL"/>
        </w:rPr>
        <w:t>l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>injës. Kjo zgjedhje</w:t>
      </w:r>
      <w:r w:rsidR="008F0E5D" w:rsidRPr="00352934">
        <w:rPr>
          <w:rFonts w:ascii="Times New Roman" w:hAnsi="Times New Roman"/>
          <w:sz w:val="28"/>
          <w:szCs w:val="28"/>
          <w:lang w:val="sq-AL"/>
        </w:rPr>
        <w:t>,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 që kemi bërë 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bashkërisht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 me Ambasadorin, si kolegë të Komitetit të Menaxhimit, 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kusht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zohet nga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 reform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a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 xml:space="preserve"> territoriale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. Kjo refrom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2103D" w:rsidRPr="00352934">
        <w:rPr>
          <w:rFonts w:ascii="Times New Roman" w:hAnsi="Times New Roman"/>
          <w:sz w:val="28"/>
          <w:szCs w:val="28"/>
          <w:lang w:val="sq-AL"/>
        </w:rPr>
        <w:t>ka vendos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>ur tashmë njësitë e re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ja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 vendore, të cilat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,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 pas zgjedhjeve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,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 do të kenë mundësinë të aplikojnë me statusin e tyre të ri. </w:t>
      </w:r>
    </w:p>
    <w:p w:rsidR="00573A79" w:rsidRPr="00352934" w:rsidRDefault="00573A79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 xml:space="preserve">Programi IADSA synon të kontribuojë në zhvillimin e qëndrueshëm social dhe ekonomik të vendit, në përputhje me 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s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trategjinë 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k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ombëtare për zhvillim dhe integrim, me 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s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trategjitë e përditësuara sektoriale dhe ndërsektoriale si dhe me Marrëveshjen e Asocim Stabilizimit. </w:t>
      </w:r>
    </w:p>
    <w:p w:rsidR="00573A79" w:rsidRPr="00352934" w:rsidRDefault="00573A79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 xml:space="preserve">Me anë të këtij Programi realizohet financimi dhe zbatimi i projekteve të fokusuara në arsim, shëndet publik, përfshirje sociale dhe ekonomike të kategorive në nevojë, krijim i vendeve të reja të punës dhe zhvillim i qëndrueshëm i komunitetit rural në zonat e margjinalizuara. </w:t>
      </w:r>
    </w:p>
    <w:p w:rsidR="00573A79" w:rsidRPr="00352934" w:rsidRDefault="00573A79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lastRenderedPageBreak/>
        <w:t xml:space="preserve">Projektet që janë përzgjedhur fituese në </w:t>
      </w:r>
      <w:r w:rsidR="00E61779" w:rsidRPr="00352934">
        <w:rPr>
          <w:rFonts w:ascii="Times New Roman" w:hAnsi="Times New Roman"/>
          <w:sz w:val="28"/>
          <w:szCs w:val="28"/>
          <w:lang w:val="sq-AL"/>
        </w:rPr>
        <w:t>dy fazat e para të programit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kanë  mbuluar 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61779" w:rsidRPr="00352934">
        <w:rPr>
          <w:rFonts w:ascii="Times New Roman" w:hAnsi="Times New Roman"/>
          <w:sz w:val="28"/>
          <w:szCs w:val="28"/>
          <w:lang w:val="sq-AL"/>
        </w:rPr>
        <w:t>pjesën dërrmuese të prioriteteve dhe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shpërndarja e tyre gjeografike 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>ka qenë</w:t>
      </w:r>
      <w:r w:rsidR="00C12CA6">
        <w:rPr>
          <w:rFonts w:ascii="Times New Roman" w:hAnsi="Times New Roman"/>
          <w:sz w:val="28"/>
          <w:szCs w:val="28"/>
          <w:lang w:val="sq-AL"/>
        </w:rPr>
        <w:t>,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  </w:t>
      </w:r>
      <w:r w:rsidRPr="00352934">
        <w:rPr>
          <w:rFonts w:ascii="Times New Roman" w:hAnsi="Times New Roman"/>
          <w:sz w:val="28"/>
          <w:szCs w:val="28"/>
          <w:lang w:val="sq-AL"/>
        </w:rPr>
        <w:t>pothuajse</w:t>
      </w:r>
      <w:r w:rsidR="00C12CA6">
        <w:rPr>
          <w:rFonts w:ascii="Times New Roman" w:hAnsi="Times New Roman"/>
          <w:sz w:val="28"/>
          <w:szCs w:val="28"/>
          <w:lang w:val="sq-AL"/>
        </w:rPr>
        <w:t>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12CA6" w:rsidRPr="00352934">
        <w:rPr>
          <w:rFonts w:ascii="Times New Roman" w:hAnsi="Times New Roman"/>
          <w:sz w:val="28"/>
          <w:szCs w:val="28"/>
          <w:lang w:val="sq-AL"/>
        </w:rPr>
        <w:t xml:space="preserve">në 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të gjithë territorin e Shqipërisë. Ato, njëkohësisht, janë projekte të dukshme investimi me rezultate të matshme dhe konkrete, të cilat kanë filluar të kenë një ndikim mjaft pozitiv tek përfituesit në terren. </w:t>
      </w:r>
    </w:p>
    <w:p w:rsidR="00573A79" w:rsidRPr="00352934" w:rsidRDefault="00573A79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 xml:space="preserve">Thirrja e </w:t>
      </w:r>
      <w:r w:rsidR="00E61779" w:rsidRPr="00352934">
        <w:rPr>
          <w:rFonts w:ascii="Times New Roman" w:hAnsi="Times New Roman"/>
          <w:sz w:val="28"/>
          <w:szCs w:val="28"/>
          <w:lang w:val="sq-AL"/>
        </w:rPr>
        <w:t>tretë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për propozime që shpallet sot</w:t>
      </w:r>
      <w:r w:rsidR="00352934">
        <w:rPr>
          <w:rFonts w:ascii="Times New Roman" w:hAnsi="Times New Roman"/>
          <w:sz w:val="28"/>
          <w:szCs w:val="28"/>
          <w:lang w:val="sq-AL"/>
        </w:rPr>
        <w:t>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ka si objektiva specifike: </w:t>
      </w: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Të kontribuojë për zhvillimin e arsimit cilësor dhe përfshirës për të siguruar që asnjë fëmijë të mos mbetet pas dhe të reduktojë mospërputhjet gjinore</w:t>
      </w:r>
      <w:r w:rsidRPr="00352934">
        <w:rPr>
          <w:rFonts w:ascii="Times New Roman" w:hAnsi="Times New Roman"/>
          <w:b/>
          <w:bCs/>
          <w:sz w:val="28"/>
          <w:szCs w:val="28"/>
          <w:lang w:val="sq-AL"/>
        </w:rPr>
        <w:t>;</w:t>
      </w:r>
    </w:p>
    <w:p w:rsidR="00E61779" w:rsidRPr="00352934" w:rsidRDefault="00E61779" w:rsidP="00352934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Të promovojë Arsimimin dhe Formimin Profesional (VET) në përputhje me kërkesat e tregut të punës, në mënyrë që të kontribuojë për zhvillimin e një shoqërie të përparuar të bazuar mbi njohuritë, duke përfshirë iniciativat e të mësuarit gjatë gjithë jetës;</w:t>
      </w:r>
    </w:p>
    <w:p w:rsidR="00E61779" w:rsidRPr="00352934" w:rsidRDefault="00E61779" w:rsidP="00352934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Të mbështesë sistemin publik të kujdesit shëndetësor parësor për të ofruar shërbime bazë efikase e me cilësi të mirë, të përmirësojë shëndetin e popullatës duke trajtuar pabarazitë në ofrimin e përkujdesit shëndetësor në zonat me disavantazhe;</w:t>
      </w:r>
    </w:p>
    <w:p w:rsidR="00E61779" w:rsidRPr="00352934" w:rsidRDefault="00E61779" w:rsidP="0035293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Të mbështesë programet e përkujdesit shëndetësor të urgjencës dhe ndihmës së shpejtë për të përmirësuar cilësinë e shërbimit shëndetësor në zonat e disavantazhuara;</w:t>
      </w:r>
    </w:p>
    <w:p w:rsidR="00E61779" w:rsidRPr="00352934" w:rsidRDefault="00E61779" w:rsidP="00352934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Të mbështesë dhënien dhe ofrimin e shërbimeve të kujdesit shoqëror për personat në nevojë (për shembull, personat me aftësi të kufizuar, të moshuarit në vështirësi, jetimët) në familjet dhe komunitetet e tyre dhe për të integruar shërbimet rezidenciale në shërbime të lëvizshme dhe të bazuara në komunitet në mënyrë graduale;</w:t>
      </w:r>
    </w:p>
    <w:p w:rsidR="00E61779" w:rsidRPr="00352934" w:rsidRDefault="00E61779" w:rsidP="00352934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Të mbështesë përfshirjen sociale të atyre që rrezikojnë varfërinë dhe përjashtimin (p.sh.</w:t>
      </w:r>
      <w:r w:rsidR="00873D41">
        <w:rPr>
          <w:rFonts w:ascii="Times New Roman" w:hAnsi="Times New Roman"/>
          <w:sz w:val="28"/>
          <w:szCs w:val="28"/>
          <w:lang w:val="sq-AL"/>
        </w:rPr>
        <w:t>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personat me aftësi të kufizuara, minoritetet, të papunët afatgjatë, veçanërisht ata me aftësi të pakta ose pa aftësi, gratë e disavantazhuara, emigrantët e rikthyer në atdhe, etj.) duke rritur gjithashtu </w:t>
      </w:r>
      <w:r w:rsidR="00352934">
        <w:rPr>
          <w:rFonts w:ascii="Times New Roman" w:hAnsi="Times New Roman"/>
          <w:sz w:val="28"/>
          <w:szCs w:val="28"/>
          <w:lang w:val="sq-AL"/>
        </w:rPr>
        <w:lastRenderedPageBreak/>
        <w:t>qasjen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në veprimtari kulturore që mëkojnë përfshirjen sociale përmes kulturës;</w:t>
      </w:r>
    </w:p>
    <w:p w:rsidR="00E61779" w:rsidRPr="00352934" w:rsidRDefault="00E61779" w:rsidP="0035293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 xml:space="preserve">Të mbështesë politikat rinore duke promovuar përfshirjen sociale të të rinjve dhe pjesëmarrjen e tyre aktive në zhvillimin shoqëror të vendit përmes përforcimit të </w:t>
      </w:r>
      <w:r w:rsidR="00283793">
        <w:rPr>
          <w:rFonts w:ascii="Times New Roman" w:hAnsi="Times New Roman"/>
          <w:sz w:val="28"/>
          <w:szCs w:val="28"/>
          <w:lang w:val="sq-AL"/>
        </w:rPr>
        <w:t>pranimit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të tyre në shërbime</w:t>
      </w:r>
      <w:r w:rsidR="00283793">
        <w:rPr>
          <w:rFonts w:ascii="Times New Roman" w:hAnsi="Times New Roman"/>
          <w:sz w:val="28"/>
          <w:szCs w:val="28"/>
          <w:lang w:val="sq-AL"/>
        </w:rPr>
        <w:t>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si arsim formal dhe të nxënit jo formal dhe informal, kulturës dhe ICT pavarësisht gjinisë, racës, diversitetit kulturor dhe fetar, aftësisë së kufizuar, moshës, apo përkatësisë seksuale;</w:t>
      </w:r>
    </w:p>
    <w:p w:rsidR="00E61779" w:rsidRPr="00352934" w:rsidRDefault="00E61779" w:rsidP="00352934">
      <w:pPr>
        <w:pStyle w:val="ListParagraph"/>
        <w:spacing w:after="0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 xml:space="preserve">Të mbështesë programet e qëndrueshme të punësimit për të rinjtë dhe grupet vulnerabël (p.sh. gratë në nevojë, personat me aftësi të kufizuara, </w:t>
      </w:r>
      <w:r w:rsidR="00352934">
        <w:rPr>
          <w:rFonts w:ascii="Times New Roman" w:hAnsi="Times New Roman"/>
          <w:sz w:val="28"/>
          <w:szCs w:val="28"/>
          <w:lang w:val="sq-AL"/>
        </w:rPr>
        <w:t>r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omët dhe </w:t>
      </w:r>
      <w:r w:rsidR="00352934">
        <w:rPr>
          <w:rFonts w:ascii="Times New Roman" w:hAnsi="Times New Roman"/>
          <w:sz w:val="28"/>
          <w:szCs w:val="28"/>
          <w:lang w:val="sq-AL"/>
        </w:rPr>
        <w:t>e</w:t>
      </w:r>
      <w:r w:rsidRPr="00352934">
        <w:rPr>
          <w:rFonts w:ascii="Times New Roman" w:hAnsi="Times New Roman"/>
          <w:sz w:val="28"/>
          <w:szCs w:val="28"/>
          <w:lang w:val="sq-AL"/>
        </w:rPr>
        <w:t>gjiptianët, emigrantët e kthyer në atdhe) duke marrë gjithashtu në konsideratë investime në fushën e kulturës për të ulur papunësinë e të rinjve dhe për të ofruar kualifikime më të mira;</w:t>
      </w:r>
    </w:p>
    <w:p w:rsidR="00E61779" w:rsidRPr="00352934" w:rsidRDefault="00E61779" w:rsidP="00352934">
      <w:pPr>
        <w:pStyle w:val="ListParagraph"/>
        <w:spacing w:after="0"/>
        <w:rPr>
          <w:rFonts w:ascii="Times New Roman" w:hAnsi="Times New Roman"/>
          <w:sz w:val="28"/>
          <w:szCs w:val="28"/>
          <w:lang w:val="sq-AL"/>
        </w:rPr>
      </w:pPr>
    </w:p>
    <w:p w:rsidR="00E61779" w:rsidRPr="00352934" w:rsidRDefault="00E61779" w:rsidP="0035293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Të mbështesë zhvillimin e qëndrueshëm të territorit dhe kohezionit social për mbrojtjen e mjedisit, ruajtjen e trashëgimisë natyrore dhe kulturore, promovimin e turizmit të përgjegjshëm nga pikëpamja mjedisore dhe shoqërore dhe inkurajimin e territoreve pak të zhvilluara</w:t>
      </w:r>
      <w:r w:rsidR="00352934">
        <w:rPr>
          <w:rFonts w:ascii="Times New Roman" w:hAnsi="Times New Roman"/>
          <w:sz w:val="28"/>
          <w:szCs w:val="28"/>
          <w:lang w:val="sq-AL"/>
        </w:rPr>
        <w:t>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të hulumtojnë mënyra të reja për t’u bërë ose për të qëndruar konkurrues për të kapërcyer kështu mangësinë e mundësive të punësimit. </w:t>
      </w:r>
    </w:p>
    <w:p w:rsidR="00E61779" w:rsidRPr="00352934" w:rsidRDefault="00E61779" w:rsidP="00352934">
      <w:pPr>
        <w:spacing w:before="144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573A79" w:rsidRPr="00352934" w:rsidRDefault="00573A79" w:rsidP="0035293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Për të gjitha këto avantazhe që ofron Programi dhe për nevojat aq të ngutshme që ka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 vendi ynë në </w:t>
      </w:r>
      <w:r w:rsidR="00352934" w:rsidRPr="00352934">
        <w:rPr>
          <w:rFonts w:ascii="Times New Roman" w:hAnsi="Times New Roman"/>
          <w:sz w:val="28"/>
          <w:szCs w:val="28"/>
          <w:lang w:val="sq-AL"/>
        </w:rPr>
        <w:t>sektorët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 prioritare të sipërpërmendur</w:t>
      </w:r>
      <w:r w:rsidR="00352934">
        <w:rPr>
          <w:rFonts w:ascii="Times New Roman" w:hAnsi="Times New Roman"/>
          <w:sz w:val="28"/>
          <w:szCs w:val="28"/>
          <w:lang w:val="sq-AL"/>
        </w:rPr>
        <w:t>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nga kjo foltore</w:t>
      </w:r>
      <w:r w:rsidR="00352934">
        <w:rPr>
          <w:rFonts w:ascii="Times New Roman" w:hAnsi="Times New Roman"/>
          <w:sz w:val="28"/>
          <w:szCs w:val="28"/>
          <w:lang w:val="sq-AL"/>
        </w:rPr>
        <w:t>,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 kërkoj nga drejtuesit </w:t>
      </w:r>
      <w:r w:rsidR="00352934">
        <w:rPr>
          <w:rFonts w:ascii="Times New Roman" w:hAnsi="Times New Roman"/>
          <w:sz w:val="28"/>
          <w:szCs w:val="28"/>
          <w:lang w:val="sq-AL"/>
        </w:rPr>
        <w:t xml:space="preserve">e 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ministrive që mbulojnë fushat objekt të këtij Programi, të përgatisin projekte konkrete në bashkëpunim me OJQ, në rast se nuk kanë ekspertizë të nevojshme, dhe të aplikojnë për të përfituar. 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>Përdorimi efikas i fondeve dhe i buxheteve do të jenë parësore në vlerësimin që do të bëhet, dhe për këtë ftoj të gjithë aplikantët që të p</w:t>
      </w:r>
      <w:r w:rsidR="008F0E5D" w:rsidRPr="00352934">
        <w:rPr>
          <w:rFonts w:ascii="Times New Roman" w:hAnsi="Times New Roman"/>
          <w:sz w:val="28"/>
          <w:szCs w:val="28"/>
          <w:lang w:val="sq-AL"/>
        </w:rPr>
        <w:t>araqesin projekte racionale,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 xml:space="preserve"> me buxhet të pranueshëm, duke evituar tendencën e të kërkuarit </w:t>
      </w:r>
      <w:r w:rsidR="00352934">
        <w:rPr>
          <w:rFonts w:ascii="Times New Roman" w:hAnsi="Times New Roman"/>
          <w:sz w:val="28"/>
          <w:szCs w:val="28"/>
          <w:lang w:val="sq-AL"/>
        </w:rPr>
        <w:t>t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>
        <w:rPr>
          <w:rFonts w:ascii="Times New Roman" w:hAnsi="Times New Roman"/>
          <w:sz w:val="28"/>
          <w:szCs w:val="28"/>
          <w:lang w:val="sq-AL"/>
        </w:rPr>
        <w:t xml:space="preserve"> kufirit </w:t>
      </w:r>
      <w:r w:rsidR="00AD3109" w:rsidRPr="00352934">
        <w:rPr>
          <w:rFonts w:ascii="Times New Roman" w:hAnsi="Times New Roman"/>
          <w:sz w:val="28"/>
          <w:szCs w:val="28"/>
          <w:lang w:val="sq-AL"/>
        </w:rPr>
        <w:t>maksim</w:t>
      </w:r>
      <w:r w:rsidR="00352934">
        <w:rPr>
          <w:rFonts w:ascii="Times New Roman" w:hAnsi="Times New Roman"/>
          <w:sz w:val="28"/>
          <w:szCs w:val="28"/>
          <w:lang w:val="sq-AL"/>
        </w:rPr>
        <w:t>al t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>
        <w:rPr>
          <w:rFonts w:ascii="Times New Roman" w:hAnsi="Times New Roman"/>
          <w:sz w:val="28"/>
          <w:szCs w:val="28"/>
          <w:lang w:val="sq-AL"/>
        </w:rPr>
        <w:t xml:space="preserve"> lejuar p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>
        <w:rPr>
          <w:rFonts w:ascii="Times New Roman" w:hAnsi="Times New Roman"/>
          <w:sz w:val="28"/>
          <w:szCs w:val="28"/>
          <w:lang w:val="sq-AL"/>
        </w:rPr>
        <w:t>r nj</w:t>
      </w:r>
      <w:r w:rsidR="00283793">
        <w:rPr>
          <w:rFonts w:ascii="Times New Roman" w:hAnsi="Times New Roman"/>
          <w:sz w:val="28"/>
          <w:szCs w:val="28"/>
          <w:lang w:val="sq-AL"/>
        </w:rPr>
        <w:t>ë</w:t>
      </w:r>
      <w:r w:rsidR="00352934">
        <w:rPr>
          <w:rFonts w:ascii="Times New Roman" w:hAnsi="Times New Roman"/>
          <w:sz w:val="28"/>
          <w:szCs w:val="28"/>
          <w:lang w:val="sq-AL"/>
        </w:rPr>
        <w:t xml:space="preserve"> projekt</w:t>
      </w:r>
      <w:r w:rsidR="00283793">
        <w:rPr>
          <w:rFonts w:ascii="Times New Roman" w:hAnsi="Times New Roman"/>
          <w:sz w:val="28"/>
          <w:szCs w:val="28"/>
          <w:lang w:val="sq-AL"/>
        </w:rPr>
        <w:t xml:space="preserve">. Paraqitja e projekteve me buxhet realist do të jetë një kriter i rëndësishëm vlerësimi. </w:t>
      </w:r>
      <w:r w:rsidRPr="00352934">
        <w:rPr>
          <w:rFonts w:ascii="Times New Roman" w:hAnsi="Times New Roman"/>
          <w:sz w:val="28"/>
          <w:szCs w:val="28"/>
          <w:lang w:val="sq-AL"/>
        </w:rPr>
        <w:t>Ndoshta sot fondet nuk janë aq sa të kënaqin kërkesat e të gjithëve, por ato, të jeni të sigurt, se do të rriten.</w:t>
      </w:r>
    </w:p>
    <w:p w:rsidR="00573A79" w:rsidRPr="00352934" w:rsidRDefault="00573A79" w:rsidP="0035293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573A79" w:rsidRPr="00352934" w:rsidRDefault="00573A79" w:rsidP="0035293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lastRenderedPageBreak/>
        <w:t xml:space="preserve">Përveç fjalëve më të mira dhe inkurajimit të aktorëve të këtij Programi, Ministria e Financave do të </w:t>
      </w:r>
      <w:r w:rsidR="00283793">
        <w:rPr>
          <w:rFonts w:ascii="Times New Roman" w:hAnsi="Times New Roman"/>
          <w:sz w:val="28"/>
          <w:szCs w:val="28"/>
          <w:lang w:val="sq-AL"/>
        </w:rPr>
        <w:t xml:space="preserve">vazhdojë të 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mbështesë </w:t>
      </w:r>
      <w:r w:rsidR="00283793">
        <w:rPr>
          <w:rFonts w:ascii="Times New Roman" w:hAnsi="Times New Roman"/>
          <w:sz w:val="28"/>
          <w:szCs w:val="28"/>
          <w:lang w:val="sq-AL"/>
        </w:rPr>
        <w:t xml:space="preserve">fort 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këtë program </w:t>
      </w:r>
      <w:r w:rsidR="00283793">
        <w:rPr>
          <w:rFonts w:ascii="Times New Roman" w:hAnsi="Times New Roman"/>
          <w:sz w:val="28"/>
          <w:szCs w:val="28"/>
          <w:lang w:val="sq-AL"/>
        </w:rPr>
        <w:t xml:space="preserve">dhe të bashkëpunojë ngushtësisht </w:t>
      </w:r>
      <w:r w:rsidRPr="00352934">
        <w:rPr>
          <w:rFonts w:ascii="Times New Roman" w:hAnsi="Times New Roman"/>
          <w:sz w:val="28"/>
          <w:szCs w:val="28"/>
          <w:lang w:val="sq-AL"/>
        </w:rPr>
        <w:t>me Ambasadën e Republikës së Italisë</w:t>
      </w:r>
      <w:r w:rsidR="00283793">
        <w:rPr>
          <w:rFonts w:ascii="Times New Roman" w:hAnsi="Times New Roman"/>
          <w:sz w:val="28"/>
          <w:szCs w:val="28"/>
          <w:lang w:val="sq-AL"/>
        </w:rPr>
        <w:t xml:space="preserve"> për mbarëvajtjen e mëtejshme</w:t>
      </w:r>
      <w:r w:rsidRPr="00352934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573A79" w:rsidRPr="00352934" w:rsidRDefault="00573A79" w:rsidP="0035293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573A79" w:rsidRPr="00352934" w:rsidRDefault="00573A79" w:rsidP="00352934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352934">
        <w:rPr>
          <w:rFonts w:ascii="Times New Roman" w:hAnsi="Times New Roman"/>
          <w:sz w:val="28"/>
          <w:szCs w:val="28"/>
          <w:lang w:val="sq-AL"/>
        </w:rPr>
        <w:t>Faleminderit!</w:t>
      </w:r>
    </w:p>
    <w:p w:rsidR="00573A79" w:rsidRPr="00352934" w:rsidRDefault="00573A79" w:rsidP="00352934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sectPr w:rsidR="00573A79" w:rsidRPr="00352934" w:rsidSect="0064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4F8"/>
    <w:multiLevelType w:val="hybridMultilevel"/>
    <w:tmpl w:val="24869C50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20AF7"/>
    <w:multiLevelType w:val="hybridMultilevel"/>
    <w:tmpl w:val="CC4891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D8268E"/>
    <w:multiLevelType w:val="hybridMultilevel"/>
    <w:tmpl w:val="BF94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0219F"/>
    <w:multiLevelType w:val="multilevel"/>
    <w:tmpl w:val="CC489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B8455A"/>
    <w:multiLevelType w:val="hybridMultilevel"/>
    <w:tmpl w:val="7EE451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E74A79"/>
    <w:multiLevelType w:val="hybridMultilevel"/>
    <w:tmpl w:val="7C7C3CD6"/>
    <w:lvl w:ilvl="0" w:tplc="3B7C8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727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61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8E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26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6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6D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E8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EB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ED305B"/>
    <w:multiLevelType w:val="multilevel"/>
    <w:tmpl w:val="24869C5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AB40CA"/>
    <w:multiLevelType w:val="hybridMultilevel"/>
    <w:tmpl w:val="409C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7F3025"/>
    <w:multiLevelType w:val="hybridMultilevel"/>
    <w:tmpl w:val="D1BED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EC300F"/>
    <w:multiLevelType w:val="hybridMultilevel"/>
    <w:tmpl w:val="BB3469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0F752C"/>
    <w:multiLevelType w:val="hybridMultilevel"/>
    <w:tmpl w:val="BF06D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2D538F"/>
    <w:multiLevelType w:val="hybridMultilevel"/>
    <w:tmpl w:val="E3C81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3255DFD"/>
    <w:multiLevelType w:val="multilevel"/>
    <w:tmpl w:val="24869C5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F22D90"/>
    <w:multiLevelType w:val="hybridMultilevel"/>
    <w:tmpl w:val="3A5C3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1A2C56"/>
    <w:multiLevelType w:val="hybridMultilevel"/>
    <w:tmpl w:val="4730596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51"/>
    <w:rsid w:val="00011BD4"/>
    <w:rsid w:val="00021181"/>
    <w:rsid w:val="00032F6D"/>
    <w:rsid w:val="00034CA0"/>
    <w:rsid w:val="000B3FAB"/>
    <w:rsid w:val="000D3B9B"/>
    <w:rsid w:val="00105C98"/>
    <w:rsid w:val="00133AB6"/>
    <w:rsid w:val="00140E02"/>
    <w:rsid w:val="00151D99"/>
    <w:rsid w:val="001873B7"/>
    <w:rsid w:val="001C0CBD"/>
    <w:rsid w:val="001C4EBA"/>
    <w:rsid w:val="001E0958"/>
    <w:rsid w:val="0020509A"/>
    <w:rsid w:val="00244C96"/>
    <w:rsid w:val="00266626"/>
    <w:rsid w:val="00283793"/>
    <w:rsid w:val="002A75F1"/>
    <w:rsid w:val="002B348B"/>
    <w:rsid w:val="002B770A"/>
    <w:rsid w:val="002F5167"/>
    <w:rsid w:val="00311D70"/>
    <w:rsid w:val="0033356C"/>
    <w:rsid w:val="00335D1B"/>
    <w:rsid w:val="00342A96"/>
    <w:rsid w:val="00352934"/>
    <w:rsid w:val="00371794"/>
    <w:rsid w:val="00381359"/>
    <w:rsid w:val="003A1DF2"/>
    <w:rsid w:val="003B72DD"/>
    <w:rsid w:val="003C66EA"/>
    <w:rsid w:val="003C7714"/>
    <w:rsid w:val="003D69D0"/>
    <w:rsid w:val="003D7DEC"/>
    <w:rsid w:val="003E0582"/>
    <w:rsid w:val="003E4DB0"/>
    <w:rsid w:val="003F18BA"/>
    <w:rsid w:val="003F7FB0"/>
    <w:rsid w:val="00414E97"/>
    <w:rsid w:val="0042103D"/>
    <w:rsid w:val="0042371B"/>
    <w:rsid w:val="004259BC"/>
    <w:rsid w:val="00444415"/>
    <w:rsid w:val="00464FDF"/>
    <w:rsid w:val="00475CF5"/>
    <w:rsid w:val="004A37C0"/>
    <w:rsid w:val="004B0D12"/>
    <w:rsid w:val="004B27E3"/>
    <w:rsid w:val="004C6C82"/>
    <w:rsid w:val="004F3F64"/>
    <w:rsid w:val="004F521A"/>
    <w:rsid w:val="0050610C"/>
    <w:rsid w:val="005570C3"/>
    <w:rsid w:val="00573A79"/>
    <w:rsid w:val="00574BE5"/>
    <w:rsid w:val="00577035"/>
    <w:rsid w:val="005B3C4F"/>
    <w:rsid w:val="005B6111"/>
    <w:rsid w:val="005B69A9"/>
    <w:rsid w:val="005C18D1"/>
    <w:rsid w:val="005E4936"/>
    <w:rsid w:val="005E5A32"/>
    <w:rsid w:val="005E794A"/>
    <w:rsid w:val="0060094C"/>
    <w:rsid w:val="00622265"/>
    <w:rsid w:val="00633212"/>
    <w:rsid w:val="00640893"/>
    <w:rsid w:val="00641E56"/>
    <w:rsid w:val="00660787"/>
    <w:rsid w:val="006A0BA3"/>
    <w:rsid w:val="006A23ED"/>
    <w:rsid w:val="006C5A20"/>
    <w:rsid w:val="006D50AE"/>
    <w:rsid w:val="006E7771"/>
    <w:rsid w:val="006F15C0"/>
    <w:rsid w:val="0075253F"/>
    <w:rsid w:val="00780BB5"/>
    <w:rsid w:val="0079198F"/>
    <w:rsid w:val="007A03EC"/>
    <w:rsid w:val="007B5083"/>
    <w:rsid w:val="007E3C94"/>
    <w:rsid w:val="007E6E2E"/>
    <w:rsid w:val="007F474C"/>
    <w:rsid w:val="00805C0B"/>
    <w:rsid w:val="008365F0"/>
    <w:rsid w:val="0085015A"/>
    <w:rsid w:val="008510CF"/>
    <w:rsid w:val="00851703"/>
    <w:rsid w:val="00861AA4"/>
    <w:rsid w:val="00873D41"/>
    <w:rsid w:val="00893B9A"/>
    <w:rsid w:val="008940CB"/>
    <w:rsid w:val="008B5503"/>
    <w:rsid w:val="008E6C73"/>
    <w:rsid w:val="008E6F9C"/>
    <w:rsid w:val="008F0E5D"/>
    <w:rsid w:val="0091477F"/>
    <w:rsid w:val="0092580B"/>
    <w:rsid w:val="00947E89"/>
    <w:rsid w:val="009708D9"/>
    <w:rsid w:val="00970D18"/>
    <w:rsid w:val="00980C67"/>
    <w:rsid w:val="009B36CC"/>
    <w:rsid w:val="009C5D78"/>
    <w:rsid w:val="00A02AF4"/>
    <w:rsid w:val="00A03D27"/>
    <w:rsid w:val="00A30C5F"/>
    <w:rsid w:val="00A314FE"/>
    <w:rsid w:val="00A36D79"/>
    <w:rsid w:val="00A425B4"/>
    <w:rsid w:val="00A475D8"/>
    <w:rsid w:val="00A96D2F"/>
    <w:rsid w:val="00AB1B9A"/>
    <w:rsid w:val="00AC3E24"/>
    <w:rsid w:val="00AD3109"/>
    <w:rsid w:val="00AE09DD"/>
    <w:rsid w:val="00AF18E1"/>
    <w:rsid w:val="00B11B81"/>
    <w:rsid w:val="00B36F61"/>
    <w:rsid w:val="00B4197D"/>
    <w:rsid w:val="00B47BFE"/>
    <w:rsid w:val="00B63DA2"/>
    <w:rsid w:val="00B8162B"/>
    <w:rsid w:val="00B81E15"/>
    <w:rsid w:val="00B968A3"/>
    <w:rsid w:val="00B97EC1"/>
    <w:rsid w:val="00BB0F83"/>
    <w:rsid w:val="00BC0381"/>
    <w:rsid w:val="00BE4CAD"/>
    <w:rsid w:val="00BE7C25"/>
    <w:rsid w:val="00BF614A"/>
    <w:rsid w:val="00C12CA6"/>
    <w:rsid w:val="00C2001A"/>
    <w:rsid w:val="00C268DD"/>
    <w:rsid w:val="00C36909"/>
    <w:rsid w:val="00C4027C"/>
    <w:rsid w:val="00C42492"/>
    <w:rsid w:val="00C5500E"/>
    <w:rsid w:val="00C55E51"/>
    <w:rsid w:val="00C846DC"/>
    <w:rsid w:val="00C904FE"/>
    <w:rsid w:val="00CA5335"/>
    <w:rsid w:val="00CD7C53"/>
    <w:rsid w:val="00CE32A4"/>
    <w:rsid w:val="00CE352C"/>
    <w:rsid w:val="00CE3DEA"/>
    <w:rsid w:val="00CF7CEC"/>
    <w:rsid w:val="00D00318"/>
    <w:rsid w:val="00D01653"/>
    <w:rsid w:val="00D01F09"/>
    <w:rsid w:val="00D23CB5"/>
    <w:rsid w:val="00D44169"/>
    <w:rsid w:val="00D673F4"/>
    <w:rsid w:val="00D72B88"/>
    <w:rsid w:val="00D85236"/>
    <w:rsid w:val="00D95742"/>
    <w:rsid w:val="00DF0439"/>
    <w:rsid w:val="00E1123B"/>
    <w:rsid w:val="00E15DEA"/>
    <w:rsid w:val="00E51666"/>
    <w:rsid w:val="00E5690E"/>
    <w:rsid w:val="00E61779"/>
    <w:rsid w:val="00E82B66"/>
    <w:rsid w:val="00E8492A"/>
    <w:rsid w:val="00EA0B7D"/>
    <w:rsid w:val="00EC0787"/>
    <w:rsid w:val="00EC316C"/>
    <w:rsid w:val="00ED2129"/>
    <w:rsid w:val="00EE65DD"/>
    <w:rsid w:val="00F13617"/>
    <w:rsid w:val="00F24075"/>
    <w:rsid w:val="00F404C7"/>
    <w:rsid w:val="00F41E41"/>
    <w:rsid w:val="00F64257"/>
    <w:rsid w:val="00F90DFA"/>
    <w:rsid w:val="00F92DFF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49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55E51"/>
  </w:style>
  <w:style w:type="paragraph" w:styleId="ListParagraph">
    <w:name w:val="List Paragraph"/>
    <w:basedOn w:val="Normal"/>
    <w:uiPriority w:val="99"/>
    <w:qFormat/>
    <w:rsid w:val="00D01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41E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1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1E4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1E41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5690E"/>
    <w:pPr>
      <w:spacing w:after="0" w:line="240" w:lineRule="auto"/>
      <w:jc w:val="both"/>
    </w:pPr>
    <w:rPr>
      <w:rFonts w:eastAsia="Times New Roman" w:cs="Calibri"/>
      <w:sz w:val="24"/>
      <w:szCs w:val="24"/>
      <w:lang w:val="it-IT" w:eastAsia="de-D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690E"/>
    <w:rPr>
      <w:rFonts w:eastAsia="Times New Roman" w:cs="Calibri"/>
      <w:sz w:val="24"/>
      <w:szCs w:val="24"/>
      <w:lang w:val="it-I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8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49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55E51"/>
  </w:style>
  <w:style w:type="paragraph" w:styleId="ListParagraph">
    <w:name w:val="List Paragraph"/>
    <w:basedOn w:val="Normal"/>
    <w:uiPriority w:val="99"/>
    <w:qFormat/>
    <w:rsid w:val="00D01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41E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1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1E4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1E41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5690E"/>
    <w:pPr>
      <w:spacing w:after="0" w:line="240" w:lineRule="auto"/>
      <w:jc w:val="both"/>
    </w:pPr>
    <w:rPr>
      <w:rFonts w:eastAsia="Times New Roman" w:cs="Calibri"/>
      <w:sz w:val="24"/>
      <w:szCs w:val="24"/>
      <w:lang w:val="it-IT" w:eastAsia="de-D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5690E"/>
    <w:rPr>
      <w:rFonts w:eastAsia="Times New Roman" w:cs="Calibri"/>
      <w:sz w:val="24"/>
      <w:szCs w:val="24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kuader te implementimit te Programit te Konvertimit te Borxhit per Zhvillim, u shpall Thirrja e Pare per Propozime, qe ne mebshtetje me SKZHI ka si objektiva : (i) Aresimin, (ii) Shendetesine; (iii) Perfshirjen Sociale; (iv) Gjenerimin e punesimit dhe</vt:lpstr>
    </vt:vector>
  </TitlesOfParts>
  <Company>Grizli777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kuader te implementimit te Programit te Konvertimit te Borxhit per Zhvillim, u shpall Thirrja e Pare per Propozime, qe ne mebshtetje me SKZHI ka si objektiva : (i) Aresimin, (ii) Shendetesine; (iii) Perfshirjen Sociale; (iv) Gjenerimin e punesimit dhe</dc:title>
  <dc:creator>ERMONELA</dc:creator>
  <cp:lastModifiedBy>ardian.kola</cp:lastModifiedBy>
  <cp:revision>4</cp:revision>
  <cp:lastPrinted>2013-12-06T08:52:00Z</cp:lastPrinted>
  <dcterms:created xsi:type="dcterms:W3CDTF">2015-01-28T10:31:00Z</dcterms:created>
  <dcterms:modified xsi:type="dcterms:W3CDTF">2015-01-28T10:32:00Z</dcterms:modified>
</cp:coreProperties>
</file>