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B7" w:rsidRPr="00320CBD" w:rsidRDefault="00413F28" w:rsidP="00C56705">
      <w:pPr>
        <w:pStyle w:val="NumriData"/>
        <w:rPr>
          <w:rFonts w:ascii="Times New Roman" w:hAnsi="Times New Roman"/>
          <w:sz w:val="24"/>
          <w:szCs w:val="24"/>
          <w:lang w:val="sq-AL"/>
        </w:rPr>
      </w:pPr>
      <w:r>
        <w:rPr>
          <w:rFonts w:ascii="Times New Roman" w:hAnsi="Times New Roman"/>
          <w:noProof/>
          <w:sz w:val="24"/>
          <w:szCs w:val="24"/>
          <w:lang w:val="en-US"/>
        </w:rPr>
        <w:drawing>
          <wp:inline distT="0" distB="0" distL="0" distR="0">
            <wp:extent cx="485775" cy="600075"/>
            <wp:effectExtent l="19050" t="0" r="9525" b="0"/>
            <wp:docPr id="1" name="Picture 1" descr="BZ bukur t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Z bukur tomi"/>
                    <pic:cNvPicPr>
                      <a:picLocks noChangeAspect="1" noChangeArrowheads="1"/>
                    </pic:cNvPicPr>
                  </pic:nvPicPr>
                  <pic:blipFill>
                    <a:blip r:embed="rId5"/>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rsidR="009D67B7" w:rsidRPr="00320CBD" w:rsidRDefault="009D67B7" w:rsidP="00C56705">
      <w:pPr>
        <w:pStyle w:val="NumriData"/>
        <w:rPr>
          <w:rFonts w:ascii="Times New Roman" w:hAnsi="Times New Roman"/>
          <w:sz w:val="24"/>
          <w:szCs w:val="24"/>
          <w:lang w:val="sq-AL"/>
        </w:rPr>
      </w:pPr>
    </w:p>
    <w:p w:rsidR="009D67B7" w:rsidRPr="00320CBD" w:rsidRDefault="009D67B7" w:rsidP="00C56705">
      <w:pPr>
        <w:pStyle w:val="NumriData"/>
        <w:rPr>
          <w:rFonts w:ascii="Times New Roman" w:hAnsi="Times New Roman"/>
          <w:sz w:val="24"/>
          <w:szCs w:val="24"/>
          <w:lang w:val="sq-AL"/>
        </w:rPr>
      </w:pPr>
      <w:r w:rsidRPr="00320CBD">
        <w:rPr>
          <w:rFonts w:ascii="Times New Roman" w:hAnsi="Times New Roman"/>
          <w:sz w:val="24"/>
          <w:szCs w:val="24"/>
          <w:lang w:val="sq-AL"/>
        </w:rPr>
        <w:t>REPUBLIKA E SHQIPERISE</w:t>
      </w:r>
    </w:p>
    <w:p w:rsidR="009D67B7" w:rsidRPr="00320CBD" w:rsidRDefault="009D67B7" w:rsidP="00C56705">
      <w:pPr>
        <w:jc w:val="center"/>
        <w:rPr>
          <w:b/>
          <w:lang w:val="sq-AL"/>
        </w:rPr>
      </w:pPr>
      <w:r w:rsidRPr="00320CBD">
        <w:rPr>
          <w:b/>
          <w:lang w:val="sq-AL"/>
        </w:rPr>
        <w:t>MINISTRIA E FINANCAVE</w:t>
      </w:r>
    </w:p>
    <w:p w:rsidR="009D67B7" w:rsidRPr="00320CBD" w:rsidRDefault="009D67B7" w:rsidP="00B36E09">
      <w:pPr>
        <w:pStyle w:val="Akti"/>
        <w:jc w:val="left"/>
        <w:rPr>
          <w:rFonts w:ascii="Times New Roman" w:hAnsi="Times New Roman"/>
          <w:color w:val="auto"/>
          <w:sz w:val="24"/>
          <w:szCs w:val="24"/>
          <w:lang w:val="sq-AL"/>
        </w:rPr>
      </w:pPr>
    </w:p>
    <w:p w:rsidR="009D67B7" w:rsidRPr="00320CBD" w:rsidRDefault="009D67B7" w:rsidP="00C56705">
      <w:pPr>
        <w:pStyle w:val="Akti"/>
        <w:rPr>
          <w:rFonts w:ascii="Times New Roman" w:hAnsi="Times New Roman"/>
          <w:color w:val="auto"/>
          <w:sz w:val="24"/>
          <w:szCs w:val="24"/>
          <w:lang w:val="sq-AL"/>
        </w:rPr>
      </w:pPr>
      <w:r w:rsidRPr="00320CBD">
        <w:rPr>
          <w:rFonts w:ascii="Times New Roman" w:hAnsi="Times New Roman"/>
          <w:color w:val="auto"/>
          <w:sz w:val="24"/>
          <w:szCs w:val="24"/>
          <w:lang w:val="sq-AL"/>
        </w:rPr>
        <w:t>UDHËZIM</w:t>
      </w:r>
    </w:p>
    <w:p w:rsidR="009D67B7" w:rsidRPr="00320CBD" w:rsidRDefault="009D67B7" w:rsidP="00C56705">
      <w:pPr>
        <w:pStyle w:val="NumriData"/>
        <w:rPr>
          <w:rFonts w:ascii="Times New Roman" w:hAnsi="Times New Roman"/>
          <w:sz w:val="24"/>
          <w:szCs w:val="24"/>
          <w:lang w:val="sq-AL"/>
        </w:rPr>
      </w:pPr>
    </w:p>
    <w:p w:rsidR="009D67B7" w:rsidRPr="00320CBD" w:rsidRDefault="009D67B7" w:rsidP="00C56705">
      <w:pPr>
        <w:jc w:val="center"/>
        <w:rPr>
          <w:b/>
          <w:lang w:val="sq-AL"/>
        </w:rPr>
      </w:pPr>
      <w:r w:rsidRPr="00320CBD">
        <w:rPr>
          <w:b/>
          <w:lang w:val="sq-AL"/>
        </w:rPr>
        <w:t>Nr.</w:t>
      </w:r>
      <w:r>
        <w:rPr>
          <w:b/>
          <w:lang w:val="sq-AL"/>
        </w:rPr>
        <w:t xml:space="preserve">           Date              .01</w:t>
      </w:r>
      <w:r w:rsidRPr="00320CBD">
        <w:rPr>
          <w:b/>
          <w:lang w:val="sq-AL"/>
        </w:rPr>
        <w:t>.201</w:t>
      </w:r>
      <w:r>
        <w:rPr>
          <w:b/>
          <w:lang w:val="sq-AL"/>
        </w:rPr>
        <w:t>4</w:t>
      </w:r>
    </w:p>
    <w:p w:rsidR="009D67B7" w:rsidRPr="00320CBD" w:rsidRDefault="009D67B7" w:rsidP="00C56705">
      <w:pPr>
        <w:pStyle w:val="NumriData"/>
        <w:rPr>
          <w:rFonts w:ascii="Times New Roman" w:hAnsi="Times New Roman"/>
          <w:sz w:val="24"/>
          <w:szCs w:val="24"/>
          <w:lang w:val="sq-AL"/>
        </w:rPr>
      </w:pPr>
    </w:p>
    <w:p w:rsidR="009D67B7" w:rsidRPr="00320CBD" w:rsidRDefault="009D67B7" w:rsidP="00856CA6">
      <w:pPr>
        <w:pStyle w:val="NumriData"/>
        <w:rPr>
          <w:rFonts w:ascii="Times New Roman" w:hAnsi="Times New Roman"/>
          <w:sz w:val="24"/>
          <w:szCs w:val="24"/>
          <w:lang w:val="sq-AL"/>
        </w:rPr>
      </w:pPr>
      <w:r w:rsidRPr="00320CBD">
        <w:rPr>
          <w:rFonts w:ascii="Times New Roman" w:hAnsi="Times New Roman"/>
          <w:sz w:val="24"/>
          <w:szCs w:val="24"/>
          <w:lang w:val="sq-AL"/>
        </w:rPr>
        <w:t xml:space="preserve"> “PËR DISA SHTESA </w:t>
      </w:r>
      <w:r w:rsidR="00072CFD">
        <w:rPr>
          <w:rFonts w:ascii="Times New Roman" w:hAnsi="Times New Roman"/>
          <w:sz w:val="24"/>
          <w:szCs w:val="24"/>
          <w:lang w:val="sq-AL"/>
        </w:rPr>
        <w:t xml:space="preserve">DHE NDRYSHIME </w:t>
      </w:r>
      <w:r w:rsidRPr="00320CBD">
        <w:rPr>
          <w:rFonts w:ascii="Times New Roman" w:hAnsi="Times New Roman"/>
          <w:sz w:val="24"/>
          <w:szCs w:val="24"/>
          <w:lang w:val="sq-AL"/>
        </w:rPr>
        <w:t>NË UDHËZIMIN NR.26, DATË 04.09.2008</w:t>
      </w:r>
    </w:p>
    <w:p w:rsidR="009D67B7" w:rsidRPr="00320CBD" w:rsidRDefault="009D67B7" w:rsidP="00C56705">
      <w:pPr>
        <w:pStyle w:val="Titulli"/>
        <w:rPr>
          <w:rFonts w:ascii="Times New Roman" w:hAnsi="Times New Roman"/>
          <w:sz w:val="24"/>
          <w:szCs w:val="24"/>
          <w:lang w:val="sq-AL"/>
        </w:rPr>
      </w:pPr>
      <w:r w:rsidRPr="00320CBD">
        <w:rPr>
          <w:rFonts w:ascii="Times New Roman" w:hAnsi="Times New Roman"/>
          <w:sz w:val="24"/>
          <w:szCs w:val="24"/>
          <w:lang w:val="sq-AL"/>
        </w:rPr>
        <w:t>“PËR TAKSAT KOMBËTARE” të ndryshuar</w:t>
      </w:r>
    </w:p>
    <w:p w:rsidR="009D67B7" w:rsidRPr="00320CBD" w:rsidRDefault="009D67B7" w:rsidP="00C56705">
      <w:pPr>
        <w:ind w:firstLine="720"/>
        <w:jc w:val="both"/>
        <w:rPr>
          <w:b/>
          <w:lang w:val="sq-AL"/>
        </w:rPr>
      </w:pPr>
    </w:p>
    <w:p w:rsidR="009D67B7" w:rsidRPr="00320CBD" w:rsidRDefault="009D67B7" w:rsidP="00C56705">
      <w:pPr>
        <w:ind w:firstLine="720"/>
        <w:jc w:val="both"/>
        <w:rPr>
          <w:lang w:val="sq-AL"/>
        </w:rPr>
      </w:pPr>
      <w:r w:rsidRPr="00320CBD">
        <w:rPr>
          <w:lang w:val="sq-AL"/>
        </w:rPr>
        <w:t xml:space="preserve">Në zbatim të nenit 102, pika 4 të Kushtetutës së Republikës së </w:t>
      </w:r>
      <w:r w:rsidR="00E863C4">
        <w:rPr>
          <w:lang w:val="sq-AL"/>
        </w:rPr>
        <w:t xml:space="preserve">Shqipërisë dhe </w:t>
      </w:r>
      <w:r w:rsidRPr="00320CBD">
        <w:rPr>
          <w:lang w:val="sq-AL"/>
        </w:rPr>
        <w:t>ligjit nr.9975, datë 28.07.2008 “Për taksat kombetare’  i ndryshuar, Ministri i Financave:</w:t>
      </w:r>
    </w:p>
    <w:p w:rsidR="009D67B7" w:rsidRPr="00320CBD" w:rsidRDefault="009D67B7" w:rsidP="00C56705">
      <w:pPr>
        <w:pStyle w:val="Heading1"/>
        <w:spacing w:before="0" w:after="0"/>
        <w:ind w:firstLine="720"/>
        <w:rPr>
          <w:rFonts w:ascii="Times New Roman" w:hAnsi="Times New Roman"/>
          <w:b w:val="0"/>
          <w:sz w:val="24"/>
          <w:szCs w:val="24"/>
          <w:lang w:val="sq-AL"/>
        </w:rPr>
      </w:pPr>
    </w:p>
    <w:p w:rsidR="009D67B7" w:rsidRPr="006813A8" w:rsidRDefault="009D67B7" w:rsidP="00C56705">
      <w:pPr>
        <w:pStyle w:val="VENDOSI"/>
        <w:rPr>
          <w:rFonts w:ascii="Times New Roman" w:hAnsi="Times New Roman"/>
          <w:b/>
          <w:sz w:val="24"/>
          <w:szCs w:val="24"/>
          <w:lang w:val="sq-AL"/>
        </w:rPr>
      </w:pPr>
      <w:r w:rsidRPr="006813A8">
        <w:rPr>
          <w:rFonts w:ascii="Times New Roman" w:hAnsi="Times New Roman"/>
          <w:b/>
          <w:sz w:val="24"/>
          <w:szCs w:val="24"/>
          <w:lang w:val="sq-AL"/>
        </w:rPr>
        <w:t>U D H Ë Z O N:</w:t>
      </w:r>
    </w:p>
    <w:p w:rsidR="009D67B7" w:rsidRPr="00320CBD" w:rsidRDefault="009D67B7" w:rsidP="00C56705">
      <w:pPr>
        <w:rPr>
          <w:lang w:val="sq-AL"/>
        </w:rPr>
      </w:pPr>
    </w:p>
    <w:p w:rsidR="009D67B7" w:rsidRPr="00320CBD" w:rsidRDefault="009D67B7" w:rsidP="00C56705">
      <w:pPr>
        <w:pStyle w:val="NumriData"/>
        <w:jc w:val="both"/>
        <w:rPr>
          <w:rFonts w:ascii="Times New Roman" w:hAnsi="Times New Roman"/>
          <w:b w:val="0"/>
          <w:sz w:val="24"/>
          <w:szCs w:val="24"/>
          <w:lang w:val="sq-AL"/>
        </w:rPr>
      </w:pPr>
      <w:r w:rsidRPr="00320CBD">
        <w:rPr>
          <w:rFonts w:ascii="Times New Roman" w:hAnsi="Times New Roman"/>
          <w:b w:val="0"/>
          <w:sz w:val="24"/>
          <w:szCs w:val="24"/>
          <w:lang w:val="sq-AL"/>
        </w:rPr>
        <w:t>Në Udhëzimin Nr.26, datë 04.09.2008 “Për taksat kombëtare” të ndryshuar, bëhen ndryshimet e mëposhtme.</w:t>
      </w:r>
    </w:p>
    <w:p w:rsidR="009D67B7" w:rsidRPr="00320CBD" w:rsidRDefault="009D67B7" w:rsidP="00DD004D">
      <w:pPr>
        <w:rPr>
          <w:lang w:val="sq-AL"/>
        </w:rPr>
      </w:pPr>
    </w:p>
    <w:p w:rsidR="009D67B7" w:rsidRPr="00320CBD" w:rsidRDefault="009D67B7" w:rsidP="00ED6D25">
      <w:pPr>
        <w:jc w:val="both"/>
        <w:rPr>
          <w:lang w:val="sq-AL"/>
        </w:rPr>
      </w:pPr>
      <w:r w:rsidRPr="00AA5527">
        <w:rPr>
          <w:b/>
          <w:lang w:val="sq-AL"/>
        </w:rPr>
        <w:t>1</w:t>
      </w:r>
      <w:r w:rsidRPr="00320CBD">
        <w:rPr>
          <w:lang w:val="sq-AL"/>
        </w:rPr>
        <w:t>.</w:t>
      </w:r>
      <w:r>
        <w:rPr>
          <w:lang w:val="sq-AL"/>
        </w:rPr>
        <w:t xml:space="preserve"> </w:t>
      </w:r>
      <w:r w:rsidRPr="00320CBD">
        <w:rPr>
          <w:lang w:val="sq-AL"/>
        </w:rPr>
        <w:t>Pika 1.1 ndryshohet me këtë përmbajtje:</w:t>
      </w:r>
    </w:p>
    <w:p w:rsidR="009D67B7" w:rsidRPr="00320CBD" w:rsidRDefault="009D67B7" w:rsidP="00ED6D25">
      <w:pPr>
        <w:jc w:val="both"/>
        <w:rPr>
          <w:lang w:val="sq-AL"/>
        </w:rPr>
      </w:pPr>
      <w:r w:rsidRPr="00320CBD">
        <w:rPr>
          <w:lang w:val="sq-AL"/>
        </w:rPr>
        <w:t>“1. Agjentët e taksave, me përjashtim të rasteve kur me dispozita të veçanta të ligjit nr 9975, datë 28.07.2008, është parashikuar ndryshe, rakordojnë me drejtoritë rajonale tatimore për shumat e arkëtuara nga taksat kombëtare brenda datës së fundit të çdo muaji, si dhe transferojnë menjëherë për llogari të drejtorisë rajonale tatimore dhe në llogari të bashkive ose të komunave shumat e mbledhura, për t’u transferuar më pas në Buxhetin e Shtetit.”.</w:t>
      </w:r>
    </w:p>
    <w:p w:rsidR="009D67B7" w:rsidRPr="00320CBD" w:rsidRDefault="009D67B7" w:rsidP="00C56705">
      <w:pPr>
        <w:pStyle w:val="Heading3"/>
        <w:widowControl w:val="0"/>
        <w:autoSpaceDE w:val="0"/>
        <w:autoSpaceDN w:val="0"/>
        <w:adjustRightInd w:val="0"/>
        <w:spacing w:before="0" w:after="0"/>
        <w:jc w:val="both"/>
        <w:rPr>
          <w:rFonts w:ascii="Times New Roman" w:hAnsi="Times New Roman"/>
          <w:b w:val="0"/>
          <w:bCs w:val="0"/>
          <w:sz w:val="24"/>
          <w:szCs w:val="24"/>
          <w:lang w:val="sq-AL"/>
        </w:rPr>
      </w:pPr>
    </w:p>
    <w:p w:rsidR="009D67B7" w:rsidRPr="00320CBD" w:rsidRDefault="009D67B7" w:rsidP="00C56705">
      <w:pPr>
        <w:pStyle w:val="Heading3"/>
        <w:widowControl w:val="0"/>
        <w:autoSpaceDE w:val="0"/>
        <w:autoSpaceDN w:val="0"/>
        <w:adjustRightInd w:val="0"/>
        <w:spacing w:before="0" w:after="0"/>
        <w:jc w:val="both"/>
        <w:rPr>
          <w:rFonts w:ascii="Times New Roman" w:hAnsi="Times New Roman"/>
          <w:b w:val="0"/>
          <w:sz w:val="24"/>
          <w:szCs w:val="24"/>
          <w:lang w:val="sq-AL"/>
        </w:rPr>
      </w:pPr>
      <w:r w:rsidRPr="00AA5527">
        <w:rPr>
          <w:rFonts w:ascii="Times New Roman" w:hAnsi="Times New Roman"/>
          <w:bCs w:val="0"/>
          <w:sz w:val="24"/>
          <w:szCs w:val="24"/>
          <w:lang w:val="sq-AL"/>
        </w:rPr>
        <w:t>2.</w:t>
      </w:r>
      <w:r>
        <w:rPr>
          <w:rFonts w:ascii="Times New Roman" w:hAnsi="Times New Roman"/>
          <w:b w:val="0"/>
          <w:bCs w:val="0"/>
          <w:sz w:val="24"/>
          <w:szCs w:val="24"/>
          <w:lang w:val="sq-AL"/>
        </w:rPr>
        <w:t xml:space="preserve"> </w:t>
      </w:r>
      <w:r w:rsidRPr="00320CBD">
        <w:rPr>
          <w:rFonts w:ascii="Times New Roman" w:hAnsi="Times New Roman"/>
          <w:b w:val="0"/>
          <w:bCs w:val="0"/>
          <w:sz w:val="24"/>
          <w:szCs w:val="24"/>
          <w:lang w:val="sq-AL"/>
        </w:rPr>
        <w:t>Në pikën 2.2</w:t>
      </w:r>
      <w:r w:rsidRPr="00320CBD">
        <w:rPr>
          <w:rFonts w:ascii="Times New Roman" w:hAnsi="Times New Roman"/>
          <w:b w:val="0"/>
          <w:bCs w:val="0"/>
          <w:sz w:val="24"/>
          <w:szCs w:val="24"/>
        </w:rPr>
        <w:t xml:space="preserve"> “Taksa e qarkullimit për benzinën dhe gazoilin”</w:t>
      </w:r>
      <w:r w:rsidRPr="00320CBD">
        <w:rPr>
          <w:rFonts w:ascii="Times New Roman" w:hAnsi="Times New Roman"/>
          <w:b w:val="0"/>
          <w:bCs w:val="0"/>
          <w:sz w:val="24"/>
          <w:szCs w:val="24"/>
          <w:lang w:val="sq-AL"/>
        </w:rPr>
        <w:t>, fjalia me përmbajtjen:</w:t>
      </w:r>
      <w:r w:rsidRPr="00320CBD">
        <w:rPr>
          <w:rFonts w:ascii="Times New Roman" w:hAnsi="Times New Roman"/>
          <w:b w:val="0"/>
          <w:bCs w:val="0"/>
          <w:sz w:val="24"/>
          <w:szCs w:val="24"/>
        </w:rPr>
        <w:t xml:space="preserve"> “Taksa e qarkullimit mbi benzinën dhe gazoilin është 5 lekë litri deri në 31.12.2011, pas kësaj date, taksa e qarkullimit mbi benzinën dhe gazoilin bëhet 7 lekë litri.” </w:t>
      </w:r>
      <w:proofErr w:type="gramStart"/>
      <w:r w:rsidRPr="00320CBD">
        <w:rPr>
          <w:rFonts w:ascii="Times New Roman" w:hAnsi="Times New Roman"/>
          <w:b w:val="0"/>
          <w:bCs w:val="0"/>
          <w:sz w:val="24"/>
          <w:szCs w:val="24"/>
        </w:rPr>
        <w:t>zëvendësohet</w:t>
      </w:r>
      <w:proofErr w:type="gramEnd"/>
      <w:r w:rsidRPr="00320CBD">
        <w:rPr>
          <w:rFonts w:ascii="Times New Roman" w:hAnsi="Times New Roman"/>
          <w:b w:val="0"/>
          <w:bCs w:val="0"/>
          <w:sz w:val="24"/>
          <w:szCs w:val="24"/>
        </w:rPr>
        <w:t xml:space="preserve"> me fjalinë me këtë përmbajtje: “</w:t>
      </w:r>
      <w:r w:rsidRPr="00320CBD">
        <w:rPr>
          <w:rFonts w:ascii="Times New Roman" w:hAnsi="Times New Roman"/>
          <w:b w:val="0"/>
          <w:sz w:val="24"/>
          <w:szCs w:val="24"/>
          <w:lang w:val="sq-AL"/>
        </w:rPr>
        <w:t>Taksa e qarkullimit mbi benzinën dhe gazoilin caktohet në masën 17 lekë/litër për benzinën dhe 17 lekë/litër për gazoilin.”.”</w:t>
      </w:r>
      <w:r w:rsidRPr="00320CBD">
        <w:rPr>
          <w:rFonts w:ascii="Times New Roman" w:hAnsi="Times New Roman"/>
          <w:b w:val="0"/>
          <w:bCs w:val="0"/>
          <w:sz w:val="24"/>
          <w:szCs w:val="24"/>
          <w:lang w:val="sq-AL"/>
        </w:rPr>
        <w:t xml:space="preserve"> </w:t>
      </w:r>
    </w:p>
    <w:p w:rsidR="009D67B7" w:rsidRPr="00320CBD" w:rsidRDefault="009D67B7" w:rsidP="00C56705">
      <w:pPr>
        <w:pStyle w:val="Heading3"/>
        <w:widowControl w:val="0"/>
        <w:autoSpaceDE w:val="0"/>
        <w:autoSpaceDN w:val="0"/>
        <w:adjustRightInd w:val="0"/>
        <w:spacing w:before="0" w:after="0"/>
        <w:jc w:val="both"/>
        <w:rPr>
          <w:rFonts w:ascii="Times New Roman" w:hAnsi="Times New Roman"/>
          <w:b w:val="0"/>
          <w:bCs w:val="0"/>
          <w:sz w:val="24"/>
          <w:szCs w:val="24"/>
          <w:lang w:val="sq-AL"/>
        </w:rPr>
      </w:pPr>
    </w:p>
    <w:p w:rsidR="009D67B7" w:rsidRPr="00320CBD" w:rsidRDefault="009D67B7" w:rsidP="00C56705">
      <w:pPr>
        <w:pStyle w:val="Heading3"/>
        <w:widowControl w:val="0"/>
        <w:autoSpaceDE w:val="0"/>
        <w:autoSpaceDN w:val="0"/>
        <w:adjustRightInd w:val="0"/>
        <w:spacing w:before="0" w:after="0"/>
        <w:jc w:val="both"/>
        <w:rPr>
          <w:rFonts w:ascii="Times New Roman" w:hAnsi="Times New Roman"/>
          <w:b w:val="0"/>
          <w:bCs w:val="0"/>
          <w:sz w:val="24"/>
          <w:szCs w:val="24"/>
          <w:lang w:val="sq-AL"/>
        </w:rPr>
      </w:pPr>
      <w:r w:rsidRPr="00AA5527">
        <w:rPr>
          <w:rFonts w:ascii="Times New Roman" w:hAnsi="Times New Roman"/>
          <w:bCs w:val="0"/>
          <w:sz w:val="24"/>
          <w:szCs w:val="24"/>
          <w:lang w:val="sq-AL"/>
        </w:rPr>
        <w:t>3.</w:t>
      </w:r>
      <w:r>
        <w:rPr>
          <w:rFonts w:ascii="Times New Roman" w:hAnsi="Times New Roman"/>
          <w:b w:val="0"/>
          <w:bCs w:val="0"/>
          <w:sz w:val="24"/>
          <w:szCs w:val="24"/>
          <w:lang w:val="sq-AL"/>
        </w:rPr>
        <w:t xml:space="preserve"> </w:t>
      </w:r>
      <w:r w:rsidRPr="00320CBD">
        <w:rPr>
          <w:rFonts w:ascii="Times New Roman" w:hAnsi="Times New Roman"/>
          <w:b w:val="0"/>
          <w:bCs w:val="0"/>
          <w:sz w:val="24"/>
          <w:szCs w:val="24"/>
          <w:lang w:val="sq-AL"/>
        </w:rPr>
        <w:t>Pika 2.4.2 ndryshohet me këtë përmbajtje:</w:t>
      </w:r>
    </w:p>
    <w:p w:rsidR="009D67B7" w:rsidRPr="00320CBD" w:rsidRDefault="009D67B7" w:rsidP="00C56705">
      <w:pPr>
        <w:jc w:val="both"/>
        <w:rPr>
          <w:rFonts w:eastAsia="MS Mincho"/>
          <w:bCs/>
          <w:iCs/>
        </w:rPr>
      </w:pPr>
      <w:r w:rsidRPr="00320CBD">
        <w:rPr>
          <w:rFonts w:eastAsia="MS Mincho"/>
          <w:bCs/>
          <w:iCs/>
        </w:rPr>
        <w:t xml:space="preserve">“2.4.2. </w:t>
      </w:r>
      <w:r w:rsidRPr="00320CBD">
        <w:t xml:space="preserve">Kur zotëruesi i lejes së shfrytëzimit shet për konsum final </w:t>
      </w:r>
      <w:proofErr w:type="gramStart"/>
      <w:r w:rsidRPr="00320CBD">
        <w:t>brenda</w:t>
      </w:r>
      <w:proofErr w:type="gramEnd"/>
      <w:r w:rsidRPr="00320CBD">
        <w:t xml:space="preserve"> vendit mineralin apo nënproduktin e prodhuar prej tij, </w:t>
      </w:r>
      <w:r w:rsidRPr="00C34085">
        <w:rPr>
          <w:bCs/>
        </w:rPr>
        <w:t>ai paguan taksën e rentës minerare në bankën</w:t>
      </w:r>
      <w:r w:rsidRPr="00320CBD">
        <w:rPr>
          <w:b/>
          <w:bCs/>
        </w:rPr>
        <w:t xml:space="preserve"> </w:t>
      </w:r>
      <w:r w:rsidRPr="00320CBD">
        <w:t>e nivelit të dytë për llogari të drejtorisë rajonale ku është regjistruar për të gjithë sasinë e shitur. Këta tatimpagues</w:t>
      </w:r>
      <w:r w:rsidRPr="00320CBD">
        <w:rPr>
          <w:rFonts w:eastAsia="MS Mincho"/>
          <w:bCs/>
          <w:iCs/>
        </w:rPr>
        <w:t xml:space="preserve"> detyrohen:</w:t>
      </w:r>
    </w:p>
    <w:p w:rsidR="009D67B7" w:rsidRPr="00320CBD" w:rsidRDefault="009D67B7" w:rsidP="00C56705">
      <w:pPr>
        <w:ind w:firstLine="720"/>
        <w:jc w:val="both"/>
        <w:rPr>
          <w:rFonts w:eastAsia="MS Mincho"/>
          <w:bCs/>
          <w:iCs/>
        </w:rPr>
      </w:pPr>
      <w:r w:rsidRPr="00320CBD">
        <w:rPr>
          <w:rFonts w:eastAsia="MS Mincho"/>
          <w:bCs/>
          <w:iCs/>
        </w:rPr>
        <w:t xml:space="preserve">a) </w:t>
      </w:r>
      <w:proofErr w:type="gramStart"/>
      <w:r w:rsidRPr="00320CBD">
        <w:rPr>
          <w:rFonts w:eastAsia="MS Mincho"/>
          <w:bCs/>
          <w:iCs/>
        </w:rPr>
        <w:t>të</w:t>
      </w:r>
      <w:proofErr w:type="gramEnd"/>
      <w:r w:rsidRPr="00320CBD">
        <w:rPr>
          <w:rFonts w:eastAsia="MS Mincho"/>
          <w:bCs/>
          <w:iCs/>
        </w:rPr>
        <w:t xml:space="preserve"> bëjnë një deklaratë për çdo muaj, jo më vonë se 15 ditë pas përfundimit të muajit në të cilin janë realizuar shitjet, sipas Shtojcës nr. </w:t>
      </w:r>
      <w:proofErr w:type="gramStart"/>
      <w:r w:rsidRPr="00320CBD">
        <w:rPr>
          <w:rFonts w:eastAsia="MS Mincho"/>
          <w:bCs/>
          <w:iCs/>
        </w:rPr>
        <w:t>1 “Deklarata për Rentën Minerale”</w:t>
      </w:r>
      <w:r>
        <w:rPr>
          <w:rFonts w:eastAsia="MS Mincho"/>
          <w:bCs/>
          <w:iCs/>
        </w:rPr>
        <w:t>,</w:t>
      </w:r>
      <w:r w:rsidRPr="00320CBD">
        <w:rPr>
          <w:rFonts w:eastAsia="MS Mincho"/>
          <w:bCs/>
          <w:iCs/>
        </w:rPr>
        <w:t xml:space="preserve"> bashkëlidhur këtij Udhëzimi.</w:t>
      </w:r>
      <w:proofErr w:type="gramEnd"/>
    </w:p>
    <w:p w:rsidR="009D67B7" w:rsidRPr="00320CBD" w:rsidRDefault="009D67B7" w:rsidP="00C56705">
      <w:pPr>
        <w:ind w:firstLine="720"/>
        <w:jc w:val="both"/>
        <w:rPr>
          <w:rFonts w:eastAsia="MS Mincho"/>
          <w:bCs/>
          <w:iCs/>
        </w:rPr>
      </w:pPr>
      <w:r w:rsidRPr="00320CBD">
        <w:rPr>
          <w:rFonts w:eastAsia="MS Mincho"/>
          <w:bCs/>
          <w:iCs/>
        </w:rPr>
        <w:t xml:space="preserve">b) </w:t>
      </w:r>
      <w:proofErr w:type="gramStart"/>
      <w:r w:rsidRPr="00320CBD">
        <w:rPr>
          <w:rFonts w:eastAsia="MS Mincho"/>
          <w:bCs/>
          <w:iCs/>
        </w:rPr>
        <w:t>të</w:t>
      </w:r>
      <w:proofErr w:type="gramEnd"/>
      <w:r w:rsidRPr="00320CBD">
        <w:rPr>
          <w:rFonts w:eastAsia="MS Mincho"/>
          <w:bCs/>
          <w:iCs/>
        </w:rPr>
        <w:t xml:space="preserve"> paguajnë taksën e rentës minerare për atë muaj në ose para datës së detyrueshme të deklaratës.</w:t>
      </w:r>
    </w:p>
    <w:p w:rsidR="009D67B7" w:rsidRPr="00320CBD" w:rsidRDefault="009D67B7" w:rsidP="00C56705">
      <w:pPr>
        <w:ind w:firstLine="720"/>
        <w:jc w:val="both"/>
        <w:rPr>
          <w:rFonts w:eastAsia="MS Mincho"/>
          <w:bCs/>
          <w:iCs/>
        </w:rPr>
      </w:pPr>
      <w:r w:rsidRPr="00320CBD">
        <w:rPr>
          <w:rFonts w:eastAsia="MS Mincho"/>
          <w:bCs/>
          <w:iCs/>
        </w:rPr>
        <w:t>c). Deklarata për pagesën e rentës minerare dorëzohet në një nga mënyrat e parashikuara në ligjin “Për procedurat tatimore”, pranë drejtorisë rajonale tatimore, ku është i regjistruar personi fizik/personi juridik zotërues i lejes minerare apo eksportuesi në rastin e eksportit me të tretët.</w:t>
      </w:r>
    </w:p>
    <w:p w:rsidR="009D67B7" w:rsidRDefault="009D67B7" w:rsidP="00C56705">
      <w:pPr>
        <w:pStyle w:val="Default"/>
        <w:rPr>
          <w:color w:val="auto"/>
        </w:rPr>
      </w:pPr>
    </w:p>
    <w:p w:rsidR="009D67B7" w:rsidRDefault="009D67B7" w:rsidP="00C56705">
      <w:pPr>
        <w:pStyle w:val="Default"/>
        <w:rPr>
          <w:b/>
          <w:color w:val="auto"/>
        </w:rPr>
      </w:pPr>
      <w:r w:rsidRPr="00AA5527">
        <w:rPr>
          <w:b/>
          <w:color w:val="auto"/>
        </w:rPr>
        <w:t>4.</w:t>
      </w:r>
      <w:r>
        <w:rPr>
          <w:b/>
          <w:color w:val="auto"/>
        </w:rPr>
        <w:t xml:space="preserve"> Pika 2.4.6 ndryshohet me k</w:t>
      </w:r>
      <w:r w:rsidR="00673C7E">
        <w:rPr>
          <w:b/>
          <w:color w:val="auto"/>
        </w:rPr>
        <w:t>ë</w:t>
      </w:r>
      <w:r>
        <w:rPr>
          <w:b/>
          <w:color w:val="auto"/>
        </w:rPr>
        <w:t>t</w:t>
      </w:r>
      <w:r w:rsidR="00673C7E">
        <w:rPr>
          <w:b/>
          <w:color w:val="auto"/>
        </w:rPr>
        <w:t>ë</w:t>
      </w:r>
      <w:r>
        <w:rPr>
          <w:b/>
          <w:color w:val="auto"/>
        </w:rPr>
        <w:t xml:space="preserve"> p</w:t>
      </w:r>
      <w:r w:rsidR="00673C7E">
        <w:rPr>
          <w:b/>
          <w:color w:val="auto"/>
        </w:rPr>
        <w:t>ë</w:t>
      </w:r>
      <w:r>
        <w:rPr>
          <w:b/>
          <w:color w:val="auto"/>
        </w:rPr>
        <w:t>rmbajtje:</w:t>
      </w:r>
    </w:p>
    <w:p w:rsidR="009D67B7" w:rsidRDefault="009D67B7" w:rsidP="00AA5527">
      <w:pPr>
        <w:pStyle w:val="NormalWeb"/>
        <w:spacing w:before="0" w:beforeAutospacing="0" w:after="0" w:afterAutospacing="0" w:line="214" w:lineRule="atLeast"/>
        <w:jc w:val="both"/>
        <w:rPr>
          <w:color w:val="000000"/>
          <w:lang w:val="sq-AL"/>
        </w:rPr>
      </w:pPr>
      <w:proofErr w:type="gramStart"/>
      <w:r>
        <w:rPr>
          <w:b/>
        </w:rPr>
        <w:t>“</w:t>
      </w:r>
      <w:r w:rsidRPr="005536F3">
        <w:rPr>
          <w:color w:val="000000"/>
          <w:lang w:val="sq-AL"/>
        </w:rPr>
        <w:t>2.4.6 Pjesa e të ardhurave nga renta minerare, që u takon njësive të qeverisjes vendore (përfshirë edhe ato të naftës sipas pikës 2.4.5), shpërndahet nga strukturat përgjegjëse</w:t>
      </w:r>
      <w:r w:rsidRPr="005536F3">
        <w:rPr>
          <w:rStyle w:val="apple-converted-space"/>
          <w:rFonts w:eastAsia="MS Mincho"/>
          <w:color w:val="000000"/>
          <w:lang w:val="sq-AL"/>
        </w:rPr>
        <w:t> </w:t>
      </w:r>
      <w:r w:rsidRPr="005536F3">
        <w:rPr>
          <w:color w:val="000000"/>
          <w:lang w:val="sq-AL"/>
        </w:rPr>
        <w:t>të buxhetit në Ministrinë e Financave, sipas kritereve ligjore të përcaktuara në aneksin nr.</w:t>
      </w:r>
      <w:proofErr w:type="gramEnd"/>
      <w:r w:rsidRPr="005536F3">
        <w:rPr>
          <w:color w:val="000000"/>
          <w:lang w:val="sq-AL"/>
        </w:rPr>
        <w:t xml:space="preserve"> 1 të ligjit nr. 185/2013, datë 28.12.2013 "Për buxhetin e vitit 2014". Sipas këtij aneksi, njësitë e qeverisjes vendore përfitojnë + 50% për naftën dhe gazin dhe + 80 % për mineraret, si rentë minerare mbi transferten e pakushtëzuar pasi transferta dhe renta të jenë barazuar</w:t>
      </w:r>
      <w:r>
        <w:rPr>
          <w:color w:val="000000"/>
          <w:lang w:val="sq-AL"/>
        </w:rPr>
        <w:t>”</w:t>
      </w:r>
      <w:r w:rsidRPr="005536F3">
        <w:rPr>
          <w:color w:val="000000"/>
          <w:lang w:val="sq-AL"/>
        </w:rPr>
        <w:t>.</w:t>
      </w:r>
    </w:p>
    <w:p w:rsidR="009D67B7" w:rsidRDefault="009D67B7" w:rsidP="00AA5527">
      <w:pPr>
        <w:pStyle w:val="NormalWeb"/>
        <w:spacing w:before="0" w:beforeAutospacing="0" w:after="0" w:afterAutospacing="0" w:line="214" w:lineRule="atLeast"/>
        <w:jc w:val="both"/>
        <w:rPr>
          <w:color w:val="000000"/>
          <w:lang w:val="sq-AL"/>
        </w:rPr>
      </w:pPr>
    </w:p>
    <w:p w:rsidR="009D67B7" w:rsidRDefault="009D67B7" w:rsidP="00AA5527">
      <w:pPr>
        <w:pStyle w:val="NormalWeb"/>
        <w:spacing w:before="0" w:beforeAutospacing="0" w:after="0" w:afterAutospacing="0" w:line="214" w:lineRule="atLeast"/>
        <w:jc w:val="both"/>
        <w:rPr>
          <w:color w:val="000000"/>
          <w:lang w:val="sq-AL"/>
        </w:rPr>
      </w:pPr>
      <w:r w:rsidRPr="00F40D83">
        <w:rPr>
          <w:b/>
          <w:color w:val="000000"/>
          <w:lang w:val="sq-AL"/>
        </w:rPr>
        <w:t>5.</w:t>
      </w:r>
      <w:r>
        <w:rPr>
          <w:color w:val="000000"/>
          <w:lang w:val="sq-AL"/>
        </w:rPr>
        <w:t xml:space="preserve"> Pika 2.4.7 ndryshohet me k</w:t>
      </w:r>
      <w:r w:rsidR="00673C7E">
        <w:rPr>
          <w:color w:val="000000"/>
          <w:lang w:val="sq-AL"/>
        </w:rPr>
        <w:t>ë</w:t>
      </w:r>
      <w:r>
        <w:rPr>
          <w:color w:val="000000"/>
          <w:lang w:val="sq-AL"/>
        </w:rPr>
        <w:t>t</w:t>
      </w:r>
      <w:r w:rsidR="00673C7E">
        <w:rPr>
          <w:color w:val="000000"/>
          <w:lang w:val="sq-AL"/>
        </w:rPr>
        <w:t>ë</w:t>
      </w:r>
      <w:r>
        <w:rPr>
          <w:color w:val="000000"/>
          <w:lang w:val="sq-AL"/>
        </w:rPr>
        <w:t xml:space="preserve"> përmbajtje:</w:t>
      </w:r>
    </w:p>
    <w:p w:rsidR="009D67B7" w:rsidRDefault="009D67B7" w:rsidP="00AA5527">
      <w:pPr>
        <w:pStyle w:val="NormalWeb"/>
        <w:spacing w:before="0" w:beforeAutospacing="0" w:after="0" w:afterAutospacing="0" w:line="214" w:lineRule="atLeast"/>
        <w:jc w:val="both"/>
        <w:rPr>
          <w:color w:val="000000"/>
          <w:lang w:val="sq-AL"/>
        </w:rPr>
      </w:pPr>
    </w:p>
    <w:p w:rsidR="009D67B7" w:rsidRPr="005536F3" w:rsidRDefault="009D67B7" w:rsidP="0077492B">
      <w:pPr>
        <w:pStyle w:val="NormalWeb"/>
        <w:spacing w:before="0" w:beforeAutospacing="0" w:after="0" w:afterAutospacing="0" w:line="214" w:lineRule="atLeast"/>
        <w:jc w:val="both"/>
        <w:rPr>
          <w:color w:val="000000"/>
          <w:lang w:val="sq-AL"/>
        </w:rPr>
      </w:pPr>
      <w:r>
        <w:rPr>
          <w:color w:val="000000"/>
          <w:lang w:val="sq-AL"/>
        </w:rPr>
        <w:t>“</w:t>
      </w:r>
      <w:r w:rsidRPr="005536F3">
        <w:rPr>
          <w:color w:val="000000"/>
          <w:lang w:val="sq-AL"/>
        </w:rPr>
        <w:t>2.4.7 Ministria e Financave njofton zyrtarisht Drejtorinë Rajonale të Tatimeve/Doganave, respektive dhe njësinë e qeverisjes vendore, për masën e llogaritur të shpërndarjes së të ardhurave nga renta, sipas pikës 2.4.6 të këtij udhëzimi. Drejtoritë rajonale të tatimeve dhe doganave paraqesin kërkesën për transferimin e fondit në degën përkatëse të thesarit. Dega e thesarit ku ndodhet drejtoria rajonale tatimore e tatimpaguesit procedon, duke përdorur metodën e transferimeve të brendshme në sistemin e informatizuar financiar</w:t>
      </w:r>
      <w:r w:rsidRPr="005536F3">
        <w:rPr>
          <w:rStyle w:val="apple-converted-space"/>
          <w:rFonts w:eastAsia="MS Mincho"/>
          <w:color w:val="000000"/>
          <w:lang w:val="sq-AL"/>
        </w:rPr>
        <w:t> </w:t>
      </w:r>
      <w:r w:rsidRPr="005536F3">
        <w:rPr>
          <w:color w:val="000000"/>
          <w:lang w:val="sq-AL"/>
        </w:rPr>
        <w:t>të qeverisë.</w:t>
      </w:r>
    </w:p>
    <w:p w:rsidR="009D67B7" w:rsidRPr="005536F3" w:rsidRDefault="009D67B7" w:rsidP="00252ECA">
      <w:pPr>
        <w:pStyle w:val="NormalWeb"/>
        <w:spacing w:line="214" w:lineRule="atLeast"/>
        <w:jc w:val="both"/>
        <w:rPr>
          <w:color w:val="000000"/>
          <w:lang w:val="sq-AL"/>
        </w:rPr>
      </w:pPr>
      <w:r w:rsidRPr="005536F3">
        <w:rPr>
          <w:color w:val="000000"/>
          <w:lang w:val="sq-AL"/>
        </w:rPr>
        <w:t xml:space="preserve">Për shembull: </w:t>
      </w:r>
    </w:p>
    <w:p w:rsidR="009D67B7" w:rsidRPr="005536F3" w:rsidRDefault="009D67B7" w:rsidP="00252ECA">
      <w:pPr>
        <w:pStyle w:val="NormalWeb"/>
        <w:spacing w:line="214" w:lineRule="atLeast"/>
        <w:jc w:val="both"/>
        <w:rPr>
          <w:color w:val="000000"/>
          <w:lang w:val="sq-AL"/>
        </w:rPr>
      </w:pPr>
      <w:r w:rsidRPr="005536F3">
        <w:rPr>
          <w:color w:val="000000"/>
          <w:lang w:val="sq-AL"/>
        </w:rPr>
        <w:t>1. Njësia vendore "X" , në territorin e së cilës zhvillohet aktivitet shfrytëzimi nafte dhe/apo gazi, sipas tabelës 3 të ligjit nr. 185/2013, datë 28.12.2013 "Për buxhetin e vitit 2014", përfiton 10 000 mijë lekë transfertë të pakushtëzuar për vitin 2014. Struktura përgjegjëse në Ministrinë e Financave për disbursimin e rentës për njësitë vendore, kryen përllogaritjet e mëposhtme:</w:t>
      </w:r>
    </w:p>
    <w:p w:rsidR="009D67B7" w:rsidRPr="005536F3" w:rsidRDefault="009D67B7" w:rsidP="00252ECA">
      <w:pPr>
        <w:pStyle w:val="NormalWeb"/>
        <w:spacing w:before="0" w:after="0" w:line="214" w:lineRule="atLeast"/>
        <w:ind w:left="720"/>
        <w:jc w:val="both"/>
        <w:rPr>
          <w:color w:val="000000"/>
          <w:lang w:val="sq-AL"/>
        </w:rPr>
      </w:pPr>
      <w:r w:rsidRPr="005536F3">
        <w:rPr>
          <w:color w:val="000000"/>
          <w:lang w:val="sq-AL"/>
        </w:rPr>
        <w:t>a) Nëse sipas informacioneve që vijnë në Ministrinë e Financave nga drejtoritë rajonale të tatimeve/doganave, rezulton që njësia "X" përfiton 9 000 mijë lekë rentë minerare, atëherë meqenëse renta minerare është më e vogël sesa transferta e pakushtëzuar (9 000 &lt; 10 000), kjo njësi</w:t>
      </w:r>
      <w:r w:rsidRPr="005536F3">
        <w:rPr>
          <w:rStyle w:val="apple-converted-space"/>
          <w:rFonts w:eastAsia="MS Mincho"/>
          <w:color w:val="000000"/>
          <w:lang w:val="sq-AL"/>
        </w:rPr>
        <w:t xml:space="preserve"> nuk </w:t>
      </w:r>
      <w:r w:rsidRPr="005536F3">
        <w:rPr>
          <w:color w:val="000000"/>
          <w:lang w:val="sq-AL"/>
        </w:rPr>
        <w:t>përfiton pjesë nga renta minerare.</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b) Nëse sipas informacioneve që vijnë në Ministrinë e Financave nga drejtoritë rajonale të tatimeve/doganave rezulton se njësia "X" përfiton 10 000 mijë lekë rentë minerare, atëherë meqenëse renta minerare është e barabartë me transfertën e pakushtëzuar (1 000= 10 000), kjo njësi nuk përfiton pjesë nga renta minerare.</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c) Nëse sipas informacioneve që vijnë në Ministrinë e Financave nga drejtoritë rajonale të tatimeve dhe të doganave, rezulton që njësia "X" përfiton 15 000 mijë lekë rentë minerare, atëherë sipas aneksit nr. 1 të ligjit nr. 185/2013, datë 28.12.2013 "Për buxhetin e vitit 2014", njësisë "X" i takon t'i disbursohen deri në +50 për qind rentë minerare mbi transfertën e pakushtëzuar, pasi transferta dhe renta janë barazuar. Pra 0.5 x 10 000 mijë lekë =5 000 mijë lekë sipas kushtit që renta është 15 000 mijë lekë (15 000 - 10 000= 5 000= +50 për qind).</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Në këtë rast, struktura përgjegjëse në Ministrinë e Financave njofton drejtoritë rajonale të tatimeve dhe të doganave dhe njëkohësisht njësinë vendore "X" për masën e shpërndarjes së rentës minerare për shumën 5 000 mijë lekë në favor të kësaj njësie.</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ç) Në rast se njësia vendore "X" sipas informacioneve të drejtorive rajonale të tatimeve dhe doganave, përfiton 11 000 mijë lekë rentë minerare, atëherë asaj (njësisë "X") i transferohen 1 000 mijë lekë (meqenëse kushti është deri në +50 për qind mbi transfertën e pakushtëzuar, pasi renta dhe transferta të jenë barazuar).</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Në këtë rast, struktura përgjegjëse në Ministrinë e Financave njofton drejtoritë rajonale të tatimeve dhe doganave dhe njëkohësisht njësinë vendore "X" për masën e shpërndarjes së rentës minerare për shumën 1 000 mijë lekë në favor të kësaj njësie.</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d) Nëse sipas informacioneve që vijnë në Ministrinë e Financave nga drejtoritë rajonale të tatimeve dhe të doganave rezulton që njësia "X" përfiton 20 000 mijë lekë rentë minerare, atëherë kësaj njësie duhet t'i transferohen vetëm 5 000 mijë lekë, sepse kjo përfiton +50 për qind mbi transfertën e pakushtëzuar, pasi kjo të jetë barazuar me rentën. Shuma 20 000 mijë lekë plotëson kushtin e parë që është mbi nivelin e transfertës për 10 000 lekë dhe së dyti transferohen vetëm +50 për qind mbi transfertën, që në rastin tonë është 5 000 mijë lekë.</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Në këtë rast, struktura përgjegjëse në Ministrinë e Financave njofton drejtoritë rajonale të tatimeve dhe të doganave dhe njëkohësisht njësinë vendore "X" për masën e shpërndarjes së rentës minerare për shumën 5 000 mijë lekë në favor të kësaj njësie.</w:t>
      </w:r>
    </w:p>
    <w:p w:rsidR="009D67B7" w:rsidRPr="005536F3" w:rsidRDefault="009D67B7" w:rsidP="00252ECA">
      <w:pPr>
        <w:pStyle w:val="NormalWeb"/>
        <w:spacing w:line="214" w:lineRule="atLeast"/>
        <w:ind w:left="720"/>
        <w:jc w:val="both"/>
        <w:rPr>
          <w:color w:val="000000"/>
          <w:lang w:val="sq-AL"/>
        </w:rPr>
      </w:pPr>
    </w:p>
    <w:p w:rsidR="009D67B7" w:rsidRPr="005536F3" w:rsidRDefault="009D67B7" w:rsidP="00252ECA">
      <w:pPr>
        <w:pStyle w:val="NormalWeb"/>
        <w:numPr>
          <w:ilvl w:val="0"/>
          <w:numId w:val="13"/>
        </w:numPr>
        <w:tabs>
          <w:tab w:val="clear" w:pos="720"/>
          <w:tab w:val="num" w:pos="360"/>
        </w:tabs>
        <w:spacing w:line="214" w:lineRule="atLeast"/>
        <w:ind w:left="360"/>
        <w:jc w:val="both"/>
        <w:rPr>
          <w:color w:val="000000"/>
          <w:lang w:val="sq-AL"/>
        </w:rPr>
      </w:pPr>
      <w:r w:rsidRPr="005536F3">
        <w:rPr>
          <w:color w:val="000000"/>
          <w:lang w:val="sq-AL"/>
        </w:rPr>
        <w:t>Njësia vendore "Y", në territorin e së cilës zhvillohet aktivitet shfrytëzimi mineralesh, sipas tabelës 3 të ligjit nr. 185/2013, datë 28.12.2013 "Për buxhetin e vitit 2014", përfiton 10 000 mijë lekë transfertë të pakushtëzuar për vitin 2014. Struktura përgjegjëse në Ministrinë e Financave për disbursimin e rentës për njësitë vendore, kryen përllogaritjet e mëposhtme:</w:t>
      </w:r>
    </w:p>
    <w:p w:rsidR="009D67B7" w:rsidRPr="005536F3" w:rsidRDefault="009D67B7" w:rsidP="00252ECA">
      <w:pPr>
        <w:pStyle w:val="NormalWeb"/>
        <w:spacing w:before="0" w:after="0" w:line="214" w:lineRule="atLeast"/>
        <w:ind w:left="720"/>
        <w:jc w:val="both"/>
        <w:rPr>
          <w:color w:val="000000"/>
          <w:lang w:val="sq-AL"/>
        </w:rPr>
      </w:pPr>
      <w:r w:rsidRPr="005536F3">
        <w:rPr>
          <w:color w:val="000000"/>
          <w:lang w:val="sq-AL"/>
        </w:rPr>
        <w:t>a) Nëse sipas informacioneve që vijnë në Ministrinë e Financave nga drejtoritë rajonale të tatimeve/doganave, rezulton që njësia "Y" përfiton 9 000 mijë lekë rentë minerare, atëherë meqenëse renta minerare është më e vogël sesa transferta e pakushtëzuar (9 000 &lt; 10 000), kjo njësi</w:t>
      </w:r>
      <w:r w:rsidRPr="005536F3">
        <w:rPr>
          <w:rStyle w:val="apple-converted-space"/>
          <w:rFonts w:eastAsia="MS Mincho"/>
          <w:color w:val="000000"/>
          <w:lang w:val="sq-AL"/>
        </w:rPr>
        <w:t xml:space="preserve"> nuk </w:t>
      </w:r>
      <w:r w:rsidRPr="005536F3">
        <w:rPr>
          <w:color w:val="000000"/>
          <w:lang w:val="sq-AL"/>
        </w:rPr>
        <w:t>përfiton pjesë nga renta minerare.</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b) Nëse sipas informacioneve që vijnë në Ministrinë e Financave nga drejtoritë rajonale të tatimeve/doganave rezulton se njësia "Y" përfiton 10 000 mijë lekë rentë minerare, atëherë meqenëse renta minerare është e barabartë me transfertën e pakushtëzuar (1 000= 10 000), kjo njësi nuk përfiton pjesë nga renta minerare.</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c) Nëse sipas informacioneve që vijnë në Ministrinë e Financave nga drejtoritë rajonale të tatimeve dhe të doganave, rezulton që njësia " Y " përfiton 18 000 mijë lekë rentë minerare, atëherë sipas aneksit nr. 1 të ligjit nr. 185/2013, datë 28.12.2013 "Për buxhetin e vitit 2014", njësisë " Y " i takon t'i disbursohen deri në +80 për qind rentë minerare mbi transfertën e pakushtëzuar, pasi transferta dhe renta janë barazuar. Pra 0.8 x 10 000 mijë lekë = 8 000 mijë lekë sipas kushtit që renta është 18 000 mijë lekë (18 000 - 10 000= 8 000= +80 për qind).</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Në këtë rast, struktura përgjegjëse në Ministrinë e Financave njofton drejtoritë rajonale të tatimeve dhe të doganave dhe njëkohësisht njësinë vendore " Y " për masën e shpërndarjes së rentës minerare për shumën 8 000 mijë lekë në favor të kësaj njësie.</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ç) Në rast se njësia vendore " Y " sipas informacioneve të drejtorive rajonale të tatimeve dhe doganave, përfiton 11 000 mijë lekë rentë minerare, atëherë asaj (njësisë " Y ") i transferohen 1 000 mijë lekë (meqenëse kushti është deri në +80 për qind mbi transfertën e pakushtëzuar, pasi renta dhe transferta të jenë barazuar).</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Në këtë rast, struktura përgjegjëse në Ministrinë e Financave njofton drejtoritë rajonale të tatimeve dhe doganave dhe njëkohësisht njësinë vendore " Y " për masën e shpërndarjes së rentës minerare për shumën 1 000 mijë lekë në favor të kësaj njësie.</w:t>
      </w:r>
    </w:p>
    <w:p w:rsidR="009D67B7" w:rsidRPr="005536F3" w:rsidRDefault="009D67B7" w:rsidP="00252ECA">
      <w:pPr>
        <w:pStyle w:val="NormalWeb"/>
        <w:spacing w:line="214" w:lineRule="atLeast"/>
        <w:ind w:left="720"/>
        <w:jc w:val="both"/>
        <w:rPr>
          <w:color w:val="000000"/>
          <w:lang w:val="sq-AL"/>
        </w:rPr>
      </w:pPr>
      <w:r w:rsidRPr="005536F3">
        <w:rPr>
          <w:color w:val="000000"/>
          <w:lang w:val="sq-AL"/>
        </w:rPr>
        <w:t>d) Nëse sipas informacioneve që vijnë në Ministrinë e Financave nga drejtoritë rajonale të tatimeve dhe të doganave rezulton që njësia " Y " përfiton 20 000 mijë lekë rentë minerare, atëherë kësaj njësie duhet t'i transferohen vetëm 8 000 mijë lekë, sepse kjo përfiton +80 për qind mbi transfertën e pakushtëzuar, pasi kjo të jetë barazuar me rentën. Shuma 20 000 mijë lekë plotëson kushtin e parë që është mbi nivelin e transfertës për 10 000 lekë dhe së dyti transferohen vetëm +80 për qind mbi transfertën, që në rastin tonë është 8 000 mijë lekë.</w:t>
      </w:r>
    </w:p>
    <w:p w:rsidR="009D67B7" w:rsidRPr="005536F3" w:rsidRDefault="009D67B7" w:rsidP="00252ECA">
      <w:pPr>
        <w:pStyle w:val="NormalWeb"/>
        <w:spacing w:before="0" w:beforeAutospacing="0" w:after="0" w:afterAutospacing="0" w:line="214" w:lineRule="atLeast"/>
        <w:jc w:val="both"/>
        <w:rPr>
          <w:color w:val="000000"/>
          <w:lang w:val="sq-AL"/>
        </w:rPr>
      </w:pPr>
      <w:r w:rsidRPr="005536F3">
        <w:rPr>
          <w:color w:val="000000"/>
          <w:lang w:val="sq-AL"/>
        </w:rPr>
        <w:t>Në këtë rast, struktura përgjegjëse në Ministrinë e Financave njofton drejtoritë rajonale të tatimeve dhe të doganave dhe njëkohësisht njësinë vendore "Y" për masën e shpërndarjes së rentës minerare për shumën 8 000 mijë lekë në favor të kësaj njësie</w:t>
      </w:r>
      <w:r>
        <w:rPr>
          <w:color w:val="000000"/>
          <w:lang w:val="sq-AL"/>
        </w:rPr>
        <w:t>.”</w:t>
      </w:r>
    </w:p>
    <w:p w:rsidR="009D67B7" w:rsidRPr="00AA5527" w:rsidRDefault="009D67B7" w:rsidP="00C56705">
      <w:pPr>
        <w:pStyle w:val="Default"/>
        <w:rPr>
          <w:b/>
          <w:color w:val="auto"/>
        </w:rPr>
      </w:pPr>
    </w:p>
    <w:p w:rsidR="009D67B7" w:rsidRPr="00320CBD" w:rsidRDefault="009D67B7" w:rsidP="00C56705">
      <w:pPr>
        <w:pStyle w:val="Heading3"/>
        <w:widowControl w:val="0"/>
        <w:autoSpaceDE w:val="0"/>
        <w:autoSpaceDN w:val="0"/>
        <w:adjustRightInd w:val="0"/>
        <w:spacing w:before="0" w:after="0"/>
        <w:jc w:val="both"/>
        <w:rPr>
          <w:rFonts w:ascii="Times New Roman" w:hAnsi="Times New Roman"/>
          <w:b w:val="0"/>
          <w:bCs w:val="0"/>
          <w:sz w:val="24"/>
          <w:szCs w:val="24"/>
          <w:lang w:val="sq-AL"/>
        </w:rPr>
      </w:pPr>
    </w:p>
    <w:p w:rsidR="009D67B7" w:rsidRPr="00320CBD" w:rsidRDefault="009D67B7" w:rsidP="00C56705">
      <w:pPr>
        <w:pStyle w:val="Heading3"/>
        <w:widowControl w:val="0"/>
        <w:autoSpaceDE w:val="0"/>
        <w:autoSpaceDN w:val="0"/>
        <w:adjustRightInd w:val="0"/>
        <w:spacing w:before="0" w:after="0"/>
        <w:jc w:val="both"/>
        <w:rPr>
          <w:rFonts w:ascii="Times New Roman" w:hAnsi="Times New Roman"/>
          <w:b w:val="0"/>
          <w:sz w:val="24"/>
          <w:szCs w:val="24"/>
        </w:rPr>
      </w:pPr>
      <w:r>
        <w:rPr>
          <w:rFonts w:ascii="Times New Roman" w:hAnsi="Times New Roman"/>
          <w:bCs w:val="0"/>
          <w:sz w:val="24"/>
          <w:szCs w:val="24"/>
          <w:lang w:val="sq-AL"/>
        </w:rPr>
        <w:t>6</w:t>
      </w:r>
      <w:r w:rsidRPr="00320CBD">
        <w:rPr>
          <w:rFonts w:ascii="Times New Roman" w:hAnsi="Times New Roman"/>
          <w:b w:val="0"/>
          <w:bCs w:val="0"/>
          <w:sz w:val="24"/>
          <w:szCs w:val="24"/>
          <w:lang w:val="sq-AL"/>
        </w:rPr>
        <w:t>.</w:t>
      </w:r>
      <w:r>
        <w:rPr>
          <w:rFonts w:ascii="Times New Roman" w:hAnsi="Times New Roman"/>
          <w:b w:val="0"/>
          <w:bCs w:val="0"/>
          <w:sz w:val="24"/>
          <w:szCs w:val="24"/>
          <w:lang w:val="sq-AL"/>
        </w:rPr>
        <w:t xml:space="preserve"> </w:t>
      </w:r>
      <w:r w:rsidRPr="00320CBD">
        <w:rPr>
          <w:rFonts w:ascii="Times New Roman" w:hAnsi="Times New Roman"/>
          <w:b w:val="0"/>
          <w:bCs w:val="0"/>
          <w:sz w:val="24"/>
          <w:szCs w:val="24"/>
          <w:lang w:val="sq-AL"/>
        </w:rPr>
        <w:t>Pika 2.8 “</w:t>
      </w:r>
      <w:r w:rsidRPr="00320CBD">
        <w:rPr>
          <w:rFonts w:ascii="Times New Roman" w:hAnsi="Times New Roman"/>
          <w:b w:val="0"/>
          <w:sz w:val="24"/>
          <w:szCs w:val="24"/>
        </w:rPr>
        <w:t>Taksa e ambalazheve njëpërdorimësh të plastikës dhe të qelqit” ndryshohet me këtë përmbajtje:</w:t>
      </w:r>
    </w:p>
    <w:p w:rsidR="009D67B7" w:rsidRPr="00320CBD" w:rsidRDefault="009D67B7" w:rsidP="00CE3B93">
      <w:pPr>
        <w:pStyle w:val="Heading3"/>
        <w:widowControl w:val="0"/>
        <w:autoSpaceDE w:val="0"/>
        <w:autoSpaceDN w:val="0"/>
        <w:adjustRightInd w:val="0"/>
        <w:spacing w:before="0"/>
        <w:rPr>
          <w:rFonts w:ascii="Times New Roman" w:hAnsi="Times New Roman"/>
          <w:b w:val="0"/>
          <w:bCs w:val="0"/>
          <w:sz w:val="24"/>
          <w:szCs w:val="24"/>
          <w:lang w:val="sq-AL"/>
        </w:rPr>
      </w:pPr>
      <w:r w:rsidRPr="00320CBD">
        <w:rPr>
          <w:rFonts w:ascii="Times New Roman" w:hAnsi="Times New Roman"/>
          <w:b w:val="0"/>
          <w:bCs w:val="0"/>
          <w:sz w:val="24"/>
          <w:szCs w:val="24"/>
          <w:lang w:val="sq-AL"/>
        </w:rPr>
        <w:t>“2.8. Taksa e ambalazheve të plastikës dhe qelqit”</w:t>
      </w:r>
    </w:p>
    <w:p w:rsidR="009D67B7" w:rsidRPr="00320CBD" w:rsidRDefault="009D67B7" w:rsidP="00CE3B93">
      <w:pPr>
        <w:autoSpaceDE w:val="0"/>
        <w:autoSpaceDN w:val="0"/>
        <w:adjustRightInd w:val="0"/>
        <w:jc w:val="both"/>
        <w:rPr>
          <w:rFonts w:eastAsia="MS Mincho"/>
          <w:bCs/>
          <w:iCs/>
        </w:rPr>
      </w:pPr>
      <w:r w:rsidRPr="00320CBD">
        <w:t xml:space="preserve">2.8.1. Në zbatim të neneve 3, 4, dhe5 të ligjit nr 9975 datë 28.7.2008 “Për taksat kombëtare” i ndryshuar, </w:t>
      </w:r>
      <w:r w:rsidRPr="00320CBD">
        <w:rPr>
          <w:rFonts w:eastAsia="MS Mincho"/>
          <w:bCs/>
          <w:iCs/>
        </w:rPr>
        <w:t xml:space="preserve">taksa e ambalazheve plastike caktohet në masën 100 lekë/kg dhe zbatohet si në import, ashtu edhe në prodhimin vendas. Vetëm për industrinë vendase të riciklimit, taksa për ambalazhet e prodhuara nga riciklimi i mbetjeve plastike të gjeneruara në vend caktohet në masën 50 lekë/kg. </w:t>
      </w:r>
    </w:p>
    <w:p w:rsidR="009D67B7" w:rsidRPr="00320CBD" w:rsidRDefault="009D67B7" w:rsidP="00CE3B93">
      <w:pPr>
        <w:autoSpaceDE w:val="0"/>
        <w:autoSpaceDN w:val="0"/>
        <w:adjustRightInd w:val="0"/>
        <w:jc w:val="both"/>
        <w:rPr>
          <w:rFonts w:eastAsia="MS Mincho"/>
          <w:bCs/>
          <w:iCs/>
        </w:rPr>
      </w:pPr>
      <w:proofErr w:type="gramStart"/>
      <w:r w:rsidRPr="00320CBD">
        <w:rPr>
          <w:rFonts w:eastAsia="MS Mincho"/>
          <w:bCs/>
          <w:iCs/>
        </w:rPr>
        <w:t>Këto ambalazhe e kanë përmbajtjen prej lënde të parë plastike, sipas klasifikimit të dhënë në kapitullin 39 të Nomenklaturës së Kombinuar të Mallrave në fuqi.</w:t>
      </w:r>
      <w:proofErr w:type="gramEnd"/>
      <w:r w:rsidRPr="00320CBD">
        <w:rPr>
          <w:rFonts w:eastAsia="MS Mincho"/>
          <w:bCs/>
          <w:iCs/>
        </w:rPr>
        <w:t xml:space="preserve"> Kjo taksë zbatohet për të gjithë artikujt prej plastike të kreut 3923 të Nomenklaturës së Kombinuar të Mallrave, në rastet kur importohen veçmas apo prodhohen n</w:t>
      </w:r>
      <w:r>
        <w:rPr>
          <w:rFonts w:eastAsia="MS Mincho"/>
          <w:bCs/>
          <w:iCs/>
        </w:rPr>
        <w:t>ë</w:t>
      </w:r>
      <w:r w:rsidRPr="00320CBD">
        <w:rPr>
          <w:rFonts w:eastAsia="MS Mincho"/>
          <w:bCs/>
          <w:iCs/>
        </w:rPr>
        <w:t xml:space="preserve"> vend, si dhe kur materiali plastik zë, të paktën, 51 për qind të masës së përgjithshme të ambalazhit që ambalazhon produkte të tjera të klasifikuara në kapitujt, krerët, nënkrerët dhe kodet e tjera tarifore të Nomenklaturës së Kombinuar të Mallrave p</w:t>
      </w:r>
      <w:r>
        <w:rPr>
          <w:rFonts w:eastAsia="MS Mincho"/>
          <w:bCs/>
          <w:iCs/>
        </w:rPr>
        <w:t>ë</w:t>
      </w:r>
      <w:r w:rsidRPr="00320CBD">
        <w:rPr>
          <w:rFonts w:eastAsia="MS Mincho"/>
          <w:bCs/>
          <w:iCs/>
        </w:rPr>
        <w:t>r produkte q</w:t>
      </w:r>
      <w:r>
        <w:rPr>
          <w:rFonts w:eastAsia="MS Mincho"/>
          <w:bCs/>
          <w:iCs/>
        </w:rPr>
        <w:t>ë</w:t>
      </w:r>
      <w:r w:rsidRPr="00320CBD">
        <w:rPr>
          <w:rFonts w:eastAsia="MS Mincho"/>
          <w:bCs/>
          <w:iCs/>
        </w:rPr>
        <w:t xml:space="preserve"> importohen apo prodhohen n</w:t>
      </w:r>
      <w:r>
        <w:rPr>
          <w:rFonts w:eastAsia="MS Mincho"/>
          <w:bCs/>
          <w:iCs/>
        </w:rPr>
        <w:t>ë</w:t>
      </w:r>
      <w:r w:rsidRPr="00320CBD">
        <w:rPr>
          <w:rFonts w:eastAsia="MS Mincho"/>
          <w:bCs/>
          <w:iCs/>
        </w:rPr>
        <w:t xml:space="preserve"> vend. </w:t>
      </w:r>
    </w:p>
    <w:p w:rsidR="009D67B7" w:rsidRPr="00320CBD" w:rsidRDefault="009D67B7" w:rsidP="00CE3B93">
      <w:pPr>
        <w:autoSpaceDE w:val="0"/>
        <w:autoSpaceDN w:val="0"/>
        <w:adjustRightInd w:val="0"/>
        <w:jc w:val="both"/>
        <w:rPr>
          <w:rFonts w:eastAsia="MS Mincho"/>
          <w:bCs/>
          <w:iCs/>
        </w:rPr>
      </w:pPr>
      <w:proofErr w:type="gramStart"/>
      <w:r w:rsidRPr="00320CBD">
        <w:t>Kjo taksë mblidhet nga administrata doganore në momentin e importit, në rastet kur ambalazhet plastike importohen dhe pagesa e taksës kryhet pranë degëve doganore ku janë kryer procedurat e zhdoganimit.</w:t>
      </w:r>
      <w:proofErr w:type="gramEnd"/>
    </w:p>
    <w:p w:rsidR="009D67B7" w:rsidRPr="00320CBD" w:rsidRDefault="009D67B7" w:rsidP="00CE3B93">
      <w:pPr>
        <w:autoSpaceDE w:val="0"/>
        <w:autoSpaceDN w:val="0"/>
        <w:adjustRightInd w:val="0"/>
        <w:jc w:val="both"/>
        <w:rPr>
          <w:rFonts w:eastAsia="MS Mincho"/>
          <w:bCs/>
          <w:iCs/>
        </w:rPr>
      </w:pPr>
      <w:proofErr w:type="gramStart"/>
      <w:r w:rsidRPr="00320CBD">
        <w:rPr>
          <w:rFonts w:eastAsia="MS Mincho"/>
          <w:bCs/>
          <w:iCs/>
        </w:rPr>
        <w:t xml:space="preserve">Kjo taksë mblidhet nga administrata tatimore </w:t>
      </w:r>
      <w:r w:rsidRPr="00320CBD">
        <w:t xml:space="preserve">në rastet kur ambalazhet plastike </w:t>
      </w:r>
      <w:r w:rsidRPr="00320CBD">
        <w:rPr>
          <w:rFonts w:eastAsia="MS Mincho"/>
          <w:bCs/>
          <w:iCs/>
        </w:rPr>
        <w:t>prodhohen në territorin e Republikës së Shqipërisë.</w:t>
      </w:r>
      <w:proofErr w:type="gramEnd"/>
      <w:r w:rsidRPr="00320CBD">
        <w:rPr>
          <w:rFonts w:eastAsia="MS Mincho"/>
          <w:bCs/>
          <w:iCs/>
        </w:rPr>
        <w:t xml:space="preserve"> Prodhuesi paguan në Bankën e nivelit të dytë për llogari të drejtorisë rajonale tatimore ku është regjistruar, taksën për të gjithë sasinë e shitur, </w:t>
      </w:r>
      <w:proofErr w:type="gramStart"/>
      <w:r w:rsidRPr="00320CBD">
        <w:rPr>
          <w:rFonts w:eastAsia="MS Mincho"/>
          <w:bCs/>
          <w:iCs/>
        </w:rPr>
        <w:t>brenda</w:t>
      </w:r>
      <w:proofErr w:type="gramEnd"/>
      <w:r w:rsidRPr="00320CBD">
        <w:rPr>
          <w:rFonts w:eastAsia="MS Mincho"/>
          <w:bCs/>
          <w:iCs/>
        </w:rPr>
        <w:t xml:space="preserve"> datës 5 të muajit pasardhës. </w:t>
      </w:r>
    </w:p>
    <w:p w:rsidR="009D67B7" w:rsidRPr="00320CBD" w:rsidRDefault="009D67B7" w:rsidP="00CE3B93">
      <w:pPr>
        <w:autoSpaceDE w:val="0"/>
        <w:autoSpaceDN w:val="0"/>
        <w:adjustRightInd w:val="0"/>
        <w:jc w:val="both"/>
        <w:rPr>
          <w:rFonts w:eastAsia="MS Mincho"/>
          <w:bCs/>
          <w:iCs/>
        </w:rPr>
      </w:pPr>
      <w:r w:rsidRPr="00320CBD">
        <w:rPr>
          <w:rFonts w:eastAsia="MS Mincho"/>
          <w:bCs/>
          <w:iCs/>
        </w:rPr>
        <w:t xml:space="preserve">Taksa për ambalazhet e prodhuara nga riciklimi i mbetjeve plastike të gjeneruara në vend caktohet në masën 50 lekë/kg, me kusht që subjekti ta provojë këtë fakt me anë të kartës teknologjike të prodhimit, deklaratave të importimit të lëndëve të para, si dhe dokumentimit të blerjeve të lëndëve të para </w:t>
      </w:r>
      <w:proofErr w:type="gramStart"/>
      <w:r w:rsidRPr="00320CBD">
        <w:rPr>
          <w:rFonts w:eastAsia="MS Mincho"/>
          <w:bCs/>
          <w:iCs/>
        </w:rPr>
        <w:t>brenda</w:t>
      </w:r>
      <w:proofErr w:type="gramEnd"/>
      <w:r w:rsidRPr="00320CBD">
        <w:rPr>
          <w:rFonts w:eastAsia="MS Mincho"/>
          <w:bCs/>
          <w:iCs/>
        </w:rPr>
        <w:t xml:space="preserve"> vendit. </w:t>
      </w:r>
      <w:proofErr w:type="gramStart"/>
      <w:r w:rsidRPr="00320CBD">
        <w:rPr>
          <w:rFonts w:eastAsia="MS Mincho"/>
          <w:bCs/>
          <w:iCs/>
        </w:rPr>
        <w:t>Kjo taksë mblidhet nga administrata tatimore në rastet kur produktet paketohen, ruhen apo ambalazhohen me ambalazh plastik, të prodhuar nga riciklimi i mbetjeve plastike të gjeneruara në territorin e Republikës së Shqipërisë.</w:t>
      </w:r>
      <w:proofErr w:type="gramEnd"/>
      <w:r w:rsidRPr="00320CBD">
        <w:rPr>
          <w:rFonts w:eastAsia="MS Mincho"/>
          <w:bCs/>
          <w:iCs/>
        </w:rPr>
        <w:t xml:space="preserve"> </w:t>
      </w:r>
      <w:proofErr w:type="gramStart"/>
      <w:r w:rsidRPr="00320CBD">
        <w:rPr>
          <w:rFonts w:eastAsia="MS Mincho"/>
          <w:bCs/>
          <w:iCs/>
        </w:rPr>
        <w:t>Administrata tatimore është përgjegjëse për monitorimin e lëndëve të prodhuara nga riciklimi për qëllime përdorimi të ambalazheve.</w:t>
      </w:r>
      <w:proofErr w:type="gramEnd"/>
    </w:p>
    <w:p w:rsidR="009D67B7" w:rsidRPr="00320CBD" w:rsidRDefault="009D67B7" w:rsidP="00CE3B93">
      <w:pPr>
        <w:jc w:val="both"/>
        <w:rPr>
          <w:rFonts w:eastAsia="MS Mincho"/>
          <w:bCs/>
          <w:iCs/>
        </w:rPr>
      </w:pPr>
      <w:r w:rsidRPr="00320CBD">
        <w:rPr>
          <w:rFonts w:eastAsia="MS Mincho"/>
          <w:bCs/>
          <w:iCs/>
        </w:rPr>
        <w:t xml:space="preserve">b) Taksa e ambalazheve të qelqit caktohet në masën 10 lekë/kg dhe zbatohet si në import, ashtu edhe në prodhimin </w:t>
      </w:r>
      <w:proofErr w:type="gramStart"/>
      <w:r w:rsidRPr="00320CBD">
        <w:rPr>
          <w:rFonts w:eastAsia="MS Mincho"/>
          <w:bCs/>
          <w:iCs/>
        </w:rPr>
        <w:t>vendas</w:t>
      </w:r>
      <w:proofErr w:type="gramEnd"/>
      <w:r w:rsidRPr="00320CBD">
        <w:rPr>
          <w:rFonts w:eastAsia="MS Mincho"/>
          <w:bCs/>
          <w:iCs/>
        </w:rPr>
        <w:t>. Kjo taksë zbatohet për të gjithë artikujt prej qelqi të përmendur në kreun 7010 të Nomenklaturës së Kombinuar të Mallrave, në rastet kur importohen veçmas, si dhe kur materiali i qelqit zë, të paktën, 80 për qind të masës së përgjithshme të ambalazhit që ambalazhon produkte të tjera të klasifikuara në kapitujt, krerët, nënkrerët dhe kodet e tjera tarifore të Nomenklaturës së Kombinuar të Mallrave.</w:t>
      </w:r>
    </w:p>
    <w:p w:rsidR="009D67B7" w:rsidRPr="00320CBD" w:rsidRDefault="009D67B7" w:rsidP="00CE3B93">
      <w:pPr>
        <w:autoSpaceDE w:val="0"/>
        <w:autoSpaceDN w:val="0"/>
        <w:adjustRightInd w:val="0"/>
        <w:jc w:val="both"/>
        <w:rPr>
          <w:rFonts w:eastAsia="MS Mincho"/>
          <w:bCs/>
          <w:iCs/>
        </w:rPr>
      </w:pPr>
      <w:proofErr w:type="gramStart"/>
      <w:r w:rsidRPr="00320CBD">
        <w:t>Kjo taksë mblidhet nga administrata doganore në momentin e importit, në rastet kur ambalazhet plastike importohen dhe pagesa e taksës kryhet pranë degëve doganore ku janë kryer procedurat e zhdoganimit.</w:t>
      </w:r>
      <w:proofErr w:type="gramEnd"/>
    </w:p>
    <w:p w:rsidR="009D67B7" w:rsidRPr="00B36E09" w:rsidRDefault="009D67B7" w:rsidP="00B36E09">
      <w:pPr>
        <w:pStyle w:val="CommentText"/>
        <w:jc w:val="both"/>
        <w:rPr>
          <w:rFonts w:ascii="Times New Roman" w:hAnsi="Times New Roman"/>
          <w:sz w:val="24"/>
          <w:szCs w:val="24"/>
        </w:rPr>
      </w:pPr>
      <w:proofErr w:type="gramStart"/>
      <w:r w:rsidRPr="009A4136">
        <w:rPr>
          <w:rFonts w:ascii="Times New Roman" w:eastAsia="MS Mincho" w:hAnsi="Times New Roman"/>
          <w:bCs/>
          <w:iCs/>
          <w:sz w:val="24"/>
          <w:szCs w:val="24"/>
        </w:rPr>
        <w:t xml:space="preserve">Kjo taksë mblidhet nga administrata tatimore </w:t>
      </w:r>
      <w:r w:rsidRPr="009A4136">
        <w:rPr>
          <w:rFonts w:ascii="Times New Roman" w:hAnsi="Times New Roman"/>
          <w:sz w:val="24"/>
          <w:szCs w:val="24"/>
        </w:rPr>
        <w:t xml:space="preserve">në rastet kur ambalazhet plastike </w:t>
      </w:r>
      <w:r w:rsidRPr="009A4136">
        <w:rPr>
          <w:rFonts w:ascii="Times New Roman" w:eastAsia="MS Mincho" w:hAnsi="Times New Roman"/>
          <w:bCs/>
          <w:iCs/>
          <w:sz w:val="24"/>
          <w:szCs w:val="24"/>
        </w:rPr>
        <w:t>prodhohen në territorin e Republikës së Shqipërisë.</w:t>
      </w:r>
      <w:proofErr w:type="gramEnd"/>
      <w:r w:rsidRPr="009A4136">
        <w:rPr>
          <w:rFonts w:ascii="Times New Roman" w:eastAsia="MS Mincho" w:hAnsi="Times New Roman"/>
          <w:bCs/>
          <w:iCs/>
          <w:sz w:val="24"/>
          <w:szCs w:val="24"/>
        </w:rPr>
        <w:t xml:space="preserve"> Prodhuesi paguan në bankën e nivelit të dytë për llogari të drejtorisë rajonale tatimore ku është regjistruar, taksën për të gjithë sasinë e shitur, </w:t>
      </w:r>
      <w:proofErr w:type="gramStart"/>
      <w:r w:rsidRPr="009A4136">
        <w:rPr>
          <w:rFonts w:ascii="Times New Roman" w:eastAsia="MS Mincho" w:hAnsi="Times New Roman"/>
          <w:bCs/>
          <w:iCs/>
          <w:sz w:val="24"/>
          <w:szCs w:val="24"/>
        </w:rPr>
        <w:t>brenda</w:t>
      </w:r>
      <w:proofErr w:type="gramEnd"/>
      <w:r w:rsidRPr="009A4136">
        <w:rPr>
          <w:rFonts w:ascii="Times New Roman" w:eastAsia="MS Mincho" w:hAnsi="Times New Roman"/>
          <w:bCs/>
          <w:iCs/>
          <w:sz w:val="24"/>
          <w:szCs w:val="24"/>
        </w:rPr>
        <w:t xml:space="preserve"> datës 5 të muajit pasardhës. </w:t>
      </w:r>
      <w:proofErr w:type="gramStart"/>
      <w:r w:rsidRPr="009A4136">
        <w:rPr>
          <w:rFonts w:ascii="Times New Roman" w:hAnsi="Times New Roman"/>
          <w:sz w:val="24"/>
          <w:szCs w:val="24"/>
        </w:rPr>
        <w:t>Prodhuesi duhet të plotësojë e të dorëzojë në drejtorinë rajonale tatimore ku është regjistruar, formularin nr.</w:t>
      </w:r>
      <w:proofErr w:type="gramEnd"/>
      <w:r w:rsidRPr="009A4136">
        <w:rPr>
          <w:rFonts w:ascii="Times New Roman" w:hAnsi="Times New Roman"/>
          <w:sz w:val="24"/>
          <w:szCs w:val="24"/>
        </w:rPr>
        <w:t xml:space="preserve"> 1, bashkëlidhur këtij udhëzimi, duke deklaruar sasinë e shitur dhe duke i bashkëlidhur mandatpagesën për taksën e paguar</w:t>
      </w:r>
    </w:p>
    <w:p w:rsidR="009D67B7" w:rsidRPr="00320CBD" w:rsidRDefault="009D67B7" w:rsidP="00CE3B93">
      <w:pPr>
        <w:autoSpaceDE w:val="0"/>
        <w:autoSpaceDN w:val="0"/>
        <w:adjustRightInd w:val="0"/>
        <w:jc w:val="both"/>
        <w:rPr>
          <w:rFonts w:eastAsia="MS Mincho"/>
          <w:bCs/>
          <w:iCs/>
        </w:rPr>
      </w:pPr>
    </w:p>
    <w:p w:rsidR="009D67B7" w:rsidRPr="00320CBD" w:rsidRDefault="009D67B7" w:rsidP="00CE3B93">
      <w:pPr>
        <w:pStyle w:val="Heading3"/>
        <w:widowControl w:val="0"/>
        <w:autoSpaceDE w:val="0"/>
        <w:autoSpaceDN w:val="0"/>
        <w:adjustRightInd w:val="0"/>
        <w:spacing w:before="0"/>
        <w:jc w:val="both"/>
        <w:rPr>
          <w:rFonts w:ascii="Times New Roman" w:hAnsi="Times New Roman"/>
          <w:b w:val="0"/>
          <w:bCs w:val="0"/>
          <w:sz w:val="24"/>
          <w:szCs w:val="24"/>
          <w:lang w:val="sq-AL"/>
        </w:rPr>
      </w:pPr>
      <w:r w:rsidRPr="00320CBD">
        <w:rPr>
          <w:rFonts w:ascii="Times New Roman" w:hAnsi="Times New Roman"/>
          <w:b w:val="0"/>
          <w:bCs w:val="0"/>
          <w:sz w:val="24"/>
          <w:szCs w:val="24"/>
          <w:lang w:val="sq-AL"/>
        </w:rPr>
        <w:t xml:space="preserve">2.8.2 Për qëllim të këtij Udhëzimi dhe në zbatim të ligjit 9975 datë 28.7.2008 </w:t>
      </w:r>
      <w:r w:rsidRPr="00320CBD">
        <w:rPr>
          <w:rFonts w:ascii="Times New Roman" w:hAnsi="Times New Roman"/>
          <w:b w:val="0"/>
          <w:sz w:val="24"/>
          <w:szCs w:val="24"/>
          <w:lang w:val="sq-AL"/>
        </w:rPr>
        <w:t>“Për taksat kombëtare” i ndryshuar</w:t>
      </w:r>
      <w:r w:rsidRPr="00320CBD">
        <w:rPr>
          <w:rFonts w:ascii="Times New Roman" w:hAnsi="Times New Roman"/>
          <w:b w:val="0"/>
          <w:bCs w:val="0"/>
          <w:sz w:val="24"/>
          <w:szCs w:val="24"/>
          <w:lang w:val="sq-AL"/>
        </w:rPr>
        <w:t>, “TAM” është shkurtimi i taksës së ambalazhit.</w:t>
      </w:r>
    </w:p>
    <w:p w:rsidR="009D67B7" w:rsidRPr="00320CBD" w:rsidRDefault="009D67B7" w:rsidP="00CE3B93">
      <w:pPr>
        <w:pStyle w:val="Default"/>
        <w:spacing w:line="276" w:lineRule="auto"/>
        <w:jc w:val="both"/>
        <w:rPr>
          <w:color w:val="auto"/>
        </w:rPr>
      </w:pPr>
      <w:r w:rsidRPr="00320CBD">
        <w:rPr>
          <w:bCs/>
          <w:iCs/>
          <w:color w:val="auto"/>
        </w:rPr>
        <w:t xml:space="preserve">2.8.3. </w:t>
      </w:r>
      <w:r w:rsidRPr="00320CBD">
        <w:rPr>
          <w:color w:val="auto"/>
        </w:rPr>
        <w:t xml:space="preserve">Importuesi për qëllimet e aplikimit të TAM duhet të marrë masa që, vetë apo nëpërmjet kompanisë prodhuese apo eksportuese, të bëjë ndarjen e llojeve të ambalazhit të produkteve të importuara. </w:t>
      </w:r>
      <w:proofErr w:type="gramStart"/>
      <w:r w:rsidRPr="00320CBD">
        <w:rPr>
          <w:color w:val="auto"/>
        </w:rPr>
        <w:t>Deklarimi i ambalazhit në DAV në import bëhet në nivel artikulli.</w:t>
      </w:r>
      <w:proofErr w:type="gramEnd"/>
      <w:r w:rsidRPr="00320CBD">
        <w:rPr>
          <w:color w:val="auto"/>
        </w:rPr>
        <w:t xml:space="preserve"> Kur për të njëjtin artikull ka ambalazhe të ndryshme, sipas kategorizimit plastikë apo qelq, detyrimisht në DAV për artikujt me kod tarifor të njëjtë do të bëhet deklarimi i ndarë (me BIS), por me kod të ndryshëm ambalazhi (kutia 31 e DAV). </w:t>
      </w:r>
    </w:p>
    <w:p w:rsidR="009D67B7" w:rsidRPr="00320CBD" w:rsidRDefault="009D67B7" w:rsidP="00CE3B93">
      <w:pPr>
        <w:pStyle w:val="Default"/>
        <w:spacing w:line="276" w:lineRule="auto"/>
        <w:jc w:val="both"/>
        <w:rPr>
          <w:color w:val="auto"/>
        </w:rPr>
      </w:pPr>
      <w:r w:rsidRPr="00320CBD">
        <w:rPr>
          <w:color w:val="auto"/>
        </w:rPr>
        <w:t xml:space="preserve">2.8.4 </w:t>
      </w:r>
      <w:r w:rsidRPr="00320CBD">
        <w:rPr>
          <w:bCs/>
          <w:iCs/>
          <w:color w:val="auto"/>
        </w:rPr>
        <w:t>Në</w:t>
      </w:r>
      <w:r w:rsidRPr="00320CBD">
        <w:rPr>
          <w:bCs/>
          <w:i/>
          <w:iCs/>
          <w:color w:val="auto"/>
        </w:rPr>
        <w:t xml:space="preserve"> </w:t>
      </w:r>
      <w:r w:rsidRPr="00320CBD">
        <w:rPr>
          <w:color w:val="auto"/>
        </w:rPr>
        <w:t xml:space="preserve">llogaritjen e TAM </w:t>
      </w:r>
      <w:r w:rsidRPr="00320CBD">
        <w:rPr>
          <w:bCs/>
          <w:iCs/>
          <w:color w:val="auto"/>
        </w:rPr>
        <w:t>zbritet pesha e paletave transportuese të drurit, të kartonit apo atyre metalike nga pesha përkatëse bruto.</w:t>
      </w:r>
    </w:p>
    <w:p w:rsidR="009D67B7" w:rsidRPr="00320CBD" w:rsidRDefault="009D67B7" w:rsidP="00CE3B93">
      <w:pPr>
        <w:pStyle w:val="Default"/>
        <w:spacing w:line="276" w:lineRule="auto"/>
        <w:jc w:val="both"/>
        <w:rPr>
          <w:color w:val="auto"/>
        </w:rPr>
      </w:pPr>
      <w:r w:rsidRPr="00320CBD">
        <w:rPr>
          <w:color w:val="auto"/>
        </w:rPr>
        <w:t>Shembuj:</w:t>
      </w:r>
    </w:p>
    <w:p w:rsidR="009D67B7" w:rsidRPr="00320CBD" w:rsidRDefault="009D67B7" w:rsidP="00CE3B93">
      <w:pPr>
        <w:pStyle w:val="Default"/>
        <w:numPr>
          <w:ilvl w:val="0"/>
          <w:numId w:val="12"/>
        </w:numPr>
        <w:spacing w:line="276" w:lineRule="auto"/>
        <w:jc w:val="both"/>
        <w:rPr>
          <w:b/>
          <w:bCs/>
          <w:i/>
          <w:iCs/>
          <w:color w:val="auto"/>
        </w:rPr>
      </w:pPr>
      <w:r w:rsidRPr="00320CBD">
        <w:rPr>
          <w:color w:val="auto"/>
        </w:rPr>
        <w:t xml:space="preserve">Në rast se në import paraqitet ambalazh plastik, sipas kodeve tarifore </w:t>
      </w:r>
      <w:r w:rsidRPr="00320CBD">
        <w:rPr>
          <w:bCs/>
          <w:iCs/>
          <w:color w:val="auto"/>
        </w:rPr>
        <w:t>të kreut 3923 të NK</w:t>
      </w:r>
      <w:r w:rsidRPr="00320CBD">
        <w:rPr>
          <w:color w:val="auto"/>
        </w:rPr>
        <w:t>, TAM llogaritet mbi</w:t>
      </w:r>
      <w:r w:rsidRPr="00320CBD">
        <w:rPr>
          <w:b/>
          <w:i/>
          <w:color w:val="auto"/>
        </w:rPr>
        <w:t xml:space="preserve"> bazën e peshës neto, duke</w:t>
      </w:r>
      <w:r w:rsidRPr="00320CBD">
        <w:rPr>
          <w:color w:val="auto"/>
        </w:rPr>
        <w:t xml:space="preserve"> </w:t>
      </w:r>
      <w:r w:rsidRPr="00320CBD">
        <w:rPr>
          <w:b/>
          <w:bCs/>
          <w:i/>
          <w:iCs/>
          <w:color w:val="auto"/>
        </w:rPr>
        <w:t>aplikuar nivel taksimi 100 lekë/kg</w:t>
      </w:r>
    </w:p>
    <w:p w:rsidR="009D67B7" w:rsidRPr="00320CBD" w:rsidRDefault="009D67B7" w:rsidP="00CE3B93">
      <w:pPr>
        <w:pStyle w:val="Default"/>
        <w:numPr>
          <w:ilvl w:val="0"/>
          <w:numId w:val="12"/>
        </w:numPr>
        <w:spacing w:line="276" w:lineRule="auto"/>
        <w:jc w:val="both"/>
        <w:rPr>
          <w:b/>
          <w:bCs/>
          <w:i/>
          <w:iCs/>
          <w:color w:val="auto"/>
        </w:rPr>
      </w:pPr>
      <w:r w:rsidRPr="00320CBD">
        <w:rPr>
          <w:color w:val="auto"/>
        </w:rPr>
        <w:t xml:space="preserve">Në rast se në import paraqiten mallra në ambalazh qelqi, sipas kodeve tariforë të kreut 7010 të NK, TAM llogaritet </w:t>
      </w:r>
      <w:r w:rsidRPr="00320CBD">
        <w:rPr>
          <w:b/>
          <w:bCs/>
          <w:i/>
          <w:iCs/>
          <w:color w:val="auto"/>
        </w:rPr>
        <w:t xml:space="preserve">në bazë të peshës neto, duke aplikuar niveli taksimi 10 lek/kg; </w:t>
      </w:r>
    </w:p>
    <w:p w:rsidR="009D67B7" w:rsidRPr="00320CBD" w:rsidRDefault="009D67B7" w:rsidP="00CE3B93">
      <w:pPr>
        <w:pStyle w:val="Default"/>
        <w:numPr>
          <w:ilvl w:val="0"/>
          <w:numId w:val="12"/>
        </w:numPr>
        <w:spacing w:line="276" w:lineRule="auto"/>
        <w:jc w:val="both"/>
        <w:rPr>
          <w:color w:val="auto"/>
        </w:rPr>
      </w:pPr>
      <w:r w:rsidRPr="00320CBD">
        <w:rPr>
          <w:color w:val="auto"/>
        </w:rPr>
        <w:t>Në rast se në import paraqiten mallra të klasifikuara në kode tarifore të tjerë të NK-së, në kutinë 31 të DAV përdoret kodi përkatës i amblazhit plastik, dhe TAM zbatohet mbi diferencën e peshës bruto me atë neto, duke aplikuar nivel taksimi 100 lekë/kg. Në kutinë 38 të DAV si peshe neto plotësohet pesha e produktit të konsumueshëm pa asnjë lloj ambalazhi;</w:t>
      </w:r>
    </w:p>
    <w:p w:rsidR="009D67B7" w:rsidRPr="00320CBD" w:rsidRDefault="009D67B7" w:rsidP="00CE3B93">
      <w:pPr>
        <w:pStyle w:val="Default"/>
        <w:numPr>
          <w:ilvl w:val="0"/>
          <w:numId w:val="12"/>
        </w:numPr>
        <w:spacing w:line="276" w:lineRule="auto"/>
        <w:jc w:val="both"/>
        <w:rPr>
          <w:color w:val="auto"/>
        </w:rPr>
      </w:pPr>
      <w:r w:rsidRPr="00320CBD">
        <w:rPr>
          <w:color w:val="auto"/>
        </w:rPr>
        <w:t xml:space="preserve">Në rast se në import paraqiten mallra të klasifikuara në kode tarifore të tjerë të NK-së, në kutinë 31 të DAV përdoret kodi përkatës i amblazhit të qelqit, dhe TAM zbatohet mbi diferencën e peshës bruto me atë neto, duke aplikuar nivel taksimi 10 lekë/kg. Në kutinë 38 të DAV si peshe neto plotësohet pesha e produktit të konsumueshëm pa asnjë lloj ambalazhi; </w:t>
      </w:r>
    </w:p>
    <w:p w:rsidR="009D67B7" w:rsidRPr="00320CBD" w:rsidRDefault="009D67B7" w:rsidP="00CE3B93">
      <w:pPr>
        <w:pStyle w:val="Default"/>
        <w:numPr>
          <w:ilvl w:val="0"/>
          <w:numId w:val="12"/>
        </w:numPr>
        <w:spacing w:line="276" w:lineRule="auto"/>
        <w:jc w:val="both"/>
        <w:rPr>
          <w:color w:val="auto"/>
        </w:rPr>
      </w:pPr>
      <w:r w:rsidRPr="00320CBD">
        <w:rPr>
          <w:color w:val="auto"/>
        </w:rPr>
        <w:t xml:space="preserve">Në rast se në import, në të njëjtën ngarkesë, paraqiten mallra që janë të klasifikuara në krerët 3923 dhe 7010 të NK-së (pra ka edhe ambalazh plastik bosh edhe ambalazh qelqi bosh), atëherë DAV plotësohet në nivel artikulli (pra me BIS); llogaritja e taksës për çdo artikull është sipas peshës neto përkatëse; </w:t>
      </w:r>
    </w:p>
    <w:p w:rsidR="009D67B7" w:rsidRPr="00320CBD" w:rsidRDefault="009D67B7" w:rsidP="00CE3B93">
      <w:pPr>
        <w:pStyle w:val="Default"/>
        <w:numPr>
          <w:ilvl w:val="0"/>
          <w:numId w:val="12"/>
        </w:numPr>
        <w:spacing w:line="276" w:lineRule="auto"/>
        <w:jc w:val="both"/>
        <w:rPr>
          <w:color w:val="auto"/>
        </w:rPr>
      </w:pPr>
      <w:r w:rsidRPr="00320CBD">
        <w:rPr>
          <w:color w:val="auto"/>
        </w:rPr>
        <w:t>Në rast se në import, në të njëjtën ngarkesë, paraqiten mallra që janë të paketuara në ambalazh plastik dhe qelqi (p.sh. vaj vegjetal i ambalazhuar një pjesë në shishe plastike dhe një pjesë në shishe qelqi), atëherë DAV plotësohet në nivel artikulli (pra me BIS), duke përdorur kode të ndryshme ambalazhi për sasitë respektive; llogaritja e taksës për çdo artikull është sipas diferëncës së peshës bruto me atë neto për çdo artikull;</w:t>
      </w:r>
    </w:p>
    <w:p w:rsidR="009D67B7" w:rsidRPr="00320CBD" w:rsidRDefault="009D67B7" w:rsidP="00CE3B93">
      <w:pPr>
        <w:pStyle w:val="Default"/>
        <w:numPr>
          <w:ilvl w:val="0"/>
          <w:numId w:val="12"/>
        </w:numPr>
        <w:spacing w:line="276" w:lineRule="auto"/>
        <w:jc w:val="both"/>
        <w:rPr>
          <w:color w:val="auto"/>
        </w:rPr>
      </w:pPr>
      <w:r w:rsidRPr="00320CBD">
        <w:rPr>
          <w:color w:val="auto"/>
        </w:rPr>
        <w:t>Në rastet e importimit të produkteve gjysmë të gatshme (si psh pipeta), të cilat janë qartësisht të destinuara për prodhimin e ambalazheve të plastikës apo qelqit, TAM paguhet në momentin e importimit, pavarësisht nëse importuesi i importon këto produkte në funksion të aktivitetit të vet prodhues apo është importues i këtyre produkteve për qëllime tregtare;</w:t>
      </w:r>
    </w:p>
    <w:p w:rsidR="009D67B7" w:rsidRPr="00320CBD" w:rsidRDefault="009D67B7" w:rsidP="00CE3B93">
      <w:pPr>
        <w:pStyle w:val="Default"/>
        <w:spacing w:line="276" w:lineRule="auto"/>
        <w:jc w:val="both"/>
        <w:rPr>
          <w:bCs/>
          <w:iCs/>
          <w:color w:val="auto"/>
        </w:rPr>
      </w:pPr>
      <w:r w:rsidRPr="00320CBD">
        <w:rPr>
          <w:bCs/>
          <w:iCs/>
          <w:color w:val="auto"/>
        </w:rPr>
        <w:t xml:space="preserve">2.8.5. Për mallrat me ambalazhe plastikë apo qelqi, të prodhuara në vend, TAM do të paguhet në momentin e shitjes së mallrave, me faturë tatimore. Për efekt pagese, subjekti prodhues do të ndajë në faturën tatimore çdo shitje të mallrave sipas kapacitetit mbajtës të ambalazhit. </w:t>
      </w:r>
    </w:p>
    <w:p w:rsidR="009D67B7" w:rsidRPr="00320CBD" w:rsidRDefault="009D67B7" w:rsidP="00CE3B93">
      <w:pPr>
        <w:pStyle w:val="Default"/>
        <w:spacing w:line="276" w:lineRule="auto"/>
        <w:jc w:val="both"/>
        <w:rPr>
          <w:bCs/>
          <w:iCs/>
          <w:color w:val="auto"/>
        </w:rPr>
      </w:pPr>
      <w:r w:rsidRPr="00320CBD">
        <w:rPr>
          <w:bCs/>
          <w:iCs/>
          <w:color w:val="auto"/>
        </w:rPr>
        <w:t xml:space="preserve">Në rastet kur personat juridikë apo fizikë, prodhues të mallrave që kërkojnë ambalazh plastik apo qelqi, furnizohen nga subjekte që importojnë apo prodhojnë këto ambalazhe, kërkojnë nga prodhuesi apo importuesi, krahas faturës tatimore, dhe pagesën e TAM në organet tatimore apo doganore. </w:t>
      </w:r>
    </w:p>
    <w:p w:rsidR="009D67B7" w:rsidRPr="00320CBD" w:rsidRDefault="009D67B7" w:rsidP="00CE3B93">
      <w:pPr>
        <w:pStyle w:val="Default"/>
        <w:spacing w:line="276" w:lineRule="auto"/>
        <w:jc w:val="both"/>
        <w:rPr>
          <w:bCs/>
          <w:iCs/>
          <w:color w:val="auto"/>
        </w:rPr>
      </w:pPr>
      <w:r w:rsidRPr="00320CBD">
        <w:rPr>
          <w:bCs/>
          <w:iCs/>
          <w:color w:val="auto"/>
        </w:rPr>
        <w:t xml:space="preserve">Në rastet kur personat juridikë apo fizikë, prodhues të mallrave që kërkojnë ambalazh plastik apo qelqi, e prodhojnë vetë ambalazhin dhe e shesin atë për të tretë, do të paguajnë TAM për sasinë e shitur me faturë tatimore. </w:t>
      </w:r>
    </w:p>
    <w:p w:rsidR="009D67B7" w:rsidRPr="00320CBD" w:rsidRDefault="009D67B7" w:rsidP="00CE3B93">
      <w:pPr>
        <w:pStyle w:val="Default"/>
        <w:spacing w:line="276" w:lineRule="auto"/>
        <w:jc w:val="both"/>
        <w:rPr>
          <w:bCs/>
          <w:iCs/>
          <w:color w:val="auto"/>
        </w:rPr>
      </w:pPr>
      <w:r w:rsidRPr="00320CBD">
        <w:rPr>
          <w:color w:val="auto"/>
          <w:sz w:val="22"/>
          <w:szCs w:val="22"/>
        </w:rPr>
        <w:t>Në rastet kur personat juridikë apo fizikë, prodhues të mallrave që kërkojnë ambalazh plastik apo qelqi, furnizohen nga subjekte që importojnë apo prodhojnë këto ambalazhe, kërkojnë nga prodhuesi apo importuesi, krahas faturës tatimore, dhe pagesën e TAN në organet tatimore apo doganore.</w:t>
      </w:r>
    </w:p>
    <w:p w:rsidR="009D67B7" w:rsidRPr="00320CBD" w:rsidRDefault="009D67B7" w:rsidP="00CE3B93">
      <w:pPr>
        <w:pStyle w:val="Default"/>
        <w:spacing w:line="276" w:lineRule="auto"/>
        <w:jc w:val="both"/>
        <w:rPr>
          <w:bCs/>
          <w:iCs/>
          <w:color w:val="auto"/>
        </w:rPr>
      </w:pPr>
      <w:proofErr w:type="gramStart"/>
      <w:r w:rsidRPr="00320CBD">
        <w:rPr>
          <w:bCs/>
          <w:iCs/>
          <w:color w:val="auto"/>
        </w:rPr>
        <w:t>Çdo person juridik apo fizik, prodhues i ambalazheve të plastikës dhe të qelqit, boshe për prodhimin e vet, si dhe çdo importues apo prodhues i ambalazheve boshe, në fund të çdo muaji do të deklarojnë stokun në organin tatimor ku është i regjistruar.</w:t>
      </w:r>
      <w:proofErr w:type="gramEnd"/>
      <w:r w:rsidRPr="00320CBD">
        <w:rPr>
          <w:bCs/>
          <w:iCs/>
          <w:color w:val="auto"/>
        </w:rPr>
        <w:t xml:space="preserve"> Në rast të kundërt organet tatimore do të llogarisin TAM-in e këtyre ambalazheve për të gjitha shitjet e kryera për çdo muaj. </w:t>
      </w:r>
    </w:p>
    <w:p w:rsidR="009D67B7" w:rsidRPr="00320CBD" w:rsidRDefault="009D67B7" w:rsidP="00CE3B93">
      <w:pPr>
        <w:pStyle w:val="Default"/>
        <w:spacing w:line="276" w:lineRule="auto"/>
        <w:jc w:val="both"/>
        <w:rPr>
          <w:bCs/>
          <w:iCs/>
          <w:color w:val="auto"/>
        </w:rPr>
      </w:pPr>
      <w:r w:rsidRPr="00320CBD">
        <w:rPr>
          <w:bCs/>
          <w:iCs/>
          <w:color w:val="auto"/>
        </w:rPr>
        <w:t xml:space="preserve">Në rastet e importimit të produkteve gjysmë të gatshme që përkojnë sipas kodeve të NK të përcaktuara më lart, të cilat janë qartësisht të destinuara për prodhimin e ambalazheve të plastikës apo qelqit të përcaktuara në ligjin </w:t>
      </w:r>
      <w:r w:rsidRPr="00320CBD">
        <w:rPr>
          <w:color w:val="auto"/>
          <w:lang w:val="sq-AL"/>
        </w:rPr>
        <w:t>9975 datë 28.7.2008 “Për taksat kombëtare” i ndryshuar</w:t>
      </w:r>
      <w:r w:rsidRPr="00320CBD">
        <w:rPr>
          <w:bCs/>
          <w:iCs/>
          <w:color w:val="auto"/>
        </w:rPr>
        <w:t xml:space="preserve">, TAM paguhet në momentin e importimit, pavarësisht nëse importuesi është prodhues vendas dhe i importon këto produkte në funksion të aktivitetit të vet prodhues apo është importues i këtyre produkteve për qëllime tregtare. </w:t>
      </w:r>
    </w:p>
    <w:p w:rsidR="009D67B7" w:rsidRPr="00320CBD" w:rsidRDefault="009D67B7" w:rsidP="00CE3B93">
      <w:pPr>
        <w:pStyle w:val="Default"/>
        <w:spacing w:line="276" w:lineRule="auto"/>
        <w:jc w:val="both"/>
        <w:rPr>
          <w:bCs/>
          <w:iCs/>
          <w:color w:val="auto"/>
        </w:rPr>
      </w:pPr>
      <w:r w:rsidRPr="00320CBD">
        <w:rPr>
          <w:bCs/>
          <w:iCs/>
          <w:color w:val="auto"/>
        </w:rPr>
        <w:t xml:space="preserve">2.8.6. Të gjitha subjektet prodhuese të ambalazheve të plastikës dhe të qelqit duhet të paraqesin pranë drejtorisë rajonale ku janë regjistruar, këto dokumente: </w:t>
      </w:r>
    </w:p>
    <w:p w:rsidR="009D67B7" w:rsidRPr="00320CBD" w:rsidRDefault="009D67B7" w:rsidP="00CE3B93">
      <w:pPr>
        <w:pStyle w:val="Default"/>
        <w:spacing w:line="276" w:lineRule="auto"/>
        <w:jc w:val="both"/>
        <w:rPr>
          <w:bCs/>
          <w:iCs/>
          <w:color w:val="auto"/>
        </w:rPr>
      </w:pPr>
      <w:r w:rsidRPr="00320CBD">
        <w:rPr>
          <w:bCs/>
          <w:iCs/>
          <w:color w:val="auto"/>
        </w:rPr>
        <w:t xml:space="preserve">a) Licencë/leje/miratim nga institucioni përkatës, për prodhimin e produkteve njëpërdorimëshe të plastikës dhe qelqit; </w:t>
      </w:r>
    </w:p>
    <w:p w:rsidR="009D67B7" w:rsidRPr="00320CBD" w:rsidRDefault="009D67B7" w:rsidP="00CE3B93">
      <w:pPr>
        <w:pStyle w:val="Default"/>
        <w:spacing w:line="276" w:lineRule="auto"/>
        <w:jc w:val="both"/>
        <w:rPr>
          <w:bCs/>
          <w:iCs/>
          <w:color w:val="auto"/>
        </w:rPr>
      </w:pPr>
      <w:r w:rsidRPr="00320CBD">
        <w:rPr>
          <w:bCs/>
          <w:iCs/>
          <w:color w:val="auto"/>
        </w:rPr>
        <w:t>b) Kopje të kartës teknologjike të prodhimit.</w:t>
      </w:r>
    </w:p>
    <w:p w:rsidR="009D67B7" w:rsidRPr="00320CBD" w:rsidRDefault="009D67B7" w:rsidP="00CE3B93">
      <w:pPr>
        <w:pStyle w:val="Default"/>
        <w:spacing w:line="276" w:lineRule="auto"/>
        <w:jc w:val="both"/>
        <w:rPr>
          <w:bCs/>
          <w:iCs/>
          <w:color w:val="auto"/>
        </w:rPr>
      </w:pPr>
      <w:proofErr w:type="gramStart"/>
      <w:r w:rsidRPr="00320CBD">
        <w:rPr>
          <w:bCs/>
          <w:iCs/>
          <w:color w:val="auto"/>
        </w:rPr>
        <w:t>Çdo ndryshim i kartës teknologjike duhet t’i njoftohet organit tatimor një muaj përpara.</w:t>
      </w:r>
      <w:proofErr w:type="gramEnd"/>
      <w:r w:rsidRPr="00320CBD">
        <w:rPr>
          <w:bCs/>
          <w:iCs/>
          <w:color w:val="auto"/>
        </w:rPr>
        <w:t xml:space="preserve"> </w:t>
      </w:r>
    </w:p>
    <w:p w:rsidR="009D67B7" w:rsidRPr="00320CBD" w:rsidRDefault="009D67B7" w:rsidP="00CE3B93">
      <w:pPr>
        <w:pStyle w:val="Default"/>
        <w:spacing w:line="276" w:lineRule="auto"/>
        <w:jc w:val="both"/>
        <w:rPr>
          <w:bCs/>
          <w:iCs/>
          <w:color w:val="auto"/>
        </w:rPr>
      </w:pPr>
      <w:r w:rsidRPr="00320CBD">
        <w:rPr>
          <w:bCs/>
          <w:iCs/>
          <w:color w:val="auto"/>
        </w:rPr>
        <w:t xml:space="preserve">2.8.7 Taksa për ambalazhet të prodhuara nga riciklimi i mbetjeve plastike të gjeneruara në vend, caktohet në masën 50 lekë/kg. </w:t>
      </w:r>
      <w:proofErr w:type="gramStart"/>
      <w:r w:rsidRPr="00320CBD">
        <w:rPr>
          <w:bCs/>
          <w:iCs/>
          <w:color w:val="auto"/>
        </w:rPr>
        <w:t xml:space="preserve">Kjo taksë mblidhet nga administrata tatimore, në rastet kur mallrat sipas përcaktimeve të ligjit </w:t>
      </w:r>
      <w:r w:rsidRPr="00320CBD">
        <w:rPr>
          <w:color w:val="auto"/>
          <w:lang w:val="sq-AL"/>
        </w:rPr>
        <w:t>9975 datë 28.7.2008 “Për taksat kombëtare” i ndryshuar</w:t>
      </w:r>
      <w:r w:rsidRPr="00320CBD">
        <w:rPr>
          <w:bCs/>
          <w:iCs/>
          <w:color w:val="auto"/>
        </w:rPr>
        <w:t>, paketohen, ruhen apo ambalazhohen me ambalazh plastik të prodhuar nga riciklimi i mbetjeve plastike të gjeneruara në territorin e Republikës së Shqipërisë.</w:t>
      </w:r>
      <w:proofErr w:type="gramEnd"/>
      <w:r w:rsidRPr="00320CBD">
        <w:rPr>
          <w:bCs/>
          <w:iCs/>
          <w:color w:val="auto"/>
        </w:rPr>
        <w:t xml:space="preserve"> </w:t>
      </w:r>
    </w:p>
    <w:p w:rsidR="009D67B7" w:rsidRPr="00320CBD" w:rsidRDefault="009D67B7" w:rsidP="00CE3B93">
      <w:pPr>
        <w:pStyle w:val="Default"/>
        <w:spacing w:line="276" w:lineRule="auto"/>
        <w:jc w:val="both"/>
        <w:rPr>
          <w:bCs/>
          <w:iCs/>
          <w:color w:val="auto"/>
        </w:rPr>
      </w:pPr>
      <w:proofErr w:type="gramStart"/>
      <w:r w:rsidRPr="00320CBD">
        <w:rPr>
          <w:bCs/>
          <w:iCs/>
          <w:color w:val="auto"/>
        </w:rPr>
        <w:t>Subjektet prodhuese të këtyre ambalazheve duhet të paraqesin pranë drejtorisë rajonale tatimore ku janë të regjistruar kopje të kartës teknologjike të certifikuar nga një institut/laborator i njohur.</w:t>
      </w:r>
      <w:proofErr w:type="gramEnd"/>
      <w:r w:rsidRPr="00320CBD">
        <w:rPr>
          <w:bCs/>
          <w:iCs/>
          <w:color w:val="auto"/>
        </w:rPr>
        <w:t xml:space="preserve"> Në fund të çdo muaji, këto subjekte duhet të paraqesin kopje të deklaratave të importimit të lëndëve të para, si dhe dokumentimin e blerjeve të lëndëve të para </w:t>
      </w:r>
      <w:proofErr w:type="gramStart"/>
      <w:r w:rsidRPr="00320CBD">
        <w:rPr>
          <w:bCs/>
          <w:iCs/>
          <w:color w:val="auto"/>
        </w:rPr>
        <w:t>brenda</w:t>
      </w:r>
      <w:proofErr w:type="gramEnd"/>
      <w:r w:rsidRPr="00320CBD">
        <w:rPr>
          <w:bCs/>
          <w:iCs/>
          <w:color w:val="auto"/>
        </w:rPr>
        <w:t xml:space="preserve"> vendit. </w:t>
      </w:r>
      <w:proofErr w:type="gramStart"/>
      <w:r w:rsidRPr="00320CBD">
        <w:rPr>
          <w:bCs/>
          <w:iCs/>
          <w:color w:val="auto"/>
        </w:rPr>
        <w:t>Administrata tatimore është përgjegjëse për monitorimin e lëndëve të prodhuara nga riciklimi për qëllime përdorimi të ambalazheve.</w:t>
      </w:r>
      <w:proofErr w:type="gramEnd"/>
      <w:r w:rsidRPr="00320CBD">
        <w:rPr>
          <w:bCs/>
          <w:iCs/>
          <w:color w:val="auto"/>
        </w:rPr>
        <w:t xml:space="preserve"> </w:t>
      </w:r>
    </w:p>
    <w:p w:rsidR="009D67B7" w:rsidRPr="00320CBD" w:rsidRDefault="009D67B7" w:rsidP="00C56705">
      <w:pPr>
        <w:rPr>
          <w:lang w:val="sq-AL"/>
        </w:rPr>
      </w:pPr>
    </w:p>
    <w:p w:rsidR="009D67B7" w:rsidRPr="00320CBD" w:rsidRDefault="009D67B7" w:rsidP="0008001D">
      <w:pPr>
        <w:jc w:val="both"/>
        <w:rPr>
          <w:sz w:val="23"/>
          <w:szCs w:val="23"/>
        </w:rPr>
      </w:pPr>
      <w:r>
        <w:rPr>
          <w:b/>
          <w:lang w:val="sq-AL"/>
        </w:rPr>
        <w:t>7</w:t>
      </w:r>
      <w:r w:rsidRPr="00320CBD">
        <w:rPr>
          <w:lang w:val="sq-AL"/>
        </w:rPr>
        <w:t xml:space="preserve">. Në pikën </w:t>
      </w:r>
      <w:r w:rsidRPr="00320CBD">
        <w:rPr>
          <w:sz w:val="23"/>
          <w:szCs w:val="23"/>
        </w:rPr>
        <w:t xml:space="preserve">3 “Përjashtime nga taksat kombëtare”, pas pikës 4.1, shtohet pika 4.2. </w:t>
      </w:r>
      <w:proofErr w:type="gramStart"/>
      <w:r w:rsidRPr="00320CBD">
        <w:rPr>
          <w:sz w:val="23"/>
          <w:szCs w:val="23"/>
        </w:rPr>
        <w:t>me</w:t>
      </w:r>
      <w:proofErr w:type="gramEnd"/>
      <w:r w:rsidRPr="00320CBD">
        <w:rPr>
          <w:sz w:val="23"/>
          <w:szCs w:val="23"/>
        </w:rPr>
        <w:t xml:space="preserve"> këtë përmbajtje:</w:t>
      </w:r>
    </w:p>
    <w:p w:rsidR="009D67B7" w:rsidRPr="00320CBD" w:rsidRDefault="009D67B7" w:rsidP="0008001D">
      <w:pPr>
        <w:jc w:val="both"/>
      </w:pPr>
      <w:r w:rsidRPr="00320CBD">
        <w:rPr>
          <w:sz w:val="23"/>
          <w:szCs w:val="23"/>
        </w:rPr>
        <w:t>“4.2.</w:t>
      </w:r>
      <w:r w:rsidRPr="00320CBD">
        <w:t xml:space="preserve"> Përjashtohen nga pagimi i taksës së ambalazheve të plastikës dhe të qelqit:</w:t>
      </w:r>
    </w:p>
    <w:p w:rsidR="009D67B7" w:rsidRPr="00320CBD" w:rsidRDefault="009D67B7" w:rsidP="0008001D">
      <w:pPr>
        <w:autoSpaceDE w:val="0"/>
        <w:autoSpaceDN w:val="0"/>
        <w:adjustRightInd w:val="0"/>
        <w:jc w:val="both"/>
      </w:pPr>
      <w:r w:rsidRPr="00320CBD">
        <w:tab/>
        <w:t xml:space="preserve">a) </w:t>
      </w:r>
      <w:proofErr w:type="gramStart"/>
      <w:r w:rsidRPr="00320CBD">
        <w:t>importimi</w:t>
      </w:r>
      <w:proofErr w:type="gramEnd"/>
      <w:r w:rsidRPr="00320CBD">
        <w:t xml:space="preserve"> për nevoja zyrtare dhe personale, në kuadër të misioneve diplomatike dhe konsullore, përfshirë edhe konsujt e nderit, si dhe misionet speciale të akredituara në Shqipëri;</w:t>
      </w:r>
    </w:p>
    <w:p w:rsidR="009D67B7" w:rsidRPr="00320CBD" w:rsidRDefault="009D67B7" w:rsidP="0008001D">
      <w:pPr>
        <w:autoSpaceDE w:val="0"/>
        <w:autoSpaceDN w:val="0"/>
        <w:adjustRightInd w:val="0"/>
        <w:jc w:val="both"/>
      </w:pPr>
      <w:r w:rsidRPr="00320CBD">
        <w:tab/>
        <w:t>b) importimi për nevoja zyrtare dhe personale të organizmave ndërkombëtarë, të njohur si të tillë nga Republika e Shqipërisë e sipas limiteve dhe kushteve të përcaktuara në konventat ndërkombëtare, në bazë të të cilave janë formuar këta organizma ose në marrëveshjet reciproke;</w:t>
      </w:r>
    </w:p>
    <w:p w:rsidR="009D67B7" w:rsidRPr="00320CBD" w:rsidRDefault="009D67B7" w:rsidP="0008001D">
      <w:pPr>
        <w:jc w:val="both"/>
      </w:pPr>
      <w:r w:rsidRPr="00320CBD">
        <w:tab/>
        <w:t xml:space="preserve">c) </w:t>
      </w:r>
      <w:proofErr w:type="gramStart"/>
      <w:r w:rsidRPr="00320CBD">
        <w:t>importimi</w:t>
      </w:r>
      <w:proofErr w:type="gramEnd"/>
      <w:r w:rsidRPr="00320CBD">
        <w:t xml:space="preserve"> produkteve për qëllime të ndihmave humanitare;</w:t>
      </w:r>
    </w:p>
    <w:p w:rsidR="009D67B7" w:rsidRPr="00320CBD" w:rsidRDefault="009D67B7" w:rsidP="0008001D">
      <w:pPr>
        <w:jc w:val="both"/>
      </w:pPr>
      <w:r w:rsidRPr="00320CBD">
        <w:tab/>
        <w:t xml:space="preserve">ç) </w:t>
      </w:r>
      <w:proofErr w:type="gramStart"/>
      <w:r w:rsidRPr="00320CBD">
        <w:t>ambalazhet</w:t>
      </w:r>
      <w:proofErr w:type="gramEnd"/>
      <w:r w:rsidRPr="00320CBD">
        <w:t xml:space="preserve"> plastike të importuara veçmas apo kur ambalazhojnë artikuj të tjerë të Nomenklaturës së Kombinuar të Mallrave si më poshtë: </w:t>
      </w:r>
    </w:p>
    <w:p w:rsidR="009D67B7" w:rsidRPr="00320CBD" w:rsidRDefault="009D67B7" w:rsidP="0008001D">
      <w:pPr>
        <w:jc w:val="both"/>
      </w:pPr>
      <w:r w:rsidRPr="00320CBD">
        <w:tab/>
        <w:t xml:space="preserve">i) </w:t>
      </w:r>
      <w:proofErr w:type="gramStart"/>
      <w:r w:rsidRPr="00320CBD">
        <w:t>arkat</w:t>
      </w:r>
      <w:proofErr w:type="gramEnd"/>
      <w:r w:rsidRPr="00320CBD">
        <w:t xml:space="preserve"> plastike; </w:t>
      </w:r>
    </w:p>
    <w:p w:rsidR="009D67B7" w:rsidRPr="00320CBD" w:rsidRDefault="009D67B7" w:rsidP="00DD004D">
      <w:pPr>
        <w:jc w:val="both"/>
      </w:pPr>
      <w:r w:rsidRPr="00320CBD">
        <w:tab/>
        <w:t xml:space="preserve">ii) </w:t>
      </w:r>
      <w:proofErr w:type="gramStart"/>
      <w:r w:rsidRPr="00320CBD">
        <w:t>fuçitë</w:t>
      </w:r>
      <w:proofErr w:type="gramEnd"/>
      <w:r w:rsidRPr="00320CBD">
        <w:t xml:space="preserve"> me kapacitet &gt;=20 litra; </w:t>
      </w:r>
    </w:p>
    <w:p w:rsidR="009D67B7" w:rsidRPr="00320CBD" w:rsidRDefault="009D67B7" w:rsidP="00DD004D">
      <w:pPr>
        <w:jc w:val="both"/>
      </w:pPr>
      <w:r w:rsidRPr="00320CBD">
        <w:tab/>
        <w:t xml:space="preserve">iii) </w:t>
      </w:r>
      <w:proofErr w:type="gramStart"/>
      <w:r w:rsidRPr="00320CBD">
        <w:t>kapakët</w:t>
      </w:r>
      <w:proofErr w:type="gramEnd"/>
      <w:r w:rsidRPr="00320CBD">
        <w:t xml:space="preserve"> e CD-ve dhe DVD-ve; </w:t>
      </w:r>
    </w:p>
    <w:p w:rsidR="009D67B7" w:rsidRPr="00320CBD" w:rsidRDefault="009D67B7" w:rsidP="00DD004D">
      <w:pPr>
        <w:jc w:val="both"/>
      </w:pPr>
      <w:r w:rsidRPr="00320CBD">
        <w:tab/>
        <w:t xml:space="preserve">iv) </w:t>
      </w:r>
      <w:proofErr w:type="gramStart"/>
      <w:r w:rsidRPr="00320CBD">
        <w:t>kutitë</w:t>
      </w:r>
      <w:proofErr w:type="gramEnd"/>
      <w:r w:rsidRPr="00320CBD">
        <w:t xml:space="preserve"> paketuese dhe tasat për ushqime; </w:t>
      </w:r>
    </w:p>
    <w:p w:rsidR="009D67B7" w:rsidRPr="00320CBD" w:rsidRDefault="009D67B7" w:rsidP="00DD004D">
      <w:pPr>
        <w:jc w:val="both"/>
      </w:pPr>
      <w:r w:rsidRPr="00320CBD">
        <w:tab/>
        <w:t xml:space="preserve">v) </w:t>
      </w:r>
      <w:proofErr w:type="gramStart"/>
      <w:r w:rsidRPr="00320CBD">
        <w:t>kutitë</w:t>
      </w:r>
      <w:proofErr w:type="gramEnd"/>
      <w:r w:rsidRPr="00320CBD">
        <w:t xml:space="preserve"> e votimit; </w:t>
      </w:r>
    </w:p>
    <w:p w:rsidR="009D67B7" w:rsidRPr="00320CBD" w:rsidRDefault="009D67B7" w:rsidP="00DD004D">
      <w:pPr>
        <w:jc w:val="both"/>
      </w:pPr>
      <w:r w:rsidRPr="00320CBD">
        <w:tab/>
        <w:t xml:space="preserve">vi) </w:t>
      </w:r>
      <w:proofErr w:type="gramStart"/>
      <w:r w:rsidRPr="00320CBD">
        <w:t>mbajtëset</w:t>
      </w:r>
      <w:proofErr w:type="gramEnd"/>
      <w:r w:rsidRPr="00320CBD">
        <w:t xml:space="preserve"> për kafe, çaj, erëza;</w:t>
      </w:r>
    </w:p>
    <w:p w:rsidR="009D67B7" w:rsidRPr="00320CBD" w:rsidRDefault="009D67B7" w:rsidP="00DD004D">
      <w:pPr>
        <w:jc w:val="both"/>
      </w:pPr>
      <w:r w:rsidRPr="00320CBD">
        <w:t xml:space="preserve"> </w:t>
      </w:r>
      <w:r w:rsidRPr="00320CBD">
        <w:tab/>
        <w:t xml:space="preserve">vii) </w:t>
      </w:r>
      <w:proofErr w:type="gramStart"/>
      <w:r w:rsidRPr="00320CBD">
        <w:t>mbajtëset</w:t>
      </w:r>
      <w:proofErr w:type="gramEnd"/>
      <w:r w:rsidRPr="00320CBD">
        <w:t xml:space="preserve"> për ushqimet, si: marmelatë, bukë, salcë, fruta, gjalpë, vaj etj.; </w:t>
      </w:r>
    </w:p>
    <w:p w:rsidR="009D67B7" w:rsidRPr="00320CBD" w:rsidRDefault="009D67B7" w:rsidP="00DD004D">
      <w:pPr>
        <w:jc w:val="both"/>
      </w:pPr>
      <w:r w:rsidRPr="00320CBD">
        <w:tab/>
        <w:t xml:space="preserve">viii) </w:t>
      </w:r>
      <w:proofErr w:type="gramStart"/>
      <w:r w:rsidRPr="00320CBD">
        <w:t>paketuesit</w:t>
      </w:r>
      <w:proofErr w:type="gramEnd"/>
      <w:r w:rsidRPr="00320CBD">
        <w:t xml:space="preserve"> për serumet, gjakun dhe barnat mjekësore; </w:t>
      </w:r>
    </w:p>
    <w:p w:rsidR="009D67B7" w:rsidRPr="00320CBD" w:rsidRDefault="009D67B7" w:rsidP="00DD004D">
      <w:pPr>
        <w:jc w:val="both"/>
      </w:pPr>
      <w:r w:rsidRPr="00320CBD">
        <w:tab/>
        <w:t xml:space="preserve">d) </w:t>
      </w:r>
      <w:proofErr w:type="gramStart"/>
      <w:r w:rsidRPr="00320CBD">
        <w:t>ambalazhe</w:t>
      </w:r>
      <w:proofErr w:type="gramEnd"/>
      <w:r w:rsidRPr="00320CBD">
        <w:t xml:space="preserve"> qelqi, të importuara veçmas apo kur ambalazhojnë artikuj të tjerë të Nomenklaturës së Kombinuar të Mallrave si më poshtë:</w:t>
      </w:r>
    </w:p>
    <w:p w:rsidR="009D67B7" w:rsidRPr="00320CBD" w:rsidRDefault="009D67B7" w:rsidP="00DD004D">
      <w:pPr>
        <w:pStyle w:val="ListParagraph"/>
        <w:ind w:left="0"/>
        <w:jc w:val="both"/>
        <w:rPr>
          <w:lang w:val="sq-AL"/>
        </w:rPr>
      </w:pPr>
      <w:r w:rsidRPr="00320CBD">
        <w:rPr>
          <w:lang w:val="sq-AL"/>
        </w:rPr>
        <w:tab/>
        <w:t>i) ampulat për barnat mjekësore;</w:t>
      </w:r>
    </w:p>
    <w:p w:rsidR="009D67B7" w:rsidRPr="00320CBD" w:rsidRDefault="009D67B7" w:rsidP="00DD004D">
      <w:pPr>
        <w:pStyle w:val="ListParagraph"/>
        <w:ind w:left="0"/>
        <w:jc w:val="both"/>
        <w:rPr>
          <w:lang w:val="sq-AL"/>
        </w:rPr>
      </w:pPr>
      <w:r w:rsidRPr="00320CBD">
        <w:rPr>
          <w:lang w:val="sq-AL"/>
        </w:rPr>
        <w:tab/>
        <w:t>ii) shishet për mbajtjen e serumit, gjakut dhe barnave mjekësore;</w:t>
      </w:r>
    </w:p>
    <w:p w:rsidR="009D67B7" w:rsidRPr="00320CBD" w:rsidRDefault="009D67B7" w:rsidP="00DD004D">
      <w:pPr>
        <w:jc w:val="both"/>
      </w:pPr>
      <w:r w:rsidRPr="00320CBD">
        <w:tab/>
      </w:r>
      <w:proofErr w:type="gramStart"/>
      <w:r w:rsidRPr="00320CBD">
        <w:t>dh</w:t>
      </w:r>
      <w:proofErr w:type="gramEnd"/>
      <w:r w:rsidRPr="00320CBD">
        <w:t xml:space="preserve">) ambalazhet plastike dhe qelqi, të vendosura nën regjime doganore pezulluese.”. </w:t>
      </w:r>
    </w:p>
    <w:p w:rsidR="009D67B7" w:rsidRPr="00330B52" w:rsidRDefault="009D67B7" w:rsidP="00F21A9A">
      <w:pPr>
        <w:rPr>
          <w:lang w:val="sq-AL"/>
        </w:rPr>
      </w:pPr>
    </w:p>
    <w:p w:rsidR="009D67B7" w:rsidRPr="00330B52" w:rsidRDefault="00330B52" w:rsidP="00330B52">
      <w:pPr>
        <w:rPr>
          <w:lang w:val="sq-AL"/>
        </w:rPr>
      </w:pPr>
      <w:r w:rsidRPr="00330B52">
        <w:rPr>
          <w:b/>
          <w:lang w:val="sq-AL"/>
        </w:rPr>
        <w:t>8.</w:t>
      </w:r>
      <w:r w:rsidRPr="00330B52">
        <w:rPr>
          <w:lang w:val="sq-AL"/>
        </w:rPr>
        <w:t xml:space="preserve"> Formulari 7, bashkëlidhur Udh</w:t>
      </w:r>
      <w:r w:rsidR="00673C7E">
        <w:rPr>
          <w:lang w:val="sq-AL"/>
        </w:rPr>
        <w:t>ë</w:t>
      </w:r>
      <w:r w:rsidRPr="00330B52">
        <w:rPr>
          <w:lang w:val="sq-AL"/>
        </w:rPr>
        <w:t>zimit, shfuqizohet.</w:t>
      </w:r>
    </w:p>
    <w:p w:rsidR="00330B52" w:rsidRDefault="00330B52" w:rsidP="00330B52">
      <w:pPr>
        <w:rPr>
          <w:b/>
          <w:lang w:val="sq-AL"/>
        </w:rPr>
      </w:pPr>
    </w:p>
    <w:p w:rsidR="009D67B7" w:rsidRDefault="009D67B7" w:rsidP="00B36E09">
      <w:pPr>
        <w:jc w:val="both"/>
        <w:rPr>
          <w:b/>
          <w:lang w:val="sq-AL"/>
        </w:rPr>
      </w:pPr>
      <w:proofErr w:type="gramStart"/>
      <w:r>
        <w:rPr>
          <w:lang w:val="en-US"/>
        </w:rPr>
        <w:t>Ky Udhëzim hyn në fuqi me botimin në Fletoren Zyrtare.</w:t>
      </w:r>
      <w:proofErr w:type="gramEnd"/>
    </w:p>
    <w:p w:rsidR="009D67B7" w:rsidRDefault="009D67B7" w:rsidP="00C56705">
      <w:pPr>
        <w:jc w:val="center"/>
        <w:rPr>
          <w:b/>
          <w:lang w:val="sq-AL"/>
        </w:rPr>
      </w:pPr>
    </w:p>
    <w:p w:rsidR="009D67B7" w:rsidRDefault="009D67B7" w:rsidP="00C56705">
      <w:pPr>
        <w:jc w:val="center"/>
        <w:rPr>
          <w:b/>
          <w:lang w:val="sq-AL"/>
        </w:rPr>
      </w:pPr>
    </w:p>
    <w:p w:rsidR="009D67B7" w:rsidRDefault="009D67B7" w:rsidP="00C56705">
      <w:pPr>
        <w:jc w:val="center"/>
        <w:rPr>
          <w:b/>
          <w:lang w:val="sq-AL"/>
        </w:rPr>
      </w:pPr>
    </w:p>
    <w:p w:rsidR="009D67B7" w:rsidRDefault="009D67B7" w:rsidP="00C56705">
      <w:pPr>
        <w:jc w:val="center"/>
        <w:rPr>
          <w:b/>
          <w:lang w:val="sq-AL"/>
        </w:rPr>
      </w:pPr>
      <w:r w:rsidRPr="00320CBD">
        <w:rPr>
          <w:b/>
          <w:lang w:val="sq-AL"/>
        </w:rPr>
        <w:t>Shkëlqim CANI</w:t>
      </w:r>
    </w:p>
    <w:p w:rsidR="009D67B7" w:rsidRPr="00320CBD" w:rsidRDefault="009D67B7" w:rsidP="00C56705">
      <w:pPr>
        <w:jc w:val="center"/>
        <w:rPr>
          <w:lang w:val="sq-AL"/>
        </w:rPr>
      </w:pPr>
    </w:p>
    <w:p w:rsidR="009D67B7" w:rsidRPr="00320CBD" w:rsidRDefault="009D67B7" w:rsidP="00C56705">
      <w:pPr>
        <w:jc w:val="center"/>
        <w:rPr>
          <w:b/>
          <w:lang w:val="sq-AL"/>
        </w:rPr>
      </w:pPr>
    </w:p>
    <w:p w:rsidR="009D67B7" w:rsidRPr="006E633F" w:rsidRDefault="009D67B7" w:rsidP="006E633F">
      <w:pPr>
        <w:jc w:val="center"/>
        <w:rPr>
          <w:b/>
          <w:lang w:val="sq-AL"/>
        </w:rPr>
      </w:pPr>
      <w:r w:rsidRPr="00320CBD">
        <w:rPr>
          <w:b/>
          <w:lang w:val="sq-AL"/>
        </w:rPr>
        <w:t>MINISTËR</w:t>
      </w:r>
    </w:p>
    <w:p w:rsidR="009D67B7" w:rsidRDefault="009D67B7" w:rsidP="00C56705">
      <w:pPr>
        <w:spacing w:after="200"/>
        <w:rPr>
          <w:b/>
          <w:lang w:val="sq-AL"/>
        </w:rPr>
        <w:sectPr w:rsidR="009D67B7" w:rsidSect="003271FB">
          <w:pgSz w:w="12240" w:h="15840"/>
          <w:pgMar w:top="1440" w:right="1440" w:bottom="1440" w:left="1440" w:header="720" w:footer="720" w:gutter="0"/>
          <w:cols w:space="720"/>
          <w:docGrid w:linePitch="360"/>
        </w:sectPr>
      </w:pPr>
    </w:p>
    <w:p w:rsidR="009D67B7" w:rsidRPr="00320CBD" w:rsidRDefault="009D67B7" w:rsidP="00C56705">
      <w:pPr>
        <w:spacing w:after="200"/>
        <w:rPr>
          <w:lang w:val="sq-AL"/>
        </w:rPr>
      </w:pPr>
      <w:r w:rsidRPr="00320CBD">
        <w:rPr>
          <w:b/>
          <w:lang w:val="sq-AL"/>
        </w:rPr>
        <w:t>Shtojca nr 1:</w:t>
      </w:r>
      <w:r w:rsidRPr="00320CBD">
        <w:rPr>
          <w:lang w:val="sq-AL"/>
        </w:rPr>
        <w:t xml:space="preserve"> </w:t>
      </w:r>
      <w:r w:rsidRPr="00320CBD">
        <w:rPr>
          <w:rFonts w:ascii="Arial" w:hAnsi="Arial" w:cs="Arial"/>
          <w:b/>
          <w:bCs/>
          <w:lang w:val="en-US"/>
        </w:rPr>
        <w:t>Tabela Deklaruese e  Amballazhit te Shitur nga Prodhuesi</w:t>
      </w:r>
    </w:p>
    <w:tbl>
      <w:tblPr>
        <w:tblW w:w="14783" w:type="dxa"/>
        <w:tblInd w:w="98" w:type="dxa"/>
        <w:tblLook w:val="00A0"/>
      </w:tblPr>
      <w:tblGrid>
        <w:gridCol w:w="832"/>
        <w:gridCol w:w="2258"/>
        <w:gridCol w:w="883"/>
        <w:gridCol w:w="1952"/>
        <w:gridCol w:w="1645"/>
        <w:gridCol w:w="307"/>
        <w:gridCol w:w="953"/>
        <w:gridCol w:w="292"/>
        <w:gridCol w:w="1148"/>
        <w:gridCol w:w="1244"/>
        <w:gridCol w:w="1260"/>
        <w:gridCol w:w="1177"/>
        <w:gridCol w:w="832"/>
      </w:tblGrid>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258"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7180" w:type="dxa"/>
            <w:gridSpan w:val="7"/>
            <w:tcBorders>
              <w:top w:val="nil"/>
              <w:left w:val="nil"/>
              <w:bottom w:val="nil"/>
              <w:right w:val="nil"/>
            </w:tcBorders>
            <w:noWrap/>
            <w:vAlign w:val="bottom"/>
          </w:tcPr>
          <w:p w:rsidR="009D67B7" w:rsidRPr="00320CBD" w:rsidRDefault="009D67B7" w:rsidP="00CA1B01">
            <w:pPr>
              <w:rPr>
                <w:rFonts w:ascii="Arial" w:hAnsi="Arial" w:cs="Arial"/>
                <w:b/>
                <w:bCs/>
                <w:lang w:val="en-US"/>
              </w:rPr>
            </w:pPr>
            <w:r w:rsidRPr="00320CBD">
              <w:rPr>
                <w:rFonts w:ascii="Arial" w:hAnsi="Arial" w:cs="Arial"/>
                <w:b/>
                <w:bCs/>
                <w:lang w:val="en-US"/>
              </w:rPr>
              <w:t xml:space="preserve">Tabela Deklaruese e  Amballazhit te Shitur nga Prodhuesi </w:t>
            </w:r>
          </w:p>
        </w:tc>
        <w:tc>
          <w:tcPr>
            <w:tcW w:w="1244"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258"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4480" w:type="dxa"/>
            <w:gridSpan w:val="3"/>
            <w:tcBorders>
              <w:top w:val="nil"/>
              <w:left w:val="nil"/>
              <w:bottom w:val="nil"/>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(P</w:t>
            </w:r>
            <w:r>
              <w:rPr>
                <w:rFonts w:ascii="Arial" w:hAnsi="Arial" w:cs="Arial"/>
                <w:lang w:val="en-US"/>
              </w:rPr>
              <w:t>ë</w:t>
            </w:r>
            <w:r w:rsidRPr="00320CBD">
              <w:rPr>
                <w:rFonts w:ascii="Arial" w:hAnsi="Arial" w:cs="Arial"/>
                <w:lang w:val="en-US"/>
              </w:rPr>
              <w:t>r llogaritjen e takses së ambalazheve një përdorimësh të plastikës dhe të qelqit(TAN))</w:t>
            </w:r>
          </w:p>
        </w:tc>
        <w:tc>
          <w:tcPr>
            <w:tcW w:w="2700" w:type="dxa"/>
            <w:gridSpan w:val="4"/>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44"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258"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83"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95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645"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700" w:type="dxa"/>
            <w:gridSpan w:val="4"/>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44"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258"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83"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95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645"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700" w:type="dxa"/>
            <w:gridSpan w:val="4"/>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44"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0682" w:type="dxa"/>
            <w:gridSpan w:val="9"/>
            <w:tcBorders>
              <w:top w:val="nil"/>
              <w:left w:val="nil"/>
              <w:bottom w:val="nil"/>
              <w:right w:val="nil"/>
            </w:tcBorders>
            <w:noWrap/>
            <w:vAlign w:val="bottom"/>
          </w:tcPr>
          <w:p w:rsidR="009D67B7" w:rsidRPr="00320CBD" w:rsidRDefault="009D67B7" w:rsidP="00CA1B01">
            <w:pPr>
              <w:rPr>
                <w:rFonts w:ascii="Arial" w:hAnsi="Arial" w:cs="Arial"/>
                <w:b/>
                <w:bCs/>
                <w:lang w:val="en-US"/>
              </w:rPr>
            </w:pPr>
            <w:r w:rsidRPr="00320CBD">
              <w:rPr>
                <w:rFonts w:ascii="Arial" w:hAnsi="Arial" w:cs="Arial"/>
                <w:b/>
                <w:bCs/>
                <w:lang w:val="en-US"/>
              </w:rPr>
              <w:t>Emri tregtar i subjekti prodhues (njekohesisht shites) shqiptar __________________</w:t>
            </w:r>
          </w:p>
        </w:tc>
        <w:tc>
          <w:tcPr>
            <w:tcW w:w="1260" w:type="dxa"/>
            <w:tcBorders>
              <w:top w:val="nil"/>
              <w:left w:val="nil"/>
              <w:bottom w:val="nil"/>
              <w:right w:val="nil"/>
            </w:tcBorders>
            <w:noWrap/>
            <w:vAlign w:val="bottom"/>
          </w:tcPr>
          <w:p w:rsidR="009D67B7" w:rsidRPr="00320CBD" w:rsidRDefault="009D67B7" w:rsidP="00CA1B01">
            <w:pPr>
              <w:rPr>
                <w:rFonts w:ascii="Arial" w:hAnsi="Arial" w:cs="Arial"/>
                <w:b/>
                <w:bCs/>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258"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83"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95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952" w:type="dxa"/>
            <w:gridSpan w:val="2"/>
            <w:tcBorders>
              <w:top w:val="nil"/>
              <w:left w:val="nil"/>
              <w:bottom w:val="nil"/>
              <w:right w:val="nil"/>
            </w:tcBorders>
            <w:noWrap/>
            <w:vAlign w:val="bottom"/>
          </w:tcPr>
          <w:p w:rsidR="009D67B7" w:rsidRPr="00320CBD" w:rsidRDefault="009D67B7" w:rsidP="00320CBD">
            <w:pPr>
              <w:tabs>
                <w:tab w:val="left" w:pos="4767"/>
              </w:tabs>
              <w:rPr>
                <w:rFonts w:ascii="Arial" w:hAnsi="Arial" w:cs="Arial"/>
                <w:lang w:val="en-US"/>
              </w:rPr>
            </w:pPr>
          </w:p>
        </w:tc>
        <w:tc>
          <w:tcPr>
            <w:tcW w:w="1245"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392"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7045" w:type="dxa"/>
            <w:gridSpan w:val="5"/>
            <w:tcBorders>
              <w:top w:val="nil"/>
              <w:left w:val="nil"/>
              <w:bottom w:val="nil"/>
              <w:right w:val="nil"/>
            </w:tcBorders>
            <w:noWrap/>
            <w:vAlign w:val="bottom"/>
          </w:tcPr>
          <w:p w:rsidR="009D67B7" w:rsidRPr="00320CBD" w:rsidRDefault="009D67B7" w:rsidP="00CA1B01">
            <w:pPr>
              <w:rPr>
                <w:rFonts w:ascii="Arial" w:hAnsi="Arial" w:cs="Arial"/>
                <w:b/>
                <w:bCs/>
                <w:lang w:val="en-US"/>
              </w:rPr>
            </w:pPr>
            <w:r w:rsidRPr="00320CBD">
              <w:rPr>
                <w:rFonts w:ascii="Arial" w:hAnsi="Arial" w:cs="Arial"/>
                <w:b/>
                <w:bCs/>
                <w:lang w:val="en-US"/>
              </w:rPr>
              <w:t>NIPT-i_________________________</w:t>
            </w:r>
          </w:p>
        </w:tc>
        <w:tc>
          <w:tcPr>
            <w:tcW w:w="1245"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392"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7045" w:type="dxa"/>
            <w:gridSpan w:val="5"/>
            <w:tcBorders>
              <w:top w:val="nil"/>
              <w:left w:val="nil"/>
              <w:bottom w:val="nil"/>
              <w:right w:val="nil"/>
            </w:tcBorders>
            <w:noWrap/>
            <w:vAlign w:val="bottom"/>
          </w:tcPr>
          <w:p w:rsidR="009D67B7" w:rsidRPr="00320CBD" w:rsidRDefault="009D67B7" w:rsidP="00CA1B01">
            <w:pPr>
              <w:rPr>
                <w:rFonts w:ascii="Arial" w:hAnsi="Arial" w:cs="Arial"/>
                <w:b/>
                <w:bCs/>
                <w:lang w:val="en-US"/>
              </w:rPr>
            </w:pPr>
            <w:r w:rsidRPr="00320CBD">
              <w:rPr>
                <w:rFonts w:ascii="Arial" w:hAnsi="Arial" w:cs="Arial"/>
                <w:b/>
                <w:bCs/>
                <w:lang w:val="en-US"/>
              </w:rPr>
              <w:t xml:space="preserve">Adresa :_________________________ </w:t>
            </w:r>
          </w:p>
        </w:tc>
        <w:tc>
          <w:tcPr>
            <w:tcW w:w="1245"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392"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7045" w:type="dxa"/>
            <w:gridSpan w:val="5"/>
            <w:tcBorders>
              <w:top w:val="nil"/>
              <w:left w:val="nil"/>
              <w:bottom w:val="nil"/>
              <w:right w:val="nil"/>
            </w:tcBorders>
            <w:noWrap/>
            <w:vAlign w:val="bottom"/>
          </w:tcPr>
          <w:p w:rsidR="009D67B7" w:rsidRPr="00320CBD" w:rsidRDefault="009D67B7" w:rsidP="00CA1B01">
            <w:pPr>
              <w:rPr>
                <w:rFonts w:ascii="Arial" w:hAnsi="Arial" w:cs="Arial"/>
                <w:b/>
                <w:bCs/>
                <w:lang w:val="en-US"/>
              </w:rPr>
            </w:pPr>
            <w:r w:rsidRPr="00320CBD">
              <w:rPr>
                <w:rFonts w:ascii="Arial" w:hAnsi="Arial" w:cs="Arial"/>
                <w:b/>
                <w:bCs/>
                <w:lang w:val="en-US"/>
              </w:rPr>
              <w:t>Nr. Telefonit _______________________</w:t>
            </w:r>
          </w:p>
        </w:tc>
        <w:tc>
          <w:tcPr>
            <w:tcW w:w="1245"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392"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258" w:type="dxa"/>
            <w:tcBorders>
              <w:top w:val="nil"/>
              <w:left w:val="nil"/>
              <w:bottom w:val="nil"/>
              <w:right w:val="nil"/>
            </w:tcBorders>
            <w:noWrap/>
            <w:vAlign w:val="bottom"/>
          </w:tcPr>
          <w:p w:rsidR="009D67B7" w:rsidRPr="00320CBD" w:rsidRDefault="009D67B7" w:rsidP="00CA1B01">
            <w:pPr>
              <w:rPr>
                <w:rFonts w:ascii="Arial" w:hAnsi="Arial" w:cs="Arial"/>
                <w:b/>
                <w:bCs/>
                <w:lang w:val="en-US"/>
              </w:rPr>
            </w:pPr>
          </w:p>
        </w:tc>
        <w:tc>
          <w:tcPr>
            <w:tcW w:w="883"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95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952"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45"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392"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258"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83"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95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952"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45"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48"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44"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single" w:sz="4" w:space="0" w:color="auto"/>
              <w:left w:val="single" w:sz="4" w:space="0" w:color="auto"/>
              <w:bottom w:val="nil"/>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2258" w:type="dxa"/>
            <w:tcBorders>
              <w:top w:val="single" w:sz="4" w:space="0" w:color="auto"/>
              <w:left w:val="nil"/>
              <w:bottom w:val="nil"/>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83" w:type="dxa"/>
            <w:tcBorders>
              <w:top w:val="single" w:sz="4" w:space="0" w:color="auto"/>
              <w:left w:val="single" w:sz="4" w:space="0" w:color="auto"/>
              <w:bottom w:val="nil"/>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3904" w:type="dxa"/>
            <w:gridSpan w:val="3"/>
            <w:tcBorders>
              <w:top w:val="single" w:sz="4" w:space="0" w:color="auto"/>
              <w:left w:val="nil"/>
              <w:bottom w:val="nil"/>
              <w:right w:val="nil"/>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Periudha mujore</w:t>
            </w:r>
          </w:p>
        </w:tc>
        <w:tc>
          <w:tcPr>
            <w:tcW w:w="1245" w:type="dxa"/>
            <w:gridSpan w:val="2"/>
            <w:tcBorders>
              <w:top w:val="single" w:sz="4" w:space="0" w:color="auto"/>
              <w:left w:val="single" w:sz="4" w:space="0" w:color="auto"/>
              <w:bottom w:val="nil"/>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 xml:space="preserve">Sasia </w:t>
            </w:r>
          </w:p>
        </w:tc>
        <w:tc>
          <w:tcPr>
            <w:tcW w:w="1148" w:type="dxa"/>
            <w:tcBorders>
              <w:top w:val="single" w:sz="4" w:space="0" w:color="auto"/>
              <w:left w:val="nil"/>
              <w:bottom w:val="nil"/>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 xml:space="preserve">Nr. Fatures </w:t>
            </w:r>
          </w:p>
        </w:tc>
        <w:tc>
          <w:tcPr>
            <w:tcW w:w="1244" w:type="dxa"/>
            <w:tcBorders>
              <w:top w:val="single" w:sz="4" w:space="0" w:color="auto"/>
              <w:left w:val="nil"/>
              <w:bottom w:val="nil"/>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Taksa</w:t>
            </w:r>
          </w:p>
        </w:tc>
        <w:tc>
          <w:tcPr>
            <w:tcW w:w="1260" w:type="dxa"/>
            <w:tcBorders>
              <w:top w:val="single" w:sz="4" w:space="0" w:color="auto"/>
              <w:left w:val="nil"/>
              <w:bottom w:val="nil"/>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Detyrimi leke</w:t>
            </w:r>
          </w:p>
        </w:tc>
        <w:tc>
          <w:tcPr>
            <w:tcW w:w="1177" w:type="dxa"/>
            <w:tcBorders>
              <w:top w:val="single" w:sz="4" w:space="0" w:color="auto"/>
              <w:left w:val="nil"/>
              <w:bottom w:val="nil"/>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Nr dokum.</w:t>
            </w: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single" w:sz="4" w:space="0" w:color="auto"/>
              <w:bottom w:val="nil"/>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Nr.</w:t>
            </w:r>
          </w:p>
        </w:tc>
        <w:tc>
          <w:tcPr>
            <w:tcW w:w="2258" w:type="dxa"/>
            <w:tcBorders>
              <w:top w:val="nil"/>
              <w:left w:val="nil"/>
              <w:bottom w:val="nil"/>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xml:space="preserve">Lloji i ambalazhit të prodhuar </w:t>
            </w:r>
          </w:p>
        </w:tc>
        <w:tc>
          <w:tcPr>
            <w:tcW w:w="883" w:type="dxa"/>
            <w:tcBorders>
              <w:top w:val="nil"/>
              <w:left w:val="single" w:sz="4" w:space="0" w:color="auto"/>
              <w:bottom w:val="nil"/>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Nj</w:t>
            </w:r>
            <w:r>
              <w:rPr>
                <w:rFonts w:ascii="Arial" w:hAnsi="Arial" w:cs="Arial"/>
                <w:lang w:val="en-US"/>
              </w:rPr>
              <w:t>ë</w:t>
            </w:r>
            <w:r w:rsidRPr="00320CBD">
              <w:rPr>
                <w:rFonts w:ascii="Arial" w:hAnsi="Arial" w:cs="Arial"/>
                <w:lang w:val="en-US"/>
              </w:rPr>
              <w:t>sia</w:t>
            </w:r>
          </w:p>
        </w:tc>
        <w:tc>
          <w:tcPr>
            <w:tcW w:w="3904" w:type="dxa"/>
            <w:gridSpan w:val="3"/>
            <w:tcBorders>
              <w:top w:val="nil"/>
              <w:left w:val="nil"/>
              <w:bottom w:val="single" w:sz="4" w:space="0" w:color="auto"/>
              <w:right w:val="nil"/>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e shitjes</w:t>
            </w:r>
          </w:p>
        </w:tc>
        <w:tc>
          <w:tcPr>
            <w:tcW w:w="1245" w:type="dxa"/>
            <w:gridSpan w:val="2"/>
            <w:tcBorders>
              <w:top w:val="nil"/>
              <w:left w:val="single" w:sz="4" w:space="0" w:color="auto"/>
              <w:bottom w:val="nil"/>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e</w:t>
            </w:r>
          </w:p>
        </w:tc>
        <w:tc>
          <w:tcPr>
            <w:tcW w:w="1148" w:type="dxa"/>
            <w:tcBorders>
              <w:top w:val="nil"/>
              <w:left w:val="nil"/>
              <w:bottom w:val="nil"/>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 xml:space="preserve">shitjes </w:t>
            </w:r>
          </w:p>
        </w:tc>
        <w:tc>
          <w:tcPr>
            <w:tcW w:w="1244" w:type="dxa"/>
            <w:tcBorders>
              <w:top w:val="nil"/>
              <w:left w:val="nil"/>
              <w:bottom w:val="nil"/>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per</w:t>
            </w:r>
          </w:p>
        </w:tc>
        <w:tc>
          <w:tcPr>
            <w:tcW w:w="1260" w:type="dxa"/>
            <w:tcBorders>
              <w:top w:val="nil"/>
              <w:left w:val="nil"/>
              <w:bottom w:val="nil"/>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per tu</w:t>
            </w:r>
          </w:p>
        </w:tc>
        <w:tc>
          <w:tcPr>
            <w:tcW w:w="1177" w:type="dxa"/>
            <w:tcBorders>
              <w:top w:val="nil"/>
              <w:left w:val="nil"/>
              <w:bottom w:val="nil"/>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te  pageses</w:t>
            </w: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2258" w:type="dxa"/>
            <w:tcBorders>
              <w:top w:val="nil"/>
              <w:left w:val="nil"/>
              <w:bottom w:val="single" w:sz="4" w:space="0" w:color="auto"/>
              <w:right w:val="nil"/>
            </w:tcBorders>
            <w:noWrap/>
            <w:vAlign w:val="bottom"/>
          </w:tcPr>
          <w:p w:rsidR="009D67B7" w:rsidRPr="00320CBD" w:rsidRDefault="009D67B7" w:rsidP="0073057E">
            <w:pPr>
              <w:rPr>
                <w:rFonts w:ascii="Arial" w:hAnsi="Arial" w:cs="Arial"/>
                <w:lang w:val="en-US"/>
              </w:rPr>
            </w:pPr>
            <w:r w:rsidRPr="00320CBD">
              <w:rPr>
                <w:rFonts w:ascii="Arial" w:hAnsi="Arial" w:cs="Arial"/>
                <w:lang w:val="en-US"/>
              </w:rPr>
              <w:t>p</w:t>
            </w:r>
            <w:r>
              <w:rPr>
                <w:rFonts w:ascii="Arial" w:hAnsi="Arial" w:cs="Arial"/>
                <w:lang w:val="en-US"/>
              </w:rPr>
              <w:t>ë</w:t>
            </w:r>
            <w:r w:rsidRPr="00320CBD">
              <w:rPr>
                <w:rFonts w:ascii="Arial" w:hAnsi="Arial" w:cs="Arial"/>
                <w:lang w:val="en-US"/>
              </w:rPr>
              <w:t>r muajin__________</w:t>
            </w:r>
          </w:p>
        </w:tc>
        <w:tc>
          <w:tcPr>
            <w:tcW w:w="883"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952" w:type="dxa"/>
            <w:tcBorders>
              <w:top w:val="nil"/>
              <w:left w:val="nil"/>
              <w:bottom w:val="nil"/>
              <w:right w:val="single" w:sz="8"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Nga data____/_____</w:t>
            </w:r>
          </w:p>
        </w:tc>
        <w:tc>
          <w:tcPr>
            <w:tcW w:w="1952"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ne daten___/_____</w:t>
            </w:r>
          </w:p>
        </w:tc>
        <w:tc>
          <w:tcPr>
            <w:tcW w:w="1245" w:type="dxa"/>
            <w:gridSpan w:val="2"/>
            <w:tcBorders>
              <w:top w:val="nil"/>
              <w:left w:val="single" w:sz="4" w:space="0" w:color="auto"/>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 xml:space="preserve">shitur </w:t>
            </w:r>
          </w:p>
        </w:tc>
        <w:tc>
          <w:tcPr>
            <w:tcW w:w="1148"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 </w:t>
            </w:r>
          </w:p>
        </w:tc>
        <w:tc>
          <w:tcPr>
            <w:tcW w:w="1244"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njesi</w:t>
            </w:r>
          </w:p>
        </w:tc>
        <w:tc>
          <w:tcPr>
            <w:tcW w:w="1260"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paguar</w:t>
            </w:r>
          </w:p>
        </w:tc>
        <w:tc>
          <w:tcPr>
            <w:tcW w:w="1177"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se takses</w:t>
            </w: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a</w:t>
            </w:r>
          </w:p>
        </w:tc>
        <w:tc>
          <w:tcPr>
            <w:tcW w:w="2258"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b</w:t>
            </w:r>
          </w:p>
        </w:tc>
        <w:tc>
          <w:tcPr>
            <w:tcW w:w="883"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c</w:t>
            </w:r>
          </w:p>
        </w:tc>
        <w:tc>
          <w:tcPr>
            <w:tcW w:w="1952" w:type="dxa"/>
            <w:tcBorders>
              <w:top w:val="single" w:sz="4" w:space="0" w:color="auto"/>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d</w:t>
            </w:r>
          </w:p>
        </w:tc>
        <w:tc>
          <w:tcPr>
            <w:tcW w:w="1952" w:type="dxa"/>
            <w:gridSpan w:val="2"/>
            <w:tcBorders>
              <w:top w:val="single" w:sz="4" w:space="0" w:color="auto"/>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e</w:t>
            </w:r>
          </w:p>
        </w:tc>
        <w:tc>
          <w:tcPr>
            <w:tcW w:w="1245" w:type="dxa"/>
            <w:gridSpan w:val="2"/>
            <w:tcBorders>
              <w:top w:val="nil"/>
              <w:left w:val="nil"/>
              <w:bottom w:val="single" w:sz="4" w:space="0" w:color="auto"/>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f</w:t>
            </w:r>
          </w:p>
        </w:tc>
        <w:tc>
          <w:tcPr>
            <w:tcW w:w="1148"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g</w:t>
            </w:r>
          </w:p>
        </w:tc>
        <w:tc>
          <w:tcPr>
            <w:tcW w:w="1244"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h</w:t>
            </w:r>
          </w:p>
        </w:tc>
        <w:tc>
          <w:tcPr>
            <w:tcW w:w="1260"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i</w:t>
            </w:r>
          </w:p>
        </w:tc>
        <w:tc>
          <w:tcPr>
            <w:tcW w:w="1177"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j</w:t>
            </w: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1</w:t>
            </w:r>
          </w:p>
        </w:tc>
        <w:tc>
          <w:tcPr>
            <w:tcW w:w="2258"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83"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Kg</w:t>
            </w:r>
          </w:p>
        </w:tc>
        <w:tc>
          <w:tcPr>
            <w:tcW w:w="1952" w:type="dxa"/>
            <w:tcBorders>
              <w:top w:val="nil"/>
              <w:left w:val="nil"/>
              <w:bottom w:val="single" w:sz="4" w:space="0" w:color="auto"/>
              <w:right w:val="single" w:sz="4" w:space="0" w:color="auto"/>
            </w:tcBorders>
            <w:noWrap/>
            <w:vAlign w:val="bottom"/>
          </w:tcPr>
          <w:p w:rsidR="009D67B7" w:rsidRPr="00320CBD" w:rsidRDefault="009D67B7" w:rsidP="008F4334">
            <w:pPr>
              <w:ind w:right="227"/>
              <w:rPr>
                <w:rFonts w:ascii="Arial" w:hAnsi="Arial" w:cs="Arial"/>
                <w:lang w:val="en-US"/>
              </w:rPr>
            </w:pPr>
            <w:r w:rsidRPr="00320CBD">
              <w:rPr>
                <w:rFonts w:ascii="Arial" w:hAnsi="Arial" w:cs="Arial"/>
                <w:lang w:val="en-US"/>
              </w:rPr>
              <w:t> </w:t>
            </w:r>
          </w:p>
        </w:tc>
        <w:tc>
          <w:tcPr>
            <w:tcW w:w="1952" w:type="dxa"/>
            <w:gridSpan w:val="2"/>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245" w:type="dxa"/>
            <w:gridSpan w:val="2"/>
            <w:tcBorders>
              <w:top w:val="nil"/>
              <w:left w:val="nil"/>
              <w:bottom w:val="single" w:sz="4" w:space="0" w:color="auto"/>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148"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244"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 </w:t>
            </w:r>
          </w:p>
        </w:tc>
        <w:tc>
          <w:tcPr>
            <w:tcW w:w="1260"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177"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2</w:t>
            </w:r>
          </w:p>
        </w:tc>
        <w:tc>
          <w:tcPr>
            <w:tcW w:w="2258"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83"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Kg</w:t>
            </w:r>
          </w:p>
        </w:tc>
        <w:tc>
          <w:tcPr>
            <w:tcW w:w="1952"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952" w:type="dxa"/>
            <w:gridSpan w:val="2"/>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245" w:type="dxa"/>
            <w:gridSpan w:val="2"/>
            <w:tcBorders>
              <w:top w:val="nil"/>
              <w:left w:val="nil"/>
              <w:bottom w:val="single" w:sz="4" w:space="0" w:color="auto"/>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148"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244"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 </w:t>
            </w:r>
          </w:p>
        </w:tc>
        <w:tc>
          <w:tcPr>
            <w:tcW w:w="1260"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177"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3</w:t>
            </w:r>
          </w:p>
        </w:tc>
        <w:tc>
          <w:tcPr>
            <w:tcW w:w="2258"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83"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Kg</w:t>
            </w:r>
          </w:p>
        </w:tc>
        <w:tc>
          <w:tcPr>
            <w:tcW w:w="1952"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952" w:type="dxa"/>
            <w:gridSpan w:val="2"/>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245" w:type="dxa"/>
            <w:gridSpan w:val="2"/>
            <w:tcBorders>
              <w:top w:val="nil"/>
              <w:left w:val="nil"/>
              <w:bottom w:val="single" w:sz="4" w:space="0" w:color="auto"/>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148"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244"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 </w:t>
            </w:r>
          </w:p>
        </w:tc>
        <w:tc>
          <w:tcPr>
            <w:tcW w:w="1260"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177"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4</w:t>
            </w:r>
          </w:p>
        </w:tc>
        <w:tc>
          <w:tcPr>
            <w:tcW w:w="2258"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83"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kg</w:t>
            </w:r>
          </w:p>
        </w:tc>
        <w:tc>
          <w:tcPr>
            <w:tcW w:w="1952"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952" w:type="dxa"/>
            <w:gridSpan w:val="2"/>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245" w:type="dxa"/>
            <w:gridSpan w:val="2"/>
            <w:tcBorders>
              <w:top w:val="nil"/>
              <w:left w:val="nil"/>
              <w:bottom w:val="single" w:sz="4" w:space="0" w:color="auto"/>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148"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244"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 </w:t>
            </w:r>
          </w:p>
        </w:tc>
        <w:tc>
          <w:tcPr>
            <w:tcW w:w="1260"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177"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5</w:t>
            </w:r>
          </w:p>
        </w:tc>
        <w:tc>
          <w:tcPr>
            <w:tcW w:w="2258"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83"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Kg</w:t>
            </w:r>
          </w:p>
        </w:tc>
        <w:tc>
          <w:tcPr>
            <w:tcW w:w="1952"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952" w:type="dxa"/>
            <w:gridSpan w:val="2"/>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245" w:type="dxa"/>
            <w:gridSpan w:val="2"/>
            <w:tcBorders>
              <w:top w:val="nil"/>
              <w:left w:val="nil"/>
              <w:bottom w:val="single" w:sz="4" w:space="0" w:color="auto"/>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148"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244"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 </w:t>
            </w:r>
          </w:p>
        </w:tc>
        <w:tc>
          <w:tcPr>
            <w:tcW w:w="1260"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177"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6</w:t>
            </w:r>
          </w:p>
        </w:tc>
        <w:tc>
          <w:tcPr>
            <w:tcW w:w="2258"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83"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Kg</w:t>
            </w:r>
          </w:p>
        </w:tc>
        <w:tc>
          <w:tcPr>
            <w:tcW w:w="1952"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952" w:type="dxa"/>
            <w:gridSpan w:val="2"/>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245" w:type="dxa"/>
            <w:gridSpan w:val="2"/>
            <w:tcBorders>
              <w:top w:val="nil"/>
              <w:left w:val="nil"/>
              <w:bottom w:val="single" w:sz="4" w:space="0" w:color="auto"/>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148" w:type="dxa"/>
            <w:tcBorders>
              <w:top w:val="nil"/>
              <w:left w:val="single" w:sz="4" w:space="0" w:color="auto"/>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244" w:type="dxa"/>
            <w:tcBorders>
              <w:top w:val="nil"/>
              <w:left w:val="nil"/>
              <w:bottom w:val="single" w:sz="4" w:space="0" w:color="auto"/>
              <w:right w:val="single" w:sz="4" w:space="0" w:color="auto"/>
            </w:tcBorders>
            <w:noWrap/>
            <w:vAlign w:val="bottom"/>
          </w:tcPr>
          <w:p w:rsidR="009D67B7" w:rsidRPr="00320CBD" w:rsidRDefault="009D67B7" w:rsidP="00CA1B01">
            <w:pPr>
              <w:jc w:val="center"/>
              <w:rPr>
                <w:rFonts w:ascii="Arial" w:hAnsi="Arial" w:cs="Arial"/>
                <w:lang w:val="en-US"/>
              </w:rPr>
            </w:pPr>
            <w:r w:rsidRPr="00320CBD">
              <w:rPr>
                <w:rFonts w:ascii="Arial" w:hAnsi="Arial" w:cs="Arial"/>
                <w:lang w:val="en-US"/>
              </w:rPr>
              <w:t> </w:t>
            </w:r>
          </w:p>
        </w:tc>
        <w:tc>
          <w:tcPr>
            <w:tcW w:w="1260"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1177" w:type="dxa"/>
            <w:tcBorders>
              <w:top w:val="nil"/>
              <w:left w:val="nil"/>
              <w:bottom w:val="single" w:sz="4" w:space="0" w:color="auto"/>
              <w:right w:val="single" w:sz="4" w:space="0" w:color="auto"/>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w:t>
            </w: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3141"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Subjekti deklarues</w:t>
            </w:r>
          </w:p>
        </w:tc>
        <w:tc>
          <w:tcPr>
            <w:tcW w:w="195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952"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45"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4829" w:type="dxa"/>
            <w:gridSpan w:val="4"/>
            <w:tcBorders>
              <w:top w:val="nil"/>
              <w:left w:val="nil"/>
              <w:bottom w:val="nil"/>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Data e deklarimit</w:t>
            </w: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3141"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(Em</w:t>
            </w:r>
            <w:r>
              <w:rPr>
                <w:rFonts w:ascii="Arial" w:hAnsi="Arial" w:cs="Arial"/>
                <w:lang w:val="en-US"/>
              </w:rPr>
              <w:t>ë</w:t>
            </w:r>
            <w:r w:rsidRPr="00320CBD">
              <w:rPr>
                <w:rFonts w:ascii="Arial" w:hAnsi="Arial" w:cs="Arial"/>
                <w:lang w:val="en-US"/>
              </w:rPr>
              <w:t>r Mbiem</w:t>
            </w:r>
            <w:r>
              <w:rPr>
                <w:rFonts w:ascii="Arial" w:hAnsi="Arial" w:cs="Arial"/>
                <w:lang w:val="en-US"/>
              </w:rPr>
              <w:t>ë</w:t>
            </w:r>
            <w:r w:rsidRPr="00320CBD">
              <w:rPr>
                <w:rFonts w:ascii="Arial" w:hAnsi="Arial" w:cs="Arial"/>
                <w:lang w:val="en-US"/>
              </w:rPr>
              <w:t>r firm</w:t>
            </w:r>
            <w:r>
              <w:rPr>
                <w:rFonts w:ascii="Arial" w:hAnsi="Arial" w:cs="Arial"/>
                <w:lang w:val="en-US"/>
              </w:rPr>
              <w:t>ë</w:t>
            </w:r>
            <w:r w:rsidRPr="00320CBD">
              <w:rPr>
                <w:rFonts w:ascii="Arial" w:hAnsi="Arial" w:cs="Arial"/>
                <w:lang w:val="en-US"/>
              </w:rPr>
              <w:t>)</w:t>
            </w:r>
          </w:p>
        </w:tc>
        <w:tc>
          <w:tcPr>
            <w:tcW w:w="195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952"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45"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5661" w:type="dxa"/>
            <w:gridSpan w:val="5"/>
            <w:tcBorders>
              <w:top w:val="nil"/>
              <w:left w:val="nil"/>
              <w:bottom w:val="nil"/>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________/______/   201____</w:t>
            </w: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3141"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r w:rsidRPr="00320CBD">
              <w:rPr>
                <w:rFonts w:ascii="Arial" w:hAnsi="Arial" w:cs="Arial"/>
                <w:lang w:val="en-US"/>
              </w:rPr>
              <w:t xml:space="preserve">Shenim : </w:t>
            </w:r>
          </w:p>
        </w:tc>
        <w:tc>
          <w:tcPr>
            <w:tcW w:w="195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952"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45"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392"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0682" w:type="dxa"/>
            <w:gridSpan w:val="9"/>
            <w:tcBorders>
              <w:top w:val="nil"/>
              <w:left w:val="nil"/>
              <w:bottom w:val="nil"/>
              <w:right w:val="nil"/>
            </w:tcBorders>
            <w:noWrap/>
            <w:vAlign w:val="bottom"/>
          </w:tcPr>
          <w:p w:rsidR="009D67B7" w:rsidRPr="00320CBD" w:rsidRDefault="009D67B7" w:rsidP="0073057E">
            <w:pPr>
              <w:jc w:val="both"/>
              <w:rPr>
                <w:rFonts w:ascii="Arial" w:hAnsi="Arial" w:cs="Arial"/>
                <w:i/>
                <w:iCs/>
                <w:lang w:val="en-US"/>
              </w:rPr>
            </w:pPr>
            <w:r w:rsidRPr="00320CBD">
              <w:rPr>
                <w:rFonts w:ascii="Arial" w:hAnsi="Arial" w:cs="Arial"/>
                <w:i/>
                <w:iCs/>
                <w:lang w:val="en-US"/>
              </w:rPr>
              <w:t>Kjo tabel</w:t>
            </w:r>
            <w:r>
              <w:rPr>
                <w:rFonts w:ascii="Arial" w:hAnsi="Arial" w:cs="Arial"/>
                <w:i/>
                <w:iCs/>
                <w:lang w:val="en-US"/>
              </w:rPr>
              <w:t>ë</w:t>
            </w:r>
            <w:r w:rsidRPr="00320CBD">
              <w:rPr>
                <w:rFonts w:ascii="Arial" w:hAnsi="Arial" w:cs="Arial"/>
                <w:i/>
                <w:iCs/>
                <w:lang w:val="en-US"/>
              </w:rPr>
              <w:t xml:space="preserve"> dor</w:t>
            </w:r>
            <w:r>
              <w:rPr>
                <w:rFonts w:ascii="Arial" w:hAnsi="Arial" w:cs="Arial"/>
                <w:i/>
                <w:iCs/>
                <w:lang w:val="en-US"/>
              </w:rPr>
              <w:t>ë</w:t>
            </w:r>
            <w:r w:rsidRPr="00320CBD">
              <w:rPr>
                <w:rFonts w:ascii="Arial" w:hAnsi="Arial" w:cs="Arial"/>
                <w:i/>
                <w:iCs/>
                <w:lang w:val="en-US"/>
              </w:rPr>
              <w:t xml:space="preserve">zohet </w:t>
            </w:r>
            <w:proofErr w:type="gramStart"/>
            <w:r w:rsidRPr="00320CBD">
              <w:rPr>
                <w:rFonts w:ascii="Arial" w:hAnsi="Arial" w:cs="Arial"/>
                <w:i/>
                <w:iCs/>
                <w:lang w:val="en-US"/>
              </w:rPr>
              <w:t>nga  tatimpaguesi</w:t>
            </w:r>
            <w:proofErr w:type="gramEnd"/>
            <w:r w:rsidRPr="00320CBD">
              <w:rPr>
                <w:rFonts w:ascii="Arial" w:hAnsi="Arial" w:cs="Arial"/>
                <w:i/>
                <w:iCs/>
                <w:lang w:val="en-US"/>
              </w:rPr>
              <w:t xml:space="preserve"> prodhues ( nj</w:t>
            </w:r>
            <w:r>
              <w:rPr>
                <w:rFonts w:ascii="Arial" w:hAnsi="Arial" w:cs="Arial"/>
                <w:i/>
                <w:iCs/>
                <w:lang w:val="en-US"/>
              </w:rPr>
              <w:t>ë</w:t>
            </w:r>
            <w:r w:rsidRPr="00320CBD">
              <w:rPr>
                <w:rFonts w:ascii="Arial" w:hAnsi="Arial" w:cs="Arial"/>
                <w:i/>
                <w:iCs/>
                <w:lang w:val="en-US"/>
              </w:rPr>
              <w:t>kohesisht shit</w:t>
            </w:r>
            <w:r>
              <w:rPr>
                <w:rFonts w:ascii="Arial" w:hAnsi="Arial" w:cs="Arial"/>
                <w:i/>
                <w:iCs/>
                <w:lang w:val="en-US"/>
              </w:rPr>
              <w:t>ë</w:t>
            </w:r>
            <w:r w:rsidRPr="00320CBD">
              <w:rPr>
                <w:rFonts w:ascii="Arial" w:hAnsi="Arial" w:cs="Arial"/>
                <w:i/>
                <w:iCs/>
                <w:lang w:val="en-US"/>
              </w:rPr>
              <w:t>s ) i amballazhit brenda dat</w:t>
            </w:r>
            <w:r>
              <w:rPr>
                <w:rFonts w:ascii="Arial" w:hAnsi="Arial" w:cs="Arial"/>
                <w:i/>
                <w:iCs/>
                <w:lang w:val="en-US"/>
              </w:rPr>
              <w:t>ë</w:t>
            </w:r>
            <w:r w:rsidRPr="00320CBD">
              <w:rPr>
                <w:rFonts w:ascii="Arial" w:hAnsi="Arial" w:cs="Arial"/>
                <w:i/>
                <w:iCs/>
                <w:lang w:val="en-US"/>
              </w:rPr>
              <w:t>s 5 te muajit pasardhes,  ne drejtorine rajonale tatimore ku eshte i regjistruar, shoqeruar me dokumentin e pageses. Formulari plotesohet ne dy kopje. Nje kopje e mban Drejtoria Rajonale Tatimore dhe kopjen tjet</w:t>
            </w:r>
            <w:r>
              <w:rPr>
                <w:rFonts w:ascii="Arial" w:hAnsi="Arial" w:cs="Arial"/>
                <w:i/>
                <w:iCs/>
                <w:lang w:val="en-US"/>
              </w:rPr>
              <w:t>ë</w:t>
            </w:r>
            <w:r w:rsidRPr="00320CBD">
              <w:rPr>
                <w:rFonts w:ascii="Arial" w:hAnsi="Arial" w:cs="Arial"/>
                <w:i/>
                <w:iCs/>
                <w:lang w:val="en-US"/>
              </w:rPr>
              <w:t>r  tatimpaguesi</w:t>
            </w:r>
          </w:p>
        </w:tc>
        <w:tc>
          <w:tcPr>
            <w:tcW w:w="1260" w:type="dxa"/>
            <w:tcBorders>
              <w:top w:val="nil"/>
              <w:left w:val="nil"/>
              <w:bottom w:val="nil"/>
              <w:right w:val="nil"/>
            </w:tcBorders>
            <w:noWrap/>
            <w:vAlign w:val="bottom"/>
          </w:tcPr>
          <w:p w:rsidR="009D67B7" w:rsidRPr="00320CBD" w:rsidRDefault="009D67B7" w:rsidP="00CA1B01">
            <w:pPr>
              <w:jc w:val="both"/>
              <w:rPr>
                <w:rFonts w:ascii="Arial" w:hAnsi="Arial" w:cs="Arial"/>
                <w:i/>
                <w:iCs/>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i/>
                <w:iCs/>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i/>
                <w:iCs/>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2258" w:type="dxa"/>
            <w:tcBorders>
              <w:top w:val="nil"/>
              <w:left w:val="nil"/>
              <w:bottom w:val="nil"/>
              <w:right w:val="nil"/>
            </w:tcBorders>
            <w:vAlign w:val="bottom"/>
          </w:tcPr>
          <w:p w:rsidR="009D67B7" w:rsidRPr="00320CBD" w:rsidRDefault="009D67B7" w:rsidP="00CA1B01">
            <w:pPr>
              <w:rPr>
                <w:rFonts w:ascii="Arial" w:hAnsi="Arial" w:cs="Arial"/>
                <w:lang w:val="en-US"/>
              </w:rPr>
            </w:pPr>
            <w:r w:rsidRPr="00320CBD">
              <w:rPr>
                <w:rFonts w:ascii="Arial" w:hAnsi="Arial" w:cs="Arial"/>
                <w:lang w:val="en-US"/>
              </w:rPr>
              <w:t xml:space="preserve">rregjistruar </w:t>
            </w:r>
          </w:p>
        </w:tc>
        <w:tc>
          <w:tcPr>
            <w:tcW w:w="883" w:type="dxa"/>
            <w:tcBorders>
              <w:top w:val="nil"/>
              <w:left w:val="nil"/>
              <w:bottom w:val="nil"/>
              <w:right w:val="nil"/>
            </w:tcBorders>
            <w:vAlign w:val="bottom"/>
          </w:tcPr>
          <w:p w:rsidR="009D67B7" w:rsidRPr="00320CBD" w:rsidRDefault="009D67B7" w:rsidP="00CA1B01">
            <w:pPr>
              <w:rPr>
                <w:rFonts w:ascii="Arial" w:hAnsi="Arial" w:cs="Arial"/>
                <w:lang w:val="en-US"/>
              </w:rPr>
            </w:pPr>
          </w:p>
        </w:tc>
        <w:tc>
          <w:tcPr>
            <w:tcW w:w="1952" w:type="dxa"/>
            <w:tcBorders>
              <w:top w:val="nil"/>
              <w:left w:val="nil"/>
              <w:bottom w:val="nil"/>
              <w:right w:val="nil"/>
            </w:tcBorders>
            <w:vAlign w:val="bottom"/>
          </w:tcPr>
          <w:p w:rsidR="009D67B7" w:rsidRPr="00320CBD" w:rsidRDefault="009D67B7" w:rsidP="00CA1B01">
            <w:pPr>
              <w:rPr>
                <w:rFonts w:ascii="Arial" w:hAnsi="Arial" w:cs="Arial"/>
                <w:lang w:val="en-US"/>
              </w:rPr>
            </w:pPr>
          </w:p>
        </w:tc>
        <w:tc>
          <w:tcPr>
            <w:tcW w:w="1645" w:type="dxa"/>
            <w:tcBorders>
              <w:top w:val="nil"/>
              <w:left w:val="nil"/>
              <w:bottom w:val="nil"/>
              <w:right w:val="nil"/>
            </w:tcBorders>
            <w:vAlign w:val="bottom"/>
          </w:tcPr>
          <w:p w:rsidR="009D67B7" w:rsidRPr="00320CBD" w:rsidRDefault="009D67B7" w:rsidP="008F4334">
            <w:pPr>
              <w:ind w:right="-558"/>
              <w:rPr>
                <w:rFonts w:ascii="Arial" w:hAnsi="Arial" w:cs="Arial"/>
                <w:lang w:val="en-US"/>
              </w:rPr>
            </w:pPr>
          </w:p>
        </w:tc>
        <w:tc>
          <w:tcPr>
            <w:tcW w:w="1260" w:type="dxa"/>
            <w:gridSpan w:val="2"/>
            <w:tcBorders>
              <w:top w:val="nil"/>
              <w:left w:val="nil"/>
              <w:bottom w:val="nil"/>
              <w:right w:val="nil"/>
            </w:tcBorders>
            <w:vAlign w:val="bottom"/>
          </w:tcPr>
          <w:p w:rsidR="009D67B7" w:rsidRPr="00320CBD" w:rsidRDefault="009D67B7" w:rsidP="00CA1B01">
            <w:pPr>
              <w:rPr>
                <w:rFonts w:ascii="Arial" w:hAnsi="Arial" w:cs="Arial"/>
                <w:lang w:val="en-US"/>
              </w:rPr>
            </w:pPr>
          </w:p>
        </w:tc>
        <w:tc>
          <w:tcPr>
            <w:tcW w:w="1440" w:type="dxa"/>
            <w:gridSpan w:val="2"/>
            <w:tcBorders>
              <w:top w:val="nil"/>
              <w:left w:val="nil"/>
              <w:bottom w:val="nil"/>
              <w:right w:val="nil"/>
            </w:tcBorders>
            <w:vAlign w:val="bottom"/>
          </w:tcPr>
          <w:p w:rsidR="009D67B7" w:rsidRPr="00320CBD" w:rsidRDefault="009D67B7" w:rsidP="00CA1B01">
            <w:pPr>
              <w:rPr>
                <w:rFonts w:ascii="Arial" w:hAnsi="Arial" w:cs="Arial"/>
                <w:lang w:val="en-US"/>
              </w:rPr>
            </w:pPr>
          </w:p>
        </w:tc>
        <w:tc>
          <w:tcPr>
            <w:tcW w:w="1244" w:type="dxa"/>
            <w:tcBorders>
              <w:top w:val="nil"/>
              <w:left w:val="nil"/>
              <w:bottom w:val="nil"/>
              <w:right w:val="nil"/>
            </w:tcBorders>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942" w:type="dxa"/>
            <w:gridSpan w:val="10"/>
            <w:tcBorders>
              <w:top w:val="nil"/>
              <w:left w:val="nil"/>
              <w:bottom w:val="nil"/>
              <w:right w:val="nil"/>
            </w:tcBorders>
            <w:noWrap/>
            <w:vAlign w:val="bottom"/>
          </w:tcPr>
          <w:p w:rsidR="009D67B7" w:rsidRPr="00320CBD" w:rsidRDefault="009D67B7" w:rsidP="0073057E">
            <w:pPr>
              <w:rPr>
                <w:rFonts w:ascii="Arial" w:hAnsi="Arial" w:cs="Arial"/>
                <w:i/>
                <w:iCs/>
                <w:lang w:val="en-US"/>
              </w:rPr>
            </w:pPr>
            <w:r w:rsidRPr="00320CBD">
              <w:rPr>
                <w:rFonts w:ascii="Arial" w:hAnsi="Arial" w:cs="Arial"/>
                <w:i/>
                <w:iCs/>
                <w:lang w:val="en-US"/>
              </w:rPr>
              <w:t>Formulari plot</w:t>
            </w:r>
            <w:r>
              <w:rPr>
                <w:rFonts w:ascii="Arial" w:hAnsi="Arial" w:cs="Arial"/>
                <w:i/>
                <w:iCs/>
                <w:lang w:val="en-US"/>
              </w:rPr>
              <w:t>ë</w:t>
            </w:r>
            <w:r w:rsidRPr="00320CBD">
              <w:rPr>
                <w:rFonts w:ascii="Arial" w:hAnsi="Arial" w:cs="Arial"/>
                <w:i/>
                <w:iCs/>
                <w:lang w:val="en-US"/>
              </w:rPr>
              <w:t>sohet n</w:t>
            </w:r>
            <w:r>
              <w:rPr>
                <w:rFonts w:ascii="Arial" w:hAnsi="Arial" w:cs="Arial"/>
                <w:i/>
                <w:iCs/>
                <w:lang w:val="en-US"/>
              </w:rPr>
              <w:t>ë</w:t>
            </w:r>
            <w:r w:rsidRPr="00320CBD">
              <w:rPr>
                <w:rFonts w:ascii="Arial" w:hAnsi="Arial" w:cs="Arial"/>
                <w:i/>
                <w:iCs/>
                <w:lang w:val="en-US"/>
              </w:rPr>
              <w:t xml:space="preserve"> dy kopje. Nj</w:t>
            </w:r>
            <w:r>
              <w:rPr>
                <w:rFonts w:ascii="Arial" w:hAnsi="Arial" w:cs="Arial"/>
                <w:i/>
                <w:iCs/>
                <w:lang w:val="en-US"/>
              </w:rPr>
              <w:t>ë</w:t>
            </w:r>
            <w:r w:rsidRPr="00320CBD">
              <w:rPr>
                <w:rFonts w:ascii="Arial" w:hAnsi="Arial" w:cs="Arial"/>
                <w:i/>
                <w:iCs/>
                <w:lang w:val="en-US"/>
              </w:rPr>
              <w:t xml:space="preserve"> kopje e mban Drejtoria Rajonale Tatimore dhe kopjen tjet</w:t>
            </w:r>
            <w:r>
              <w:rPr>
                <w:rFonts w:ascii="Arial" w:hAnsi="Arial" w:cs="Arial"/>
                <w:i/>
                <w:iCs/>
                <w:lang w:val="en-US"/>
              </w:rPr>
              <w:t>ë</w:t>
            </w:r>
            <w:r w:rsidRPr="00320CBD">
              <w:rPr>
                <w:rFonts w:ascii="Arial" w:hAnsi="Arial" w:cs="Arial"/>
                <w:i/>
                <w:iCs/>
                <w:lang w:val="en-US"/>
              </w:rPr>
              <w:t>r  tatimpaguesi</w:t>
            </w: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0682" w:type="dxa"/>
            <w:gridSpan w:val="9"/>
            <w:tcBorders>
              <w:top w:val="nil"/>
              <w:left w:val="nil"/>
              <w:bottom w:val="nil"/>
              <w:right w:val="nil"/>
            </w:tcBorders>
            <w:noWrap/>
            <w:vAlign w:val="bottom"/>
          </w:tcPr>
          <w:p w:rsidR="009D67B7" w:rsidRPr="00320CBD" w:rsidRDefault="009D67B7" w:rsidP="0073057E">
            <w:pPr>
              <w:rPr>
                <w:rFonts w:ascii="Arial" w:hAnsi="Arial" w:cs="Arial"/>
                <w:lang w:val="en-US"/>
              </w:rPr>
            </w:pPr>
            <w:r w:rsidRPr="00320CBD">
              <w:rPr>
                <w:rFonts w:ascii="Arial" w:hAnsi="Arial" w:cs="Arial"/>
                <w:lang w:val="en-US"/>
              </w:rPr>
              <w:t>N</w:t>
            </w:r>
            <w:r>
              <w:rPr>
                <w:rFonts w:ascii="Arial" w:hAnsi="Arial" w:cs="Arial"/>
                <w:lang w:val="en-US"/>
              </w:rPr>
              <w:t>ë</w:t>
            </w:r>
            <w:r w:rsidRPr="00320CBD">
              <w:rPr>
                <w:rFonts w:ascii="Arial" w:hAnsi="Arial" w:cs="Arial"/>
                <w:lang w:val="en-US"/>
              </w:rPr>
              <w:t xml:space="preserve"> p</w:t>
            </w:r>
            <w:r>
              <w:rPr>
                <w:rFonts w:ascii="Arial" w:hAnsi="Arial" w:cs="Arial"/>
                <w:lang w:val="en-US"/>
              </w:rPr>
              <w:t>ë</w:t>
            </w:r>
            <w:r w:rsidRPr="00320CBD">
              <w:rPr>
                <w:rFonts w:ascii="Arial" w:hAnsi="Arial" w:cs="Arial"/>
                <w:lang w:val="en-US"/>
              </w:rPr>
              <w:t>rputhje me kolon</w:t>
            </w:r>
            <w:r>
              <w:rPr>
                <w:rFonts w:ascii="Arial" w:hAnsi="Arial" w:cs="Arial"/>
                <w:lang w:val="en-US"/>
              </w:rPr>
              <w:t>ë</w:t>
            </w:r>
            <w:r w:rsidRPr="00320CBD">
              <w:rPr>
                <w:rFonts w:ascii="Arial" w:hAnsi="Arial" w:cs="Arial"/>
                <w:lang w:val="en-US"/>
              </w:rPr>
              <w:t>n g) dhe j) t</w:t>
            </w:r>
            <w:r>
              <w:rPr>
                <w:rFonts w:ascii="Arial" w:hAnsi="Arial" w:cs="Arial"/>
                <w:lang w:val="en-US"/>
              </w:rPr>
              <w:t>ë</w:t>
            </w:r>
            <w:r w:rsidRPr="00320CBD">
              <w:rPr>
                <w:rFonts w:ascii="Arial" w:hAnsi="Arial" w:cs="Arial"/>
                <w:lang w:val="en-US"/>
              </w:rPr>
              <w:t xml:space="preserve"> k</w:t>
            </w:r>
            <w:r>
              <w:rPr>
                <w:rFonts w:ascii="Arial" w:hAnsi="Arial" w:cs="Arial"/>
                <w:lang w:val="en-US"/>
              </w:rPr>
              <w:t>ë</w:t>
            </w:r>
            <w:r w:rsidRPr="00320CBD">
              <w:rPr>
                <w:rFonts w:ascii="Arial" w:hAnsi="Arial" w:cs="Arial"/>
                <w:lang w:val="en-US"/>
              </w:rPr>
              <w:t>tij formulari tatimpaguesi i bashk</w:t>
            </w:r>
            <w:r>
              <w:rPr>
                <w:rFonts w:ascii="Arial" w:hAnsi="Arial" w:cs="Arial"/>
                <w:lang w:val="en-US"/>
              </w:rPr>
              <w:t>ë</w:t>
            </w:r>
            <w:r w:rsidRPr="00320CBD">
              <w:rPr>
                <w:rFonts w:ascii="Arial" w:hAnsi="Arial" w:cs="Arial"/>
                <w:lang w:val="en-US"/>
              </w:rPr>
              <w:t>lidh formularit list</w:t>
            </w:r>
            <w:r>
              <w:rPr>
                <w:rFonts w:ascii="Arial" w:hAnsi="Arial" w:cs="Arial"/>
                <w:lang w:val="en-US"/>
              </w:rPr>
              <w:t>ë</w:t>
            </w:r>
            <w:r w:rsidRPr="00320CBD">
              <w:rPr>
                <w:rFonts w:ascii="Arial" w:hAnsi="Arial" w:cs="Arial"/>
                <w:lang w:val="en-US"/>
              </w:rPr>
              <w:t xml:space="preserve">n me nr.date te fatures </w:t>
            </w: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r w:rsidR="009D67B7" w:rsidRPr="00320CBD" w:rsidTr="008F4334">
        <w:trPr>
          <w:trHeight w:val="315"/>
        </w:trPr>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6738" w:type="dxa"/>
            <w:gridSpan w:val="4"/>
            <w:tcBorders>
              <w:top w:val="nil"/>
              <w:left w:val="nil"/>
              <w:bottom w:val="nil"/>
              <w:right w:val="nil"/>
            </w:tcBorders>
            <w:noWrap/>
            <w:vAlign w:val="bottom"/>
          </w:tcPr>
          <w:p w:rsidR="009D67B7" w:rsidRPr="00320CBD" w:rsidRDefault="009D67B7" w:rsidP="0073057E">
            <w:pPr>
              <w:rPr>
                <w:rFonts w:ascii="Arial" w:hAnsi="Arial" w:cs="Arial"/>
                <w:lang w:val="en-US"/>
              </w:rPr>
            </w:pPr>
            <w:proofErr w:type="gramStart"/>
            <w:r w:rsidRPr="00320CBD">
              <w:rPr>
                <w:rFonts w:ascii="Arial" w:hAnsi="Arial" w:cs="Arial"/>
                <w:lang w:val="en-US"/>
              </w:rPr>
              <w:t>s</w:t>
            </w:r>
            <w:r>
              <w:rPr>
                <w:rFonts w:ascii="Arial" w:hAnsi="Arial" w:cs="Arial"/>
                <w:lang w:val="en-US"/>
              </w:rPr>
              <w:t>ë</w:t>
            </w:r>
            <w:proofErr w:type="gramEnd"/>
            <w:r w:rsidRPr="00320CBD">
              <w:rPr>
                <w:rFonts w:ascii="Arial" w:hAnsi="Arial" w:cs="Arial"/>
                <w:lang w:val="en-US"/>
              </w:rPr>
              <w:t xml:space="preserve"> shitjes si dhe list</w:t>
            </w:r>
            <w:r>
              <w:rPr>
                <w:rFonts w:ascii="Arial" w:hAnsi="Arial" w:cs="Arial"/>
                <w:lang w:val="en-US"/>
              </w:rPr>
              <w:t>ë</w:t>
            </w:r>
            <w:r w:rsidRPr="00320CBD">
              <w:rPr>
                <w:rFonts w:ascii="Arial" w:hAnsi="Arial" w:cs="Arial"/>
                <w:lang w:val="en-US"/>
              </w:rPr>
              <w:t>n me nr.     , Dat</w:t>
            </w:r>
            <w:r>
              <w:rPr>
                <w:rFonts w:ascii="Arial" w:hAnsi="Arial" w:cs="Arial"/>
                <w:lang w:val="en-US"/>
              </w:rPr>
              <w:t>ë</w:t>
            </w:r>
            <w:r w:rsidRPr="00320CBD">
              <w:rPr>
                <w:rFonts w:ascii="Arial" w:hAnsi="Arial" w:cs="Arial"/>
                <w:lang w:val="en-US"/>
              </w:rPr>
              <w:t xml:space="preserve">   </w:t>
            </w:r>
            <w:proofErr w:type="gramStart"/>
            <w:r w:rsidRPr="00320CBD">
              <w:rPr>
                <w:rFonts w:ascii="Arial" w:hAnsi="Arial" w:cs="Arial"/>
                <w:lang w:val="en-US"/>
              </w:rPr>
              <w:t>/  /</w:t>
            </w:r>
            <w:proofErr w:type="gramEnd"/>
            <w:r w:rsidRPr="00320CBD">
              <w:rPr>
                <w:rFonts w:ascii="Arial" w:hAnsi="Arial" w:cs="Arial"/>
                <w:lang w:val="en-US"/>
              </w:rPr>
              <w:t xml:space="preserve">       ,t</w:t>
            </w:r>
            <w:r>
              <w:rPr>
                <w:rFonts w:ascii="Arial" w:hAnsi="Arial" w:cs="Arial"/>
                <w:lang w:val="en-US"/>
              </w:rPr>
              <w:t>ë</w:t>
            </w:r>
            <w:r w:rsidRPr="00320CBD">
              <w:rPr>
                <w:rFonts w:ascii="Arial" w:hAnsi="Arial" w:cs="Arial"/>
                <w:lang w:val="en-US"/>
              </w:rPr>
              <w:t xml:space="preserve"> mandat pages</w:t>
            </w:r>
            <w:r>
              <w:rPr>
                <w:rFonts w:ascii="Arial" w:hAnsi="Arial" w:cs="Arial"/>
                <w:lang w:val="en-US"/>
              </w:rPr>
              <w:t>ë</w:t>
            </w:r>
            <w:r w:rsidRPr="00320CBD">
              <w:rPr>
                <w:rFonts w:ascii="Arial" w:hAnsi="Arial" w:cs="Arial"/>
                <w:lang w:val="en-US"/>
              </w:rPr>
              <w:t>s s</w:t>
            </w:r>
            <w:r>
              <w:rPr>
                <w:rFonts w:ascii="Arial" w:hAnsi="Arial" w:cs="Arial"/>
                <w:lang w:val="en-US"/>
              </w:rPr>
              <w:t>ë</w:t>
            </w:r>
            <w:r w:rsidRPr="00320CBD">
              <w:rPr>
                <w:rFonts w:ascii="Arial" w:hAnsi="Arial" w:cs="Arial"/>
                <w:lang w:val="en-US"/>
              </w:rPr>
              <w:t xml:space="preserve"> taks</w:t>
            </w:r>
            <w:r>
              <w:rPr>
                <w:rFonts w:ascii="Arial" w:hAnsi="Arial" w:cs="Arial"/>
                <w:lang w:val="en-US"/>
              </w:rPr>
              <w:t>ë</w:t>
            </w:r>
            <w:r w:rsidRPr="00320CBD">
              <w:rPr>
                <w:rFonts w:ascii="Arial" w:hAnsi="Arial" w:cs="Arial"/>
                <w:lang w:val="en-US"/>
              </w:rPr>
              <w:t>s.</w:t>
            </w:r>
          </w:p>
        </w:tc>
        <w:tc>
          <w:tcPr>
            <w:tcW w:w="1260"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440" w:type="dxa"/>
            <w:gridSpan w:val="2"/>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44"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260"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1177"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c>
          <w:tcPr>
            <w:tcW w:w="832" w:type="dxa"/>
            <w:tcBorders>
              <w:top w:val="nil"/>
              <w:left w:val="nil"/>
              <w:bottom w:val="nil"/>
              <w:right w:val="nil"/>
            </w:tcBorders>
            <w:noWrap/>
            <w:vAlign w:val="bottom"/>
          </w:tcPr>
          <w:p w:rsidR="009D67B7" w:rsidRPr="00320CBD" w:rsidRDefault="009D67B7" w:rsidP="00CA1B01">
            <w:pPr>
              <w:rPr>
                <w:rFonts w:ascii="Arial" w:hAnsi="Arial" w:cs="Arial"/>
                <w:lang w:val="en-US"/>
              </w:rPr>
            </w:pPr>
          </w:p>
        </w:tc>
      </w:tr>
    </w:tbl>
    <w:p w:rsidR="009D67B7" w:rsidRPr="00320CBD" w:rsidRDefault="009D67B7" w:rsidP="0073057E">
      <w:pPr>
        <w:spacing w:after="200"/>
        <w:rPr>
          <w:lang w:val="sq-AL"/>
        </w:rPr>
      </w:pPr>
    </w:p>
    <w:p w:rsidR="009D67B7" w:rsidRPr="00320CBD" w:rsidRDefault="009D67B7">
      <w:pPr>
        <w:spacing w:after="200" w:line="276" w:lineRule="auto"/>
        <w:rPr>
          <w:lang w:val="sq-AL"/>
        </w:rPr>
      </w:pPr>
      <w:r w:rsidRPr="00320CBD">
        <w:rPr>
          <w:lang w:val="sq-AL"/>
        </w:rPr>
        <w:br w:type="page"/>
      </w:r>
    </w:p>
    <w:p w:rsidR="009D67B7" w:rsidRDefault="009D67B7" w:rsidP="008F4334">
      <w:pPr>
        <w:spacing w:after="200"/>
        <w:rPr>
          <w:lang w:val="sq-AL"/>
        </w:rPr>
        <w:sectPr w:rsidR="009D67B7" w:rsidSect="00320CBD">
          <w:pgSz w:w="15840" w:h="12240" w:orient="landscape"/>
          <w:pgMar w:top="1440" w:right="1440" w:bottom="1440" w:left="1440" w:header="720" w:footer="720" w:gutter="0"/>
          <w:cols w:space="720"/>
          <w:docGrid w:linePitch="360"/>
        </w:sectPr>
      </w:pPr>
    </w:p>
    <w:p w:rsidR="009D67B7" w:rsidRPr="00320CBD" w:rsidRDefault="009D67B7" w:rsidP="0073057E">
      <w:pPr>
        <w:spacing w:after="200"/>
        <w:rPr>
          <w:lang w:val="sq-AL"/>
        </w:rPr>
      </w:pPr>
      <w:r w:rsidRPr="00320CBD">
        <w:rPr>
          <w:lang w:val="sq-AL"/>
        </w:rPr>
        <w:t>Shtojca nr 2: Deklarata e Rentës Minerale</w:t>
      </w:r>
    </w:p>
    <w:p w:rsidR="00CF7B79" w:rsidRPr="002117C0" w:rsidRDefault="00CF7B79" w:rsidP="00CF7B79">
      <w:pPr>
        <w:rPr>
          <w:szCs w:val="22"/>
        </w:rPr>
      </w:pPr>
    </w:p>
    <w:tbl>
      <w:tblPr>
        <w:tblpPr w:leftFromText="180" w:rightFromText="180" w:vertAnchor="text" w:horzAnchor="page" w:tblpX="5968" w:tblpY="1"/>
        <w:tblW w:w="0" w:type="auto"/>
        <w:tblBorders>
          <w:top w:val="single" w:sz="4" w:space="0" w:color="auto"/>
          <w:left w:val="single" w:sz="4" w:space="0" w:color="auto"/>
          <w:bottom w:val="single" w:sz="4" w:space="0" w:color="auto"/>
          <w:right w:val="single" w:sz="4" w:space="0" w:color="auto"/>
        </w:tblBorders>
        <w:tblLook w:val="0000"/>
      </w:tblPr>
      <w:tblGrid>
        <w:gridCol w:w="5040"/>
      </w:tblGrid>
      <w:tr w:rsidR="00CF7B79" w:rsidRPr="002117C0" w:rsidTr="000F1A0A">
        <w:trPr>
          <w:trHeight w:val="710"/>
        </w:trPr>
        <w:tc>
          <w:tcPr>
            <w:tcW w:w="504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jc w:val="center"/>
              <w:rPr>
                <w:b/>
                <w:bCs/>
              </w:rPr>
            </w:pPr>
            <w:r w:rsidRPr="002117C0">
              <w:rPr>
                <w:b/>
                <w:bCs/>
                <w:szCs w:val="22"/>
              </w:rPr>
              <w:t>Numri i Vendosjes së Dokumentit (NVD)</w:t>
            </w:r>
          </w:p>
          <w:p w:rsidR="00CF7B79" w:rsidRPr="002117C0" w:rsidRDefault="00CF7B79" w:rsidP="000F1A0A">
            <w:pPr>
              <w:jc w:val="center"/>
            </w:pPr>
            <w:r w:rsidRPr="002117C0">
              <w:rPr>
                <w:sz w:val="16"/>
                <w:szCs w:val="22"/>
              </w:rPr>
              <w:t>(Vetëm për përdorim zyrtar</w:t>
            </w:r>
            <w:r w:rsidRPr="002117C0">
              <w:rPr>
                <w:szCs w:val="22"/>
              </w:rPr>
              <w:t>)</w:t>
            </w:r>
          </w:p>
        </w:tc>
      </w:tr>
    </w:tbl>
    <w:p w:rsidR="00CF7B79" w:rsidRPr="002117C0" w:rsidRDefault="00CF7B79" w:rsidP="00CF7B79">
      <w:pPr>
        <w:rPr>
          <w:b/>
          <w:bCs/>
          <w:sz w:val="22"/>
          <w:szCs w:val="22"/>
        </w:rPr>
      </w:pPr>
      <w:r w:rsidRPr="002117C0">
        <w:rPr>
          <w:b/>
          <w:bCs/>
          <w:sz w:val="22"/>
          <w:szCs w:val="22"/>
        </w:rPr>
        <w:t>FORMULAR I DEKLARIMIT DHE</w:t>
      </w:r>
    </w:p>
    <w:p w:rsidR="00CF7B79" w:rsidRPr="002117C0" w:rsidRDefault="00CF7B79" w:rsidP="00CF7B79">
      <w:pPr>
        <w:rPr>
          <w:b/>
          <w:bCs/>
          <w:sz w:val="22"/>
          <w:szCs w:val="22"/>
        </w:rPr>
      </w:pPr>
      <w:r w:rsidRPr="002117C0">
        <w:rPr>
          <w:b/>
          <w:bCs/>
          <w:sz w:val="22"/>
          <w:szCs w:val="22"/>
        </w:rPr>
        <w:t xml:space="preserve">PAGESËS SË TAKSËS SË </w:t>
      </w:r>
      <w:proofErr w:type="gramStart"/>
      <w:r w:rsidRPr="002117C0">
        <w:rPr>
          <w:b/>
          <w:bCs/>
          <w:sz w:val="22"/>
          <w:szCs w:val="22"/>
        </w:rPr>
        <w:t>RENTËS  MINERARE</w:t>
      </w:r>
      <w:proofErr w:type="gramEnd"/>
    </w:p>
    <w:tbl>
      <w:tblPr>
        <w:tblpPr w:leftFromText="180" w:rightFromText="180" w:vertAnchor="text" w:horzAnchor="page" w:tblpX="3718" w:tblpY="61"/>
        <w:tblW w:w="0" w:type="auto"/>
        <w:tblBorders>
          <w:top w:val="single" w:sz="4" w:space="0" w:color="auto"/>
          <w:left w:val="single" w:sz="4" w:space="0" w:color="auto"/>
          <w:bottom w:val="single" w:sz="4" w:space="0" w:color="auto"/>
          <w:right w:val="single" w:sz="4" w:space="0" w:color="auto"/>
        </w:tblBorders>
        <w:tblLook w:val="0000"/>
      </w:tblPr>
      <w:tblGrid>
        <w:gridCol w:w="2160"/>
      </w:tblGrid>
      <w:tr w:rsidR="00CF7B79" w:rsidRPr="002117C0" w:rsidTr="000F1A0A">
        <w:trPr>
          <w:trHeight w:val="255"/>
        </w:trPr>
        <w:tc>
          <w:tcPr>
            <w:tcW w:w="216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sz w:val="20"/>
                <w:szCs w:val="18"/>
              </w:rPr>
            </w:pPr>
            <w:r w:rsidRPr="002117C0">
              <w:rPr>
                <w:b/>
                <w:bCs/>
                <w:sz w:val="20"/>
                <w:szCs w:val="18"/>
              </w:rPr>
              <w:t xml:space="preserve">(2) Periudha tatimore </w:t>
            </w:r>
          </w:p>
          <w:p w:rsidR="00CF7B79" w:rsidRPr="002117C0" w:rsidRDefault="00CF7B79" w:rsidP="000F1A0A">
            <w:pPr>
              <w:rPr>
                <w:b/>
                <w:bCs/>
                <w:sz w:val="20"/>
                <w:szCs w:val="18"/>
              </w:rPr>
            </w:pPr>
            <w:r w:rsidRPr="002117C0">
              <w:rPr>
                <w:b/>
                <w:bCs/>
                <w:sz w:val="20"/>
                <w:szCs w:val="62"/>
              </w:rPr>
              <w:t xml:space="preserve"> </w:t>
            </w:r>
          </w:p>
        </w:tc>
      </w:tr>
      <w:tr w:rsidR="00CF7B79" w:rsidRPr="002117C0" w:rsidTr="000F1A0A">
        <w:trPr>
          <w:trHeight w:val="270"/>
        </w:trPr>
        <w:tc>
          <w:tcPr>
            <w:tcW w:w="216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sz w:val="20"/>
                <w:szCs w:val="18"/>
              </w:rPr>
            </w:pPr>
          </w:p>
          <w:p w:rsidR="00CF7B79" w:rsidRPr="002117C0" w:rsidRDefault="00CF7B79" w:rsidP="000F1A0A">
            <w:pPr>
              <w:rPr>
                <w:sz w:val="20"/>
                <w:szCs w:val="18"/>
              </w:rPr>
            </w:pPr>
          </w:p>
        </w:tc>
      </w:tr>
    </w:tbl>
    <w:tbl>
      <w:tblPr>
        <w:tblpPr w:leftFromText="180" w:rightFromText="180" w:vertAnchor="text" w:horzAnchor="page" w:tblpX="5986" w:tblpY="61"/>
        <w:tblW w:w="0" w:type="auto"/>
        <w:tblBorders>
          <w:top w:val="single" w:sz="4" w:space="0" w:color="auto"/>
          <w:left w:val="single" w:sz="4" w:space="0" w:color="auto"/>
          <w:bottom w:val="single" w:sz="4" w:space="0" w:color="auto"/>
          <w:right w:val="single" w:sz="4" w:space="0" w:color="auto"/>
        </w:tblBorders>
        <w:tblLook w:val="0000"/>
      </w:tblPr>
      <w:tblGrid>
        <w:gridCol w:w="5040"/>
      </w:tblGrid>
      <w:tr w:rsidR="00CF7B79" w:rsidRPr="002117C0" w:rsidTr="000F1A0A">
        <w:trPr>
          <w:trHeight w:val="540"/>
        </w:trPr>
        <w:tc>
          <w:tcPr>
            <w:tcW w:w="504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sz w:val="20"/>
              </w:rPr>
            </w:pPr>
            <w:r w:rsidRPr="002117C0">
              <w:rPr>
                <w:sz w:val="20"/>
              </w:rPr>
              <w:t>(1) Numri Serial:_________________________</w:t>
            </w:r>
          </w:p>
          <w:p w:rsidR="00CF7B79" w:rsidRPr="002117C0" w:rsidRDefault="00CF7B79" w:rsidP="000F1A0A">
            <w:pPr>
              <w:rPr>
                <w:sz w:val="20"/>
                <w:szCs w:val="18"/>
              </w:rPr>
            </w:pPr>
          </w:p>
          <w:p w:rsidR="00CF7B79" w:rsidRPr="002117C0" w:rsidRDefault="00CF7B79" w:rsidP="000F1A0A">
            <w:pPr>
              <w:rPr>
                <w:sz w:val="20"/>
                <w:szCs w:val="18"/>
              </w:rPr>
            </w:pPr>
          </w:p>
          <w:p w:rsidR="00CF7B79" w:rsidRPr="002117C0" w:rsidRDefault="00CF7B79" w:rsidP="000F1A0A">
            <w:pPr>
              <w:rPr>
                <w:sz w:val="20"/>
                <w:szCs w:val="18"/>
              </w:rPr>
            </w:pPr>
          </w:p>
        </w:tc>
      </w:tr>
      <w:tr w:rsidR="00CF7B79" w:rsidRPr="002117C0" w:rsidTr="000F1A0A">
        <w:trPr>
          <w:trHeight w:val="317"/>
        </w:trPr>
        <w:tc>
          <w:tcPr>
            <w:tcW w:w="5040" w:type="dxa"/>
            <w:tcBorders>
              <w:top w:val="single" w:sz="4" w:space="0" w:color="auto"/>
              <w:left w:val="nil"/>
              <w:bottom w:val="nil"/>
              <w:right w:val="nil"/>
            </w:tcBorders>
          </w:tcPr>
          <w:p w:rsidR="00CF7B79" w:rsidRPr="002117C0" w:rsidRDefault="00CF7B79" w:rsidP="000F1A0A">
            <w:pPr>
              <w:rPr>
                <w:sz w:val="20"/>
              </w:rPr>
            </w:pPr>
          </w:p>
        </w:tc>
      </w:tr>
    </w:tbl>
    <w:p w:rsidR="00CF7B79" w:rsidRPr="002117C0" w:rsidRDefault="003628DB" w:rsidP="00CF7B79">
      <w:pPr>
        <w:rPr>
          <w:sz w:val="2"/>
        </w:rPr>
      </w:pPr>
      <w:r w:rsidRPr="003628DB">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26" type="#_x0000_t147" alt="REPUBLIKA E SHQIPERISE &#10;&#10; MINISTRIA E FINANCAVE " style="position:absolute;margin-left:19.5pt;margin-top:5pt;width:51.15pt;height:45.25pt;z-index:251660288;mso-wrap-distance-left:2.88pt;mso-wrap-distance-top:2.88pt;mso-wrap-distance-right:2.88pt;mso-wrap-distance-bottom:2.88pt;mso-position-horizontal-relative:text;mso-position-vertical-relative:text" adj="-11796480" fillcolor="black" strokeweight=".25pt">
            <v:shadow color="#ccc"/>
            <v:textpath style="font-family:&quot;Kino MT&quot;;v-same-letter-heights:t" trim="t" string="REPUBLIKA E SHQIPERISE &#10;&#10; MINISTRIA E FINANCAVE "/>
            <o:lock v:ext="edit" aspectratio="t"/>
          </v:shape>
        </w:pict>
      </w:r>
      <w:r w:rsidR="00413F28">
        <w:rPr>
          <w:noProof/>
          <w:lang w:val="en-US"/>
        </w:rPr>
        <w:drawing>
          <wp:anchor distT="0" distB="0" distL="114300" distR="114300" simplePos="0" relativeHeight="251661312" behindDoc="0" locked="0" layoutInCell="1" allowOverlap="1">
            <wp:simplePos x="0" y="0"/>
            <wp:positionH relativeFrom="column">
              <wp:posOffset>401320</wp:posOffset>
            </wp:positionH>
            <wp:positionV relativeFrom="paragraph">
              <wp:posOffset>183515</wp:posOffset>
            </wp:positionV>
            <wp:extent cx="332740" cy="391795"/>
            <wp:effectExtent l="19050" t="0" r="0" b="0"/>
            <wp:wrapNone/>
            <wp:docPr id="4" name="Picture 4" descr="BZ bukur t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Z bukur tomi"/>
                    <pic:cNvPicPr>
                      <a:picLocks noChangeAspect="1" noChangeArrowheads="1"/>
                    </pic:cNvPicPr>
                  </pic:nvPicPr>
                  <pic:blipFill>
                    <a:blip r:embed="rId6"/>
                    <a:srcRect/>
                    <a:stretch>
                      <a:fillRect/>
                    </a:stretch>
                  </pic:blipFill>
                  <pic:spPr bwMode="auto">
                    <a:xfrm>
                      <a:off x="0" y="0"/>
                      <a:ext cx="332740" cy="391795"/>
                    </a:xfrm>
                    <a:prstGeom prst="rect">
                      <a:avLst/>
                    </a:prstGeom>
                    <a:noFill/>
                  </pic:spPr>
                </pic:pic>
              </a:graphicData>
            </a:graphic>
          </wp:anchor>
        </w:drawing>
      </w:r>
    </w:p>
    <w:tbl>
      <w:tblPr>
        <w:tblW w:w="9630" w:type="dxa"/>
        <w:tblInd w:w="18" w:type="dxa"/>
        <w:tblBorders>
          <w:top w:val="single" w:sz="4" w:space="0" w:color="auto"/>
          <w:left w:val="single" w:sz="4" w:space="0" w:color="auto"/>
          <w:bottom w:val="single" w:sz="4" w:space="0" w:color="auto"/>
          <w:right w:val="single" w:sz="4" w:space="0" w:color="auto"/>
        </w:tblBorders>
        <w:tblLook w:val="0000"/>
      </w:tblPr>
      <w:tblGrid>
        <w:gridCol w:w="9630"/>
      </w:tblGrid>
      <w:tr w:rsidR="00CF7B79" w:rsidRPr="002117C0" w:rsidTr="000F1A0A">
        <w:trPr>
          <w:trHeight w:val="1745"/>
        </w:trPr>
        <w:tc>
          <w:tcPr>
            <w:tcW w:w="963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ind w:left="-81"/>
              <w:rPr>
                <w:b/>
                <w:bCs/>
                <w:sz w:val="20"/>
                <w:szCs w:val="18"/>
              </w:rPr>
            </w:pPr>
            <w:r w:rsidRPr="002117C0">
              <w:rPr>
                <w:b/>
                <w:bCs/>
                <w:sz w:val="20"/>
                <w:szCs w:val="18"/>
              </w:rPr>
              <w:t xml:space="preserve">Numri Identifikues i Personit të Tatueshëm (NIPT): </w:t>
            </w:r>
            <w:r w:rsidRPr="002117C0">
              <w:rPr>
                <w:b/>
                <w:bCs/>
                <w:sz w:val="20"/>
                <w:szCs w:val="18"/>
              </w:rPr>
              <w:tab/>
              <w:t>(3) ____________________________________</w:t>
            </w:r>
          </w:p>
          <w:p w:rsidR="00CF7B79" w:rsidRPr="002117C0" w:rsidRDefault="00CF7B79" w:rsidP="000F1A0A">
            <w:pPr>
              <w:ind w:left="-81"/>
              <w:rPr>
                <w:b/>
                <w:bCs/>
                <w:sz w:val="20"/>
                <w:szCs w:val="18"/>
              </w:rPr>
            </w:pPr>
            <w:r w:rsidRPr="002117C0">
              <w:rPr>
                <w:b/>
                <w:bCs/>
                <w:sz w:val="20"/>
                <w:szCs w:val="18"/>
              </w:rPr>
              <w:t>Emri Tregtar i Personit te Tatueshëm:</w:t>
            </w:r>
            <w:r w:rsidRPr="002117C0">
              <w:rPr>
                <w:b/>
                <w:bCs/>
                <w:sz w:val="20"/>
                <w:szCs w:val="18"/>
              </w:rPr>
              <w:tab/>
            </w:r>
            <w:r w:rsidRPr="002117C0">
              <w:rPr>
                <w:b/>
                <w:bCs/>
                <w:sz w:val="20"/>
                <w:szCs w:val="18"/>
              </w:rPr>
              <w:tab/>
            </w:r>
            <w:r w:rsidRPr="002117C0">
              <w:rPr>
                <w:b/>
                <w:bCs/>
                <w:sz w:val="20"/>
                <w:szCs w:val="18"/>
              </w:rPr>
              <w:tab/>
              <w:t>(4) ____________________________________</w:t>
            </w:r>
          </w:p>
          <w:p w:rsidR="00CF7B79" w:rsidRPr="002117C0" w:rsidRDefault="00CF7B79" w:rsidP="000F1A0A">
            <w:pPr>
              <w:ind w:left="-81"/>
              <w:rPr>
                <w:b/>
                <w:bCs/>
                <w:sz w:val="20"/>
                <w:szCs w:val="18"/>
              </w:rPr>
            </w:pPr>
            <w:r w:rsidRPr="002117C0">
              <w:rPr>
                <w:b/>
                <w:bCs/>
                <w:sz w:val="20"/>
                <w:szCs w:val="18"/>
              </w:rPr>
              <w:t>Emri Mbiemri i Personit Fizik:</w:t>
            </w:r>
            <w:r w:rsidRPr="002117C0">
              <w:rPr>
                <w:b/>
                <w:bCs/>
                <w:sz w:val="20"/>
                <w:szCs w:val="18"/>
              </w:rPr>
              <w:tab/>
            </w:r>
            <w:r w:rsidRPr="002117C0">
              <w:rPr>
                <w:b/>
                <w:bCs/>
                <w:sz w:val="20"/>
                <w:szCs w:val="18"/>
              </w:rPr>
              <w:tab/>
            </w:r>
            <w:r w:rsidRPr="002117C0">
              <w:rPr>
                <w:b/>
                <w:bCs/>
                <w:sz w:val="20"/>
                <w:szCs w:val="18"/>
              </w:rPr>
              <w:tab/>
            </w:r>
            <w:r w:rsidRPr="002117C0">
              <w:rPr>
                <w:b/>
                <w:bCs/>
                <w:sz w:val="20"/>
                <w:szCs w:val="18"/>
              </w:rPr>
              <w:tab/>
              <w:t>(5) ____________________________________</w:t>
            </w:r>
          </w:p>
          <w:p w:rsidR="00CF7B79" w:rsidRPr="002117C0" w:rsidRDefault="00CF7B79" w:rsidP="000F1A0A">
            <w:pPr>
              <w:ind w:left="-81"/>
              <w:rPr>
                <w:b/>
                <w:bCs/>
                <w:sz w:val="20"/>
                <w:szCs w:val="18"/>
              </w:rPr>
            </w:pPr>
            <w:r w:rsidRPr="002117C0">
              <w:rPr>
                <w:b/>
                <w:bCs/>
                <w:sz w:val="20"/>
                <w:szCs w:val="18"/>
              </w:rPr>
              <w:t xml:space="preserve">Adresa: </w:t>
            </w:r>
            <w:r w:rsidRPr="002117C0">
              <w:rPr>
                <w:b/>
                <w:bCs/>
                <w:sz w:val="20"/>
                <w:szCs w:val="18"/>
              </w:rPr>
              <w:tab/>
            </w:r>
            <w:r w:rsidRPr="002117C0">
              <w:rPr>
                <w:b/>
                <w:bCs/>
                <w:sz w:val="20"/>
                <w:szCs w:val="18"/>
              </w:rPr>
              <w:tab/>
            </w:r>
            <w:r w:rsidRPr="002117C0">
              <w:rPr>
                <w:b/>
                <w:bCs/>
                <w:sz w:val="20"/>
                <w:szCs w:val="18"/>
              </w:rPr>
              <w:tab/>
            </w:r>
            <w:r w:rsidRPr="002117C0">
              <w:rPr>
                <w:b/>
                <w:bCs/>
                <w:sz w:val="20"/>
                <w:szCs w:val="18"/>
              </w:rPr>
              <w:tab/>
            </w:r>
            <w:r w:rsidRPr="002117C0">
              <w:rPr>
                <w:b/>
                <w:bCs/>
                <w:sz w:val="20"/>
                <w:szCs w:val="18"/>
              </w:rPr>
              <w:tab/>
            </w:r>
            <w:r w:rsidRPr="002117C0">
              <w:rPr>
                <w:b/>
                <w:bCs/>
                <w:sz w:val="20"/>
                <w:szCs w:val="18"/>
              </w:rPr>
              <w:tab/>
            </w:r>
            <w:r w:rsidRPr="002117C0">
              <w:rPr>
                <w:b/>
                <w:bCs/>
                <w:sz w:val="20"/>
                <w:szCs w:val="18"/>
              </w:rPr>
              <w:tab/>
              <w:t>(6) ____________________________________</w:t>
            </w:r>
          </w:p>
          <w:p w:rsidR="00CF7B79" w:rsidRPr="002117C0" w:rsidRDefault="00CF7B79" w:rsidP="000F1A0A">
            <w:pPr>
              <w:ind w:left="-81"/>
              <w:rPr>
                <w:b/>
                <w:bCs/>
                <w:sz w:val="20"/>
                <w:szCs w:val="18"/>
              </w:rPr>
            </w:pPr>
            <w:r w:rsidRPr="002117C0">
              <w:rPr>
                <w:b/>
                <w:bCs/>
                <w:sz w:val="20"/>
                <w:szCs w:val="18"/>
              </w:rPr>
              <w:t>Qyteti/Komuna/Rrethi :</w:t>
            </w:r>
          </w:p>
          <w:p w:rsidR="00CF7B79" w:rsidRPr="002117C0" w:rsidRDefault="00CF7B79" w:rsidP="000F1A0A">
            <w:pPr>
              <w:ind w:left="-81"/>
              <w:rPr>
                <w:szCs w:val="12"/>
              </w:rPr>
            </w:pPr>
            <w:r w:rsidRPr="002117C0">
              <w:rPr>
                <w:b/>
                <w:bCs/>
                <w:sz w:val="20"/>
                <w:szCs w:val="18"/>
              </w:rPr>
              <w:t>Numri Telefonit:</w:t>
            </w:r>
            <w:r w:rsidRPr="002117C0">
              <w:rPr>
                <w:b/>
                <w:bCs/>
                <w:sz w:val="20"/>
                <w:szCs w:val="18"/>
              </w:rPr>
              <w:tab/>
            </w:r>
            <w:r w:rsidRPr="002117C0">
              <w:rPr>
                <w:b/>
                <w:bCs/>
                <w:sz w:val="20"/>
                <w:szCs w:val="18"/>
              </w:rPr>
              <w:tab/>
            </w:r>
            <w:r w:rsidRPr="002117C0">
              <w:rPr>
                <w:b/>
                <w:bCs/>
                <w:sz w:val="20"/>
                <w:szCs w:val="18"/>
              </w:rPr>
              <w:tab/>
            </w:r>
            <w:r w:rsidRPr="002117C0">
              <w:rPr>
                <w:b/>
                <w:bCs/>
                <w:sz w:val="20"/>
                <w:szCs w:val="18"/>
              </w:rPr>
              <w:tab/>
            </w:r>
            <w:r w:rsidRPr="002117C0">
              <w:rPr>
                <w:b/>
                <w:bCs/>
                <w:sz w:val="20"/>
                <w:szCs w:val="18"/>
              </w:rPr>
              <w:tab/>
            </w:r>
            <w:r w:rsidRPr="002117C0">
              <w:rPr>
                <w:b/>
                <w:bCs/>
                <w:sz w:val="20"/>
                <w:szCs w:val="18"/>
              </w:rPr>
              <w:tab/>
              <w:t>(7) ____________________________________</w:t>
            </w:r>
          </w:p>
          <w:p w:rsidR="00CF7B79" w:rsidRPr="002117C0" w:rsidRDefault="00CF7B79" w:rsidP="000F1A0A">
            <w:pPr>
              <w:jc w:val="center"/>
              <w:rPr>
                <w:sz w:val="16"/>
                <w:szCs w:val="12"/>
              </w:rPr>
            </w:pPr>
          </w:p>
          <w:p w:rsidR="00CF7B79" w:rsidRPr="002117C0" w:rsidRDefault="00CF7B79" w:rsidP="000F1A0A">
            <w:pPr>
              <w:jc w:val="center"/>
              <w:rPr>
                <w:szCs w:val="18"/>
              </w:rPr>
            </w:pPr>
            <w:r w:rsidRPr="002117C0">
              <w:rPr>
                <w:sz w:val="16"/>
                <w:szCs w:val="12"/>
              </w:rPr>
              <w:t>Lajmëroni nëse informacioni i mësipërm është jo i plote ose ka ndryshua</w:t>
            </w:r>
            <w:r w:rsidRPr="002117C0">
              <w:rPr>
                <w:sz w:val="16"/>
                <w:szCs w:val="16"/>
              </w:rPr>
              <w:t>r</w:t>
            </w:r>
          </w:p>
        </w:tc>
      </w:tr>
    </w:tbl>
    <w:p w:rsidR="00CF7B79" w:rsidRPr="002117C0" w:rsidRDefault="00CF7B79" w:rsidP="00CF7B79">
      <w:pPr>
        <w:rPr>
          <w:sz w:val="16"/>
          <w:szCs w:val="16"/>
        </w:rPr>
      </w:pPr>
    </w:p>
    <w:p w:rsidR="00CF7B79" w:rsidRDefault="00CF7B79" w:rsidP="00CF7B79">
      <w:pPr>
        <w:rPr>
          <w:b/>
          <w:bCs/>
          <w:i/>
          <w:iCs/>
          <w:sz w:val="18"/>
          <w:szCs w:val="18"/>
        </w:rPr>
      </w:pPr>
    </w:p>
    <w:p w:rsidR="00CF7B79" w:rsidRPr="002117C0" w:rsidRDefault="00CF7B79" w:rsidP="00CF7B79">
      <w:pPr>
        <w:rPr>
          <w:b/>
          <w:bCs/>
          <w:i/>
          <w:iCs/>
          <w:sz w:val="18"/>
          <w:szCs w:val="18"/>
        </w:rPr>
      </w:pPr>
    </w:p>
    <w:p w:rsidR="00CF7B79" w:rsidRPr="002117C0" w:rsidRDefault="00CF7B79" w:rsidP="00CF7B79">
      <w:pPr>
        <w:rPr>
          <w:b/>
          <w:bCs/>
          <w:i/>
          <w:iCs/>
          <w:sz w:val="18"/>
          <w:szCs w:val="18"/>
        </w:rPr>
      </w:pPr>
      <w:r w:rsidRPr="002117C0">
        <w:rPr>
          <w:b/>
          <w:bCs/>
          <w:i/>
          <w:iCs/>
          <w:sz w:val="18"/>
          <w:szCs w:val="18"/>
        </w:rPr>
        <w:t xml:space="preserve">                    </w:t>
      </w:r>
    </w:p>
    <w:p w:rsidR="00CF7B79" w:rsidRPr="002117C0" w:rsidRDefault="00CF7B79" w:rsidP="00CF7B79">
      <w:pPr>
        <w:numPr>
          <w:ilvl w:val="0"/>
          <w:numId w:val="21"/>
        </w:numPr>
        <w:rPr>
          <w:b/>
          <w:bCs/>
          <w:sz w:val="18"/>
          <w:szCs w:val="18"/>
        </w:rPr>
      </w:pPr>
      <w:r w:rsidRPr="002117C0">
        <w:rPr>
          <w:b/>
          <w:bCs/>
          <w:iCs/>
          <w:sz w:val="18"/>
          <w:szCs w:val="18"/>
        </w:rPr>
        <w:t>SHITJE  BRËNDA VENDIT NGA ZOT</w:t>
      </w:r>
      <w:r>
        <w:rPr>
          <w:b/>
          <w:bCs/>
          <w:iCs/>
          <w:sz w:val="18"/>
          <w:szCs w:val="18"/>
        </w:rPr>
        <w:t>Ë</w:t>
      </w:r>
      <w:r w:rsidRPr="002117C0">
        <w:rPr>
          <w:b/>
          <w:bCs/>
          <w:iCs/>
          <w:sz w:val="18"/>
          <w:szCs w:val="18"/>
        </w:rPr>
        <w:t>RUESI I LEJES S</w:t>
      </w:r>
      <w:r>
        <w:rPr>
          <w:b/>
          <w:bCs/>
          <w:iCs/>
          <w:sz w:val="18"/>
          <w:szCs w:val="18"/>
        </w:rPr>
        <w:t>Ë</w:t>
      </w:r>
      <w:r w:rsidRPr="002117C0">
        <w:rPr>
          <w:b/>
          <w:bCs/>
          <w:iCs/>
          <w:sz w:val="18"/>
          <w:szCs w:val="18"/>
        </w:rPr>
        <w:t xml:space="preserve"> SHFRYT</w:t>
      </w:r>
      <w:r>
        <w:rPr>
          <w:b/>
          <w:bCs/>
          <w:iCs/>
          <w:sz w:val="18"/>
          <w:szCs w:val="18"/>
        </w:rPr>
        <w:t>Ë</w:t>
      </w:r>
      <w:r w:rsidRPr="002117C0">
        <w:rPr>
          <w:b/>
          <w:bCs/>
          <w:iCs/>
          <w:sz w:val="18"/>
          <w:szCs w:val="18"/>
        </w:rPr>
        <w:t>ZIMIT</w:t>
      </w:r>
      <w:r w:rsidRPr="002117C0">
        <w:rPr>
          <w:b/>
          <w:bCs/>
          <w:i/>
          <w:iCs/>
          <w:sz w:val="18"/>
          <w:szCs w:val="18"/>
        </w:rPr>
        <w:tab/>
      </w:r>
      <w:r w:rsidRPr="002117C0">
        <w:rPr>
          <w:b/>
          <w:bCs/>
          <w:i/>
          <w:iCs/>
          <w:sz w:val="18"/>
          <w:szCs w:val="18"/>
        </w:rPr>
        <w:tab/>
      </w:r>
      <w:r w:rsidRPr="002117C0">
        <w:rPr>
          <w:b/>
          <w:bCs/>
          <w:i/>
          <w:iCs/>
          <w:sz w:val="18"/>
          <w:szCs w:val="18"/>
        </w:rPr>
        <w:tab/>
        <w:t xml:space="preserve">   </w:t>
      </w:r>
      <w:r w:rsidRPr="002117C0">
        <w:rPr>
          <w:b/>
          <w:bCs/>
          <w:sz w:val="18"/>
          <w:szCs w:val="18"/>
        </w:rPr>
        <w:t xml:space="preserve">                 </w:t>
      </w:r>
    </w:p>
    <w:p w:rsidR="00CF7B79" w:rsidRPr="002117C0" w:rsidRDefault="00CF7B79" w:rsidP="00CF7B79">
      <w:pPr>
        <w:ind w:left="750"/>
        <w:rPr>
          <w:b/>
          <w:bCs/>
          <w:sz w:val="18"/>
          <w:szCs w:val="18"/>
        </w:rPr>
      </w:pPr>
    </w:p>
    <w:p w:rsidR="00CF7B79" w:rsidRPr="002117C0" w:rsidRDefault="00CF7B79" w:rsidP="00CF7B79">
      <w:pPr>
        <w:ind w:left="750"/>
        <w:rPr>
          <w:b/>
          <w:bCs/>
          <w:iCs/>
          <w:sz w:val="18"/>
          <w:szCs w:val="18"/>
        </w:rPr>
      </w:pPr>
      <w:r w:rsidRPr="002117C0">
        <w:rPr>
          <w:b/>
          <w:bCs/>
          <w:sz w:val="18"/>
          <w:szCs w:val="18"/>
        </w:rPr>
        <w:t xml:space="preserve">                                                                                                    </w:t>
      </w:r>
      <w:r w:rsidRPr="002117C0">
        <w:rPr>
          <w:b/>
          <w:bCs/>
          <w:i/>
          <w:sz w:val="18"/>
          <w:szCs w:val="18"/>
        </w:rPr>
        <w:t>Vlera e taksueshme                     Vlera totale</w:t>
      </w:r>
    </w:p>
    <w:tbl>
      <w:tblPr>
        <w:tblpPr w:leftFromText="180" w:rightFromText="180" w:vertAnchor="text" w:horzAnchor="page" w:tblpX="6310"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2430"/>
      </w:tblGrid>
      <w:tr w:rsidR="00CF7B79" w:rsidRPr="002117C0" w:rsidTr="000F1A0A">
        <w:trPr>
          <w:trHeight w:val="460"/>
        </w:trPr>
        <w:tc>
          <w:tcPr>
            <w:tcW w:w="2268"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[ 8 ]</w:t>
            </w:r>
          </w:p>
          <w:p w:rsidR="00CF7B79" w:rsidRPr="002117C0" w:rsidRDefault="00CF7B79" w:rsidP="000F1A0A">
            <w:pPr>
              <w:rPr>
                <w:b/>
                <w:bCs/>
                <w:iCs/>
                <w:sz w:val="18"/>
                <w:szCs w:val="18"/>
              </w:rPr>
            </w:pPr>
          </w:p>
        </w:tc>
        <w:tc>
          <w:tcPr>
            <w:tcW w:w="243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[ 9 ]</w:t>
            </w:r>
          </w:p>
        </w:tc>
      </w:tr>
      <w:tr w:rsidR="00CF7B79" w:rsidRPr="002117C0" w:rsidTr="000F1A0A">
        <w:trPr>
          <w:trHeight w:val="413"/>
        </w:trPr>
        <w:tc>
          <w:tcPr>
            <w:tcW w:w="2268"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[10]</w:t>
            </w:r>
          </w:p>
          <w:p w:rsidR="00CF7B79" w:rsidRPr="002117C0" w:rsidRDefault="00CF7B79" w:rsidP="000F1A0A">
            <w:pPr>
              <w:rPr>
                <w:b/>
                <w:bCs/>
                <w:iCs/>
                <w:sz w:val="18"/>
                <w:szCs w:val="18"/>
              </w:rPr>
            </w:pPr>
          </w:p>
        </w:tc>
        <w:tc>
          <w:tcPr>
            <w:tcW w:w="243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[11]</w:t>
            </w:r>
          </w:p>
        </w:tc>
      </w:tr>
    </w:tbl>
    <w:p w:rsidR="00CF7B79" w:rsidRPr="002117C0" w:rsidRDefault="00CF7B79" w:rsidP="00CF7B79">
      <w:pPr>
        <w:rPr>
          <w:b/>
          <w:bCs/>
          <w:sz w:val="18"/>
          <w:szCs w:val="18"/>
        </w:rPr>
      </w:pPr>
    </w:p>
    <w:p w:rsidR="00CF7B79" w:rsidRPr="002117C0" w:rsidRDefault="00CF7B79" w:rsidP="00CF7B79">
      <w:pPr>
        <w:rPr>
          <w:b/>
          <w:bCs/>
          <w:sz w:val="18"/>
          <w:szCs w:val="18"/>
        </w:rPr>
      </w:pPr>
      <w:proofErr w:type="gramStart"/>
      <w:r w:rsidRPr="002117C0">
        <w:rPr>
          <w:b/>
          <w:bCs/>
          <w:sz w:val="18"/>
          <w:szCs w:val="18"/>
        </w:rPr>
        <w:t>[ 8</w:t>
      </w:r>
      <w:proofErr w:type="gramEnd"/>
      <w:r w:rsidRPr="002117C0">
        <w:rPr>
          <w:b/>
          <w:bCs/>
          <w:sz w:val="18"/>
          <w:szCs w:val="18"/>
        </w:rPr>
        <w:t>/9]</w:t>
      </w:r>
      <w:r w:rsidRPr="002117C0">
        <w:rPr>
          <w:b/>
          <w:bCs/>
          <w:iCs/>
          <w:sz w:val="18"/>
          <w:szCs w:val="18"/>
        </w:rPr>
        <w:tab/>
        <w:t xml:space="preserve">   </w:t>
      </w:r>
      <w:r w:rsidRPr="002117C0">
        <w:rPr>
          <w:b/>
          <w:bCs/>
          <w:sz w:val="18"/>
          <w:szCs w:val="18"/>
        </w:rPr>
        <w:t xml:space="preserve">Shitje e mineralit </w:t>
      </w:r>
    </w:p>
    <w:p w:rsidR="00CF7B79" w:rsidRPr="002117C0" w:rsidRDefault="00CF7B79" w:rsidP="00CF7B79">
      <w:pPr>
        <w:rPr>
          <w:b/>
          <w:bCs/>
          <w:sz w:val="18"/>
          <w:szCs w:val="18"/>
        </w:rPr>
      </w:pPr>
    </w:p>
    <w:p w:rsidR="00CF7B79" w:rsidRPr="002117C0" w:rsidRDefault="00CF7B79" w:rsidP="00CF7B79">
      <w:pPr>
        <w:rPr>
          <w:b/>
          <w:bCs/>
          <w:sz w:val="18"/>
          <w:szCs w:val="18"/>
        </w:rPr>
      </w:pPr>
      <w:r w:rsidRPr="002117C0">
        <w:rPr>
          <w:b/>
          <w:bCs/>
          <w:sz w:val="18"/>
          <w:szCs w:val="18"/>
        </w:rPr>
        <w:t xml:space="preserve">[10/11]       Shitje e nënproduktit </w:t>
      </w:r>
    </w:p>
    <w:p w:rsidR="00CF7B79" w:rsidRPr="002117C0" w:rsidRDefault="00CF7B79" w:rsidP="00CF7B79">
      <w:pPr>
        <w:rPr>
          <w:b/>
          <w:bCs/>
          <w:sz w:val="18"/>
          <w:szCs w:val="18"/>
        </w:rPr>
      </w:pPr>
    </w:p>
    <w:p w:rsidR="00CF7B79" w:rsidRPr="002117C0" w:rsidRDefault="00CF7B79" w:rsidP="00CF7B79">
      <w:pPr>
        <w:rPr>
          <w:b/>
          <w:bCs/>
          <w:i/>
          <w:iCs/>
          <w:sz w:val="18"/>
          <w:szCs w:val="18"/>
        </w:rPr>
      </w:pPr>
      <w:r w:rsidRPr="002117C0">
        <w:rPr>
          <w:b/>
          <w:bCs/>
          <w:i/>
          <w:iCs/>
          <w:sz w:val="18"/>
          <w:szCs w:val="18"/>
        </w:rPr>
        <w:t xml:space="preserve">    </w:t>
      </w:r>
    </w:p>
    <w:p w:rsidR="00CF7B79" w:rsidRPr="002117C0" w:rsidRDefault="00CF7B79" w:rsidP="00CF7B79">
      <w:pPr>
        <w:rPr>
          <w:b/>
          <w:bCs/>
          <w:i/>
          <w:iCs/>
          <w:sz w:val="18"/>
          <w:szCs w:val="18"/>
        </w:rPr>
      </w:pPr>
    </w:p>
    <w:p w:rsidR="00CF7B79" w:rsidRPr="002117C0" w:rsidRDefault="00CF7B79" w:rsidP="00CF7B79">
      <w:pPr>
        <w:rPr>
          <w:b/>
          <w:bCs/>
          <w:i/>
          <w:iCs/>
          <w:sz w:val="18"/>
          <w:szCs w:val="18"/>
        </w:rPr>
      </w:pPr>
      <w:r w:rsidRPr="002117C0">
        <w:rPr>
          <w:b/>
          <w:bCs/>
          <w:i/>
          <w:iCs/>
          <w:sz w:val="18"/>
          <w:szCs w:val="18"/>
        </w:rPr>
        <w:t xml:space="preserve">                                                                                                                      Renta e llogaritur        </w:t>
      </w:r>
    </w:p>
    <w:tbl>
      <w:tblPr>
        <w:tblpPr w:leftFromText="180" w:rightFromText="180" w:vertAnchor="text" w:horzAnchor="page" w:tblpX="6328"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2"/>
        <w:gridCol w:w="2340"/>
      </w:tblGrid>
      <w:tr w:rsidR="00CF7B79" w:rsidRPr="002117C0" w:rsidTr="000F1A0A">
        <w:trPr>
          <w:trHeight w:val="350"/>
        </w:trPr>
        <w:tc>
          <w:tcPr>
            <w:tcW w:w="2322" w:type="dxa"/>
            <w:tcBorders>
              <w:top w:val="single" w:sz="4" w:space="0" w:color="auto"/>
              <w:left w:val="single" w:sz="4" w:space="0" w:color="auto"/>
              <w:bottom w:val="single" w:sz="4" w:space="0" w:color="auto"/>
              <w:right w:val="single" w:sz="4" w:space="0" w:color="auto"/>
            </w:tcBorders>
            <w:shd w:val="clear" w:color="auto" w:fill="FFFFFF"/>
          </w:tcPr>
          <w:p w:rsidR="00CF7B79" w:rsidRPr="002117C0" w:rsidRDefault="00CF7B79" w:rsidP="000F1A0A">
            <w:pPr>
              <w:rPr>
                <w:b/>
                <w:bCs/>
                <w:iCs/>
                <w:sz w:val="18"/>
                <w:szCs w:val="18"/>
              </w:rPr>
            </w:pPr>
            <w:r w:rsidRPr="002117C0">
              <w:rPr>
                <w:b/>
                <w:bCs/>
                <w:iCs/>
                <w:sz w:val="18"/>
                <w:szCs w:val="18"/>
              </w:rPr>
              <w:t>[12]</w:t>
            </w:r>
          </w:p>
        </w:tc>
        <w:tc>
          <w:tcPr>
            <w:tcW w:w="2340" w:type="dxa"/>
            <w:tcBorders>
              <w:top w:val="nil"/>
              <w:left w:val="single" w:sz="4" w:space="0" w:color="auto"/>
              <w:bottom w:val="nil"/>
              <w:right w:val="nil"/>
            </w:tcBorders>
          </w:tcPr>
          <w:p w:rsidR="00CF7B79" w:rsidRPr="002117C0" w:rsidRDefault="00CF7B79" w:rsidP="000F1A0A">
            <w:pPr>
              <w:rPr>
                <w:b/>
                <w:bCs/>
                <w:iCs/>
                <w:sz w:val="18"/>
                <w:szCs w:val="18"/>
              </w:rPr>
            </w:pPr>
          </w:p>
          <w:p w:rsidR="00CF7B79" w:rsidRPr="002117C0" w:rsidRDefault="00CF7B79" w:rsidP="000F1A0A">
            <w:pPr>
              <w:rPr>
                <w:b/>
                <w:bCs/>
                <w:iCs/>
                <w:sz w:val="18"/>
                <w:szCs w:val="18"/>
              </w:rPr>
            </w:pPr>
          </w:p>
        </w:tc>
      </w:tr>
      <w:tr w:rsidR="00CF7B79" w:rsidRPr="002117C0" w:rsidTr="000F1A0A">
        <w:trPr>
          <w:trHeight w:val="350"/>
        </w:trPr>
        <w:tc>
          <w:tcPr>
            <w:tcW w:w="2322" w:type="dxa"/>
            <w:tcBorders>
              <w:top w:val="single" w:sz="4" w:space="0" w:color="auto"/>
              <w:left w:val="single" w:sz="4" w:space="0" w:color="auto"/>
              <w:bottom w:val="single" w:sz="4" w:space="0" w:color="auto"/>
              <w:right w:val="single" w:sz="4" w:space="0" w:color="auto"/>
            </w:tcBorders>
            <w:shd w:val="clear" w:color="auto" w:fill="FFFFFF"/>
          </w:tcPr>
          <w:p w:rsidR="00CF7B79" w:rsidRPr="002117C0" w:rsidRDefault="00CF7B79" w:rsidP="000F1A0A">
            <w:pPr>
              <w:rPr>
                <w:b/>
                <w:bCs/>
                <w:iCs/>
                <w:sz w:val="18"/>
                <w:szCs w:val="18"/>
              </w:rPr>
            </w:pPr>
            <w:r w:rsidRPr="002117C0">
              <w:rPr>
                <w:b/>
                <w:bCs/>
                <w:iCs/>
                <w:sz w:val="18"/>
                <w:szCs w:val="18"/>
              </w:rPr>
              <w:t>[13]</w:t>
            </w:r>
          </w:p>
          <w:p w:rsidR="00CF7B79" w:rsidRPr="002117C0" w:rsidRDefault="00CF7B79" w:rsidP="000F1A0A">
            <w:pPr>
              <w:rPr>
                <w:b/>
                <w:bCs/>
                <w:iCs/>
                <w:sz w:val="18"/>
                <w:szCs w:val="18"/>
              </w:rPr>
            </w:pPr>
          </w:p>
        </w:tc>
        <w:tc>
          <w:tcPr>
            <w:tcW w:w="2340" w:type="dxa"/>
            <w:tcBorders>
              <w:top w:val="nil"/>
              <w:left w:val="single" w:sz="4" w:space="0" w:color="auto"/>
              <w:bottom w:val="nil"/>
              <w:right w:val="nil"/>
            </w:tcBorders>
          </w:tcPr>
          <w:p w:rsidR="00CF7B79" w:rsidRPr="002117C0" w:rsidRDefault="00CF7B79" w:rsidP="000F1A0A">
            <w:pPr>
              <w:rPr>
                <w:b/>
                <w:bCs/>
                <w:iCs/>
                <w:sz w:val="18"/>
                <w:szCs w:val="18"/>
              </w:rPr>
            </w:pPr>
          </w:p>
        </w:tc>
      </w:tr>
      <w:tr w:rsidR="00CF7B79" w:rsidRPr="002117C0" w:rsidTr="000F1A0A">
        <w:trPr>
          <w:trHeight w:val="485"/>
        </w:trPr>
        <w:tc>
          <w:tcPr>
            <w:tcW w:w="2322" w:type="dxa"/>
            <w:tcBorders>
              <w:top w:val="single" w:sz="4" w:space="0" w:color="auto"/>
              <w:left w:val="nil"/>
              <w:bottom w:val="nil"/>
              <w:right w:val="single" w:sz="4" w:space="0" w:color="auto"/>
            </w:tcBorders>
            <w:shd w:val="clear" w:color="auto" w:fill="FFFFFF"/>
          </w:tcPr>
          <w:p w:rsidR="00CF7B79" w:rsidRPr="002117C0" w:rsidRDefault="00CF7B79" w:rsidP="000F1A0A">
            <w:pPr>
              <w:rPr>
                <w:b/>
                <w:bCs/>
                <w:iCs/>
                <w:sz w:val="18"/>
                <w:szCs w:val="18"/>
              </w:rPr>
            </w:pPr>
          </w:p>
        </w:tc>
        <w:tc>
          <w:tcPr>
            <w:tcW w:w="234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[14]</w:t>
            </w:r>
          </w:p>
        </w:tc>
      </w:tr>
    </w:tbl>
    <w:p w:rsidR="00CF7B79" w:rsidRPr="002117C0" w:rsidRDefault="00CF7B79" w:rsidP="00CF7B79">
      <w:pPr>
        <w:rPr>
          <w:b/>
          <w:bCs/>
          <w:iCs/>
          <w:sz w:val="18"/>
          <w:szCs w:val="18"/>
        </w:rPr>
      </w:pPr>
    </w:p>
    <w:p w:rsidR="00CF7B79" w:rsidRPr="002117C0" w:rsidRDefault="00CF7B79" w:rsidP="00CF7B79">
      <w:pPr>
        <w:rPr>
          <w:b/>
          <w:bCs/>
          <w:sz w:val="18"/>
          <w:szCs w:val="18"/>
        </w:rPr>
      </w:pPr>
      <w:r w:rsidRPr="002117C0">
        <w:rPr>
          <w:b/>
          <w:bCs/>
          <w:sz w:val="18"/>
          <w:szCs w:val="18"/>
        </w:rPr>
        <w:t>[12]          Renta për shitjen e mineralit</w:t>
      </w:r>
    </w:p>
    <w:p w:rsidR="00CF7B79" w:rsidRPr="002117C0" w:rsidRDefault="00CF7B79" w:rsidP="00CF7B79">
      <w:pPr>
        <w:rPr>
          <w:b/>
          <w:bCs/>
          <w:sz w:val="18"/>
          <w:szCs w:val="18"/>
        </w:rPr>
      </w:pPr>
    </w:p>
    <w:p w:rsidR="00CF7B79" w:rsidRPr="002117C0" w:rsidRDefault="00CF7B79" w:rsidP="00CF7B79">
      <w:pPr>
        <w:rPr>
          <w:b/>
          <w:bCs/>
          <w:sz w:val="18"/>
          <w:szCs w:val="18"/>
        </w:rPr>
      </w:pPr>
      <w:r w:rsidRPr="002117C0">
        <w:rPr>
          <w:b/>
          <w:bCs/>
          <w:sz w:val="18"/>
          <w:szCs w:val="18"/>
        </w:rPr>
        <w:t>[13]</w:t>
      </w:r>
      <w:r w:rsidRPr="002117C0">
        <w:rPr>
          <w:b/>
          <w:bCs/>
          <w:iCs/>
          <w:sz w:val="18"/>
          <w:szCs w:val="18"/>
        </w:rPr>
        <w:t xml:space="preserve">          </w:t>
      </w:r>
      <w:r w:rsidRPr="002117C0">
        <w:rPr>
          <w:b/>
          <w:bCs/>
          <w:sz w:val="18"/>
          <w:szCs w:val="18"/>
        </w:rPr>
        <w:t>Renta për shitjen e nënproduktit</w:t>
      </w:r>
    </w:p>
    <w:p w:rsidR="00CF7B79" w:rsidRPr="002117C0" w:rsidRDefault="00CF7B79" w:rsidP="00CF7B79">
      <w:pPr>
        <w:rPr>
          <w:b/>
          <w:bCs/>
          <w:sz w:val="18"/>
          <w:szCs w:val="18"/>
        </w:rPr>
      </w:pPr>
    </w:p>
    <w:p w:rsidR="00CF7B79" w:rsidRPr="002117C0" w:rsidRDefault="00CF7B79" w:rsidP="00CF7B79">
      <w:pPr>
        <w:rPr>
          <w:b/>
          <w:bCs/>
          <w:i/>
          <w:iCs/>
          <w:sz w:val="18"/>
          <w:szCs w:val="18"/>
        </w:rPr>
      </w:pPr>
      <w:r w:rsidRPr="002117C0">
        <w:rPr>
          <w:b/>
          <w:bCs/>
          <w:iCs/>
          <w:sz w:val="18"/>
          <w:szCs w:val="18"/>
        </w:rPr>
        <w:t>[14]          Totali për t’u paguar</w:t>
      </w:r>
      <w:r w:rsidRPr="002117C0">
        <w:rPr>
          <w:b/>
          <w:bCs/>
          <w:i/>
          <w:iCs/>
          <w:sz w:val="18"/>
          <w:szCs w:val="18"/>
        </w:rPr>
        <w:t xml:space="preserve">              </w:t>
      </w:r>
    </w:p>
    <w:p w:rsidR="00CF7B79" w:rsidRPr="002117C0" w:rsidRDefault="00CF7B79" w:rsidP="00CF7B79">
      <w:pPr>
        <w:rPr>
          <w:b/>
          <w:bCs/>
          <w:i/>
          <w:iCs/>
          <w:sz w:val="18"/>
          <w:szCs w:val="18"/>
        </w:rPr>
      </w:pPr>
    </w:p>
    <w:p w:rsidR="00CF7B79" w:rsidRPr="002117C0" w:rsidRDefault="00CF7B79" w:rsidP="00CF7B79">
      <w:pPr>
        <w:rPr>
          <w:b/>
          <w:bCs/>
          <w:i/>
          <w:iCs/>
          <w:sz w:val="18"/>
          <w:szCs w:val="18"/>
        </w:rPr>
      </w:pPr>
    </w:p>
    <w:p w:rsidR="00CF7B79" w:rsidRPr="002117C0" w:rsidRDefault="00CF7B79" w:rsidP="00CF7B79">
      <w:pPr>
        <w:rPr>
          <w:b/>
          <w:bCs/>
          <w:i/>
          <w:iCs/>
          <w:sz w:val="18"/>
          <w:szCs w:val="18"/>
        </w:rPr>
      </w:pPr>
    </w:p>
    <w:p w:rsidR="00CF7B79" w:rsidRPr="002117C0" w:rsidRDefault="00CF7B79" w:rsidP="00CF7B79">
      <w:pPr>
        <w:rPr>
          <w:b/>
          <w:bCs/>
          <w:i/>
          <w:iCs/>
          <w:sz w:val="18"/>
          <w:szCs w:val="18"/>
        </w:rPr>
      </w:pPr>
    </w:p>
    <w:p w:rsidR="00CF7B79" w:rsidRPr="002117C0" w:rsidRDefault="00CF7B79" w:rsidP="00CF7B79">
      <w:pPr>
        <w:rPr>
          <w:b/>
          <w:bCs/>
          <w:i/>
          <w:iCs/>
          <w:sz w:val="18"/>
          <w:szCs w:val="18"/>
        </w:rPr>
      </w:pPr>
    </w:p>
    <w:p w:rsidR="00CF7B79" w:rsidRPr="002117C0" w:rsidRDefault="00CF7B79" w:rsidP="00CF7B79">
      <w:pPr>
        <w:rPr>
          <w:b/>
          <w:bCs/>
          <w:iCs/>
          <w:sz w:val="18"/>
          <w:szCs w:val="18"/>
        </w:rPr>
      </w:pPr>
      <w:r w:rsidRPr="002117C0">
        <w:rPr>
          <w:b/>
          <w:bCs/>
          <w:iCs/>
          <w:sz w:val="18"/>
          <w:szCs w:val="18"/>
        </w:rPr>
        <w:t>II.             EKSPORTE NGA ZOT</w:t>
      </w:r>
      <w:r>
        <w:rPr>
          <w:b/>
          <w:bCs/>
          <w:iCs/>
          <w:sz w:val="18"/>
          <w:szCs w:val="18"/>
        </w:rPr>
        <w:t>Ë</w:t>
      </w:r>
      <w:r w:rsidRPr="002117C0">
        <w:rPr>
          <w:b/>
          <w:bCs/>
          <w:iCs/>
          <w:sz w:val="18"/>
          <w:szCs w:val="18"/>
        </w:rPr>
        <w:t xml:space="preserve">RUESI I LEJES SË SHFRYTËZIMIT                </w:t>
      </w:r>
    </w:p>
    <w:p w:rsidR="00CF7B79" w:rsidRPr="002117C0" w:rsidRDefault="00CF7B79" w:rsidP="00CF7B79">
      <w:pPr>
        <w:rPr>
          <w:b/>
          <w:bCs/>
          <w:sz w:val="18"/>
          <w:szCs w:val="18"/>
        </w:rPr>
      </w:pPr>
      <w:r w:rsidRPr="002117C0">
        <w:rPr>
          <w:b/>
          <w:bCs/>
          <w:i/>
          <w:iCs/>
          <w:sz w:val="18"/>
          <w:szCs w:val="18"/>
        </w:rPr>
        <w:tab/>
      </w:r>
      <w:r w:rsidRPr="002117C0">
        <w:rPr>
          <w:b/>
          <w:bCs/>
          <w:i/>
          <w:iCs/>
          <w:sz w:val="18"/>
          <w:szCs w:val="18"/>
        </w:rPr>
        <w:tab/>
      </w:r>
      <w:r w:rsidRPr="002117C0">
        <w:rPr>
          <w:b/>
          <w:bCs/>
          <w:i/>
          <w:iCs/>
          <w:sz w:val="18"/>
          <w:szCs w:val="18"/>
        </w:rPr>
        <w:tab/>
        <w:t xml:space="preserve">   </w:t>
      </w:r>
      <w:r w:rsidRPr="002117C0">
        <w:rPr>
          <w:b/>
          <w:bCs/>
          <w:sz w:val="18"/>
          <w:szCs w:val="18"/>
        </w:rPr>
        <w:t xml:space="preserve">               </w:t>
      </w:r>
      <w:r w:rsidRPr="002117C0">
        <w:rPr>
          <w:b/>
          <w:bCs/>
          <w:sz w:val="18"/>
          <w:szCs w:val="18"/>
        </w:rPr>
        <w:tab/>
        <w:t xml:space="preserve">                                          </w:t>
      </w:r>
    </w:p>
    <w:p w:rsidR="00CF7B79" w:rsidRPr="002117C0" w:rsidRDefault="00CF7B79" w:rsidP="00CF7B79">
      <w:pPr>
        <w:rPr>
          <w:b/>
          <w:bCs/>
          <w:i/>
          <w:iCs/>
          <w:sz w:val="18"/>
          <w:szCs w:val="18"/>
        </w:rPr>
      </w:pPr>
      <w:r w:rsidRPr="002117C0">
        <w:rPr>
          <w:b/>
          <w:bCs/>
          <w:sz w:val="18"/>
          <w:szCs w:val="18"/>
        </w:rPr>
        <w:t xml:space="preserve">                                                                                                                   </w:t>
      </w:r>
      <w:r w:rsidRPr="002117C0">
        <w:rPr>
          <w:b/>
          <w:bCs/>
          <w:i/>
          <w:sz w:val="18"/>
          <w:szCs w:val="18"/>
        </w:rPr>
        <w:t>Vlera e taksueshme                        Vlera totale</w:t>
      </w:r>
    </w:p>
    <w:tbl>
      <w:tblPr>
        <w:tblpPr w:leftFromText="180" w:rightFromText="180" w:vertAnchor="text" w:horzAnchor="page" w:tblpX="6310"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2430"/>
      </w:tblGrid>
      <w:tr w:rsidR="00CF7B79" w:rsidRPr="002117C0" w:rsidTr="000F1A0A">
        <w:trPr>
          <w:trHeight w:val="460"/>
        </w:trPr>
        <w:tc>
          <w:tcPr>
            <w:tcW w:w="2268"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Pr>
                <w:b/>
                <w:bCs/>
                <w:iCs/>
                <w:sz w:val="18"/>
                <w:szCs w:val="18"/>
              </w:rPr>
              <w:t>[</w:t>
            </w:r>
            <w:r w:rsidRPr="002117C0">
              <w:rPr>
                <w:b/>
                <w:bCs/>
                <w:iCs/>
                <w:sz w:val="18"/>
                <w:szCs w:val="18"/>
              </w:rPr>
              <w:t>15]</w:t>
            </w:r>
          </w:p>
          <w:p w:rsidR="00CF7B79" w:rsidRPr="002117C0" w:rsidRDefault="00CF7B79" w:rsidP="000F1A0A">
            <w:pPr>
              <w:rPr>
                <w:b/>
                <w:bCs/>
                <w:iCs/>
                <w:sz w:val="18"/>
                <w:szCs w:val="18"/>
              </w:rPr>
            </w:pPr>
          </w:p>
        </w:tc>
        <w:tc>
          <w:tcPr>
            <w:tcW w:w="243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Pr>
                <w:b/>
                <w:bCs/>
                <w:iCs/>
                <w:sz w:val="18"/>
                <w:szCs w:val="18"/>
              </w:rPr>
              <w:t>[</w:t>
            </w:r>
            <w:r w:rsidRPr="002117C0">
              <w:rPr>
                <w:b/>
                <w:bCs/>
                <w:iCs/>
                <w:sz w:val="18"/>
                <w:szCs w:val="18"/>
              </w:rPr>
              <w:t>16]</w:t>
            </w:r>
          </w:p>
        </w:tc>
      </w:tr>
      <w:tr w:rsidR="00CF7B79" w:rsidRPr="002117C0" w:rsidTr="000F1A0A">
        <w:trPr>
          <w:trHeight w:val="413"/>
        </w:trPr>
        <w:tc>
          <w:tcPr>
            <w:tcW w:w="2268"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Pr>
                <w:b/>
                <w:bCs/>
                <w:iCs/>
                <w:sz w:val="18"/>
                <w:szCs w:val="18"/>
              </w:rPr>
              <w:t>[</w:t>
            </w:r>
            <w:r w:rsidRPr="002117C0">
              <w:rPr>
                <w:b/>
                <w:bCs/>
                <w:iCs/>
                <w:sz w:val="18"/>
                <w:szCs w:val="18"/>
              </w:rPr>
              <w:t>17]</w:t>
            </w:r>
          </w:p>
          <w:p w:rsidR="00CF7B79" w:rsidRPr="002117C0" w:rsidRDefault="00CF7B79" w:rsidP="000F1A0A">
            <w:pPr>
              <w:rPr>
                <w:b/>
                <w:bCs/>
                <w:iCs/>
                <w:sz w:val="18"/>
                <w:szCs w:val="18"/>
              </w:rPr>
            </w:pPr>
          </w:p>
        </w:tc>
        <w:tc>
          <w:tcPr>
            <w:tcW w:w="243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[18]</w:t>
            </w:r>
          </w:p>
        </w:tc>
      </w:tr>
    </w:tbl>
    <w:p w:rsidR="00CF7B79" w:rsidRPr="002117C0" w:rsidRDefault="00CF7B79" w:rsidP="00CF7B79">
      <w:pPr>
        <w:rPr>
          <w:b/>
          <w:bCs/>
          <w:sz w:val="18"/>
          <w:szCs w:val="18"/>
        </w:rPr>
      </w:pPr>
    </w:p>
    <w:p w:rsidR="00CF7B79" w:rsidRPr="002117C0" w:rsidRDefault="00CF7B79" w:rsidP="00CF7B79">
      <w:pPr>
        <w:rPr>
          <w:b/>
          <w:bCs/>
          <w:sz w:val="18"/>
          <w:szCs w:val="18"/>
        </w:rPr>
      </w:pPr>
      <w:proofErr w:type="gramStart"/>
      <w:r w:rsidRPr="002117C0">
        <w:rPr>
          <w:b/>
          <w:bCs/>
          <w:sz w:val="18"/>
          <w:szCs w:val="18"/>
        </w:rPr>
        <w:t>[ 15</w:t>
      </w:r>
      <w:proofErr w:type="gramEnd"/>
      <w:r w:rsidRPr="002117C0">
        <w:rPr>
          <w:b/>
          <w:bCs/>
          <w:sz w:val="18"/>
          <w:szCs w:val="18"/>
        </w:rPr>
        <w:t xml:space="preserve">/16 ]    Eksporte të mineralit </w:t>
      </w:r>
    </w:p>
    <w:p w:rsidR="00CF7B79" w:rsidRPr="002117C0" w:rsidRDefault="00CF7B79" w:rsidP="00CF7B79">
      <w:pPr>
        <w:rPr>
          <w:b/>
          <w:bCs/>
          <w:sz w:val="18"/>
          <w:szCs w:val="18"/>
        </w:rPr>
      </w:pPr>
    </w:p>
    <w:p w:rsidR="00CF7B79" w:rsidRPr="002117C0" w:rsidRDefault="00CF7B79" w:rsidP="00CF7B79">
      <w:pPr>
        <w:rPr>
          <w:b/>
          <w:bCs/>
          <w:sz w:val="18"/>
          <w:szCs w:val="18"/>
        </w:rPr>
      </w:pPr>
      <w:proofErr w:type="gramStart"/>
      <w:r w:rsidRPr="002117C0">
        <w:rPr>
          <w:b/>
          <w:bCs/>
          <w:sz w:val="18"/>
          <w:szCs w:val="18"/>
        </w:rPr>
        <w:t>[ 17</w:t>
      </w:r>
      <w:proofErr w:type="gramEnd"/>
      <w:r w:rsidRPr="002117C0">
        <w:rPr>
          <w:b/>
          <w:bCs/>
          <w:sz w:val="18"/>
          <w:szCs w:val="18"/>
        </w:rPr>
        <w:t xml:space="preserve">/18 ]    Eksporte të nënproduktit </w:t>
      </w:r>
    </w:p>
    <w:p w:rsidR="00CF7B79" w:rsidRPr="002117C0" w:rsidRDefault="00CF7B79" w:rsidP="00CF7B79">
      <w:pPr>
        <w:rPr>
          <w:b/>
          <w:bCs/>
          <w:sz w:val="18"/>
          <w:szCs w:val="18"/>
        </w:rPr>
      </w:pPr>
    </w:p>
    <w:p w:rsidR="00CF7B79" w:rsidRPr="002117C0" w:rsidRDefault="00CF7B79" w:rsidP="00CF7B79">
      <w:pPr>
        <w:rPr>
          <w:b/>
          <w:bCs/>
          <w:i/>
          <w:iCs/>
          <w:sz w:val="18"/>
          <w:szCs w:val="18"/>
        </w:rPr>
      </w:pPr>
      <w:r w:rsidRPr="002117C0">
        <w:rPr>
          <w:b/>
          <w:bCs/>
          <w:i/>
          <w:iCs/>
          <w:sz w:val="18"/>
          <w:szCs w:val="18"/>
        </w:rPr>
        <w:t xml:space="preserve">    </w:t>
      </w:r>
    </w:p>
    <w:p w:rsidR="00CF7B79" w:rsidRPr="002117C0" w:rsidRDefault="00CF7B79" w:rsidP="00CF7B79">
      <w:pPr>
        <w:rPr>
          <w:b/>
          <w:bCs/>
          <w:i/>
          <w:iCs/>
          <w:sz w:val="18"/>
          <w:szCs w:val="18"/>
        </w:rPr>
      </w:pPr>
      <w:r w:rsidRPr="002117C0">
        <w:rPr>
          <w:b/>
          <w:bCs/>
          <w:i/>
          <w:iCs/>
          <w:sz w:val="18"/>
          <w:szCs w:val="18"/>
        </w:rPr>
        <w:t xml:space="preserve">                    </w:t>
      </w:r>
    </w:p>
    <w:p w:rsidR="00CF7B79" w:rsidRPr="002117C0" w:rsidRDefault="00CF7B79" w:rsidP="00CF7B79">
      <w:pPr>
        <w:rPr>
          <w:b/>
          <w:bCs/>
          <w:i/>
          <w:iCs/>
          <w:sz w:val="18"/>
          <w:szCs w:val="18"/>
        </w:rPr>
      </w:pPr>
      <w:r w:rsidRPr="002117C0">
        <w:rPr>
          <w:b/>
          <w:bCs/>
          <w:i/>
          <w:iCs/>
          <w:sz w:val="18"/>
          <w:szCs w:val="18"/>
        </w:rPr>
        <w:t xml:space="preserve">                                                                                                                   Renta e llogaritur                           Renta e paguar</w:t>
      </w:r>
    </w:p>
    <w:tbl>
      <w:tblPr>
        <w:tblpPr w:leftFromText="180" w:rightFromText="180" w:vertAnchor="text" w:horzAnchor="page" w:tblpX="6328"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2"/>
        <w:gridCol w:w="2340"/>
      </w:tblGrid>
      <w:tr w:rsidR="00CF7B79" w:rsidRPr="002117C0" w:rsidTr="000F1A0A">
        <w:trPr>
          <w:trHeight w:val="350"/>
        </w:trPr>
        <w:tc>
          <w:tcPr>
            <w:tcW w:w="2322" w:type="dxa"/>
            <w:tcBorders>
              <w:top w:val="single" w:sz="4" w:space="0" w:color="auto"/>
              <w:left w:val="single" w:sz="4" w:space="0" w:color="auto"/>
              <w:bottom w:val="single" w:sz="4" w:space="0" w:color="auto"/>
              <w:right w:val="single" w:sz="4" w:space="0" w:color="auto"/>
            </w:tcBorders>
            <w:shd w:val="clear" w:color="auto" w:fill="FFFFFF"/>
          </w:tcPr>
          <w:p w:rsidR="00CF7B79" w:rsidRPr="002117C0" w:rsidRDefault="00CF7B79" w:rsidP="000F1A0A">
            <w:pPr>
              <w:rPr>
                <w:b/>
                <w:bCs/>
                <w:iCs/>
                <w:sz w:val="18"/>
                <w:szCs w:val="18"/>
              </w:rPr>
            </w:pPr>
            <w:r w:rsidRPr="002117C0">
              <w:rPr>
                <w:b/>
                <w:bCs/>
                <w:iCs/>
                <w:sz w:val="18"/>
                <w:szCs w:val="18"/>
              </w:rPr>
              <w:t>[19]</w:t>
            </w:r>
          </w:p>
        </w:tc>
        <w:tc>
          <w:tcPr>
            <w:tcW w:w="234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[20]</w:t>
            </w:r>
          </w:p>
          <w:p w:rsidR="00CF7B79" w:rsidRPr="002117C0" w:rsidRDefault="00CF7B79" w:rsidP="000F1A0A">
            <w:pPr>
              <w:rPr>
                <w:b/>
                <w:bCs/>
                <w:iCs/>
                <w:sz w:val="18"/>
                <w:szCs w:val="18"/>
              </w:rPr>
            </w:pPr>
          </w:p>
        </w:tc>
      </w:tr>
      <w:tr w:rsidR="00CF7B79" w:rsidRPr="002117C0" w:rsidTr="000F1A0A">
        <w:trPr>
          <w:trHeight w:val="350"/>
        </w:trPr>
        <w:tc>
          <w:tcPr>
            <w:tcW w:w="2322" w:type="dxa"/>
            <w:tcBorders>
              <w:top w:val="single" w:sz="4" w:space="0" w:color="auto"/>
              <w:left w:val="single" w:sz="4" w:space="0" w:color="auto"/>
              <w:bottom w:val="single" w:sz="4" w:space="0" w:color="auto"/>
              <w:right w:val="single" w:sz="4" w:space="0" w:color="auto"/>
            </w:tcBorders>
            <w:shd w:val="clear" w:color="auto" w:fill="FFFFFF"/>
          </w:tcPr>
          <w:p w:rsidR="00CF7B79" w:rsidRPr="002117C0" w:rsidRDefault="00CF7B79" w:rsidP="000F1A0A">
            <w:pPr>
              <w:rPr>
                <w:b/>
                <w:bCs/>
                <w:iCs/>
                <w:sz w:val="18"/>
                <w:szCs w:val="18"/>
              </w:rPr>
            </w:pPr>
            <w:r w:rsidRPr="002117C0">
              <w:rPr>
                <w:b/>
                <w:bCs/>
                <w:iCs/>
                <w:sz w:val="18"/>
                <w:szCs w:val="18"/>
              </w:rPr>
              <w:t>[21]</w:t>
            </w:r>
          </w:p>
          <w:p w:rsidR="00CF7B79" w:rsidRPr="002117C0" w:rsidRDefault="00CF7B79" w:rsidP="000F1A0A">
            <w:pPr>
              <w:rPr>
                <w:b/>
                <w:bCs/>
                <w:iCs/>
                <w:sz w:val="18"/>
                <w:szCs w:val="18"/>
              </w:rPr>
            </w:pPr>
          </w:p>
        </w:tc>
        <w:tc>
          <w:tcPr>
            <w:tcW w:w="234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[22]</w:t>
            </w:r>
          </w:p>
        </w:tc>
      </w:tr>
      <w:tr w:rsidR="00CF7B79" w:rsidRPr="002117C0" w:rsidTr="000F1A0A">
        <w:trPr>
          <w:trHeight w:val="485"/>
        </w:trPr>
        <w:tc>
          <w:tcPr>
            <w:tcW w:w="2322" w:type="dxa"/>
            <w:tcBorders>
              <w:top w:val="single" w:sz="4" w:space="0" w:color="auto"/>
              <w:left w:val="single" w:sz="4" w:space="0" w:color="auto"/>
              <w:bottom w:val="single" w:sz="4" w:space="0" w:color="auto"/>
              <w:right w:val="single" w:sz="4" w:space="0" w:color="auto"/>
            </w:tcBorders>
            <w:shd w:val="clear" w:color="auto" w:fill="FFFFFF"/>
          </w:tcPr>
          <w:p w:rsidR="00CF7B79" w:rsidRPr="002117C0" w:rsidRDefault="00CF7B79" w:rsidP="000F1A0A">
            <w:pPr>
              <w:rPr>
                <w:b/>
                <w:bCs/>
                <w:iCs/>
                <w:sz w:val="18"/>
                <w:szCs w:val="18"/>
              </w:rPr>
            </w:pPr>
            <w:r w:rsidRPr="002117C0">
              <w:rPr>
                <w:b/>
                <w:bCs/>
                <w:iCs/>
                <w:sz w:val="18"/>
                <w:szCs w:val="18"/>
              </w:rPr>
              <w:t>[23]</w:t>
            </w:r>
          </w:p>
        </w:tc>
        <w:tc>
          <w:tcPr>
            <w:tcW w:w="234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[24]</w:t>
            </w:r>
          </w:p>
        </w:tc>
      </w:tr>
      <w:tr w:rsidR="00CF7B79" w:rsidRPr="002117C0" w:rsidTr="000F1A0A">
        <w:trPr>
          <w:trHeight w:val="485"/>
        </w:trPr>
        <w:tc>
          <w:tcPr>
            <w:tcW w:w="2322" w:type="dxa"/>
            <w:tcBorders>
              <w:top w:val="nil"/>
              <w:left w:val="nil"/>
              <w:bottom w:val="nil"/>
              <w:right w:val="nil"/>
            </w:tcBorders>
            <w:shd w:val="clear" w:color="auto" w:fill="FFFFFF"/>
          </w:tcPr>
          <w:p w:rsidR="00CF7B79" w:rsidRPr="002117C0" w:rsidRDefault="00CF7B79" w:rsidP="000F1A0A">
            <w:pPr>
              <w:rPr>
                <w:b/>
                <w:bCs/>
                <w:iCs/>
                <w:sz w:val="18"/>
                <w:szCs w:val="18"/>
              </w:rPr>
            </w:pPr>
          </w:p>
        </w:tc>
        <w:tc>
          <w:tcPr>
            <w:tcW w:w="2340" w:type="dxa"/>
            <w:tcBorders>
              <w:top w:val="single" w:sz="4" w:space="0" w:color="auto"/>
              <w:left w:val="nil"/>
              <w:bottom w:val="nil"/>
              <w:right w:val="nil"/>
            </w:tcBorders>
          </w:tcPr>
          <w:p w:rsidR="00CF7B79" w:rsidRPr="002117C0" w:rsidRDefault="00CF7B79" w:rsidP="000F1A0A">
            <w:pPr>
              <w:rPr>
                <w:b/>
                <w:bCs/>
                <w:iCs/>
                <w:sz w:val="18"/>
                <w:szCs w:val="18"/>
              </w:rPr>
            </w:pPr>
          </w:p>
        </w:tc>
      </w:tr>
    </w:tbl>
    <w:p w:rsidR="00CF7B79" w:rsidRPr="002117C0" w:rsidRDefault="00CF7B79" w:rsidP="00CF7B79">
      <w:pPr>
        <w:rPr>
          <w:b/>
          <w:bCs/>
          <w:iCs/>
          <w:sz w:val="18"/>
          <w:szCs w:val="18"/>
        </w:rPr>
      </w:pPr>
    </w:p>
    <w:p w:rsidR="00CF7B79" w:rsidRPr="002117C0" w:rsidRDefault="00CF7B79" w:rsidP="00CF7B79">
      <w:pPr>
        <w:rPr>
          <w:b/>
          <w:bCs/>
          <w:sz w:val="18"/>
          <w:szCs w:val="18"/>
        </w:rPr>
      </w:pPr>
      <w:r w:rsidRPr="002117C0">
        <w:rPr>
          <w:b/>
          <w:bCs/>
          <w:sz w:val="18"/>
          <w:szCs w:val="18"/>
        </w:rPr>
        <w:t>[19/20]     Renta për mineralin e eksportuar</w:t>
      </w:r>
    </w:p>
    <w:p w:rsidR="00CF7B79" w:rsidRPr="002117C0" w:rsidRDefault="00CF7B79" w:rsidP="00CF7B79">
      <w:pPr>
        <w:rPr>
          <w:b/>
          <w:bCs/>
          <w:sz w:val="18"/>
          <w:szCs w:val="18"/>
        </w:rPr>
      </w:pPr>
      <w:r w:rsidRPr="002117C0">
        <w:rPr>
          <w:b/>
          <w:bCs/>
          <w:sz w:val="18"/>
          <w:szCs w:val="18"/>
        </w:rPr>
        <w:t xml:space="preserve"> </w:t>
      </w:r>
    </w:p>
    <w:p w:rsidR="00CF7B79" w:rsidRPr="002117C0" w:rsidRDefault="00CF7B79" w:rsidP="00CF7B79">
      <w:pPr>
        <w:rPr>
          <w:b/>
          <w:bCs/>
          <w:sz w:val="18"/>
          <w:szCs w:val="18"/>
        </w:rPr>
      </w:pPr>
      <w:r w:rsidRPr="002117C0">
        <w:rPr>
          <w:b/>
          <w:bCs/>
          <w:sz w:val="18"/>
          <w:szCs w:val="18"/>
        </w:rPr>
        <w:t>[21/22]</w:t>
      </w:r>
      <w:r w:rsidRPr="002117C0">
        <w:rPr>
          <w:b/>
          <w:bCs/>
          <w:iCs/>
          <w:sz w:val="18"/>
          <w:szCs w:val="18"/>
        </w:rPr>
        <w:t xml:space="preserve">     </w:t>
      </w:r>
      <w:r w:rsidRPr="002117C0">
        <w:rPr>
          <w:b/>
          <w:bCs/>
          <w:sz w:val="18"/>
          <w:szCs w:val="18"/>
        </w:rPr>
        <w:t>Renta për nënproduktin e eksportuar</w:t>
      </w:r>
    </w:p>
    <w:p w:rsidR="00CF7B79" w:rsidRPr="002117C0" w:rsidRDefault="00CF7B79" w:rsidP="00CF7B79">
      <w:pPr>
        <w:rPr>
          <w:b/>
          <w:bCs/>
          <w:sz w:val="18"/>
          <w:szCs w:val="18"/>
        </w:rPr>
      </w:pPr>
    </w:p>
    <w:p w:rsidR="00CF7B79" w:rsidRPr="002117C0" w:rsidRDefault="00CF7B79" w:rsidP="00CF7B79">
      <w:pPr>
        <w:rPr>
          <w:b/>
          <w:bCs/>
          <w:sz w:val="18"/>
          <w:szCs w:val="18"/>
        </w:rPr>
      </w:pPr>
      <w:r w:rsidRPr="002117C0">
        <w:rPr>
          <w:b/>
          <w:bCs/>
          <w:sz w:val="18"/>
          <w:szCs w:val="18"/>
        </w:rPr>
        <w:t>[23/24]     Totali i rentës</w:t>
      </w:r>
    </w:p>
    <w:p w:rsidR="00CF7B79" w:rsidRPr="002117C0" w:rsidRDefault="00CF7B79" w:rsidP="00CF7B79">
      <w:pPr>
        <w:rPr>
          <w:b/>
          <w:bCs/>
          <w:i/>
          <w:iCs/>
          <w:sz w:val="18"/>
          <w:szCs w:val="18"/>
        </w:rPr>
      </w:pPr>
    </w:p>
    <w:p w:rsidR="00CF7B79" w:rsidRPr="002117C0" w:rsidRDefault="00CF7B79" w:rsidP="00CF7B79">
      <w:pPr>
        <w:jc w:val="center"/>
        <w:rPr>
          <w:b/>
          <w:bCs/>
          <w:i/>
          <w:iCs/>
          <w:sz w:val="18"/>
          <w:szCs w:val="18"/>
        </w:rPr>
      </w:pPr>
    </w:p>
    <w:p w:rsidR="00CF7B79" w:rsidRPr="002117C0" w:rsidRDefault="00CF7B79" w:rsidP="00CF7B79">
      <w:pPr>
        <w:rPr>
          <w:b/>
          <w:bCs/>
          <w:i/>
          <w:iCs/>
          <w:sz w:val="18"/>
          <w:szCs w:val="18"/>
        </w:rPr>
      </w:pPr>
    </w:p>
    <w:p w:rsidR="00CF7B79" w:rsidRPr="002117C0" w:rsidRDefault="00CF7B79" w:rsidP="00CF7B79">
      <w:pPr>
        <w:rPr>
          <w:b/>
          <w:bCs/>
          <w:i/>
          <w:iCs/>
          <w:sz w:val="18"/>
          <w:szCs w:val="18"/>
        </w:rPr>
      </w:pPr>
    </w:p>
    <w:p w:rsidR="00CF7B79" w:rsidRPr="002117C0" w:rsidRDefault="00CF7B79" w:rsidP="00CF7B79">
      <w:pPr>
        <w:rPr>
          <w:b/>
          <w:bCs/>
          <w:i/>
          <w:iCs/>
          <w:sz w:val="18"/>
          <w:szCs w:val="18"/>
        </w:rPr>
      </w:pPr>
    </w:p>
    <w:p w:rsidR="00CF7B79" w:rsidRPr="002117C0" w:rsidRDefault="00CF7B79" w:rsidP="00CF7B79">
      <w:pPr>
        <w:rPr>
          <w:b/>
          <w:bCs/>
          <w:i/>
          <w:iCs/>
          <w:sz w:val="18"/>
          <w:szCs w:val="18"/>
        </w:rPr>
      </w:pPr>
    </w:p>
    <w:p w:rsidR="00CF7B79" w:rsidRPr="002117C0" w:rsidRDefault="00CF7B79" w:rsidP="00CF7B79">
      <w:pPr>
        <w:rPr>
          <w:b/>
          <w:bCs/>
          <w:i/>
          <w:iCs/>
          <w:sz w:val="18"/>
          <w:szCs w:val="18"/>
        </w:rPr>
      </w:pPr>
    </w:p>
    <w:p w:rsidR="00CF7B79" w:rsidRPr="002117C0" w:rsidRDefault="00CF7B79" w:rsidP="00CF7B79">
      <w:pPr>
        <w:rPr>
          <w:b/>
          <w:bCs/>
          <w:i/>
          <w:iCs/>
          <w:sz w:val="18"/>
          <w:szCs w:val="18"/>
        </w:rPr>
      </w:pPr>
    </w:p>
    <w:p w:rsidR="00CF7B79" w:rsidRDefault="00CF7B79" w:rsidP="00CF7B79">
      <w:pPr>
        <w:rPr>
          <w:b/>
          <w:bCs/>
          <w:i/>
          <w:iCs/>
          <w:sz w:val="18"/>
          <w:szCs w:val="18"/>
        </w:rPr>
      </w:pPr>
    </w:p>
    <w:p w:rsidR="00CF7B79" w:rsidRPr="002117C0" w:rsidRDefault="00CF7B79" w:rsidP="00CF7B79">
      <w:pPr>
        <w:rPr>
          <w:b/>
          <w:bCs/>
          <w:iCs/>
          <w:sz w:val="18"/>
          <w:szCs w:val="18"/>
        </w:rPr>
      </w:pPr>
      <w:r w:rsidRPr="002117C0">
        <w:rPr>
          <w:b/>
          <w:bCs/>
          <w:iCs/>
          <w:sz w:val="18"/>
          <w:szCs w:val="18"/>
        </w:rPr>
        <w:t>III. EKSPORTE ME T</w:t>
      </w:r>
      <w:r>
        <w:rPr>
          <w:b/>
          <w:bCs/>
          <w:iCs/>
          <w:sz w:val="18"/>
          <w:szCs w:val="18"/>
        </w:rPr>
        <w:t>Ë</w:t>
      </w:r>
      <w:r w:rsidRPr="002117C0">
        <w:rPr>
          <w:b/>
          <w:bCs/>
          <w:iCs/>
          <w:sz w:val="18"/>
          <w:szCs w:val="18"/>
        </w:rPr>
        <w:t xml:space="preserve"> </w:t>
      </w:r>
      <w:proofErr w:type="gramStart"/>
      <w:r w:rsidRPr="002117C0">
        <w:rPr>
          <w:b/>
          <w:bCs/>
          <w:iCs/>
          <w:sz w:val="18"/>
          <w:szCs w:val="18"/>
        </w:rPr>
        <w:t>TRET</w:t>
      </w:r>
      <w:r>
        <w:rPr>
          <w:b/>
          <w:bCs/>
          <w:iCs/>
          <w:sz w:val="18"/>
          <w:szCs w:val="18"/>
        </w:rPr>
        <w:t>Ë</w:t>
      </w:r>
      <w:r w:rsidRPr="002117C0">
        <w:rPr>
          <w:b/>
          <w:bCs/>
          <w:iCs/>
          <w:sz w:val="18"/>
          <w:szCs w:val="18"/>
        </w:rPr>
        <w:t xml:space="preserve"> ,</w:t>
      </w:r>
      <w:proofErr w:type="gramEnd"/>
      <w:r w:rsidRPr="002117C0">
        <w:rPr>
          <w:b/>
          <w:bCs/>
          <w:iCs/>
          <w:sz w:val="18"/>
          <w:szCs w:val="18"/>
        </w:rPr>
        <w:t xml:space="preserve"> P</w:t>
      </w:r>
      <w:r>
        <w:rPr>
          <w:b/>
          <w:bCs/>
          <w:iCs/>
          <w:sz w:val="18"/>
          <w:szCs w:val="18"/>
        </w:rPr>
        <w:t>Ë</w:t>
      </w:r>
      <w:r w:rsidRPr="002117C0">
        <w:rPr>
          <w:b/>
          <w:bCs/>
          <w:iCs/>
          <w:sz w:val="18"/>
          <w:szCs w:val="18"/>
        </w:rPr>
        <w:t xml:space="preserve">R BLERJET NGA ZOTËRUESI I LEJES </w:t>
      </w:r>
      <w:r>
        <w:rPr>
          <w:b/>
          <w:bCs/>
          <w:iCs/>
          <w:sz w:val="18"/>
          <w:szCs w:val="18"/>
        </w:rPr>
        <w:t>SË</w:t>
      </w:r>
      <w:r w:rsidRPr="002117C0">
        <w:rPr>
          <w:b/>
          <w:bCs/>
          <w:iCs/>
          <w:sz w:val="18"/>
          <w:szCs w:val="18"/>
        </w:rPr>
        <w:t xml:space="preserve"> SHFRYT</w:t>
      </w:r>
      <w:r>
        <w:rPr>
          <w:b/>
          <w:bCs/>
          <w:iCs/>
          <w:sz w:val="18"/>
          <w:szCs w:val="18"/>
        </w:rPr>
        <w:t>Ë</w:t>
      </w:r>
      <w:r w:rsidRPr="002117C0">
        <w:rPr>
          <w:b/>
          <w:bCs/>
          <w:iCs/>
          <w:sz w:val="18"/>
          <w:szCs w:val="18"/>
        </w:rPr>
        <w:t>ZIMIT</w:t>
      </w:r>
    </w:p>
    <w:p w:rsidR="00CF7B79" w:rsidRPr="002117C0" w:rsidRDefault="00CF7B79" w:rsidP="00CF7B79">
      <w:pPr>
        <w:rPr>
          <w:b/>
          <w:bCs/>
          <w:iCs/>
          <w:sz w:val="18"/>
          <w:szCs w:val="18"/>
        </w:rPr>
      </w:pPr>
    </w:p>
    <w:p w:rsidR="00CF7B79" w:rsidRPr="002117C0" w:rsidRDefault="00CF7B79" w:rsidP="00CF7B79">
      <w:pPr>
        <w:rPr>
          <w:b/>
          <w:bCs/>
          <w:iCs/>
          <w:sz w:val="18"/>
          <w:szCs w:val="18"/>
        </w:rPr>
      </w:pPr>
    </w:p>
    <w:p w:rsidR="00CF7B79" w:rsidRPr="002117C0" w:rsidRDefault="00CF7B79" w:rsidP="00CF7B79">
      <w:pPr>
        <w:rPr>
          <w:b/>
          <w:bCs/>
          <w:iCs/>
          <w:sz w:val="18"/>
          <w:szCs w:val="18"/>
          <w:u w:val="single"/>
        </w:rPr>
      </w:pPr>
      <w:r w:rsidRPr="002117C0">
        <w:rPr>
          <w:b/>
          <w:bCs/>
          <w:iCs/>
          <w:sz w:val="18"/>
          <w:szCs w:val="18"/>
          <w:u w:val="single"/>
        </w:rPr>
        <w:t>III/1 Shitje nga zotëruesi i lejes brënda vëndit tek eksportuesi</w:t>
      </w:r>
    </w:p>
    <w:p w:rsidR="00CF7B79" w:rsidRPr="002117C0" w:rsidRDefault="00CF7B79" w:rsidP="00CF7B79">
      <w:pPr>
        <w:rPr>
          <w:b/>
          <w:bCs/>
          <w:i/>
          <w:iCs/>
          <w:sz w:val="18"/>
          <w:szCs w:val="18"/>
          <w:u w:val="single"/>
        </w:rPr>
      </w:pPr>
      <w:r w:rsidRPr="002117C0">
        <w:rPr>
          <w:b/>
          <w:bCs/>
          <w:i/>
          <w:iCs/>
          <w:sz w:val="18"/>
          <w:szCs w:val="18"/>
          <w:u w:val="single"/>
        </w:rPr>
        <w:t xml:space="preserve"> </w:t>
      </w:r>
    </w:p>
    <w:p w:rsidR="00CF7B79" w:rsidRPr="002117C0" w:rsidRDefault="00CF7B79" w:rsidP="00CF7B79">
      <w:pPr>
        <w:rPr>
          <w:b/>
          <w:bCs/>
          <w:i/>
          <w:iCs/>
          <w:sz w:val="18"/>
          <w:szCs w:val="18"/>
        </w:rPr>
      </w:pPr>
      <w:r w:rsidRPr="002117C0">
        <w:rPr>
          <w:b/>
          <w:bCs/>
          <w:i/>
          <w:iCs/>
          <w:sz w:val="18"/>
          <w:szCs w:val="18"/>
        </w:rPr>
        <w:tab/>
      </w:r>
      <w:r w:rsidRPr="002117C0">
        <w:rPr>
          <w:b/>
          <w:bCs/>
          <w:i/>
          <w:iCs/>
          <w:sz w:val="18"/>
          <w:szCs w:val="18"/>
        </w:rPr>
        <w:tab/>
      </w:r>
      <w:r w:rsidRPr="002117C0">
        <w:rPr>
          <w:b/>
          <w:bCs/>
          <w:i/>
          <w:iCs/>
          <w:sz w:val="18"/>
          <w:szCs w:val="18"/>
        </w:rPr>
        <w:tab/>
        <w:t xml:space="preserve">   </w:t>
      </w:r>
      <w:r w:rsidRPr="002117C0">
        <w:rPr>
          <w:b/>
          <w:bCs/>
          <w:sz w:val="18"/>
          <w:szCs w:val="18"/>
        </w:rPr>
        <w:t xml:space="preserve">               </w:t>
      </w:r>
      <w:r w:rsidRPr="002117C0">
        <w:rPr>
          <w:b/>
          <w:bCs/>
          <w:sz w:val="18"/>
          <w:szCs w:val="18"/>
        </w:rPr>
        <w:tab/>
        <w:t xml:space="preserve">                                       </w:t>
      </w:r>
      <w:r w:rsidRPr="002117C0">
        <w:rPr>
          <w:b/>
          <w:bCs/>
          <w:i/>
          <w:sz w:val="18"/>
          <w:szCs w:val="18"/>
        </w:rPr>
        <w:t>Vlera e taksueshme                  Vlera totale</w:t>
      </w:r>
    </w:p>
    <w:tbl>
      <w:tblPr>
        <w:tblpPr w:leftFromText="180" w:rightFromText="180" w:vertAnchor="text" w:horzAnchor="page" w:tblpX="6310"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2430"/>
      </w:tblGrid>
      <w:tr w:rsidR="00CF7B79" w:rsidRPr="002117C0" w:rsidTr="000F1A0A">
        <w:trPr>
          <w:trHeight w:val="460"/>
        </w:trPr>
        <w:tc>
          <w:tcPr>
            <w:tcW w:w="2268"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Pr>
                <w:b/>
                <w:bCs/>
                <w:iCs/>
                <w:sz w:val="18"/>
                <w:szCs w:val="18"/>
              </w:rPr>
              <w:t>[</w:t>
            </w:r>
            <w:r w:rsidRPr="002117C0">
              <w:rPr>
                <w:b/>
                <w:bCs/>
                <w:iCs/>
                <w:sz w:val="18"/>
                <w:szCs w:val="18"/>
              </w:rPr>
              <w:t>25]</w:t>
            </w:r>
          </w:p>
          <w:p w:rsidR="00CF7B79" w:rsidRPr="002117C0" w:rsidRDefault="00CF7B79" w:rsidP="000F1A0A">
            <w:pPr>
              <w:rPr>
                <w:b/>
                <w:bCs/>
                <w:iCs/>
                <w:sz w:val="18"/>
                <w:szCs w:val="18"/>
              </w:rPr>
            </w:pPr>
          </w:p>
        </w:tc>
        <w:tc>
          <w:tcPr>
            <w:tcW w:w="243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Pr>
                <w:b/>
                <w:bCs/>
                <w:iCs/>
                <w:sz w:val="18"/>
                <w:szCs w:val="18"/>
              </w:rPr>
              <w:t>[</w:t>
            </w:r>
            <w:r w:rsidRPr="002117C0">
              <w:rPr>
                <w:b/>
                <w:bCs/>
                <w:iCs/>
                <w:sz w:val="18"/>
                <w:szCs w:val="18"/>
              </w:rPr>
              <w:t>26]</w:t>
            </w:r>
          </w:p>
        </w:tc>
      </w:tr>
      <w:tr w:rsidR="00CF7B79" w:rsidRPr="002117C0" w:rsidTr="000F1A0A">
        <w:trPr>
          <w:trHeight w:val="413"/>
        </w:trPr>
        <w:tc>
          <w:tcPr>
            <w:tcW w:w="2268"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Pr>
                <w:b/>
                <w:bCs/>
                <w:iCs/>
                <w:sz w:val="18"/>
                <w:szCs w:val="18"/>
              </w:rPr>
              <w:t>[</w:t>
            </w:r>
            <w:r w:rsidRPr="002117C0">
              <w:rPr>
                <w:b/>
                <w:bCs/>
                <w:iCs/>
                <w:sz w:val="18"/>
                <w:szCs w:val="18"/>
              </w:rPr>
              <w:t>27]</w:t>
            </w:r>
          </w:p>
          <w:p w:rsidR="00CF7B79" w:rsidRPr="002117C0" w:rsidRDefault="00CF7B79" w:rsidP="000F1A0A">
            <w:pPr>
              <w:rPr>
                <w:b/>
                <w:bCs/>
                <w:iCs/>
                <w:sz w:val="18"/>
                <w:szCs w:val="18"/>
              </w:rPr>
            </w:pPr>
          </w:p>
        </w:tc>
        <w:tc>
          <w:tcPr>
            <w:tcW w:w="243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Pr>
                <w:b/>
                <w:bCs/>
                <w:iCs/>
                <w:sz w:val="18"/>
                <w:szCs w:val="18"/>
              </w:rPr>
              <w:t>[</w:t>
            </w:r>
            <w:r w:rsidRPr="002117C0">
              <w:rPr>
                <w:b/>
                <w:bCs/>
                <w:iCs/>
                <w:sz w:val="18"/>
                <w:szCs w:val="18"/>
              </w:rPr>
              <w:t>28]</w:t>
            </w:r>
          </w:p>
        </w:tc>
      </w:tr>
    </w:tbl>
    <w:p w:rsidR="00CF7B79" w:rsidRPr="002117C0" w:rsidRDefault="00CF7B79" w:rsidP="00CF7B79">
      <w:pPr>
        <w:rPr>
          <w:b/>
          <w:bCs/>
          <w:sz w:val="18"/>
          <w:szCs w:val="18"/>
        </w:rPr>
      </w:pPr>
    </w:p>
    <w:p w:rsidR="00CF7B79" w:rsidRPr="002117C0" w:rsidRDefault="00CF7B79" w:rsidP="00CF7B79">
      <w:pPr>
        <w:rPr>
          <w:b/>
          <w:bCs/>
          <w:sz w:val="18"/>
          <w:szCs w:val="18"/>
        </w:rPr>
      </w:pPr>
      <w:proofErr w:type="gramStart"/>
      <w:r w:rsidRPr="002117C0">
        <w:rPr>
          <w:b/>
          <w:bCs/>
          <w:sz w:val="18"/>
          <w:szCs w:val="18"/>
        </w:rPr>
        <w:t>[ 25</w:t>
      </w:r>
      <w:proofErr w:type="gramEnd"/>
      <w:r w:rsidRPr="002117C0">
        <w:rPr>
          <w:b/>
          <w:bCs/>
          <w:sz w:val="18"/>
          <w:szCs w:val="18"/>
        </w:rPr>
        <w:t xml:space="preserve">/26 ]   Shitje të mineralit </w:t>
      </w:r>
    </w:p>
    <w:p w:rsidR="00CF7B79" w:rsidRPr="002117C0" w:rsidRDefault="00CF7B79" w:rsidP="00CF7B79">
      <w:pPr>
        <w:rPr>
          <w:b/>
          <w:bCs/>
          <w:sz w:val="18"/>
          <w:szCs w:val="18"/>
        </w:rPr>
      </w:pPr>
    </w:p>
    <w:p w:rsidR="00CF7B79" w:rsidRPr="002117C0" w:rsidRDefault="00CF7B79" w:rsidP="00CF7B79">
      <w:pPr>
        <w:rPr>
          <w:b/>
          <w:bCs/>
          <w:sz w:val="18"/>
          <w:szCs w:val="18"/>
        </w:rPr>
      </w:pPr>
      <w:proofErr w:type="gramStart"/>
      <w:r w:rsidRPr="002117C0">
        <w:rPr>
          <w:b/>
          <w:bCs/>
          <w:sz w:val="18"/>
          <w:szCs w:val="18"/>
        </w:rPr>
        <w:t>[ 27</w:t>
      </w:r>
      <w:proofErr w:type="gramEnd"/>
      <w:r w:rsidRPr="002117C0">
        <w:rPr>
          <w:b/>
          <w:bCs/>
          <w:sz w:val="18"/>
          <w:szCs w:val="18"/>
        </w:rPr>
        <w:t xml:space="preserve">/28 ]   Shitje të nënproduktit </w:t>
      </w:r>
    </w:p>
    <w:p w:rsidR="00CF7B79" w:rsidRPr="002117C0" w:rsidRDefault="00CF7B79" w:rsidP="00CF7B79">
      <w:pPr>
        <w:rPr>
          <w:b/>
          <w:bCs/>
          <w:sz w:val="18"/>
          <w:szCs w:val="18"/>
        </w:rPr>
      </w:pPr>
    </w:p>
    <w:p w:rsidR="00CF7B79" w:rsidRPr="002117C0" w:rsidRDefault="00CF7B79" w:rsidP="00CF7B79">
      <w:pPr>
        <w:rPr>
          <w:b/>
          <w:bCs/>
          <w:i/>
          <w:iCs/>
          <w:sz w:val="18"/>
          <w:szCs w:val="18"/>
        </w:rPr>
      </w:pPr>
      <w:r w:rsidRPr="002117C0">
        <w:rPr>
          <w:b/>
          <w:bCs/>
          <w:i/>
          <w:iCs/>
          <w:sz w:val="18"/>
          <w:szCs w:val="18"/>
        </w:rPr>
        <w:t xml:space="preserve">    </w:t>
      </w:r>
    </w:p>
    <w:p w:rsidR="00CF7B79" w:rsidRPr="002117C0" w:rsidRDefault="00CF7B79" w:rsidP="00CF7B79">
      <w:pPr>
        <w:rPr>
          <w:b/>
          <w:bCs/>
          <w:i/>
          <w:iCs/>
          <w:sz w:val="18"/>
          <w:szCs w:val="18"/>
        </w:rPr>
      </w:pPr>
      <w:r w:rsidRPr="002117C0">
        <w:rPr>
          <w:b/>
          <w:bCs/>
          <w:i/>
          <w:iCs/>
          <w:sz w:val="18"/>
          <w:szCs w:val="18"/>
        </w:rPr>
        <w:t xml:space="preserve">        </w:t>
      </w:r>
    </w:p>
    <w:p w:rsidR="00CF7B79" w:rsidRPr="002117C0" w:rsidRDefault="00CF7B79" w:rsidP="00CF7B79">
      <w:pPr>
        <w:rPr>
          <w:b/>
          <w:bCs/>
          <w:i/>
          <w:iCs/>
          <w:sz w:val="18"/>
          <w:szCs w:val="18"/>
        </w:rPr>
      </w:pPr>
      <w:r w:rsidRPr="002117C0">
        <w:rPr>
          <w:b/>
          <w:bCs/>
          <w:i/>
          <w:iCs/>
          <w:sz w:val="18"/>
          <w:szCs w:val="18"/>
        </w:rPr>
        <w:t xml:space="preserve">                                                                                            </w:t>
      </w:r>
      <w:r>
        <w:rPr>
          <w:b/>
          <w:bCs/>
          <w:i/>
          <w:iCs/>
          <w:sz w:val="18"/>
          <w:szCs w:val="18"/>
        </w:rPr>
        <w:t xml:space="preserve">                             </w:t>
      </w:r>
      <w:r w:rsidRPr="002117C0">
        <w:rPr>
          <w:b/>
          <w:bCs/>
          <w:i/>
          <w:iCs/>
          <w:sz w:val="18"/>
          <w:szCs w:val="18"/>
        </w:rPr>
        <w:t xml:space="preserve">Renta e llogaritur        </w:t>
      </w:r>
    </w:p>
    <w:tbl>
      <w:tblPr>
        <w:tblpPr w:leftFromText="180" w:rightFromText="180" w:vertAnchor="text" w:horzAnchor="page" w:tblpX="6328"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2"/>
        <w:gridCol w:w="2350"/>
      </w:tblGrid>
      <w:tr w:rsidR="00CF7B79" w:rsidRPr="002117C0" w:rsidTr="000F1A0A">
        <w:trPr>
          <w:trHeight w:val="440"/>
        </w:trPr>
        <w:tc>
          <w:tcPr>
            <w:tcW w:w="2332" w:type="dxa"/>
            <w:tcBorders>
              <w:top w:val="single" w:sz="4" w:space="0" w:color="auto"/>
              <w:left w:val="single" w:sz="4" w:space="0" w:color="auto"/>
              <w:bottom w:val="single" w:sz="4" w:space="0" w:color="auto"/>
              <w:right w:val="single" w:sz="4" w:space="0" w:color="auto"/>
            </w:tcBorders>
            <w:shd w:val="clear" w:color="auto" w:fill="FFFFFF"/>
          </w:tcPr>
          <w:p w:rsidR="00CF7B79" w:rsidRPr="002117C0" w:rsidRDefault="00CF7B79" w:rsidP="000F1A0A">
            <w:pPr>
              <w:rPr>
                <w:b/>
                <w:bCs/>
                <w:iCs/>
                <w:sz w:val="18"/>
                <w:szCs w:val="18"/>
              </w:rPr>
            </w:pPr>
            <w:r w:rsidRPr="002117C0">
              <w:rPr>
                <w:b/>
                <w:bCs/>
                <w:iCs/>
                <w:sz w:val="18"/>
                <w:szCs w:val="18"/>
              </w:rPr>
              <w:t xml:space="preserve"> [29]</w:t>
            </w:r>
          </w:p>
        </w:tc>
        <w:tc>
          <w:tcPr>
            <w:tcW w:w="2350" w:type="dxa"/>
            <w:tcBorders>
              <w:top w:val="nil"/>
              <w:left w:val="single" w:sz="4" w:space="0" w:color="auto"/>
              <w:bottom w:val="nil"/>
              <w:right w:val="nil"/>
            </w:tcBorders>
          </w:tcPr>
          <w:p w:rsidR="00CF7B79" w:rsidRPr="002117C0" w:rsidRDefault="00CF7B79" w:rsidP="000F1A0A">
            <w:pPr>
              <w:rPr>
                <w:b/>
                <w:bCs/>
                <w:iCs/>
                <w:sz w:val="18"/>
                <w:szCs w:val="18"/>
              </w:rPr>
            </w:pPr>
          </w:p>
        </w:tc>
      </w:tr>
      <w:tr w:rsidR="00CF7B79" w:rsidRPr="002117C0" w:rsidTr="000F1A0A">
        <w:trPr>
          <w:trHeight w:val="338"/>
        </w:trPr>
        <w:tc>
          <w:tcPr>
            <w:tcW w:w="2332" w:type="dxa"/>
            <w:tcBorders>
              <w:top w:val="single" w:sz="4" w:space="0" w:color="auto"/>
              <w:left w:val="single" w:sz="4" w:space="0" w:color="auto"/>
              <w:bottom w:val="single" w:sz="4" w:space="0" w:color="auto"/>
              <w:right w:val="single" w:sz="4" w:space="0" w:color="auto"/>
            </w:tcBorders>
            <w:shd w:val="clear" w:color="auto" w:fill="FFFFFF"/>
          </w:tcPr>
          <w:p w:rsidR="00CF7B79" w:rsidRPr="002117C0" w:rsidRDefault="00CF7B79" w:rsidP="000F1A0A">
            <w:pPr>
              <w:rPr>
                <w:b/>
                <w:bCs/>
                <w:iCs/>
                <w:sz w:val="18"/>
                <w:szCs w:val="18"/>
              </w:rPr>
            </w:pPr>
            <w:r w:rsidRPr="002117C0">
              <w:rPr>
                <w:b/>
                <w:bCs/>
                <w:iCs/>
                <w:sz w:val="18"/>
                <w:szCs w:val="18"/>
              </w:rPr>
              <w:t>[30]</w:t>
            </w:r>
          </w:p>
          <w:p w:rsidR="00CF7B79" w:rsidRPr="002117C0" w:rsidRDefault="00CF7B79" w:rsidP="000F1A0A">
            <w:pPr>
              <w:rPr>
                <w:b/>
                <w:bCs/>
                <w:iCs/>
                <w:sz w:val="18"/>
                <w:szCs w:val="18"/>
              </w:rPr>
            </w:pPr>
          </w:p>
        </w:tc>
        <w:tc>
          <w:tcPr>
            <w:tcW w:w="2350" w:type="dxa"/>
            <w:tcBorders>
              <w:top w:val="nil"/>
              <w:left w:val="single" w:sz="4" w:space="0" w:color="auto"/>
              <w:bottom w:val="single" w:sz="4" w:space="0" w:color="auto"/>
              <w:right w:val="nil"/>
            </w:tcBorders>
          </w:tcPr>
          <w:p w:rsidR="00CF7B79" w:rsidRPr="002117C0" w:rsidRDefault="00CF7B79" w:rsidP="000F1A0A">
            <w:pPr>
              <w:rPr>
                <w:b/>
                <w:bCs/>
                <w:iCs/>
                <w:sz w:val="18"/>
                <w:szCs w:val="18"/>
              </w:rPr>
            </w:pPr>
          </w:p>
        </w:tc>
      </w:tr>
      <w:tr w:rsidR="00CF7B79" w:rsidRPr="002117C0" w:rsidTr="000F1A0A">
        <w:trPr>
          <w:trHeight w:val="469"/>
        </w:trPr>
        <w:tc>
          <w:tcPr>
            <w:tcW w:w="2332" w:type="dxa"/>
            <w:tcBorders>
              <w:top w:val="single" w:sz="4" w:space="0" w:color="auto"/>
              <w:left w:val="nil"/>
              <w:bottom w:val="nil"/>
              <w:right w:val="single" w:sz="4" w:space="0" w:color="auto"/>
            </w:tcBorders>
            <w:shd w:val="clear" w:color="auto" w:fill="FFFFFF"/>
          </w:tcPr>
          <w:p w:rsidR="00CF7B79" w:rsidRPr="002117C0" w:rsidRDefault="00CF7B79" w:rsidP="000F1A0A">
            <w:pPr>
              <w:rPr>
                <w:b/>
                <w:bCs/>
                <w:iCs/>
                <w:sz w:val="18"/>
                <w:szCs w:val="18"/>
              </w:rPr>
            </w:pPr>
          </w:p>
        </w:tc>
        <w:tc>
          <w:tcPr>
            <w:tcW w:w="235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[31]</w:t>
            </w:r>
          </w:p>
        </w:tc>
      </w:tr>
    </w:tbl>
    <w:p w:rsidR="00CF7B79" w:rsidRPr="002117C0" w:rsidRDefault="00CF7B79" w:rsidP="00CF7B79">
      <w:pPr>
        <w:rPr>
          <w:b/>
          <w:bCs/>
          <w:iCs/>
          <w:sz w:val="18"/>
          <w:szCs w:val="18"/>
        </w:rPr>
      </w:pPr>
    </w:p>
    <w:p w:rsidR="00CF7B79" w:rsidRPr="002117C0" w:rsidRDefault="00CF7B79" w:rsidP="00CF7B79">
      <w:pPr>
        <w:rPr>
          <w:b/>
          <w:bCs/>
          <w:sz w:val="18"/>
          <w:szCs w:val="18"/>
        </w:rPr>
      </w:pPr>
      <w:r w:rsidRPr="002117C0">
        <w:rPr>
          <w:b/>
          <w:bCs/>
          <w:sz w:val="18"/>
          <w:szCs w:val="18"/>
        </w:rPr>
        <w:t xml:space="preserve">[29]         Renta për mineralin </w:t>
      </w:r>
    </w:p>
    <w:p w:rsidR="00CF7B79" w:rsidRPr="002117C0" w:rsidRDefault="00CF7B79" w:rsidP="00CF7B79">
      <w:pPr>
        <w:rPr>
          <w:b/>
          <w:bCs/>
          <w:sz w:val="18"/>
          <w:szCs w:val="18"/>
        </w:rPr>
      </w:pPr>
    </w:p>
    <w:p w:rsidR="00CF7B79" w:rsidRPr="002117C0" w:rsidRDefault="00CF7B79" w:rsidP="00CF7B79">
      <w:pPr>
        <w:rPr>
          <w:b/>
          <w:bCs/>
          <w:sz w:val="18"/>
          <w:szCs w:val="18"/>
        </w:rPr>
      </w:pPr>
      <w:r w:rsidRPr="002117C0">
        <w:rPr>
          <w:b/>
          <w:bCs/>
          <w:sz w:val="18"/>
          <w:szCs w:val="18"/>
        </w:rPr>
        <w:t>[30]</w:t>
      </w:r>
      <w:r w:rsidRPr="002117C0">
        <w:rPr>
          <w:b/>
          <w:bCs/>
          <w:iCs/>
          <w:sz w:val="18"/>
          <w:szCs w:val="18"/>
        </w:rPr>
        <w:t xml:space="preserve">         </w:t>
      </w:r>
      <w:r w:rsidRPr="002117C0">
        <w:rPr>
          <w:b/>
          <w:bCs/>
          <w:sz w:val="18"/>
          <w:szCs w:val="18"/>
        </w:rPr>
        <w:t>Renta për nënproduktin</w:t>
      </w:r>
    </w:p>
    <w:p w:rsidR="00CF7B79" w:rsidRPr="002117C0" w:rsidRDefault="00CF7B79" w:rsidP="00CF7B79">
      <w:pPr>
        <w:rPr>
          <w:b/>
          <w:bCs/>
          <w:sz w:val="18"/>
          <w:szCs w:val="18"/>
        </w:rPr>
      </w:pPr>
    </w:p>
    <w:p w:rsidR="00CF7B79" w:rsidRPr="002117C0" w:rsidRDefault="00CF7B79" w:rsidP="00CF7B79">
      <w:pPr>
        <w:rPr>
          <w:b/>
          <w:bCs/>
          <w:sz w:val="18"/>
          <w:szCs w:val="18"/>
        </w:rPr>
      </w:pPr>
      <w:r w:rsidRPr="002117C0">
        <w:rPr>
          <w:b/>
          <w:bCs/>
          <w:sz w:val="18"/>
          <w:szCs w:val="18"/>
        </w:rPr>
        <w:t>[31]         Totali i rentës per t’u paguar</w:t>
      </w:r>
    </w:p>
    <w:p w:rsidR="00CF7B79" w:rsidRPr="002117C0" w:rsidRDefault="00CF7B79" w:rsidP="00CF7B79">
      <w:pPr>
        <w:rPr>
          <w:b/>
          <w:bCs/>
          <w:iCs/>
          <w:sz w:val="18"/>
          <w:szCs w:val="18"/>
        </w:rPr>
      </w:pPr>
    </w:p>
    <w:p w:rsidR="00CF7B79" w:rsidRPr="002117C0" w:rsidRDefault="00CF7B79" w:rsidP="00CF7B79">
      <w:pPr>
        <w:rPr>
          <w:b/>
          <w:bCs/>
          <w:i/>
          <w:iCs/>
          <w:sz w:val="18"/>
          <w:szCs w:val="18"/>
        </w:rPr>
      </w:pPr>
      <w:r w:rsidRPr="002117C0">
        <w:rPr>
          <w:b/>
          <w:bCs/>
          <w:i/>
          <w:iCs/>
          <w:sz w:val="18"/>
          <w:szCs w:val="18"/>
        </w:rPr>
        <w:t xml:space="preserve"> </w:t>
      </w:r>
    </w:p>
    <w:p w:rsidR="00CF7B79" w:rsidRPr="002117C0" w:rsidRDefault="00CF7B79" w:rsidP="00CF7B79">
      <w:pPr>
        <w:rPr>
          <w:b/>
          <w:bCs/>
          <w:i/>
          <w:iCs/>
          <w:sz w:val="18"/>
          <w:szCs w:val="18"/>
        </w:rPr>
      </w:pPr>
    </w:p>
    <w:p w:rsidR="00CF7B79" w:rsidRPr="002117C0" w:rsidRDefault="00CF7B79" w:rsidP="00CF7B79">
      <w:pPr>
        <w:rPr>
          <w:b/>
          <w:bCs/>
          <w:iCs/>
          <w:sz w:val="18"/>
          <w:szCs w:val="18"/>
          <w:u w:val="single"/>
        </w:rPr>
      </w:pPr>
      <w:r w:rsidRPr="002117C0">
        <w:rPr>
          <w:b/>
          <w:bCs/>
          <w:iCs/>
          <w:sz w:val="18"/>
          <w:szCs w:val="18"/>
          <w:u w:val="single"/>
        </w:rPr>
        <w:t>III/</w:t>
      </w:r>
      <w:proofErr w:type="gramStart"/>
      <w:r w:rsidRPr="002117C0">
        <w:rPr>
          <w:b/>
          <w:bCs/>
          <w:iCs/>
          <w:sz w:val="18"/>
          <w:szCs w:val="18"/>
          <w:u w:val="single"/>
        </w:rPr>
        <w:t>2  Eksportet</w:t>
      </w:r>
      <w:proofErr w:type="gramEnd"/>
      <w:r w:rsidRPr="002117C0">
        <w:rPr>
          <w:b/>
          <w:bCs/>
          <w:iCs/>
          <w:sz w:val="18"/>
          <w:szCs w:val="18"/>
          <w:u w:val="single"/>
        </w:rPr>
        <w:t xml:space="preserve"> e mineralit t</w:t>
      </w:r>
      <w:r>
        <w:rPr>
          <w:b/>
          <w:bCs/>
          <w:iCs/>
          <w:sz w:val="18"/>
          <w:szCs w:val="18"/>
          <w:u w:val="single"/>
        </w:rPr>
        <w:t>ë</w:t>
      </w:r>
      <w:r w:rsidRPr="002117C0">
        <w:rPr>
          <w:b/>
          <w:bCs/>
          <w:iCs/>
          <w:sz w:val="18"/>
          <w:szCs w:val="18"/>
          <w:u w:val="single"/>
        </w:rPr>
        <w:t xml:space="preserve"> blerë nga zot</w:t>
      </w:r>
      <w:r>
        <w:rPr>
          <w:b/>
          <w:bCs/>
          <w:iCs/>
          <w:sz w:val="18"/>
          <w:szCs w:val="18"/>
          <w:u w:val="single"/>
        </w:rPr>
        <w:t>ë</w:t>
      </w:r>
      <w:r w:rsidRPr="002117C0">
        <w:rPr>
          <w:b/>
          <w:bCs/>
          <w:iCs/>
          <w:sz w:val="18"/>
          <w:szCs w:val="18"/>
          <w:u w:val="single"/>
        </w:rPr>
        <w:t>ruesi i lejes</w:t>
      </w:r>
    </w:p>
    <w:p w:rsidR="00CF7B79" w:rsidRPr="002117C0" w:rsidRDefault="00CF7B79" w:rsidP="00CF7B79">
      <w:pPr>
        <w:rPr>
          <w:b/>
          <w:bCs/>
          <w:i/>
          <w:iCs/>
          <w:sz w:val="18"/>
          <w:szCs w:val="18"/>
        </w:rPr>
      </w:pPr>
    </w:p>
    <w:p w:rsidR="00CF7B79" w:rsidRPr="002117C0" w:rsidRDefault="00CF7B79" w:rsidP="00CF7B79">
      <w:pPr>
        <w:rPr>
          <w:b/>
          <w:bCs/>
          <w:i/>
          <w:iCs/>
          <w:sz w:val="18"/>
          <w:szCs w:val="18"/>
        </w:rPr>
      </w:pPr>
      <w:r w:rsidRPr="002117C0">
        <w:rPr>
          <w:b/>
          <w:bCs/>
          <w:i/>
          <w:iCs/>
          <w:sz w:val="18"/>
          <w:szCs w:val="18"/>
        </w:rPr>
        <w:t xml:space="preserve">             </w:t>
      </w:r>
      <w:r w:rsidRPr="002117C0">
        <w:rPr>
          <w:b/>
          <w:bCs/>
          <w:i/>
          <w:iCs/>
          <w:sz w:val="18"/>
          <w:szCs w:val="18"/>
        </w:rPr>
        <w:tab/>
      </w:r>
      <w:r w:rsidRPr="002117C0">
        <w:rPr>
          <w:b/>
          <w:bCs/>
          <w:i/>
          <w:iCs/>
          <w:sz w:val="18"/>
          <w:szCs w:val="18"/>
        </w:rPr>
        <w:tab/>
      </w:r>
      <w:r w:rsidRPr="002117C0">
        <w:rPr>
          <w:b/>
          <w:bCs/>
          <w:i/>
          <w:iCs/>
          <w:sz w:val="18"/>
          <w:szCs w:val="18"/>
        </w:rPr>
        <w:tab/>
        <w:t xml:space="preserve">   </w:t>
      </w:r>
      <w:r w:rsidRPr="002117C0">
        <w:rPr>
          <w:b/>
          <w:bCs/>
          <w:sz w:val="18"/>
          <w:szCs w:val="18"/>
        </w:rPr>
        <w:t xml:space="preserve">               </w:t>
      </w:r>
      <w:r w:rsidRPr="002117C0">
        <w:rPr>
          <w:b/>
          <w:bCs/>
          <w:sz w:val="18"/>
          <w:szCs w:val="18"/>
        </w:rPr>
        <w:tab/>
        <w:t xml:space="preserve">                                        </w:t>
      </w:r>
      <w:r w:rsidRPr="002117C0">
        <w:rPr>
          <w:b/>
          <w:bCs/>
          <w:i/>
          <w:sz w:val="18"/>
          <w:szCs w:val="18"/>
        </w:rPr>
        <w:t>Vlera e taksueshme                  Vlera totale</w:t>
      </w:r>
    </w:p>
    <w:tbl>
      <w:tblPr>
        <w:tblpPr w:leftFromText="180" w:rightFromText="180" w:vertAnchor="text" w:horzAnchor="page" w:tblpX="6310"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2430"/>
      </w:tblGrid>
      <w:tr w:rsidR="00CF7B79" w:rsidRPr="002117C0" w:rsidTr="000F1A0A">
        <w:trPr>
          <w:trHeight w:val="460"/>
        </w:trPr>
        <w:tc>
          <w:tcPr>
            <w:tcW w:w="2268"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[32]</w:t>
            </w:r>
          </w:p>
          <w:p w:rsidR="00CF7B79" w:rsidRPr="002117C0" w:rsidRDefault="00CF7B79" w:rsidP="000F1A0A">
            <w:pPr>
              <w:rPr>
                <w:b/>
                <w:bCs/>
                <w:iCs/>
                <w:sz w:val="18"/>
                <w:szCs w:val="18"/>
              </w:rPr>
            </w:pPr>
          </w:p>
        </w:tc>
        <w:tc>
          <w:tcPr>
            <w:tcW w:w="243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[33]</w:t>
            </w:r>
          </w:p>
        </w:tc>
      </w:tr>
      <w:tr w:rsidR="00CF7B79" w:rsidRPr="002117C0" w:rsidTr="000F1A0A">
        <w:trPr>
          <w:trHeight w:val="413"/>
        </w:trPr>
        <w:tc>
          <w:tcPr>
            <w:tcW w:w="2268"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[34]</w:t>
            </w:r>
          </w:p>
          <w:p w:rsidR="00CF7B79" w:rsidRPr="002117C0" w:rsidRDefault="00CF7B79" w:rsidP="000F1A0A">
            <w:pPr>
              <w:rPr>
                <w:b/>
                <w:bCs/>
                <w:iCs/>
                <w:sz w:val="18"/>
                <w:szCs w:val="18"/>
              </w:rPr>
            </w:pPr>
          </w:p>
        </w:tc>
        <w:tc>
          <w:tcPr>
            <w:tcW w:w="243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[35]</w:t>
            </w:r>
          </w:p>
        </w:tc>
      </w:tr>
    </w:tbl>
    <w:p w:rsidR="00CF7B79" w:rsidRPr="002117C0" w:rsidRDefault="00CF7B79" w:rsidP="00CF7B79">
      <w:pPr>
        <w:rPr>
          <w:b/>
          <w:bCs/>
          <w:sz w:val="18"/>
          <w:szCs w:val="18"/>
        </w:rPr>
      </w:pPr>
    </w:p>
    <w:p w:rsidR="00CF7B79" w:rsidRPr="002117C0" w:rsidRDefault="00CF7B79" w:rsidP="00CF7B79">
      <w:pPr>
        <w:rPr>
          <w:b/>
          <w:bCs/>
          <w:sz w:val="18"/>
          <w:szCs w:val="18"/>
        </w:rPr>
      </w:pPr>
      <w:r w:rsidRPr="002117C0">
        <w:rPr>
          <w:b/>
          <w:bCs/>
          <w:sz w:val="18"/>
          <w:szCs w:val="18"/>
        </w:rPr>
        <w:t xml:space="preserve">[32/33]    Eksporte të mineralit </w:t>
      </w:r>
    </w:p>
    <w:p w:rsidR="00CF7B79" w:rsidRPr="002117C0" w:rsidRDefault="00CF7B79" w:rsidP="00CF7B79">
      <w:pPr>
        <w:rPr>
          <w:b/>
          <w:bCs/>
          <w:sz w:val="18"/>
          <w:szCs w:val="18"/>
        </w:rPr>
      </w:pPr>
    </w:p>
    <w:p w:rsidR="00CF7B79" w:rsidRPr="002117C0" w:rsidRDefault="00CF7B79" w:rsidP="00CF7B79">
      <w:pPr>
        <w:rPr>
          <w:b/>
          <w:bCs/>
          <w:sz w:val="18"/>
          <w:szCs w:val="18"/>
        </w:rPr>
      </w:pPr>
      <w:r w:rsidRPr="002117C0">
        <w:rPr>
          <w:b/>
          <w:bCs/>
          <w:sz w:val="18"/>
          <w:szCs w:val="18"/>
        </w:rPr>
        <w:t xml:space="preserve">[34/35]    Eksporte të nënproduktit </w:t>
      </w:r>
    </w:p>
    <w:p w:rsidR="00CF7B79" w:rsidRPr="002117C0" w:rsidRDefault="00CF7B79" w:rsidP="00CF7B79">
      <w:pPr>
        <w:rPr>
          <w:b/>
          <w:bCs/>
          <w:sz w:val="18"/>
          <w:szCs w:val="18"/>
        </w:rPr>
      </w:pPr>
    </w:p>
    <w:p w:rsidR="00CF7B79" w:rsidRPr="002117C0" w:rsidRDefault="00CF7B79" w:rsidP="00CF7B79">
      <w:pPr>
        <w:rPr>
          <w:b/>
          <w:bCs/>
          <w:i/>
          <w:iCs/>
          <w:sz w:val="18"/>
          <w:szCs w:val="18"/>
        </w:rPr>
      </w:pPr>
    </w:p>
    <w:p w:rsidR="00CF7B79" w:rsidRPr="002117C0" w:rsidRDefault="00CF7B79" w:rsidP="00CF7B79">
      <w:pPr>
        <w:jc w:val="center"/>
        <w:rPr>
          <w:b/>
          <w:bCs/>
          <w:i/>
          <w:iCs/>
          <w:sz w:val="18"/>
          <w:szCs w:val="18"/>
        </w:rPr>
      </w:pPr>
    </w:p>
    <w:p w:rsidR="00CF7B79" w:rsidRPr="002117C0" w:rsidRDefault="00CF7B79" w:rsidP="00CF7B79">
      <w:pPr>
        <w:jc w:val="center"/>
        <w:rPr>
          <w:b/>
          <w:bCs/>
          <w:i/>
          <w:iCs/>
          <w:sz w:val="18"/>
          <w:szCs w:val="18"/>
        </w:rPr>
      </w:pPr>
      <w:r w:rsidRPr="002117C0">
        <w:rPr>
          <w:b/>
          <w:bCs/>
          <w:i/>
          <w:iCs/>
          <w:sz w:val="18"/>
          <w:szCs w:val="18"/>
        </w:rPr>
        <w:t xml:space="preserve">                                                                                                Renta e paguar nga zot</w:t>
      </w:r>
      <w:r>
        <w:rPr>
          <w:b/>
          <w:bCs/>
          <w:i/>
          <w:iCs/>
          <w:sz w:val="18"/>
          <w:szCs w:val="18"/>
        </w:rPr>
        <w:t>ë</w:t>
      </w:r>
      <w:r w:rsidRPr="002117C0">
        <w:rPr>
          <w:b/>
          <w:bCs/>
          <w:i/>
          <w:iCs/>
          <w:sz w:val="18"/>
          <w:szCs w:val="18"/>
        </w:rPr>
        <w:t>ruesi i lejes    Renta e paguar në Doganë</w:t>
      </w:r>
    </w:p>
    <w:tbl>
      <w:tblPr>
        <w:tblpPr w:leftFromText="180" w:rightFromText="180" w:vertAnchor="text" w:horzAnchor="page" w:tblpX="6328"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2"/>
        <w:gridCol w:w="2340"/>
      </w:tblGrid>
      <w:tr w:rsidR="00CF7B79" w:rsidRPr="002117C0" w:rsidTr="000F1A0A">
        <w:trPr>
          <w:trHeight w:val="350"/>
        </w:trPr>
        <w:tc>
          <w:tcPr>
            <w:tcW w:w="2322" w:type="dxa"/>
            <w:tcBorders>
              <w:top w:val="single" w:sz="4" w:space="0" w:color="auto"/>
              <w:left w:val="single" w:sz="4" w:space="0" w:color="auto"/>
              <w:bottom w:val="single" w:sz="4" w:space="0" w:color="auto"/>
              <w:right w:val="single" w:sz="4" w:space="0" w:color="auto"/>
            </w:tcBorders>
            <w:shd w:val="clear" w:color="auto" w:fill="FFFFFF"/>
          </w:tcPr>
          <w:p w:rsidR="00CF7B79" w:rsidRPr="002117C0" w:rsidRDefault="00CF7B79" w:rsidP="000F1A0A">
            <w:pPr>
              <w:rPr>
                <w:b/>
                <w:bCs/>
                <w:iCs/>
                <w:sz w:val="18"/>
                <w:szCs w:val="18"/>
              </w:rPr>
            </w:pPr>
            <w:r w:rsidRPr="002117C0">
              <w:rPr>
                <w:b/>
                <w:bCs/>
                <w:iCs/>
                <w:sz w:val="18"/>
                <w:szCs w:val="18"/>
              </w:rPr>
              <w:t xml:space="preserve"> [36]</w:t>
            </w:r>
          </w:p>
        </w:tc>
        <w:tc>
          <w:tcPr>
            <w:tcW w:w="234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[37]</w:t>
            </w:r>
          </w:p>
          <w:p w:rsidR="00CF7B79" w:rsidRPr="002117C0" w:rsidRDefault="00CF7B79" w:rsidP="000F1A0A">
            <w:pPr>
              <w:rPr>
                <w:b/>
                <w:bCs/>
                <w:iCs/>
                <w:sz w:val="18"/>
                <w:szCs w:val="18"/>
              </w:rPr>
            </w:pPr>
          </w:p>
        </w:tc>
      </w:tr>
      <w:tr w:rsidR="00CF7B79" w:rsidRPr="002117C0" w:rsidTr="000F1A0A">
        <w:trPr>
          <w:trHeight w:val="350"/>
        </w:trPr>
        <w:tc>
          <w:tcPr>
            <w:tcW w:w="2322" w:type="dxa"/>
            <w:tcBorders>
              <w:top w:val="single" w:sz="4" w:space="0" w:color="auto"/>
              <w:left w:val="single" w:sz="4" w:space="0" w:color="auto"/>
              <w:bottom w:val="single" w:sz="4" w:space="0" w:color="auto"/>
              <w:right w:val="single" w:sz="4" w:space="0" w:color="auto"/>
            </w:tcBorders>
            <w:shd w:val="clear" w:color="auto" w:fill="FFFFFF"/>
          </w:tcPr>
          <w:p w:rsidR="00CF7B79" w:rsidRPr="002117C0" w:rsidRDefault="00CF7B79" w:rsidP="000F1A0A">
            <w:pPr>
              <w:rPr>
                <w:b/>
                <w:bCs/>
                <w:iCs/>
                <w:sz w:val="18"/>
                <w:szCs w:val="18"/>
              </w:rPr>
            </w:pPr>
            <w:r w:rsidRPr="002117C0">
              <w:rPr>
                <w:b/>
                <w:bCs/>
                <w:iCs/>
                <w:sz w:val="18"/>
                <w:szCs w:val="18"/>
              </w:rPr>
              <w:t>[38]</w:t>
            </w:r>
          </w:p>
          <w:p w:rsidR="00CF7B79" w:rsidRPr="002117C0" w:rsidRDefault="00CF7B79" w:rsidP="000F1A0A">
            <w:pPr>
              <w:rPr>
                <w:b/>
                <w:bCs/>
                <w:iCs/>
                <w:sz w:val="18"/>
                <w:szCs w:val="18"/>
              </w:rPr>
            </w:pPr>
          </w:p>
        </w:tc>
        <w:tc>
          <w:tcPr>
            <w:tcW w:w="234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[39]</w:t>
            </w:r>
          </w:p>
        </w:tc>
      </w:tr>
      <w:tr w:rsidR="00CF7B79" w:rsidRPr="002117C0" w:rsidTr="000F1A0A">
        <w:trPr>
          <w:trHeight w:val="413"/>
        </w:trPr>
        <w:tc>
          <w:tcPr>
            <w:tcW w:w="2322" w:type="dxa"/>
            <w:tcBorders>
              <w:top w:val="single" w:sz="4" w:space="0" w:color="auto"/>
              <w:left w:val="single" w:sz="4" w:space="0" w:color="auto"/>
              <w:bottom w:val="single" w:sz="4" w:space="0" w:color="auto"/>
              <w:right w:val="single" w:sz="4" w:space="0" w:color="auto"/>
            </w:tcBorders>
            <w:shd w:val="clear" w:color="auto" w:fill="FFFFFF"/>
          </w:tcPr>
          <w:p w:rsidR="00CF7B79" w:rsidRPr="002117C0" w:rsidRDefault="00CF7B79" w:rsidP="000F1A0A">
            <w:pPr>
              <w:rPr>
                <w:b/>
                <w:bCs/>
                <w:iCs/>
                <w:sz w:val="18"/>
                <w:szCs w:val="18"/>
              </w:rPr>
            </w:pPr>
            <w:r w:rsidRPr="002117C0">
              <w:rPr>
                <w:b/>
                <w:bCs/>
                <w:iCs/>
                <w:sz w:val="18"/>
                <w:szCs w:val="18"/>
              </w:rPr>
              <w:t>[40]</w:t>
            </w:r>
          </w:p>
        </w:tc>
        <w:tc>
          <w:tcPr>
            <w:tcW w:w="2340"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b/>
                <w:bCs/>
                <w:iCs/>
                <w:sz w:val="18"/>
                <w:szCs w:val="18"/>
              </w:rPr>
            </w:pPr>
            <w:r w:rsidRPr="002117C0">
              <w:rPr>
                <w:b/>
                <w:bCs/>
                <w:iCs/>
                <w:sz w:val="18"/>
                <w:szCs w:val="18"/>
              </w:rPr>
              <w:t>[41]</w:t>
            </w:r>
          </w:p>
        </w:tc>
      </w:tr>
      <w:tr w:rsidR="00CF7B79" w:rsidRPr="002117C0" w:rsidTr="000F1A0A">
        <w:trPr>
          <w:trHeight w:val="485"/>
        </w:trPr>
        <w:tc>
          <w:tcPr>
            <w:tcW w:w="2322" w:type="dxa"/>
            <w:tcBorders>
              <w:top w:val="single" w:sz="4" w:space="0" w:color="auto"/>
              <w:left w:val="nil"/>
              <w:bottom w:val="nil"/>
              <w:right w:val="nil"/>
            </w:tcBorders>
            <w:shd w:val="clear" w:color="auto" w:fill="FFFFFF"/>
          </w:tcPr>
          <w:p w:rsidR="00CF7B79" w:rsidRPr="002117C0" w:rsidRDefault="00CF7B79" w:rsidP="000F1A0A">
            <w:pPr>
              <w:rPr>
                <w:b/>
                <w:bCs/>
                <w:iCs/>
                <w:sz w:val="18"/>
                <w:szCs w:val="18"/>
              </w:rPr>
            </w:pPr>
          </w:p>
        </w:tc>
        <w:tc>
          <w:tcPr>
            <w:tcW w:w="2340" w:type="dxa"/>
            <w:tcBorders>
              <w:top w:val="single" w:sz="4" w:space="0" w:color="auto"/>
              <w:left w:val="nil"/>
              <w:bottom w:val="nil"/>
              <w:right w:val="nil"/>
            </w:tcBorders>
          </w:tcPr>
          <w:p w:rsidR="00CF7B79" w:rsidRPr="002117C0" w:rsidRDefault="00CF7B79" w:rsidP="000F1A0A">
            <w:pPr>
              <w:rPr>
                <w:b/>
                <w:bCs/>
                <w:iCs/>
                <w:sz w:val="18"/>
                <w:szCs w:val="18"/>
              </w:rPr>
            </w:pPr>
          </w:p>
        </w:tc>
      </w:tr>
    </w:tbl>
    <w:p w:rsidR="00CF7B79" w:rsidRPr="002117C0" w:rsidRDefault="00CF7B79" w:rsidP="00CF7B79">
      <w:pPr>
        <w:rPr>
          <w:b/>
          <w:bCs/>
          <w:iCs/>
          <w:sz w:val="18"/>
          <w:szCs w:val="18"/>
        </w:rPr>
      </w:pPr>
    </w:p>
    <w:p w:rsidR="00CF7B79" w:rsidRPr="002117C0" w:rsidRDefault="00CF7B79" w:rsidP="00CF7B79">
      <w:pPr>
        <w:rPr>
          <w:b/>
          <w:bCs/>
          <w:sz w:val="18"/>
          <w:szCs w:val="18"/>
        </w:rPr>
      </w:pPr>
      <w:r w:rsidRPr="002117C0">
        <w:rPr>
          <w:b/>
          <w:bCs/>
          <w:sz w:val="18"/>
          <w:szCs w:val="18"/>
        </w:rPr>
        <w:t>[36/37]     Renta për mineralin me destinacion eksportin</w:t>
      </w:r>
    </w:p>
    <w:p w:rsidR="00CF7B79" w:rsidRPr="002117C0" w:rsidRDefault="00CF7B79" w:rsidP="00CF7B79">
      <w:pPr>
        <w:rPr>
          <w:b/>
          <w:bCs/>
          <w:sz w:val="18"/>
          <w:szCs w:val="18"/>
        </w:rPr>
      </w:pPr>
    </w:p>
    <w:p w:rsidR="00CF7B79" w:rsidRPr="002117C0" w:rsidRDefault="00CF7B79" w:rsidP="00CF7B79">
      <w:pPr>
        <w:rPr>
          <w:b/>
          <w:bCs/>
          <w:sz w:val="18"/>
          <w:szCs w:val="18"/>
        </w:rPr>
      </w:pPr>
      <w:r w:rsidRPr="002117C0">
        <w:rPr>
          <w:b/>
          <w:bCs/>
          <w:sz w:val="18"/>
          <w:szCs w:val="18"/>
        </w:rPr>
        <w:t>[38/39]</w:t>
      </w:r>
      <w:r w:rsidRPr="002117C0">
        <w:rPr>
          <w:b/>
          <w:bCs/>
          <w:iCs/>
          <w:sz w:val="18"/>
          <w:szCs w:val="18"/>
        </w:rPr>
        <w:t xml:space="preserve">     </w:t>
      </w:r>
      <w:r w:rsidRPr="002117C0">
        <w:rPr>
          <w:b/>
          <w:bCs/>
          <w:sz w:val="18"/>
          <w:szCs w:val="18"/>
        </w:rPr>
        <w:t>Renta për nënproduktin me destinacion eksportin</w:t>
      </w:r>
    </w:p>
    <w:p w:rsidR="00CF7B79" w:rsidRPr="002117C0" w:rsidRDefault="00CF7B79" w:rsidP="00CF7B79">
      <w:pPr>
        <w:rPr>
          <w:b/>
          <w:bCs/>
          <w:sz w:val="18"/>
          <w:szCs w:val="18"/>
        </w:rPr>
      </w:pPr>
    </w:p>
    <w:p w:rsidR="00CF7B79" w:rsidRPr="002117C0" w:rsidRDefault="00CF7B79" w:rsidP="00CF7B79">
      <w:pPr>
        <w:rPr>
          <w:b/>
          <w:bCs/>
          <w:sz w:val="18"/>
          <w:szCs w:val="18"/>
        </w:rPr>
      </w:pPr>
      <w:r w:rsidRPr="002117C0">
        <w:rPr>
          <w:b/>
          <w:bCs/>
          <w:sz w:val="18"/>
          <w:szCs w:val="18"/>
        </w:rPr>
        <w:t>[40/41]    Totali i rentës</w:t>
      </w:r>
    </w:p>
    <w:p w:rsidR="00CF7B79" w:rsidRPr="002117C0" w:rsidRDefault="00CF7B79" w:rsidP="00CF7B79">
      <w:pPr>
        <w:rPr>
          <w:b/>
          <w:bCs/>
          <w:i/>
          <w:iCs/>
          <w:sz w:val="18"/>
          <w:szCs w:val="18"/>
        </w:rPr>
      </w:pPr>
    </w:p>
    <w:p w:rsidR="00CF7B79" w:rsidRPr="002117C0" w:rsidRDefault="00CF7B79" w:rsidP="00CF7B79">
      <w:pPr>
        <w:rPr>
          <w:b/>
          <w:bCs/>
          <w:sz w:val="18"/>
          <w:szCs w:val="18"/>
        </w:rPr>
      </w:pPr>
    </w:p>
    <w:tbl>
      <w:tblPr>
        <w:tblpPr w:leftFromText="180" w:rightFromText="180" w:vertAnchor="text" w:horzAnchor="margin" w:tblpXSpec="right" w:tblpY="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tblGrid>
      <w:tr w:rsidR="00CF7B79" w:rsidRPr="002117C0" w:rsidTr="000F1A0A">
        <w:trPr>
          <w:trHeight w:val="347"/>
        </w:trPr>
        <w:tc>
          <w:tcPr>
            <w:tcW w:w="2340" w:type="dxa"/>
            <w:tcBorders>
              <w:top w:val="single" w:sz="4" w:space="0" w:color="auto"/>
              <w:left w:val="single" w:sz="4" w:space="0" w:color="auto"/>
            </w:tcBorders>
          </w:tcPr>
          <w:p w:rsidR="00CF7B79" w:rsidRPr="002117C0" w:rsidRDefault="00CF7B79" w:rsidP="000F1A0A">
            <w:pPr>
              <w:rPr>
                <w:b/>
                <w:bCs/>
                <w:iCs/>
                <w:sz w:val="18"/>
                <w:szCs w:val="18"/>
              </w:rPr>
            </w:pPr>
            <w:r w:rsidRPr="002117C0">
              <w:rPr>
                <w:b/>
                <w:bCs/>
                <w:iCs/>
                <w:sz w:val="18"/>
                <w:szCs w:val="18"/>
              </w:rPr>
              <w:t>[42]</w:t>
            </w:r>
          </w:p>
          <w:p w:rsidR="00CF7B79" w:rsidRPr="002117C0" w:rsidRDefault="00CF7B79" w:rsidP="000F1A0A">
            <w:pPr>
              <w:rPr>
                <w:b/>
                <w:bCs/>
                <w:iCs/>
                <w:sz w:val="18"/>
                <w:szCs w:val="18"/>
              </w:rPr>
            </w:pPr>
          </w:p>
        </w:tc>
      </w:tr>
      <w:tr w:rsidR="00CF7B79" w:rsidRPr="002117C0" w:rsidTr="000F1A0A">
        <w:trPr>
          <w:trHeight w:val="347"/>
        </w:trPr>
        <w:tc>
          <w:tcPr>
            <w:tcW w:w="2340" w:type="dxa"/>
            <w:tcBorders>
              <w:left w:val="single" w:sz="4" w:space="0" w:color="auto"/>
            </w:tcBorders>
          </w:tcPr>
          <w:p w:rsidR="00CF7B79" w:rsidRPr="002117C0" w:rsidRDefault="00CF7B79" w:rsidP="000F1A0A">
            <w:pPr>
              <w:rPr>
                <w:b/>
                <w:bCs/>
                <w:iCs/>
                <w:sz w:val="18"/>
                <w:szCs w:val="18"/>
              </w:rPr>
            </w:pPr>
            <w:r w:rsidRPr="002117C0">
              <w:rPr>
                <w:b/>
                <w:bCs/>
                <w:iCs/>
                <w:sz w:val="18"/>
                <w:szCs w:val="18"/>
              </w:rPr>
              <w:t>[43]</w:t>
            </w:r>
          </w:p>
          <w:p w:rsidR="00CF7B79" w:rsidRPr="002117C0" w:rsidRDefault="00CF7B79" w:rsidP="000F1A0A">
            <w:pPr>
              <w:rPr>
                <w:b/>
                <w:bCs/>
                <w:iCs/>
                <w:sz w:val="18"/>
                <w:szCs w:val="18"/>
              </w:rPr>
            </w:pPr>
          </w:p>
        </w:tc>
      </w:tr>
      <w:tr w:rsidR="00CF7B79" w:rsidRPr="002117C0" w:rsidTr="000F1A0A">
        <w:trPr>
          <w:trHeight w:val="365"/>
        </w:trPr>
        <w:tc>
          <w:tcPr>
            <w:tcW w:w="2340" w:type="dxa"/>
            <w:tcBorders>
              <w:left w:val="single" w:sz="4" w:space="0" w:color="auto"/>
            </w:tcBorders>
          </w:tcPr>
          <w:p w:rsidR="00CF7B79" w:rsidRPr="002117C0" w:rsidRDefault="00CF7B79" w:rsidP="000F1A0A">
            <w:pPr>
              <w:rPr>
                <w:b/>
                <w:bCs/>
                <w:iCs/>
                <w:sz w:val="18"/>
                <w:szCs w:val="18"/>
              </w:rPr>
            </w:pPr>
            <w:r w:rsidRPr="002117C0">
              <w:rPr>
                <w:b/>
                <w:bCs/>
                <w:iCs/>
                <w:sz w:val="18"/>
                <w:szCs w:val="18"/>
              </w:rPr>
              <w:t>[44]</w:t>
            </w:r>
          </w:p>
          <w:p w:rsidR="00CF7B79" w:rsidRPr="002117C0" w:rsidRDefault="00CF7B79" w:rsidP="000F1A0A">
            <w:pPr>
              <w:rPr>
                <w:b/>
                <w:bCs/>
                <w:iCs/>
                <w:sz w:val="18"/>
                <w:szCs w:val="18"/>
              </w:rPr>
            </w:pPr>
          </w:p>
        </w:tc>
      </w:tr>
    </w:tbl>
    <w:p w:rsidR="00CF7B79" w:rsidRPr="002117C0" w:rsidRDefault="00CF7B79" w:rsidP="00CF7B79">
      <w:pPr>
        <w:rPr>
          <w:b/>
          <w:bCs/>
          <w:sz w:val="18"/>
          <w:szCs w:val="18"/>
        </w:rPr>
      </w:pPr>
    </w:p>
    <w:p w:rsidR="00CF7B79" w:rsidRPr="002117C0" w:rsidRDefault="00CF7B79" w:rsidP="00CF7B79">
      <w:pPr>
        <w:rPr>
          <w:b/>
          <w:bCs/>
          <w:sz w:val="18"/>
          <w:szCs w:val="18"/>
        </w:rPr>
      </w:pPr>
      <w:r w:rsidRPr="002117C0">
        <w:rPr>
          <w:b/>
          <w:bCs/>
          <w:sz w:val="18"/>
          <w:szCs w:val="18"/>
        </w:rPr>
        <w:t xml:space="preserve">[42]          Taksa e rentës minerare për t’u paguar [14] + [31]                         </w:t>
      </w:r>
    </w:p>
    <w:p w:rsidR="00CF7B79" w:rsidRPr="002117C0" w:rsidRDefault="00CF7B79" w:rsidP="00CF7B79">
      <w:pPr>
        <w:rPr>
          <w:b/>
          <w:bCs/>
          <w:sz w:val="18"/>
          <w:szCs w:val="18"/>
        </w:rPr>
      </w:pPr>
    </w:p>
    <w:p w:rsidR="00CF7B79" w:rsidRPr="002117C0" w:rsidRDefault="00CF7B79" w:rsidP="00CF7B79">
      <w:pPr>
        <w:rPr>
          <w:b/>
          <w:bCs/>
          <w:sz w:val="18"/>
          <w:szCs w:val="18"/>
        </w:rPr>
      </w:pPr>
      <w:r w:rsidRPr="002117C0">
        <w:rPr>
          <w:b/>
          <w:bCs/>
          <w:sz w:val="18"/>
          <w:szCs w:val="18"/>
        </w:rPr>
        <w:t xml:space="preserve"> [43]         Dënime/</w:t>
      </w:r>
      <w:r w:rsidRPr="002117C0">
        <w:rPr>
          <w:b/>
          <w:bCs/>
          <w:i/>
          <w:iCs/>
          <w:sz w:val="18"/>
          <w:szCs w:val="18"/>
        </w:rPr>
        <w:t xml:space="preserve"> </w:t>
      </w:r>
      <w:r w:rsidRPr="002117C0">
        <w:rPr>
          <w:b/>
          <w:bCs/>
          <w:sz w:val="18"/>
          <w:szCs w:val="18"/>
        </w:rPr>
        <w:t>interesa për vonesa</w:t>
      </w:r>
    </w:p>
    <w:p w:rsidR="00CF7B79" w:rsidRPr="002117C0" w:rsidRDefault="00CF7B79" w:rsidP="00CF7B79">
      <w:pPr>
        <w:rPr>
          <w:b/>
          <w:bCs/>
          <w:sz w:val="18"/>
          <w:szCs w:val="18"/>
        </w:rPr>
      </w:pPr>
    </w:p>
    <w:p w:rsidR="00CF7B79" w:rsidRPr="002117C0" w:rsidRDefault="00CF7B79" w:rsidP="00CF7B79">
      <w:pPr>
        <w:rPr>
          <w:b/>
          <w:bCs/>
          <w:sz w:val="18"/>
          <w:szCs w:val="18"/>
        </w:rPr>
      </w:pPr>
      <w:r w:rsidRPr="002117C0">
        <w:rPr>
          <w:b/>
          <w:bCs/>
          <w:sz w:val="18"/>
          <w:szCs w:val="18"/>
        </w:rPr>
        <w:t>[44]          TOTALI PËR T’U PAGUAR</w:t>
      </w:r>
    </w:p>
    <w:p w:rsidR="00CF7B79" w:rsidRPr="002117C0" w:rsidRDefault="00CF7B79" w:rsidP="00CF7B79">
      <w:pPr>
        <w:rPr>
          <w:b/>
          <w:bCs/>
          <w:sz w:val="18"/>
          <w:szCs w:val="18"/>
        </w:rPr>
      </w:pPr>
    </w:p>
    <w:p w:rsidR="00CF7B79" w:rsidRPr="002117C0" w:rsidRDefault="00CF7B79" w:rsidP="00CF7B79">
      <w:pPr>
        <w:rPr>
          <w:sz w:val="18"/>
          <w:szCs w:val="18"/>
        </w:rPr>
      </w:pPr>
      <w:r w:rsidRPr="002117C0">
        <w:rPr>
          <w:b/>
          <w:bCs/>
          <w:i/>
          <w:iCs/>
          <w:sz w:val="18"/>
          <w:szCs w:val="18"/>
        </w:rPr>
        <w:t>_____________________________________</w:t>
      </w:r>
    </w:p>
    <w:p w:rsidR="00CF7B79" w:rsidRPr="002117C0" w:rsidRDefault="00CF7B79" w:rsidP="00CF7B79">
      <w:pPr>
        <w:pBdr>
          <w:bottom w:val="single" w:sz="12" w:space="1" w:color="auto"/>
        </w:pBdr>
        <w:rPr>
          <w:sz w:val="18"/>
          <w:szCs w:val="18"/>
        </w:rPr>
      </w:pPr>
      <w:r w:rsidRPr="002117C0">
        <w:rPr>
          <w:b/>
          <w:bCs/>
          <w:sz w:val="18"/>
          <w:szCs w:val="18"/>
        </w:rPr>
        <w:t xml:space="preserve">Data dhe Firma e Personit të </w:t>
      </w:r>
      <w:proofErr w:type="gramStart"/>
      <w:r w:rsidRPr="002117C0">
        <w:rPr>
          <w:b/>
          <w:bCs/>
          <w:sz w:val="18"/>
          <w:szCs w:val="18"/>
        </w:rPr>
        <w:t xml:space="preserve">Tatueshëm  </w:t>
      </w:r>
      <w:r w:rsidRPr="002117C0">
        <w:rPr>
          <w:sz w:val="18"/>
          <w:szCs w:val="18"/>
        </w:rPr>
        <w:t>-</w:t>
      </w:r>
      <w:proofErr w:type="gramEnd"/>
      <w:r w:rsidRPr="002117C0">
        <w:rPr>
          <w:sz w:val="18"/>
          <w:szCs w:val="18"/>
        </w:rPr>
        <w:t xml:space="preserve"> Deklaroj nën përgjegjësinë time që informacioni i mësipërm është i plotë dhe i saktë.</w:t>
      </w:r>
    </w:p>
    <w:p w:rsidR="00CF7B79" w:rsidRPr="002117C0" w:rsidRDefault="00CF7B79" w:rsidP="00CF7B79">
      <w:pPr>
        <w:rPr>
          <w:b/>
          <w:bCs/>
          <w:sz w:val="18"/>
          <w:szCs w:val="18"/>
        </w:rPr>
      </w:pPr>
      <w:r w:rsidRPr="002117C0">
        <w:rPr>
          <w:b/>
          <w:bCs/>
          <w:sz w:val="18"/>
          <w:szCs w:val="18"/>
        </w:rPr>
        <w:t xml:space="preserve">                                                                        </w:t>
      </w:r>
    </w:p>
    <w:p w:rsidR="00CF7B79" w:rsidRPr="002117C0" w:rsidRDefault="00CF7B79" w:rsidP="00CF7B79">
      <w:pPr>
        <w:rPr>
          <w:b/>
          <w:bCs/>
        </w:rPr>
      </w:pPr>
      <w:r w:rsidRPr="002117C0">
        <w:rPr>
          <w:b/>
          <w:bCs/>
          <w:sz w:val="18"/>
          <w:szCs w:val="18"/>
        </w:rPr>
        <w:t xml:space="preserve">                                                                                                  </w:t>
      </w:r>
      <w:r w:rsidRPr="002117C0">
        <w:rPr>
          <w:b/>
          <w:bCs/>
        </w:rPr>
        <w:t>PAGESA</w:t>
      </w:r>
    </w:p>
    <w:p w:rsidR="00CF7B79" w:rsidRPr="002117C0" w:rsidRDefault="00CF7B79" w:rsidP="00CF7B79">
      <w:pPr>
        <w:rPr>
          <w:sz w:val="18"/>
          <w:szCs w:val="18"/>
        </w:rPr>
      </w:pPr>
      <w:r w:rsidRPr="002117C0">
        <w:rPr>
          <w:b/>
          <w:bCs/>
          <w:sz w:val="18"/>
          <w:szCs w:val="18"/>
        </w:rPr>
        <w:t>Vetëm për përdorim zyrtar</w:t>
      </w:r>
      <w:r w:rsidRPr="002117C0">
        <w:rPr>
          <w:b/>
          <w:bCs/>
          <w:sz w:val="18"/>
          <w:szCs w:val="18"/>
        </w:rPr>
        <w:tab/>
      </w:r>
      <w:r w:rsidRPr="002117C0">
        <w:rPr>
          <w:b/>
          <w:bCs/>
          <w:sz w:val="18"/>
          <w:szCs w:val="18"/>
        </w:rPr>
        <w:tab/>
      </w:r>
      <w:r w:rsidRPr="002117C0">
        <w:rPr>
          <w:b/>
          <w:bCs/>
          <w:sz w:val="18"/>
          <w:szCs w:val="18"/>
        </w:rPr>
        <w:tab/>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tblBorders>
        <w:tblLook w:val="0000"/>
      </w:tblPr>
      <w:tblGrid>
        <w:gridCol w:w="324"/>
      </w:tblGrid>
      <w:tr w:rsidR="00CF7B79" w:rsidRPr="002117C0" w:rsidTr="000F1A0A">
        <w:trPr>
          <w:trHeight w:val="180"/>
        </w:trPr>
        <w:tc>
          <w:tcPr>
            <w:tcW w:w="324"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sz w:val="18"/>
                <w:szCs w:val="18"/>
              </w:rPr>
            </w:pPr>
          </w:p>
        </w:tc>
      </w:tr>
    </w:tbl>
    <w:p w:rsidR="00CF7B79" w:rsidRPr="002117C0" w:rsidRDefault="00CF7B79" w:rsidP="00CF7B79">
      <w:pPr>
        <w:rPr>
          <w:sz w:val="18"/>
          <w:szCs w:val="18"/>
        </w:rPr>
      </w:pPr>
      <w:r w:rsidRPr="002117C0">
        <w:rPr>
          <w:sz w:val="18"/>
          <w:szCs w:val="18"/>
        </w:rPr>
        <w:t xml:space="preserve"> Lekë</w:t>
      </w:r>
    </w:p>
    <w:tbl>
      <w:tblPr>
        <w:tblpPr w:leftFromText="180" w:rightFromText="180" w:vertAnchor="text" w:horzAnchor="margin" w:tblpY="180"/>
        <w:tblW w:w="0" w:type="auto"/>
        <w:tblBorders>
          <w:top w:val="single" w:sz="4" w:space="0" w:color="auto"/>
          <w:left w:val="single" w:sz="4" w:space="0" w:color="auto"/>
          <w:bottom w:val="single" w:sz="4" w:space="0" w:color="auto"/>
          <w:right w:val="single" w:sz="4" w:space="0" w:color="auto"/>
        </w:tblBorders>
        <w:tblLook w:val="0000"/>
      </w:tblPr>
      <w:tblGrid>
        <w:gridCol w:w="324"/>
      </w:tblGrid>
      <w:tr w:rsidR="00CF7B79" w:rsidRPr="002117C0" w:rsidTr="000F1A0A">
        <w:trPr>
          <w:trHeight w:val="180"/>
        </w:trPr>
        <w:tc>
          <w:tcPr>
            <w:tcW w:w="324"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sz w:val="18"/>
                <w:szCs w:val="18"/>
              </w:rPr>
            </w:pPr>
          </w:p>
        </w:tc>
      </w:tr>
    </w:tbl>
    <w:p w:rsidR="00CF7B79" w:rsidRPr="002117C0" w:rsidRDefault="00CF7B79" w:rsidP="00CF7B79">
      <w:pPr>
        <w:rPr>
          <w:sz w:val="18"/>
          <w:szCs w:val="18"/>
        </w:rPr>
      </w:pPr>
    </w:p>
    <w:tbl>
      <w:tblPr>
        <w:tblpPr w:leftFromText="180" w:rightFromText="180" w:vertAnchor="text" w:horzAnchor="page" w:tblpX="8326" w:tblpY="151"/>
        <w:tblW w:w="0" w:type="auto"/>
        <w:tblBorders>
          <w:top w:val="single" w:sz="4" w:space="0" w:color="auto"/>
          <w:left w:val="single" w:sz="4" w:space="0" w:color="auto"/>
          <w:bottom w:val="single" w:sz="4" w:space="0" w:color="auto"/>
          <w:right w:val="single" w:sz="4" w:space="0" w:color="auto"/>
        </w:tblBorders>
        <w:tblLook w:val="0000"/>
      </w:tblPr>
      <w:tblGrid>
        <w:gridCol w:w="2664"/>
      </w:tblGrid>
      <w:tr w:rsidR="00CF7B79" w:rsidRPr="002117C0" w:rsidTr="000F1A0A">
        <w:trPr>
          <w:trHeight w:val="347"/>
        </w:trPr>
        <w:tc>
          <w:tcPr>
            <w:tcW w:w="2664"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sz w:val="18"/>
                <w:szCs w:val="18"/>
              </w:rPr>
            </w:pPr>
          </w:p>
        </w:tc>
      </w:tr>
    </w:tbl>
    <w:p w:rsidR="00CF7B79" w:rsidRPr="002117C0" w:rsidRDefault="00CF7B79" w:rsidP="00CF7B79">
      <w:pPr>
        <w:rPr>
          <w:sz w:val="18"/>
          <w:szCs w:val="18"/>
        </w:rPr>
      </w:pPr>
      <w:r w:rsidRPr="002117C0">
        <w:rPr>
          <w:sz w:val="18"/>
          <w:szCs w:val="18"/>
        </w:rPr>
        <w:t xml:space="preserve"> Xhirim</w:t>
      </w: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tblBorders>
        <w:tblLook w:val="0000"/>
      </w:tblPr>
      <w:tblGrid>
        <w:gridCol w:w="324"/>
      </w:tblGrid>
      <w:tr w:rsidR="00CF7B79" w:rsidRPr="002117C0" w:rsidTr="000F1A0A">
        <w:trPr>
          <w:trHeight w:val="180"/>
        </w:trPr>
        <w:tc>
          <w:tcPr>
            <w:tcW w:w="324"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sz w:val="18"/>
                <w:szCs w:val="18"/>
              </w:rPr>
            </w:pPr>
          </w:p>
        </w:tc>
      </w:tr>
    </w:tbl>
    <w:p w:rsidR="00CF7B79" w:rsidRPr="002117C0" w:rsidRDefault="00CF7B79" w:rsidP="00CF7B79">
      <w:pPr>
        <w:rPr>
          <w:b/>
          <w:bCs/>
          <w:sz w:val="18"/>
          <w:szCs w:val="18"/>
        </w:rPr>
      </w:pPr>
      <w:r w:rsidRPr="002117C0">
        <w:rPr>
          <w:sz w:val="18"/>
          <w:szCs w:val="18"/>
        </w:rPr>
        <w:tab/>
      </w:r>
      <w:r w:rsidRPr="002117C0">
        <w:rPr>
          <w:sz w:val="18"/>
          <w:szCs w:val="18"/>
        </w:rPr>
        <w:tab/>
      </w:r>
      <w:r w:rsidRPr="002117C0">
        <w:rPr>
          <w:sz w:val="18"/>
          <w:szCs w:val="18"/>
        </w:rPr>
        <w:tab/>
      </w:r>
      <w:r w:rsidRPr="002117C0">
        <w:rPr>
          <w:sz w:val="18"/>
          <w:szCs w:val="18"/>
        </w:rPr>
        <w:tab/>
        <w:t xml:space="preserve">                         </w:t>
      </w:r>
      <w:r w:rsidRPr="002117C0">
        <w:rPr>
          <w:b/>
          <w:bCs/>
          <w:sz w:val="18"/>
          <w:szCs w:val="18"/>
        </w:rPr>
        <w:t>SHUMA E PAGUAR:</w:t>
      </w:r>
    </w:p>
    <w:p w:rsidR="00CF7B79" w:rsidRPr="002117C0" w:rsidRDefault="00CF7B79" w:rsidP="00CF7B79">
      <w:pPr>
        <w:rPr>
          <w:sz w:val="18"/>
          <w:szCs w:val="18"/>
        </w:rPr>
      </w:pPr>
      <w:r w:rsidRPr="002117C0">
        <w:rPr>
          <w:sz w:val="18"/>
          <w:szCs w:val="18"/>
        </w:rPr>
        <w:t xml:space="preserve"> Cek</w:t>
      </w:r>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tblBorders>
        <w:tblLook w:val="0000"/>
      </w:tblPr>
      <w:tblGrid>
        <w:gridCol w:w="324"/>
      </w:tblGrid>
      <w:tr w:rsidR="00CF7B79" w:rsidRPr="002117C0" w:rsidTr="000F1A0A">
        <w:trPr>
          <w:trHeight w:val="180"/>
        </w:trPr>
        <w:tc>
          <w:tcPr>
            <w:tcW w:w="324" w:type="dxa"/>
            <w:tcBorders>
              <w:top w:val="single" w:sz="4" w:space="0" w:color="auto"/>
              <w:left w:val="single" w:sz="4" w:space="0" w:color="auto"/>
              <w:bottom w:val="single" w:sz="4" w:space="0" w:color="auto"/>
              <w:right w:val="single" w:sz="4" w:space="0" w:color="auto"/>
            </w:tcBorders>
          </w:tcPr>
          <w:p w:rsidR="00CF7B79" w:rsidRPr="002117C0" w:rsidRDefault="00CF7B79" w:rsidP="000F1A0A">
            <w:pPr>
              <w:rPr>
                <w:sz w:val="18"/>
                <w:szCs w:val="18"/>
              </w:rPr>
            </w:pPr>
          </w:p>
        </w:tc>
      </w:tr>
    </w:tbl>
    <w:p w:rsidR="00CF7B79" w:rsidRPr="002117C0" w:rsidRDefault="00CF7B79" w:rsidP="00CF7B79">
      <w:pPr>
        <w:rPr>
          <w:sz w:val="18"/>
          <w:szCs w:val="18"/>
        </w:rPr>
      </w:pPr>
    </w:p>
    <w:p w:rsidR="00CF7B79" w:rsidRPr="002117C0" w:rsidRDefault="00CF7B79" w:rsidP="00CF7B79">
      <w:pPr>
        <w:rPr>
          <w:sz w:val="18"/>
          <w:szCs w:val="18"/>
        </w:rPr>
      </w:pPr>
      <w:r w:rsidRPr="002117C0">
        <w:rPr>
          <w:sz w:val="18"/>
          <w:szCs w:val="18"/>
        </w:rPr>
        <w:t xml:space="preserve"> Të tjera</w:t>
      </w:r>
      <w:proofErr w:type="gramStart"/>
      <w:r w:rsidRPr="002117C0">
        <w:rPr>
          <w:sz w:val="18"/>
          <w:szCs w:val="18"/>
        </w:rPr>
        <w:t>:...........................................</w:t>
      </w:r>
      <w:proofErr w:type="gramEnd"/>
      <w:r w:rsidRPr="002117C0">
        <w:rPr>
          <w:sz w:val="18"/>
          <w:szCs w:val="18"/>
        </w:rPr>
        <w:t xml:space="preserve">                  </w:t>
      </w:r>
    </w:p>
    <w:p w:rsidR="00CF7B79" w:rsidRPr="002117C0" w:rsidRDefault="00CF7B79" w:rsidP="00CF7B79">
      <w:pPr>
        <w:rPr>
          <w:sz w:val="16"/>
          <w:szCs w:val="16"/>
        </w:rPr>
      </w:pPr>
      <w:r w:rsidRPr="002117C0">
        <w:rPr>
          <w:sz w:val="18"/>
          <w:szCs w:val="18"/>
        </w:rPr>
        <w:t xml:space="preserve">                                                                                     </w:t>
      </w:r>
      <w:r w:rsidRPr="002117C0">
        <w:rPr>
          <w:sz w:val="16"/>
          <w:szCs w:val="16"/>
        </w:rPr>
        <w:t xml:space="preserve">Data, Vula e Bankës dhe nënshkrimi i nëpunësit </w:t>
      </w:r>
      <w:proofErr w:type="gramStart"/>
      <w:r w:rsidRPr="002117C0">
        <w:rPr>
          <w:sz w:val="16"/>
          <w:szCs w:val="16"/>
        </w:rPr>
        <w:t>te</w:t>
      </w:r>
      <w:proofErr w:type="gramEnd"/>
      <w:r w:rsidRPr="002117C0">
        <w:rPr>
          <w:sz w:val="16"/>
          <w:szCs w:val="16"/>
        </w:rPr>
        <w:t xml:space="preserve"> bankës. Origjinali- </w:t>
      </w:r>
      <w:proofErr w:type="gramStart"/>
      <w:r w:rsidRPr="002117C0">
        <w:rPr>
          <w:sz w:val="16"/>
          <w:szCs w:val="16"/>
        </w:rPr>
        <w:t>Zyra  e</w:t>
      </w:r>
      <w:proofErr w:type="gramEnd"/>
      <w:r w:rsidRPr="002117C0">
        <w:rPr>
          <w:sz w:val="16"/>
          <w:szCs w:val="16"/>
        </w:rPr>
        <w:t xml:space="preserve"> Tatimeve  </w:t>
      </w:r>
    </w:p>
    <w:p w:rsidR="00CF7B79" w:rsidRPr="002117C0" w:rsidRDefault="00CF7B79" w:rsidP="00CF7B79">
      <w:pPr>
        <w:jc w:val="center"/>
        <w:rPr>
          <w:sz w:val="16"/>
          <w:szCs w:val="16"/>
        </w:rPr>
      </w:pPr>
      <w:r w:rsidRPr="002117C0">
        <w:rPr>
          <w:sz w:val="16"/>
          <w:szCs w:val="16"/>
        </w:rPr>
        <w:t xml:space="preserve"> Kopja-Personi i Tatueshëm</w:t>
      </w:r>
    </w:p>
    <w:p w:rsidR="00CF7B79" w:rsidRPr="002117C0" w:rsidRDefault="00CF7B79" w:rsidP="00CF7B79">
      <w:pPr>
        <w:jc w:val="right"/>
        <w:rPr>
          <w:sz w:val="16"/>
          <w:szCs w:val="10"/>
        </w:rPr>
      </w:pPr>
    </w:p>
    <w:p w:rsidR="00CF7B79" w:rsidRDefault="00CF7B79" w:rsidP="00CF7B79">
      <w:pPr>
        <w:jc w:val="center"/>
        <w:rPr>
          <w:b/>
          <w:bCs/>
          <w:sz w:val="20"/>
        </w:rPr>
      </w:pPr>
    </w:p>
    <w:p w:rsidR="00CF7B79" w:rsidRPr="002117C0" w:rsidRDefault="00CF7B79" w:rsidP="00CF7B79">
      <w:pPr>
        <w:jc w:val="center"/>
        <w:rPr>
          <w:b/>
          <w:bCs/>
          <w:sz w:val="20"/>
        </w:rPr>
      </w:pPr>
      <w:r w:rsidRPr="002117C0">
        <w:rPr>
          <w:b/>
          <w:bCs/>
          <w:sz w:val="20"/>
        </w:rPr>
        <w:t>UDHËZUES PËR MËNYRËN E PLOTËSIMIT TË FORMULARIT TË DEKLARIMIT DHE PAGESËS SË TAKSËS SË RENTËS MINERARE</w:t>
      </w:r>
    </w:p>
    <w:p w:rsidR="00CF7B79" w:rsidRPr="002117C0" w:rsidRDefault="00CF7B79" w:rsidP="00CF7B79">
      <w:pPr>
        <w:jc w:val="both"/>
        <w:rPr>
          <w:b/>
          <w:bCs/>
          <w:sz w:val="20"/>
        </w:rPr>
      </w:pPr>
    </w:p>
    <w:p w:rsidR="00CF7B79" w:rsidRPr="002117C0" w:rsidRDefault="00CF7B79" w:rsidP="00CF7B79">
      <w:pPr>
        <w:numPr>
          <w:ilvl w:val="0"/>
          <w:numId w:val="14"/>
        </w:numPr>
        <w:jc w:val="both"/>
        <w:rPr>
          <w:sz w:val="20"/>
        </w:rPr>
      </w:pPr>
      <w:r w:rsidRPr="002117C0">
        <w:rPr>
          <w:b/>
          <w:bCs/>
          <w:sz w:val="20"/>
        </w:rPr>
        <w:t xml:space="preserve">Numri serial </w:t>
      </w:r>
      <w:r w:rsidRPr="002117C0">
        <w:rPr>
          <w:sz w:val="20"/>
        </w:rPr>
        <w:t>gjenerohet nga Drejtoria Rajonale Tatimore dhe shërben për të azhornuar regjistrimet kur paraqitet dek</w:t>
      </w:r>
      <w:r w:rsidRPr="002117C0">
        <w:rPr>
          <w:sz w:val="20"/>
        </w:rPr>
        <w:softHyphen/>
        <w:t>larata.</w:t>
      </w:r>
    </w:p>
    <w:p w:rsidR="00CF7B79" w:rsidRPr="002117C0" w:rsidRDefault="00CF7B79" w:rsidP="00CF7B79">
      <w:pPr>
        <w:numPr>
          <w:ilvl w:val="0"/>
          <w:numId w:val="14"/>
        </w:numPr>
        <w:jc w:val="both"/>
        <w:rPr>
          <w:sz w:val="20"/>
        </w:rPr>
      </w:pPr>
      <w:r w:rsidRPr="002117C0">
        <w:rPr>
          <w:b/>
          <w:bCs/>
          <w:sz w:val="20"/>
        </w:rPr>
        <w:t xml:space="preserve">Periudha Tatimore </w:t>
      </w:r>
      <w:r w:rsidRPr="002117C0">
        <w:rPr>
          <w:sz w:val="20"/>
        </w:rPr>
        <w:t>është mujore.</w:t>
      </w:r>
    </w:p>
    <w:p w:rsidR="00CF7B79" w:rsidRPr="002117C0" w:rsidRDefault="00CF7B79" w:rsidP="00CF7B79">
      <w:pPr>
        <w:numPr>
          <w:ilvl w:val="0"/>
          <w:numId w:val="14"/>
        </w:numPr>
        <w:jc w:val="both"/>
        <w:rPr>
          <w:sz w:val="20"/>
        </w:rPr>
      </w:pPr>
      <w:r w:rsidRPr="002117C0">
        <w:rPr>
          <w:b/>
          <w:bCs/>
          <w:sz w:val="20"/>
        </w:rPr>
        <w:t xml:space="preserve">Numri i Identifikimit të Personit të Tatueshëm (NIPT) </w:t>
      </w:r>
      <w:r w:rsidRPr="002117C0">
        <w:rPr>
          <w:sz w:val="20"/>
        </w:rPr>
        <w:t>është numri i dhënë nga Qëndra Kombëtare e Regjistrimit/Drejtoria Rajonale Tatimore dhe që identifikon personin e tatueshëm në të gjitha marrëdhëniet me Drejtorinë Rajonale Tatimore.</w:t>
      </w:r>
    </w:p>
    <w:p w:rsidR="00CF7B79" w:rsidRPr="002117C0" w:rsidRDefault="00CF7B79" w:rsidP="00CF7B79">
      <w:pPr>
        <w:numPr>
          <w:ilvl w:val="0"/>
          <w:numId w:val="14"/>
        </w:numPr>
        <w:jc w:val="both"/>
        <w:rPr>
          <w:sz w:val="20"/>
        </w:rPr>
      </w:pPr>
      <w:r w:rsidRPr="002117C0">
        <w:rPr>
          <w:b/>
          <w:bCs/>
          <w:sz w:val="20"/>
        </w:rPr>
        <w:t xml:space="preserve">Emri Tregtar i Personit të Tatueshëm </w:t>
      </w:r>
      <w:r w:rsidRPr="002117C0">
        <w:rPr>
          <w:sz w:val="20"/>
        </w:rPr>
        <w:t>është emri me të cilin paraqitet veprimtaria dhe që shënohet në çertifikatën e NIPT-it.</w:t>
      </w:r>
    </w:p>
    <w:p w:rsidR="00CF7B79" w:rsidRPr="002117C0" w:rsidRDefault="00CF7B79" w:rsidP="00CF7B79">
      <w:pPr>
        <w:numPr>
          <w:ilvl w:val="0"/>
          <w:numId w:val="14"/>
        </w:numPr>
        <w:jc w:val="both"/>
        <w:rPr>
          <w:sz w:val="20"/>
        </w:rPr>
      </w:pPr>
      <w:r w:rsidRPr="002117C0">
        <w:rPr>
          <w:b/>
          <w:bCs/>
          <w:sz w:val="20"/>
        </w:rPr>
        <w:t xml:space="preserve">Emri, Mbiemri i Personit Fizik </w:t>
      </w:r>
      <w:r w:rsidRPr="002117C0">
        <w:rPr>
          <w:sz w:val="20"/>
        </w:rPr>
        <w:t>vendoset kur veprimtaria ekonomike kryhet nga një person fizik dhe nuk ka emër tregtar.</w:t>
      </w:r>
    </w:p>
    <w:p w:rsidR="00CF7B79" w:rsidRPr="002117C0" w:rsidRDefault="00CF7B79" w:rsidP="00CF7B79">
      <w:pPr>
        <w:numPr>
          <w:ilvl w:val="0"/>
          <w:numId w:val="14"/>
        </w:numPr>
        <w:jc w:val="both"/>
        <w:rPr>
          <w:sz w:val="20"/>
        </w:rPr>
      </w:pPr>
      <w:r w:rsidRPr="002117C0">
        <w:rPr>
          <w:b/>
          <w:bCs/>
          <w:sz w:val="20"/>
        </w:rPr>
        <w:t xml:space="preserve">Adresa </w:t>
      </w:r>
      <w:r w:rsidRPr="002117C0">
        <w:rPr>
          <w:sz w:val="20"/>
        </w:rPr>
        <w:t>tregohet për vendin kryesor të ushtrimit të veprimtarisë. Kjo adresë është treguar edhe në çertifikatën e NIPT –it.</w:t>
      </w:r>
    </w:p>
    <w:p w:rsidR="00CF7B79" w:rsidRPr="002117C0" w:rsidRDefault="00CF7B79" w:rsidP="00CF7B79">
      <w:pPr>
        <w:numPr>
          <w:ilvl w:val="0"/>
          <w:numId w:val="14"/>
        </w:numPr>
        <w:jc w:val="both"/>
        <w:rPr>
          <w:sz w:val="20"/>
        </w:rPr>
      </w:pPr>
      <w:r w:rsidRPr="002117C0">
        <w:rPr>
          <w:b/>
          <w:bCs/>
          <w:sz w:val="20"/>
        </w:rPr>
        <w:t xml:space="preserve">Numri i Telefonit </w:t>
      </w:r>
      <w:r w:rsidRPr="002117C0">
        <w:rPr>
          <w:sz w:val="20"/>
        </w:rPr>
        <w:t>(n.q.s. ka) tregon numrin e telefonit në vendin kryesor të ushtrimit të veprimtarisë eko</w:t>
      </w:r>
      <w:r w:rsidRPr="002117C0">
        <w:rPr>
          <w:sz w:val="20"/>
        </w:rPr>
        <w:softHyphen/>
        <w:t>nomike.</w:t>
      </w:r>
    </w:p>
    <w:p w:rsidR="00CF7B79" w:rsidRPr="002117C0" w:rsidRDefault="00CF7B79" w:rsidP="00CF7B79">
      <w:pPr>
        <w:ind w:left="720"/>
        <w:jc w:val="both"/>
        <w:rPr>
          <w:sz w:val="20"/>
        </w:rPr>
      </w:pPr>
    </w:p>
    <w:p w:rsidR="00CF7B79" w:rsidRPr="002117C0" w:rsidRDefault="00CF7B79" w:rsidP="00CF7B79">
      <w:pPr>
        <w:numPr>
          <w:ilvl w:val="0"/>
          <w:numId w:val="20"/>
        </w:numPr>
        <w:ind w:left="720" w:hanging="360"/>
        <w:jc w:val="both"/>
        <w:rPr>
          <w:b/>
          <w:bCs/>
          <w:sz w:val="20"/>
        </w:rPr>
      </w:pPr>
      <w:r w:rsidRPr="002117C0">
        <w:rPr>
          <w:b/>
          <w:bCs/>
          <w:sz w:val="20"/>
        </w:rPr>
        <w:t xml:space="preserve">Shitjet për konsum final </w:t>
      </w:r>
      <w:proofErr w:type="gramStart"/>
      <w:r w:rsidRPr="002117C0">
        <w:rPr>
          <w:b/>
          <w:bCs/>
          <w:sz w:val="20"/>
        </w:rPr>
        <w:t>brenda</w:t>
      </w:r>
      <w:proofErr w:type="gramEnd"/>
      <w:r w:rsidRPr="002117C0">
        <w:rPr>
          <w:b/>
          <w:bCs/>
          <w:sz w:val="20"/>
        </w:rPr>
        <w:t xml:space="preserve"> vendit janë shitjet e muajit për të cilin deklarohet</w:t>
      </w:r>
      <w:r>
        <w:rPr>
          <w:b/>
          <w:bCs/>
          <w:sz w:val="20"/>
        </w:rPr>
        <w:t>, shitje</w:t>
      </w:r>
      <w:r w:rsidRPr="002117C0">
        <w:rPr>
          <w:b/>
          <w:bCs/>
          <w:sz w:val="20"/>
        </w:rPr>
        <w:t xml:space="preserve"> të kryera nga zotëruesi i lejes së shfrytëzimit të mineralit të papërpunuar që ai nxjerr nga sipërfaqja/nëntoka, si dhe shitjet e nënproduktit të prodhuar nga zotëruesi i lejes të shfrytëzimit m</w:t>
      </w:r>
      <w:r>
        <w:rPr>
          <w:b/>
          <w:bCs/>
          <w:sz w:val="20"/>
        </w:rPr>
        <w:t>e</w:t>
      </w:r>
      <w:r w:rsidRPr="002117C0">
        <w:rPr>
          <w:b/>
          <w:bCs/>
          <w:sz w:val="20"/>
        </w:rPr>
        <w:t xml:space="preserve"> mineralin që ai vetë ka nxjerrë nga sipërfaqja/nëntoka.</w:t>
      </w:r>
    </w:p>
    <w:p w:rsidR="00CF7B79" w:rsidRPr="002117C0" w:rsidRDefault="00CF7B79" w:rsidP="00CF7B79">
      <w:pPr>
        <w:jc w:val="both"/>
        <w:rPr>
          <w:bCs/>
          <w:sz w:val="20"/>
        </w:rPr>
      </w:pPr>
    </w:p>
    <w:p w:rsidR="00CF7B79" w:rsidRPr="002117C0" w:rsidRDefault="00CF7B79" w:rsidP="00CF7B79">
      <w:pPr>
        <w:numPr>
          <w:ilvl w:val="0"/>
          <w:numId w:val="14"/>
        </w:numPr>
        <w:jc w:val="both"/>
        <w:rPr>
          <w:sz w:val="20"/>
        </w:rPr>
      </w:pPr>
      <w:r w:rsidRPr="002117C0">
        <w:rPr>
          <w:b/>
          <w:sz w:val="20"/>
        </w:rPr>
        <w:t>Vlera e taksueshme e mineralit [8]</w:t>
      </w:r>
      <w:r w:rsidRPr="002117C0">
        <w:rPr>
          <w:sz w:val="20"/>
        </w:rPr>
        <w:t xml:space="preserve"> është baza e taksueshme mbi të cilën aplikohet % e rentës, që në rastin e shitjes së mineralit të papërpunuar nga zotëruesi i lejes</w:t>
      </w:r>
      <w:r>
        <w:rPr>
          <w:sz w:val="20"/>
        </w:rPr>
        <w:t>,</w:t>
      </w:r>
      <w:r w:rsidRPr="002117C0">
        <w:rPr>
          <w:sz w:val="20"/>
        </w:rPr>
        <w:t xml:space="preserve"> për konsum final brenda vendit, është e njëjtë me </w:t>
      </w:r>
      <w:proofErr w:type="gramStart"/>
      <w:r w:rsidRPr="002117C0">
        <w:rPr>
          <w:sz w:val="20"/>
        </w:rPr>
        <w:t>vlerën  totale</w:t>
      </w:r>
      <w:proofErr w:type="gramEnd"/>
      <w:r w:rsidRPr="002117C0">
        <w:rPr>
          <w:sz w:val="20"/>
        </w:rPr>
        <w:t xml:space="preserve"> të shitjeve me rubrikën </w:t>
      </w:r>
      <w:r w:rsidRPr="002A3EC2">
        <w:rPr>
          <w:b/>
          <w:sz w:val="20"/>
        </w:rPr>
        <w:t>[9]</w:t>
      </w:r>
      <w:r w:rsidRPr="002A3EC2">
        <w:rPr>
          <w:sz w:val="20"/>
        </w:rPr>
        <w:t>.</w:t>
      </w:r>
    </w:p>
    <w:p w:rsidR="00CF7B79" w:rsidRPr="002117C0" w:rsidRDefault="00CF7B79" w:rsidP="00CF7B79">
      <w:pPr>
        <w:numPr>
          <w:ilvl w:val="0"/>
          <w:numId w:val="14"/>
        </w:numPr>
        <w:jc w:val="both"/>
        <w:rPr>
          <w:sz w:val="20"/>
        </w:rPr>
      </w:pPr>
      <w:r w:rsidRPr="002117C0">
        <w:rPr>
          <w:b/>
          <w:sz w:val="20"/>
        </w:rPr>
        <w:t xml:space="preserve">Vlera totale e </w:t>
      </w:r>
      <w:r>
        <w:rPr>
          <w:b/>
          <w:sz w:val="20"/>
        </w:rPr>
        <w:t xml:space="preserve">shitjeve të </w:t>
      </w:r>
      <w:r w:rsidRPr="002117C0">
        <w:rPr>
          <w:b/>
          <w:sz w:val="20"/>
        </w:rPr>
        <w:t>mineralit [9]</w:t>
      </w:r>
      <w:r w:rsidRPr="002117C0">
        <w:rPr>
          <w:sz w:val="20"/>
        </w:rPr>
        <w:t xml:space="preserve"> </w:t>
      </w:r>
      <w:r>
        <w:rPr>
          <w:sz w:val="20"/>
        </w:rPr>
        <w:t>ë</w:t>
      </w:r>
      <w:r w:rsidRPr="002117C0">
        <w:rPr>
          <w:sz w:val="20"/>
        </w:rPr>
        <w:t>sht</w:t>
      </w:r>
      <w:r>
        <w:rPr>
          <w:sz w:val="20"/>
        </w:rPr>
        <w:t>ë</w:t>
      </w:r>
      <w:r w:rsidRPr="002117C0">
        <w:rPr>
          <w:sz w:val="20"/>
        </w:rPr>
        <w:t xml:space="preserve"> totali i shitjeve për konsum final brenda vendit, të kryera nga zotëruesi i lejes së shfrytëzimit, për muajin në të cilin deklarohet, të mineralit të papërpunuar</w:t>
      </w:r>
      <w:proofErr w:type="gramStart"/>
      <w:r w:rsidRPr="002117C0">
        <w:rPr>
          <w:sz w:val="20"/>
        </w:rPr>
        <w:t>,  mbi</w:t>
      </w:r>
      <w:proofErr w:type="gramEnd"/>
      <w:r w:rsidRPr="002117C0">
        <w:rPr>
          <w:sz w:val="20"/>
        </w:rPr>
        <w:t xml:space="preserve"> bazën e çmimeve të tregut,  bazuar në faturat e shitjes me TVSH.</w:t>
      </w:r>
    </w:p>
    <w:p w:rsidR="00CF7B79" w:rsidRPr="002117C0" w:rsidRDefault="00CF7B79" w:rsidP="00CF7B79">
      <w:pPr>
        <w:numPr>
          <w:ilvl w:val="0"/>
          <w:numId w:val="14"/>
        </w:numPr>
        <w:jc w:val="both"/>
        <w:rPr>
          <w:sz w:val="20"/>
        </w:rPr>
      </w:pPr>
      <w:r w:rsidRPr="002117C0">
        <w:rPr>
          <w:b/>
          <w:sz w:val="20"/>
        </w:rPr>
        <w:t>Vlera e taksueshme e nënproduktit [10]</w:t>
      </w:r>
      <w:r w:rsidRPr="002117C0">
        <w:rPr>
          <w:sz w:val="20"/>
        </w:rPr>
        <w:t xml:space="preserve"> është baza e taksueshme mbi të cilën aplikohet % e rentës, për nënproduktet e prodhuara nga zotëruesi i lejes së shfrytëzimit(me mineralin që ai vetë nxjerr nga sipërfaqja/nëntoka) , të cilat ai i shet  për konsum final brenda vendit dhe që është  vetëm vlera e mineralit të përdorur për prodhimin e kë</w:t>
      </w:r>
      <w:r>
        <w:rPr>
          <w:sz w:val="20"/>
        </w:rPr>
        <w:t xml:space="preserve">tyre </w:t>
      </w:r>
      <w:r w:rsidRPr="002117C0">
        <w:rPr>
          <w:sz w:val="20"/>
        </w:rPr>
        <w:t>nënprodukteve. Vlera deklarohet nga zotëruesi i lejes së shfrytëzimit i cili n</w:t>
      </w:r>
      <w:r>
        <w:rPr>
          <w:sz w:val="20"/>
        </w:rPr>
        <w:t>ë</w:t>
      </w:r>
      <w:r w:rsidRPr="002117C0">
        <w:rPr>
          <w:sz w:val="20"/>
        </w:rPr>
        <w:t xml:space="preserve"> k</w:t>
      </w:r>
      <w:r>
        <w:rPr>
          <w:sz w:val="20"/>
        </w:rPr>
        <w:t>ë</w:t>
      </w:r>
      <w:r w:rsidRPr="002117C0">
        <w:rPr>
          <w:sz w:val="20"/>
        </w:rPr>
        <w:t>t</w:t>
      </w:r>
      <w:r>
        <w:rPr>
          <w:sz w:val="20"/>
        </w:rPr>
        <w:t>ë</w:t>
      </w:r>
      <w:r w:rsidRPr="002117C0">
        <w:rPr>
          <w:sz w:val="20"/>
        </w:rPr>
        <w:t xml:space="preserve"> rast është dhe prodhuesi i nënproduktit, mbi bazën e normativave teknologjike dhe çmimeve të tregut të mineralit të përfshirë në nënprodukt. Ky çmim nuk duhet të jetë më i vogël se çmimi </w:t>
      </w:r>
      <w:proofErr w:type="gramStart"/>
      <w:r w:rsidRPr="002117C0">
        <w:rPr>
          <w:sz w:val="20"/>
        </w:rPr>
        <w:t>referues  i</w:t>
      </w:r>
      <w:proofErr w:type="gramEnd"/>
      <w:r w:rsidRPr="002117C0">
        <w:rPr>
          <w:sz w:val="20"/>
        </w:rPr>
        <w:t xml:space="preserve"> përcaktuar në Raportin e Komisionit AD-HOC. Po ashtu normativat teknollogjike mbi të cilat llogaritet minerali i përfshirë në nënprodukt nuk duhet të jenë më të ulta se ato të përcaktuara në raportin e komisionit AD-HOC.</w:t>
      </w:r>
    </w:p>
    <w:p w:rsidR="00CF7B79" w:rsidRPr="002117C0" w:rsidRDefault="00CF7B79" w:rsidP="00CF7B79">
      <w:pPr>
        <w:numPr>
          <w:ilvl w:val="0"/>
          <w:numId w:val="14"/>
        </w:numPr>
        <w:jc w:val="both"/>
        <w:rPr>
          <w:sz w:val="20"/>
        </w:rPr>
      </w:pPr>
      <w:r w:rsidRPr="002117C0">
        <w:rPr>
          <w:b/>
          <w:sz w:val="20"/>
        </w:rPr>
        <w:t xml:space="preserve">Vlera totale e </w:t>
      </w:r>
      <w:r>
        <w:rPr>
          <w:b/>
          <w:sz w:val="20"/>
        </w:rPr>
        <w:t xml:space="preserve">shitjeve të </w:t>
      </w:r>
      <w:r w:rsidRPr="002117C0">
        <w:rPr>
          <w:b/>
          <w:sz w:val="20"/>
        </w:rPr>
        <w:t>nënproduktit [11]</w:t>
      </w:r>
      <w:r w:rsidRPr="002117C0">
        <w:rPr>
          <w:sz w:val="20"/>
        </w:rPr>
        <w:t xml:space="preserve"> </w:t>
      </w:r>
      <w:r>
        <w:rPr>
          <w:sz w:val="20"/>
        </w:rPr>
        <w:t>ë</w:t>
      </w:r>
      <w:r w:rsidRPr="002117C0">
        <w:rPr>
          <w:sz w:val="20"/>
        </w:rPr>
        <w:t>sht</w:t>
      </w:r>
      <w:r>
        <w:rPr>
          <w:sz w:val="20"/>
        </w:rPr>
        <w:t>ë</w:t>
      </w:r>
      <w:r w:rsidRPr="002117C0">
        <w:rPr>
          <w:sz w:val="20"/>
        </w:rPr>
        <w:t xml:space="preserve"> totali i shitjeve</w:t>
      </w:r>
      <w:r w:rsidRPr="002A3EC2">
        <w:rPr>
          <w:sz w:val="20"/>
        </w:rPr>
        <w:t xml:space="preserve"> </w:t>
      </w:r>
      <w:r>
        <w:rPr>
          <w:sz w:val="20"/>
        </w:rPr>
        <w:t>të kryera nga zotëruesi i lejes së shfrytëzimit, për muajin për të cilin deklarohet,</w:t>
      </w:r>
      <w:r w:rsidRPr="002117C0">
        <w:rPr>
          <w:sz w:val="20"/>
        </w:rPr>
        <w:t xml:space="preserve"> për konsum final brenda vendit</w:t>
      </w:r>
      <w:r>
        <w:rPr>
          <w:sz w:val="20"/>
        </w:rPr>
        <w:t>,</w:t>
      </w:r>
      <w:r w:rsidRPr="002117C0">
        <w:rPr>
          <w:sz w:val="20"/>
        </w:rPr>
        <w:t xml:space="preserve"> të nënproduktit të prodhuar </w:t>
      </w:r>
      <w:r>
        <w:rPr>
          <w:sz w:val="20"/>
        </w:rPr>
        <w:t xml:space="preserve">nga ana e </w:t>
      </w:r>
      <w:proofErr w:type="gramStart"/>
      <w:r>
        <w:rPr>
          <w:sz w:val="20"/>
        </w:rPr>
        <w:t>tij</w:t>
      </w:r>
      <w:r w:rsidRPr="002117C0">
        <w:rPr>
          <w:sz w:val="20"/>
        </w:rPr>
        <w:t>(</w:t>
      </w:r>
      <w:proofErr w:type="gramEnd"/>
      <w:r w:rsidRPr="002117C0">
        <w:rPr>
          <w:sz w:val="20"/>
        </w:rPr>
        <w:t xml:space="preserve">me mineralin për të cilin zbatohet renta minerare dhe që është përfshirë në nënprodukt nga zotëruesi i lejes së shfrytëzimit), bazuar në faturat e shitjes me TVSH. </w:t>
      </w:r>
    </w:p>
    <w:p w:rsidR="00CF7B79" w:rsidRPr="002117C0" w:rsidRDefault="00CF7B79" w:rsidP="00CF7B79">
      <w:pPr>
        <w:numPr>
          <w:ilvl w:val="0"/>
          <w:numId w:val="14"/>
        </w:numPr>
        <w:jc w:val="both"/>
        <w:rPr>
          <w:sz w:val="20"/>
        </w:rPr>
      </w:pPr>
      <w:r w:rsidRPr="002117C0">
        <w:rPr>
          <w:b/>
          <w:sz w:val="20"/>
        </w:rPr>
        <w:t>Renta e llogaritur për shitjen e mineralit [12],</w:t>
      </w:r>
      <w:r w:rsidRPr="002117C0">
        <w:rPr>
          <w:sz w:val="20"/>
        </w:rPr>
        <w:t xml:space="preserve"> tregon rentën që duhet të paguhet nga zotëruesi i lejes së shfrytëzimit për mineralin e papërpunuar të shitur për konsum final </w:t>
      </w:r>
      <w:proofErr w:type="gramStart"/>
      <w:r w:rsidRPr="002117C0">
        <w:rPr>
          <w:sz w:val="20"/>
        </w:rPr>
        <w:t>brenda</w:t>
      </w:r>
      <w:proofErr w:type="gramEnd"/>
      <w:r w:rsidRPr="002117C0">
        <w:rPr>
          <w:sz w:val="20"/>
        </w:rPr>
        <w:t xml:space="preserve"> vendit e cila rezulton duke shumëzuar vlerën e taksueshme rubrikën </w:t>
      </w:r>
      <w:r w:rsidRPr="00592B0A">
        <w:rPr>
          <w:b/>
          <w:sz w:val="20"/>
        </w:rPr>
        <w:t>[8]</w:t>
      </w:r>
      <w:r w:rsidRPr="002117C0">
        <w:rPr>
          <w:sz w:val="20"/>
        </w:rPr>
        <w:t xml:space="preserve"> me % e rentës së miratuar për mineralet bazuar në shtojcën 2 të ligjit nr. 9975, datë </w:t>
      </w:r>
      <w:proofErr w:type="gramStart"/>
      <w:r w:rsidRPr="002117C0">
        <w:rPr>
          <w:sz w:val="20"/>
        </w:rPr>
        <w:t>28.07.2008 ,</w:t>
      </w:r>
      <w:proofErr w:type="gramEnd"/>
      <w:r w:rsidRPr="002117C0">
        <w:rPr>
          <w:sz w:val="20"/>
        </w:rPr>
        <w:t xml:space="preserve"> i ndryshuar, </w:t>
      </w:r>
      <w:r w:rsidRPr="00E6552C">
        <w:rPr>
          <w:sz w:val="20"/>
        </w:rPr>
        <w:t>për muajin për të cilin deklarohet</w:t>
      </w:r>
      <w:r w:rsidRPr="002117C0">
        <w:rPr>
          <w:sz w:val="20"/>
        </w:rPr>
        <w:t xml:space="preserve">. </w:t>
      </w:r>
    </w:p>
    <w:p w:rsidR="00CF7B79" w:rsidRPr="002117C0" w:rsidRDefault="00CF7B79" w:rsidP="00CF7B79">
      <w:pPr>
        <w:numPr>
          <w:ilvl w:val="0"/>
          <w:numId w:val="14"/>
        </w:numPr>
        <w:jc w:val="both"/>
        <w:rPr>
          <w:b/>
          <w:bCs/>
          <w:sz w:val="20"/>
        </w:rPr>
      </w:pPr>
      <w:r w:rsidRPr="002117C0">
        <w:rPr>
          <w:b/>
          <w:sz w:val="20"/>
        </w:rPr>
        <w:t xml:space="preserve">Renta e llogaritur për shitjen e </w:t>
      </w:r>
      <w:proofErr w:type="gramStart"/>
      <w:r w:rsidRPr="002117C0">
        <w:rPr>
          <w:b/>
          <w:sz w:val="20"/>
        </w:rPr>
        <w:t>nënproduktit[</w:t>
      </w:r>
      <w:proofErr w:type="gramEnd"/>
      <w:r w:rsidRPr="002117C0">
        <w:rPr>
          <w:b/>
          <w:sz w:val="20"/>
        </w:rPr>
        <w:t>13]</w:t>
      </w:r>
      <w:r w:rsidRPr="002117C0">
        <w:rPr>
          <w:sz w:val="20"/>
        </w:rPr>
        <w:t>,</w:t>
      </w:r>
      <w:r w:rsidRPr="002117C0">
        <w:rPr>
          <w:b/>
          <w:sz w:val="20"/>
        </w:rPr>
        <w:t xml:space="preserve"> </w:t>
      </w:r>
      <w:r w:rsidRPr="002117C0">
        <w:rPr>
          <w:sz w:val="20"/>
        </w:rPr>
        <w:t>tregon rentën që duhet të paguhet nga zotëruesi i lejes së shfrytëzimit për mineralin që ai vetë ka nxjerr nga sipërfaqa/nëntoka, dhe që e ka përdorur për prodhimin e nënproduktit të shitur për konsum final brenda vendit</w:t>
      </w:r>
      <w:r>
        <w:rPr>
          <w:sz w:val="20"/>
        </w:rPr>
        <w:t>,</w:t>
      </w:r>
      <w:r w:rsidRPr="002117C0">
        <w:rPr>
          <w:sz w:val="20"/>
        </w:rPr>
        <w:t xml:space="preserve"> e cila del duke shumëzuar vlerën e taksueshme rubrikën </w:t>
      </w:r>
      <w:r w:rsidRPr="00592B0A">
        <w:rPr>
          <w:b/>
          <w:sz w:val="20"/>
        </w:rPr>
        <w:t>[10]</w:t>
      </w:r>
      <w:r w:rsidRPr="002117C0">
        <w:rPr>
          <w:sz w:val="20"/>
        </w:rPr>
        <w:t xml:space="preserve"> me % e rentës së miratuar për mineralet bazuar në shtojcën 2 të ligjit nr. 9975, datë 28.07.2008, i ndryshuar, </w:t>
      </w:r>
      <w:r>
        <w:rPr>
          <w:sz w:val="20"/>
        </w:rPr>
        <w:t xml:space="preserve">(si dhe në raportin e Komisionit AD-HOC), </w:t>
      </w:r>
      <w:r w:rsidRPr="00E6552C">
        <w:rPr>
          <w:sz w:val="20"/>
        </w:rPr>
        <w:t>për muajin për të cilin deklarohet</w:t>
      </w:r>
      <w:r w:rsidRPr="002117C0">
        <w:rPr>
          <w:sz w:val="20"/>
        </w:rPr>
        <w:t>.</w:t>
      </w:r>
    </w:p>
    <w:p w:rsidR="00CF7B79" w:rsidRPr="002117C0" w:rsidRDefault="00CF7B79" w:rsidP="00CF7B79">
      <w:pPr>
        <w:numPr>
          <w:ilvl w:val="0"/>
          <w:numId w:val="14"/>
        </w:numPr>
        <w:jc w:val="both"/>
        <w:rPr>
          <w:b/>
          <w:bCs/>
          <w:sz w:val="20"/>
        </w:rPr>
      </w:pPr>
      <w:r w:rsidRPr="002117C0">
        <w:rPr>
          <w:b/>
          <w:bCs/>
          <w:sz w:val="20"/>
        </w:rPr>
        <w:t xml:space="preserve">Totali i rentës për t’u </w:t>
      </w:r>
      <w:proofErr w:type="gramStart"/>
      <w:r w:rsidRPr="002117C0">
        <w:rPr>
          <w:b/>
          <w:bCs/>
          <w:sz w:val="20"/>
        </w:rPr>
        <w:t>paguar[</w:t>
      </w:r>
      <w:proofErr w:type="gramEnd"/>
      <w:r w:rsidRPr="002117C0">
        <w:rPr>
          <w:b/>
          <w:bCs/>
          <w:sz w:val="20"/>
        </w:rPr>
        <w:t xml:space="preserve">14], </w:t>
      </w:r>
      <w:r w:rsidRPr="002117C0">
        <w:rPr>
          <w:bCs/>
          <w:sz w:val="20"/>
        </w:rPr>
        <w:t xml:space="preserve">tregon shumën totale të rentës që duhet të paguhet nga zotëruesi i lejes së shfrytëzimit </w:t>
      </w:r>
      <w:r>
        <w:rPr>
          <w:bCs/>
          <w:sz w:val="20"/>
        </w:rPr>
        <w:t xml:space="preserve">për shitjet për konsum final brënda vëndit </w:t>
      </w:r>
      <w:r w:rsidRPr="002117C0">
        <w:rPr>
          <w:bCs/>
          <w:sz w:val="20"/>
        </w:rPr>
        <w:t xml:space="preserve">dhe rezulton nga shuma e rubrikave </w:t>
      </w:r>
      <w:r>
        <w:rPr>
          <w:b/>
          <w:sz w:val="20"/>
        </w:rPr>
        <w:t>[12</w:t>
      </w:r>
      <w:r w:rsidRPr="002117C0">
        <w:rPr>
          <w:b/>
          <w:sz w:val="20"/>
        </w:rPr>
        <w:t>]+</w:t>
      </w:r>
      <w:r>
        <w:rPr>
          <w:b/>
          <w:bCs/>
          <w:sz w:val="20"/>
        </w:rPr>
        <w:t xml:space="preserve"> [13</w:t>
      </w:r>
      <w:r w:rsidRPr="002117C0">
        <w:rPr>
          <w:b/>
          <w:bCs/>
          <w:sz w:val="20"/>
        </w:rPr>
        <w:t>].</w:t>
      </w:r>
    </w:p>
    <w:p w:rsidR="00CF7B79" w:rsidRPr="002117C0" w:rsidRDefault="00CF7B79" w:rsidP="00CF7B79">
      <w:pPr>
        <w:jc w:val="both"/>
        <w:rPr>
          <w:b/>
          <w:bCs/>
          <w:sz w:val="20"/>
        </w:rPr>
      </w:pPr>
    </w:p>
    <w:p w:rsidR="00CF7B79" w:rsidRPr="00E53490" w:rsidRDefault="00CF7B79" w:rsidP="00CF7B79">
      <w:pPr>
        <w:numPr>
          <w:ilvl w:val="0"/>
          <w:numId w:val="20"/>
        </w:numPr>
        <w:ind w:left="720" w:hanging="360"/>
        <w:jc w:val="both"/>
        <w:rPr>
          <w:b/>
          <w:bCs/>
          <w:sz w:val="20"/>
        </w:rPr>
      </w:pPr>
      <w:r w:rsidRPr="00E53490">
        <w:rPr>
          <w:b/>
          <w:bCs/>
          <w:sz w:val="20"/>
        </w:rPr>
        <w:t>Eksporte të kryera nga vet</w:t>
      </w:r>
      <w:r>
        <w:rPr>
          <w:b/>
          <w:bCs/>
          <w:sz w:val="20"/>
        </w:rPr>
        <w:t>ë</w:t>
      </w:r>
      <w:r w:rsidRPr="00E53490">
        <w:rPr>
          <w:b/>
          <w:bCs/>
          <w:sz w:val="20"/>
        </w:rPr>
        <w:t xml:space="preserve"> zotëruesi i lejes së shfrytëzimit të mineralit të papërpunuar q</w:t>
      </w:r>
      <w:r>
        <w:rPr>
          <w:b/>
          <w:bCs/>
          <w:sz w:val="20"/>
        </w:rPr>
        <w:t>ë</w:t>
      </w:r>
      <w:r w:rsidRPr="00E53490">
        <w:rPr>
          <w:b/>
          <w:bCs/>
          <w:sz w:val="20"/>
        </w:rPr>
        <w:t xml:space="preserve"> ai ka nxjerr</w:t>
      </w:r>
      <w:r>
        <w:rPr>
          <w:b/>
          <w:bCs/>
          <w:sz w:val="20"/>
        </w:rPr>
        <w:t>ë</w:t>
      </w:r>
      <w:r w:rsidRPr="00E53490">
        <w:rPr>
          <w:b/>
          <w:bCs/>
          <w:sz w:val="20"/>
        </w:rPr>
        <w:t xml:space="preserve"> nga sip</w:t>
      </w:r>
      <w:r>
        <w:rPr>
          <w:b/>
          <w:bCs/>
          <w:sz w:val="20"/>
        </w:rPr>
        <w:t>ë</w:t>
      </w:r>
      <w:r w:rsidRPr="00E53490">
        <w:rPr>
          <w:b/>
          <w:bCs/>
          <w:sz w:val="20"/>
        </w:rPr>
        <w:t>rfaqja/n</w:t>
      </w:r>
      <w:r>
        <w:rPr>
          <w:b/>
          <w:bCs/>
          <w:sz w:val="20"/>
        </w:rPr>
        <w:t>ë</w:t>
      </w:r>
      <w:r w:rsidRPr="00E53490">
        <w:rPr>
          <w:b/>
          <w:bCs/>
          <w:sz w:val="20"/>
        </w:rPr>
        <w:t>ntoka</w:t>
      </w:r>
      <w:r>
        <w:rPr>
          <w:b/>
          <w:bCs/>
          <w:sz w:val="20"/>
        </w:rPr>
        <w:t>,</w:t>
      </w:r>
      <w:r w:rsidRPr="00E53490">
        <w:rPr>
          <w:b/>
          <w:bCs/>
          <w:sz w:val="20"/>
        </w:rPr>
        <w:t xml:space="preserve"> si dhe eksporte t</w:t>
      </w:r>
      <w:r>
        <w:rPr>
          <w:b/>
          <w:bCs/>
          <w:sz w:val="20"/>
        </w:rPr>
        <w:t>ë</w:t>
      </w:r>
      <w:r w:rsidRPr="00E53490">
        <w:rPr>
          <w:b/>
          <w:bCs/>
          <w:sz w:val="20"/>
        </w:rPr>
        <w:t xml:space="preserve"> kryera nga vet</w:t>
      </w:r>
      <w:r>
        <w:rPr>
          <w:b/>
          <w:bCs/>
          <w:sz w:val="20"/>
        </w:rPr>
        <w:t>ë</w:t>
      </w:r>
      <w:r w:rsidRPr="00E53490">
        <w:rPr>
          <w:b/>
          <w:bCs/>
          <w:sz w:val="20"/>
        </w:rPr>
        <w:t xml:space="preserve"> zot</w:t>
      </w:r>
      <w:r>
        <w:rPr>
          <w:b/>
          <w:bCs/>
          <w:sz w:val="20"/>
        </w:rPr>
        <w:t>ë</w:t>
      </w:r>
      <w:r w:rsidRPr="00E53490">
        <w:rPr>
          <w:b/>
          <w:bCs/>
          <w:sz w:val="20"/>
        </w:rPr>
        <w:t>ruesi i lejes s</w:t>
      </w:r>
      <w:r>
        <w:rPr>
          <w:b/>
          <w:bCs/>
          <w:sz w:val="20"/>
        </w:rPr>
        <w:t>ë</w:t>
      </w:r>
      <w:r w:rsidRPr="00E53490">
        <w:rPr>
          <w:b/>
          <w:bCs/>
          <w:sz w:val="20"/>
        </w:rPr>
        <w:t xml:space="preserve"> shfryt</w:t>
      </w:r>
      <w:r>
        <w:rPr>
          <w:b/>
          <w:bCs/>
          <w:sz w:val="20"/>
        </w:rPr>
        <w:t>ë</w:t>
      </w:r>
      <w:r w:rsidRPr="00E53490">
        <w:rPr>
          <w:b/>
          <w:bCs/>
          <w:sz w:val="20"/>
        </w:rPr>
        <w:t>zimit të nënproduktit të prodhuar prej tij me mineralin</w:t>
      </w:r>
      <w:r>
        <w:rPr>
          <w:b/>
          <w:bCs/>
          <w:sz w:val="20"/>
        </w:rPr>
        <w:t>,</w:t>
      </w:r>
      <w:r w:rsidRPr="00E53490">
        <w:rPr>
          <w:b/>
          <w:bCs/>
          <w:sz w:val="20"/>
        </w:rPr>
        <w:t xml:space="preserve"> që ai vet</w:t>
      </w:r>
      <w:r>
        <w:rPr>
          <w:b/>
          <w:bCs/>
          <w:sz w:val="20"/>
        </w:rPr>
        <w:t>ë</w:t>
      </w:r>
      <w:r w:rsidRPr="00E53490">
        <w:rPr>
          <w:b/>
          <w:bCs/>
          <w:sz w:val="20"/>
        </w:rPr>
        <w:t xml:space="preserve"> ka nxjerrë nga sipërfaqja/nëntoka.</w:t>
      </w:r>
    </w:p>
    <w:p w:rsidR="00CF7B79" w:rsidRPr="002117C0" w:rsidRDefault="00CF7B79" w:rsidP="00CF7B79">
      <w:pPr>
        <w:jc w:val="center"/>
        <w:rPr>
          <w:b/>
          <w:bCs/>
          <w:sz w:val="20"/>
        </w:rPr>
      </w:pPr>
    </w:p>
    <w:p w:rsidR="00CF7B79" w:rsidRPr="002117C0" w:rsidRDefault="00CF7B79" w:rsidP="00CF7B79">
      <w:pPr>
        <w:numPr>
          <w:ilvl w:val="0"/>
          <w:numId w:val="14"/>
        </w:numPr>
        <w:jc w:val="both"/>
        <w:rPr>
          <w:sz w:val="20"/>
        </w:rPr>
      </w:pPr>
      <w:r w:rsidRPr="002117C0">
        <w:rPr>
          <w:b/>
          <w:sz w:val="20"/>
        </w:rPr>
        <w:t xml:space="preserve">Vlera e taksueshme e mineralit të </w:t>
      </w:r>
      <w:proofErr w:type="gramStart"/>
      <w:r w:rsidRPr="002117C0">
        <w:rPr>
          <w:b/>
          <w:sz w:val="20"/>
        </w:rPr>
        <w:t>eksportuar[</w:t>
      </w:r>
      <w:proofErr w:type="gramEnd"/>
      <w:r w:rsidRPr="002117C0">
        <w:rPr>
          <w:b/>
          <w:sz w:val="20"/>
        </w:rPr>
        <w:t>15]</w:t>
      </w:r>
      <w:r w:rsidRPr="002117C0">
        <w:rPr>
          <w:sz w:val="20"/>
        </w:rPr>
        <w:t xml:space="preserve"> është baza e taksueshme mbi t</w:t>
      </w:r>
      <w:r>
        <w:rPr>
          <w:sz w:val="20"/>
        </w:rPr>
        <w:t>ë</w:t>
      </w:r>
      <w:r w:rsidRPr="002117C0">
        <w:rPr>
          <w:sz w:val="20"/>
        </w:rPr>
        <w:t xml:space="preserve"> cilën aplikohet % e rentës, që në rastin e eksporteve nga vet</w:t>
      </w:r>
      <w:r>
        <w:rPr>
          <w:sz w:val="20"/>
        </w:rPr>
        <w:t>ë</w:t>
      </w:r>
      <w:r w:rsidRPr="002117C0">
        <w:rPr>
          <w:sz w:val="20"/>
        </w:rPr>
        <w:t xml:space="preserve"> zotëruesi i lejes të mineralit të papërpunuar është</w:t>
      </w:r>
      <w:r>
        <w:rPr>
          <w:sz w:val="20"/>
        </w:rPr>
        <w:t xml:space="preserve"> vlera </w:t>
      </w:r>
      <w:r w:rsidRPr="002117C0">
        <w:rPr>
          <w:sz w:val="20"/>
        </w:rPr>
        <w:t>totale e eksporteve të mineralit të papërpunuar, e nj</w:t>
      </w:r>
      <w:r>
        <w:rPr>
          <w:sz w:val="20"/>
        </w:rPr>
        <w:t>ë</w:t>
      </w:r>
      <w:r w:rsidRPr="002117C0">
        <w:rPr>
          <w:sz w:val="20"/>
        </w:rPr>
        <w:t>jt</w:t>
      </w:r>
      <w:r>
        <w:rPr>
          <w:sz w:val="20"/>
        </w:rPr>
        <w:t>ë</w:t>
      </w:r>
      <w:r w:rsidRPr="002117C0">
        <w:rPr>
          <w:sz w:val="20"/>
        </w:rPr>
        <w:t xml:space="preserve"> me rubrik</w:t>
      </w:r>
      <w:r>
        <w:rPr>
          <w:sz w:val="20"/>
        </w:rPr>
        <w:t>ë</w:t>
      </w:r>
      <w:r w:rsidRPr="002117C0">
        <w:rPr>
          <w:sz w:val="20"/>
        </w:rPr>
        <w:t xml:space="preserve">n </w:t>
      </w:r>
      <w:r w:rsidRPr="00592B0A">
        <w:rPr>
          <w:b/>
          <w:sz w:val="20"/>
        </w:rPr>
        <w:t>[16].</w:t>
      </w:r>
    </w:p>
    <w:p w:rsidR="00CF7B79" w:rsidRPr="002117C0" w:rsidRDefault="00CF7B79" w:rsidP="00CF7B79">
      <w:pPr>
        <w:numPr>
          <w:ilvl w:val="0"/>
          <w:numId w:val="14"/>
        </w:numPr>
        <w:jc w:val="both"/>
        <w:rPr>
          <w:sz w:val="20"/>
        </w:rPr>
      </w:pPr>
      <w:r w:rsidRPr="002117C0">
        <w:rPr>
          <w:b/>
          <w:sz w:val="20"/>
        </w:rPr>
        <w:t>Vlera totale e mineralit të eksportuar [16]</w:t>
      </w:r>
      <w:r w:rsidRPr="002117C0">
        <w:rPr>
          <w:sz w:val="20"/>
        </w:rPr>
        <w:t xml:space="preserve"> është vlera e eksportit të mineralit të papërpunuar nga zotëruesi i lejes </w:t>
      </w:r>
      <w:r w:rsidRPr="00E53490">
        <w:rPr>
          <w:sz w:val="20"/>
        </w:rPr>
        <w:t>për muajin në të cilin deklarohet</w:t>
      </w:r>
      <w:r w:rsidRPr="002117C0">
        <w:rPr>
          <w:sz w:val="20"/>
        </w:rPr>
        <w:t xml:space="preserve"> mbi bazën e çmimeve të eksportit, që është çmimi FOB Shqipëri.</w:t>
      </w:r>
    </w:p>
    <w:p w:rsidR="00CF7B79" w:rsidRPr="002117C0" w:rsidRDefault="00CF7B79" w:rsidP="00CF7B79">
      <w:pPr>
        <w:numPr>
          <w:ilvl w:val="0"/>
          <w:numId w:val="14"/>
        </w:numPr>
        <w:jc w:val="both"/>
        <w:rPr>
          <w:sz w:val="20"/>
        </w:rPr>
      </w:pPr>
      <w:r w:rsidRPr="002117C0">
        <w:rPr>
          <w:b/>
          <w:sz w:val="20"/>
        </w:rPr>
        <w:t>Vlera e taksueshme e nënproduktit të eksportuar [17]</w:t>
      </w:r>
      <w:r w:rsidRPr="002117C0">
        <w:rPr>
          <w:sz w:val="20"/>
        </w:rPr>
        <w:t xml:space="preserve"> është baza e taksueshme mbi t</w:t>
      </w:r>
      <w:r>
        <w:rPr>
          <w:sz w:val="20"/>
        </w:rPr>
        <w:t>ë</w:t>
      </w:r>
      <w:r w:rsidRPr="002117C0">
        <w:rPr>
          <w:sz w:val="20"/>
        </w:rPr>
        <w:t xml:space="preserve"> cilën aplikohet % e rentës, për nënproduktet e prodhuara nga zotëruesi i lejes të shfrytëzimit (me mineralin që ai vetë nxjerr nga sipërfaqja/nëntoka), të cilat ai i eksporton </w:t>
      </w:r>
      <w:r w:rsidRPr="00E53490">
        <w:rPr>
          <w:sz w:val="20"/>
        </w:rPr>
        <w:t>për muajin për të cilin deklarohet</w:t>
      </w:r>
      <w:r w:rsidRPr="002117C0">
        <w:rPr>
          <w:sz w:val="20"/>
        </w:rPr>
        <w:t xml:space="preserve"> dhe llogaritet vetëm </w:t>
      </w:r>
      <w:proofErr w:type="gramStart"/>
      <w:r w:rsidRPr="002117C0">
        <w:rPr>
          <w:sz w:val="20"/>
        </w:rPr>
        <w:t>për  vlerën</w:t>
      </w:r>
      <w:proofErr w:type="gramEnd"/>
      <w:r w:rsidRPr="002117C0">
        <w:rPr>
          <w:sz w:val="20"/>
        </w:rPr>
        <w:t xml:space="preserve"> e mineralit</w:t>
      </w:r>
      <w:r>
        <w:rPr>
          <w:sz w:val="20"/>
        </w:rPr>
        <w:t xml:space="preserve"> të përdorur për prodhimin e </w:t>
      </w:r>
      <w:r w:rsidRPr="002117C0">
        <w:rPr>
          <w:sz w:val="20"/>
        </w:rPr>
        <w:t xml:space="preserve">këtyre  nënprodukteve. Vlera deklarohet nga zotëruesi i lejes së shfrytëzimit, mbi bazën e normativave teknologjike dhe çmimeve të mineralit të përfshirë në nënprodukt.  </w:t>
      </w:r>
      <w:proofErr w:type="gramStart"/>
      <w:r w:rsidRPr="002117C0">
        <w:rPr>
          <w:sz w:val="20"/>
        </w:rPr>
        <w:t>Ky</w:t>
      </w:r>
      <w:proofErr w:type="gramEnd"/>
      <w:r w:rsidRPr="002117C0">
        <w:rPr>
          <w:sz w:val="20"/>
        </w:rPr>
        <w:t xml:space="preserve"> çmim nuk duhet të jetë më i vogë</w:t>
      </w:r>
      <w:r>
        <w:rPr>
          <w:sz w:val="20"/>
        </w:rPr>
        <w:t xml:space="preserve">l se çmimi referues </w:t>
      </w:r>
      <w:r w:rsidRPr="002117C0">
        <w:rPr>
          <w:sz w:val="20"/>
        </w:rPr>
        <w:t>i përcaktuar në Raportin e Komisionit AD-HOC. Po ashtu normativat teknologjike mbi të cilat llogaritet minerali i përfshirë në nënprodukt nuk duhet të jenë më të ulta se ato të përcaktuara në raportin e komisionit AD-HOC.</w:t>
      </w:r>
    </w:p>
    <w:p w:rsidR="00CF7B79" w:rsidRPr="002117C0" w:rsidRDefault="00CF7B79" w:rsidP="00CF7B79">
      <w:pPr>
        <w:numPr>
          <w:ilvl w:val="0"/>
          <w:numId w:val="14"/>
        </w:numPr>
        <w:jc w:val="both"/>
        <w:rPr>
          <w:sz w:val="20"/>
        </w:rPr>
      </w:pPr>
      <w:r w:rsidRPr="002117C0">
        <w:rPr>
          <w:b/>
          <w:sz w:val="20"/>
        </w:rPr>
        <w:t>Vlera</w:t>
      </w:r>
      <w:r>
        <w:rPr>
          <w:b/>
          <w:sz w:val="20"/>
        </w:rPr>
        <w:t xml:space="preserve"> </w:t>
      </w:r>
      <w:r w:rsidRPr="002117C0">
        <w:rPr>
          <w:b/>
          <w:sz w:val="20"/>
        </w:rPr>
        <w:t>totale e nënproduktit të eksportuar [18]</w:t>
      </w:r>
      <w:r w:rsidRPr="002117C0">
        <w:rPr>
          <w:sz w:val="20"/>
        </w:rPr>
        <w:t xml:space="preserve"> tregon vlerën </w:t>
      </w:r>
      <w:proofErr w:type="gramStart"/>
      <w:r w:rsidRPr="002117C0">
        <w:rPr>
          <w:sz w:val="20"/>
        </w:rPr>
        <w:t>e  eksporteve</w:t>
      </w:r>
      <w:proofErr w:type="gramEnd"/>
      <w:r w:rsidRPr="002117C0">
        <w:rPr>
          <w:sz w:val="20"/>
        </w:rPr>
        <w:t xml:space="preserve"> të kryera nga vet</w:t>
      </w:r>
      <w:r>
        <w:rPr>
          <w:sz w:val="20"/>
        </w:rPr>
        <w:t>ë</w:t>
      </w:r>
      <w:r w:rsidRPr="002117C0">
        <w:rPr>
          <w:sz w:val="20"/>
        </w:rPr>
        <w:t xml:space="preserve"> zotëruesi i lejes së shfrytëzimi </w:t>
      </w:r>
      <w:r w:rsidRPr="00AF5FEB">
        <w:rPr>
          <w:sz w:val="20"/>
        </w:rPr>
        <w:t>për muajin në të cilin deklarohet</w:t>
      </w:r>
      <w:r w:rsidRPr="002117C0">
        <w:rPr>
          <w:sz w:val="20"/>
        </w:rPr>
        <w:t xml:space="preserve">,  të nënproduktit të prodhuar me mineralin që ky zotërues i lejes ka nxjerë nga sipërfaqja/nëntoka, mbi bazën e çmimeve të </w:t>
      </w:r>
      <w:r>
        <w:rPr>
          <w:sz w:val="20"/>
        </w:rPr>
        <w:t>eksportit</w:t>
      </w:r>
      <w:r w:rsidRPr="002117C0">
        <w:rPr>
          <w:sz w:val="20"/>
        </w:rPr>
        <w:t xml:space="preserve">, që është çmimi FOB Shqipëri. </w:t>
      </w:r>
    </w:p>
    <w:p w:rsidR="00CF7B79" w:rsidRPr="002117C0" w:rsidRDefault="00CF7B79" w:rsidP="00CF7B79">
      <w:pPr>
        <w:numPr>
          <w:ilvl w:val="0"/>
          <w:numId w:val="14"/>
        </w:numPr>
        <w:jc w:val="both"/>
        <w:rPr>
          <w:sz w:val="20"/>
        </w:rPr>
      </w:pPr>
      <w:r w:rsidRPr="002117C0">
        <w:rPr>
          <w:b/>
          <w:sz w:val="20"/>
        </w:rPr>
        <w:t>Renta e llogaritur për mineralin e eksportuar [19],</w:t>
      </w:r>
      <w:r w:rsidRPr="002117C0">
        <w:rPr>
          <w:sz w:val="20"/>
        </w:rPr>
        <w:t xml:space="preserve"> tregon vlerën e rentës që duhet të paguhet nga zotëruesi i lejes të shfrytëzimit për mineralin e papërpunuar, të eksportuar nga ana e tij </w:t>
      </w:r>
      <w:r w:rsidRPr="00AF5FEB">
        <w:rPr>
          <w:sz w:val="20"/>
        </w:rPr>
        <w:t xml:space="preserve">për muajin për të cilin deklarohet </w:t>
      </w:r>
      <w:r w:rsidRPr="002117C0">
        <w:rPr>
          <w:sz w:val="20"/>
        </w:rPr>
        <w:t xml:space="preserve">e cila rezulton duke shumëzuar vlerën e taksueshme </w:t>
      </w:r>
      <w:r w:rsidRPr="00911600">
        <w:rPr>
          <w:b/>
          <w:sz w:val="20"/>
        </w:rPr>
        <w:t>[15</w:t>
      </w:r>
      <w:proofErr w:type="gramStart"/>
      <w:r w:rsidRPr="00911600">
        <w:rPr>
          <w:b/>
          <w:sz w:val="20"/>
        </w:rPr>
        <w:t>]</w:t>
      </w:r>
      <w:r w:rsidRPr="002117C0">
        <w:rPr>
          <w:sz w:val="20"/>
        </w:rPr>
        <w:t xml:space="preserve">  me</w:t>
      </w:r>
      <w:proofErr w:type="gramEnd"/>
      <w:r w:rsidRPr="002117C0">
        <w:rPr>
          <w:sz w:val="20"/>
        </w:rPr>
        <w:t xml:space="preserve">  % e rentës  të miratuar për k</w:t>
      </w:r>
      <w:r>
        <w:rPr>
          <w:sz w:val="20"/>
        </w:rPr>
        <w:t>ë</w:t>
      </w:r>
      <w:r w:rsidRPr="002117C0">
        <w:rPr>
          <w:sz w:val="20"/>
        </w:rPr>
        <w:t xml:space="preserve">to minerale, bazuar në shtojcën 2 të ligjit nr. 9975, datë </w:t>
      </w:r>
      <w:proofErr w:type="gramStart"/>
      <w:r w:rsidRPr="002117C0">
        <w:rPr>
          <w:sz w:val="20"/>
        </w:rPr>
        <w:t>28.07.2008 ,</w:t>
      </w:r>
      <w:proofErr w:type="gramEnd"/>
      <w:r w:rsidRPr="002117C0">
        <w:rPr>
          <w:sz w:val="20"/>
        </w:rPr>
        <w:t xml:space="preserve"> i ndryshuar.</w:t>
      </w:r>
    </w:p>
    <w:p w:rsidR="00CF7B79" w:rsidRPr="00AF5FEB" w:rsidRDefault="00CF7B79" w:rsidP="00CF7B79">
      <w:pPr>
        <w:numPr>
          <w:ilvl w:val="0"/>
          <w:numId w:val="14"/>
        </w:numPr>
        <w:jc w:val="both"/>
        <w:rPr>
          <w:sz w:val="20"/>
        </w:rPr>
      </w:pPr>
      <w:r w:rsidRPr="002117C0">
        <w:rPr>
          <w:b/>
          <w:sz w:val="20"/>
        </w:rPr>
        <w:t xml:space="preserve">Renta e paguar për mineralin e </w:t>
      </w:r>
      <w:proofErr w:type="gramStart"/>
      <w:r w:rsidRPr="002117C0">
        <w:rPr>
          <w:b/>
          <w:sz w:val="20"/>
        </w:rPr>
        <w:t>eksportuar[</w:t>
      </w:r>
      <w:proofErr w:type="gramEnd"/>
      <w:r w:rsidRPr="002117C0">
        <w:rPr>
          <w:b/>
          <w:sz w:val="20"/>
        </w:rPr>
        <w:t>20]</w:t>
      </w:r>
      <w:r w:rsidRPr="002117C0">
        <w:rPr>
          <w:sz w:val="20"/>
        </w:rPr>
        <w:t xml:space="preserve"> tregon rentën e paguar në doganë për mineralin e papërpunuar</w:t>
      </w:r>
      <w:r>
        <w:rPr>
          <w:sz w:val="20"/>
        </w:rPr>
        <w:t>,</w:t>
      </w:r>
      <w:r w:rsidRPr="002117C0">
        <w:rPr>
          <w:sz w:val="20"/>
        </w:rPr>
        <w:t xml:space="preserve"> që zotëruesi i lejes nxjerr nga sipërfaqa/nëntoka dhe e eksporton ai vetë </w:t>
      </w:r>
      <w:r w:rsidRPr="00AF5FEB">
        <w:rPr>
          <w:sz w:val="20"/>
        </w:rPr>
        <w:t>në muajin për të cilin deklarohet .</w:t>
      </w:r>
    </w:p>
    <w:p w:rsidR="00CF7B79" w:rsidRPr="002117C0" w:rsidRDefault="00CF7B79" w:rsidP="00CF7B79">
      <w:pPr>
        <w:numPr>
          <w:ilvl w:val="0"/>
          <w:numId w:val="14"/>
        </w:numPr>
        <w:jc w:val="both"/>
        <w:rPr>
          <w:sz w:val="20"/>
        </w:rPr>
      </w:pPr>
      <w:r w:rsidRPr="002117C0">
        <w:rPr>
          <w:b/>
          <w:sz w:val="20"/>
        </w:rPr>
        <w:t xml:space="preserve">Renta e llogaritur për nënproduktin e </w:t>
      </w:r>
      <w:proofErr w:type="gramStart"/>
      <w:r w:rsidRPr="002117C0">
        <w:rPr>
          <w:b/>
          <w:sz w:val="20"/>
        </w:rPr>
        <w:t>eksportuar[</w:t>
      </w:r>
      <w:proofErr w:type="gramEnd"/>
      <w:r w:rsidRPr="002117C0">
        <w:rPr>
          <w:b/>
          <w:sz w:val="20"/>
        </w:rPr>
        <w:t>21]</w:t>
      </w:r>
      <w:r w:rsidRPr="002117C0">
        <w:rPr>
          <w:sz w:val="20"/>
        </w:rPr>
        <w:t>,</w:t>
      </w:r>
      <w:r w:rsidRPr="002117C0">
        <w:rPr>
          <w:b/>
          <w:sz w:val="20"/>
        </w:rPr>
        <w:t xml:space="preserve"> </w:t>
      </w:r>
      <w:r w:rsidRPr="002117C0">
        <w:rPr>
          <w:sz w:val="20"/>
        </w:rPr>
        <w:t xml:space="preserve">tregon rentën që duhet të paguhet nga zotëruesi i lejes së shfrytëzimit për mineralin që ai vetë ka nxjerr nga sipërfaqa/nëntoka, dhe që e ka përdorur për prodhimin e nënproduktit të eksportuar nga ana e tij </w:t>
      </w:r>
      <w:r w:rsidRPr="00AF5FEB">
        <w:rPr>
          <w:sz w:val="20"/>
        </w:rPr>
        <w:t>për muajin për të cilin deklarohet</w:t>
      </w:r>
      <w:r w:rsidRPr="002117C0">
        <w:rPr>
          <w:sz w:val="20"/>
        </w:rPr>
        <w:t>, dhe që  rezulton duke shumëzuar vlerën e taks</w:t>
      </w:r>
      <w:r>
        <w:rPr>
          <w:sz w:val="20"/>
        </w:rPr>
        <w:t xml:space="preserve">ueshme </w:t>
      </w:r>
      <w:r w:rsidRPr="00911600">
        <w:rPr>
          <w:b/>
          <w:sz w:val="20"/>
        </w:rPr>
        <w:t>[17]</w:t>
      </w:r>
      <w:r w:rsidRPr="002117C0">
        <w:rPr>
          <w:sz w:val="20"/>
        </w:rPr>
        <w:t xml:space="preserve">  me  % e rentës  së miratuar  për këtë mineral bazuar në shtojcën 2 të ligjit nr. 9975, datë </w:t>
      </w:r>
      <w:proofErr w:type="gramStart"/>
      <w:r w:rsidRPr="002117C0">
        <w:rPr>
          <w:sz w:val="20"/>
        </w:rPr>
        <w:t>28.07.2008 ,</w:t>
      </w:r>
      <w:proofErr w:type="gramEnd"/>
      <w:r w:rsidRPr="002117C0">
        <w:rPr>
          <w:sz w:val="20"/>
        </w:rPr>
        <w:t xml:space="preserve"> i ndryshuar</w:t>
      </w:r>
      <w:r>
        <w:rPr>
          <w:sz w:val="20"/>
        </w:rPr>
        <w:t xml:space="preserve"> (si dhe në raportin e Komisionit AD-HOC)</w:t>
      </w:r>
      <w:r w:rsidRPr="002117C0">
        <w:rPr>
          <w:sz w:val="20"/>
        </w:rPr>
        <w:t>.</w:t>
      </w:r>
    </w:p>
    <w:p w:rsidR="00CF7B79" w:rsidRPr="002117C0" w:rsidRDefault="00CF7B79" w:rsidP="00CF7B79">
      <w:pPr>
        <w:numPr>
          <w:ilvl w:val="0"/>
          <w:numId w:val="14"/>
        </w:numPr>
        <w:jc w:val="both"/>
        <w:rPr>
          <w:sz w:val="20"/>
        </w:rPr>
      </w:pPr>
      <w:r w:rsidRPr="002117C0">
        <w:rPr>
          <w:b/>
          <w:sz w:val="20"/>
        </w:rPr>
        <w:t xml:space="preserve">Renta e paguar për nënproduktin e </w:t>
      </w:r>
      <w:proofErr w:type="gramStart"/>
      <w:r w:rsidRPr="002117C0">
        <w:rPr>
          <w:b/>
          <w:sz w:val="20"/>
        </w:rPr>
        <w:t>eksportuar[</w:t>
      </w:r>
      <w:proofErr w:type="gramEnd"/>
      <w:r w:rsidRPr="002117C0">
        <w:rPr>
          <w:b/>
          <w:sz w:val="20"/>
        </w:rPr>
        <w:t xml:space="preserve">22] </w:t>
      </w:r>
      <w:r w:rsidRPr="002117C0">
        <w:rPr>
          <w:sz w:val="20"/>
        </w:rPr>
        <w:t xml:space="preserve">tregon rentën e paguar në doganë për mineralin e përfshirë në nënproduktet e eksportuara nga zotëruesi i lejes së shfrytëzimit </w:t>
      </w:r>
      <w:r w:rsidRPr="00911600">
        <w:rPr>
          <w:sz w:val="20"/>
        </w:rPr>
        <w:t>për muajin për të cilin deklarohet</w:t>
      </w:r>
      <w:r w:rsidRPr="002117C0">
        <w:rPr>
          <w:sz w:val="20"/>
        </w:rPr>
        <w:t>, (nënprodukte të cilat ai i ka prodhuar vetë me mineralin që ai vet</w:t>
      </w:r>
      <w:r>
        <w:rPr>
          <w:sz w:val="20"/>
        </w:rPr>
        <w:t>ë</w:t>
      </w:r>
      <w:r w:rsidRPr="002117C0">
        <w:rPr>
          <w:sz w:val="20"/>
        </w:rPr>
        <w:t xml:space="preserve"> ka nxje</w:t>
      </w:r>
      <w:r>
        <w:rPr>
          <w:sz w:val="20"/>
        </w:rPr>
        <w:t>r</w:t>
      </w:r>
      <w:r w:rsidRPr="002117C0">
        <w:rPr>
          <w:sz w:val="20"/>
        </w:rPr>
        <w:t>r</w:t>
      </w:r>
      <w:r>
        <w:rPr>
          <w:sz w:val="20"/>
        </w:rPr>
        <w:t>ë</w:t>
      </w:r>
      <w:r w:rsidRPr="002117C0">
        <w:rPr>
          <w:sz w:val="20"/>
        </w:rPr>
        <w:t xml:space="preserve"> nga sipërfaqja/n</w:t>
      </w:r>
      <w:r>
        <w:rPr>
          <w:sz w:val="20"/>
        </w:rPr>
        <w:t>ë</w:t>
      </w:r>
      <w:r w:rsidRPr="002117C0">
        <w:rPr>
          <w:sz w:val="20"/>
        </w:rPr>
        <w:t>ntoka).</w:t>
      </w:r>
    </w:p>
    <w:p w:rsidR="00CF7B79" w:rsidRPr="002117C0" w:rsidRDefault="00CF7B79" w:rsidP="00CF7B79">
      <w:pPr>
        <w:numPr>
          <w:ilvl w:val="0"/>
          <w:numId w:val="14"/>
        </w:numPr>
        <w:jc w:val="both"/>
        <w:rPr>
          <w:sz w:val="20"/>
        </w:rPr>
      </w:pPr>
      <w:r w:rsidRPr="002117C0">
        <w:rPr>
          <w:b/>
          <w:bCs/>
          <w:sz w:val="20"/>
        </w:rPr>
        <w:t>Totali i rentës s</w:t>
      </w:r>
      <w:r>
        <w:rPr>
          <w:b/>
          <w:bCs/>
          <w:sz w:val="20"/>
        </w:rPr>
        <w:t>ë</w:t>
      </w:r>
      <w:r w:rsidRPr="002117C0">
        <w:rPr>
          <w:b/>
          <w:bCs/>
          <w:sz w:val="20"/>
        </w:rPr>
        <w:t xml:space="preserve"> </w:t>
      </w:r>
      <w:proofErr w:type="gramStart"/>
      <w:r w:rsidRPr="002117C0">
        <w:rPr>
          <w:b/>
          <w:bCs/>
          <w:sz w:val="20"/>
        </w:rPr>
        <w:t>llogaritur[</w:t>
      </w:r>
      <w:proofErr w:type="gramEnd"/>
      <w:r w:rsidRPr="002117C0">
        <w:rPr>
          <w:b/>
          <w:bCs/>
          <w:sz w:val="20"/>
        </w:rPr>
        <w:t xml:space="preserve">23], </w:t>
      </w:r>
      <w:r w:rsidRPr="002117C0">
        <w:rPr>
          <w:bCs/>
          <w:sz w:val="20"/>
        </w:rPr>
        <w:t xml:space="preserve">tregon shumën totale të rentës që duhet të paguhet nga zotëruesi i lejes të shfrytëzimit, pra shumën e rentës së llogaritur për mineralin e eksportuar me rentën e llogaritur për nënproduktin e mineralit të eksportuar dhe është shuma e rubrikave </w:t>
      </w:r>
      <w:r w:rsidRPr="002117C0">
        <w:rPr>
          <w:b/>
          <w:sz w:val="20"/>
        </w:rPr>
        <w:t>[19]+</w:t>
      </w:r>
      <w:r w:rsidRPr="002117C0">
        <w:rPr>
          <w:b/>
          <w:bCs/>
          <w:sz w:val="20"/>
        </w:rPr>
        <w:t xml:space="preserve"> [21].</w:t>
      </w:r>
    </w:p>
    <w:p w:rsidR="00CF7B79" w:rsidRPr="002117C0" w:rsidRDefault="00CF7B79" w:rsidP="00CF7B79">
      <w:pPr>
        <w:numPr>
          <w:ilvl w:val="0"/>
          <w:numId w:val="14"/>
        </w:numPr>
        <w:jc w:val="both"/>
        <w:rPr>
          <w:sz w:val="20"/>
        </w:rPr>
      </w:pPr>
      <w:r w:rsidRPr="002117C0">
        <w:rPr>
          <w:b/>
          <w:bCs/>
          <w:sz w:val="20"/>
        </w:rPr>
        <w:t xml:space="preserve">Totali i rentës së </w:t>
      </w:r>
      <w:proofErr w:type="gramStart"/>
      <w:r w:rsidRPr="002117C0">
        <w:rPr>
          <w:b/>
          <w:bCs/>
          <w:sz w:val="20"/>
        </w:rPr>
        <w:t>paguar[</w:t>
      </w:r>
      <w:proofErr w:type="gramEnd"/>
      <w:r w:rsidRPr="002117C0">
        <w:rPr>
          <w:b/>
          <w:bCs/>
          <w:sz w:val="20"/>
        </w:rPr>
        <w:t>24]</w:t>
      </w:r>
      <w:r w:rsidRPr="002117C0">
        <w:rPr>
          <w:bCs/>
          <w:sz w:val="20"/>
        </w:rPr>
        <w:t xml:space="preserve"> tregon shumën totale të rentës që është paguar në doganë nga zotëruesi i lejes së shfrytëzimit, pra shumën e rentës së paguar për mineralin e eksportuar me rentën e paguar për nënproduktin e mineralit të eksportuar dhe është shuma e rubrikave </w:t>
      </w:r>
      <w:r w:rsidRPr="002117C0">
        <w:rPr>
          <w:b/>
          <w:sz w:val="20"/>
        </w:rPr>
        <w:t>[20]+</w:t>
      </w:r>
      <w:r w:rsidRPr="002117C0">
        <w:rPr>
          <w:b/>
          <w:bCs/>
          <w:sz w:val="20"/>
        </w:rPr>
        <w:t xml:space="preserve"> [22].</w:t>
      </w:r>
    </w:p>
    <w:p w:rsidR="00CF7B79" w:rsidRPr="002117C0" w:rsidRDefault="00CF7B79" w:rsidP="00CF7B79">
      <w:pPr>
        <w:ind w:left="720"/>
        <w:jc w:val="both"/>
        <w:rPr>
          <w:b/>
          <w:bCs/>
          <w:sz w:val="20"/>
        </w:rPr>
      </w:pPr>
    </w:p>
    <w:p w:rsidR="00CF7B79" w:rsidRPr="002117C0" w:rsidRDefault="00CF7B79" w:rsidP="00CF7B79">
      <w:pPr>
        <w:numPr>
          <w:ilvl w:val="0"/>
          <w:numId w:val="20"/>
        </w:numPr>
        <w:jc w:val="both"/>
        <w:rPr>
          <w:b/>
          <w:bCs/>
          <w:sz w:val="20"/>
        </w:rPr>
      </w:pPr>
      <w:r w:rsidRPr="002117C0">
        <w:rPr>
          <w:b/>
          <w:bCs/>
          <w:sz w:val="20"/>
        </w:rPr>
        <w:t>Eksporte me të tretë</w:t>
      </w:r>
    </w:p>
    <w:p w:rsidR="00CF7B79" w:rsidRPr="002117C0" w:rsidRDefault="00CF7B79" w:rsidP="00CF7B79">
      <w:pPr>
        <w:jc w:val="both"/>
        <w:rPr>
          <w:b/>
          <w:bCs/>
          <w:sz w:val="20"/>
        </w:rPr>
      </w:pPr>
      <w:proofErr w:type="gramStart"/>
      <w:r w:rsidRPr="002117C0">
        <w:rPr>
          <w:b/>
          <w:bCs/>
          <w:sz w:val="20"/>
        </w:rPr>
        <w:t>III/1.</w:t>
      </w:r>
      <w:proofErr w:type="gramEnd"/>
      <w:r w:rsidRPr="002117C0">
        <w:rPr>
          <w:b/>
          <w:bCs/>
          <w:sz w:val="20"/>
        </w:rPr>
        <w:t xml:space="preserve"> Shitje nga zotëruesi i lejes së shfrytëzimit tek eksportuesi, t</w:t>
      </w:r>
      <w:r>
        <w:rPr>
          <w:b/>
          <w:bCs/>
          <w:sz w:val="20"/>
        </w:rPr>
        <w:t>ë</w:t>
      </w:r>
      <w:r w:rsidRPr="002117C0">
        <w:rPr>
          <w:b/>
          <w:bCs/>
          <w:sz w:val="20"/>
        </w:rPr>
        <w:t xml:space="preserve"> mineralit të papërpunuar që zotëruesi i </w:t>
      </w:r>
      <w:proofErr w:type="gramStart"/>
      <w:r w:rsidRPr="002117C0">
        <w:rPr>
          <w:b/>
          <w:bCs/>
          <w:sz w:val="20"/>
        </w:rPr>
        <w:t>lejes  nxjerr</w:t>
      </w:r>
      <w:proofErr w:type="gramEnd"/>
      <w:r w:rsidRPr="002117C0">
        <w:rPr>
          <w:b/>
          <w:bCs/>
          <w:sz w:val="20"/>
        </w:rPr>
        <w:t xml:space="preserve"> nga sipërfaqja/nëntoka me destinacion eksport,</w:t>
      </w:r>
      <w:r>
        <w:rPr>
          <w:b/>
          <w:bCs/>
          <w:sz w:val="20"/>
        </w:rPr>
        <w:t xml:space="preserve"> si dhe shitje </w:t>
      </w:r>
      <w:r w:rsidRPr="002117C0">
        <w:rPr>
          <w:b/>
          <w:bCs/>
          <w:sz w:val="20"/>
        </w:rPr>
        <w:t>nga zotëruesi i lejes të shfrytëzimit tek eksportuesi,</w:t>
      </w:r>
      <w:r>
        <w:rPr>
          <w:b/>
          <w:bCs/>
          <w:sz w:val="20"/>
        </w:rPr>
        <w:t xml:space="preserve"> të nënproduktit të </w:t>
      </w:r>
      <w:r w:rsidRPr="002117C0">
        <w:rPr>
          <w:b/>
          <w:bCs/>
          <w:sz w:val="20"/>
        </w:rPr>
        <w:t>prodhuar nga zotëruesi i lejes (me mineralin që ai ka nxjerrë nga sipërfaqja/nëntoka) me destinacion eksport. Sh</w:t>
      </w:r>
      <w:r>
        <w:rPr>
          <w:b/>
          <w:bCs/>
          <w:sz w:val="20"/>
        </w:rPr>
        <w:t>ë</w:t>
      </w:r>
      <w:r w:rsidRPr="002117C0">
        <w:rPr>
          <w:b/>
          <w:bCs/>
          <w:sz w:val="20"/>
        </w:rPr>
        <w:t>nim: Zot</w:t>
      </w:r>
      <w:r>
        <w:rPr>
          <w:b/>
          <w:bCs/>
          <w:sz w:val="20"/>
        </w:rPr>
        <w:t>ë</w:t>
      </w:r>
      <w:r w:rsidRPr="002117C0">
        <w:rPr>
          <w:b/>
          <w:bCs/>
          <w:sz w:val="20"/>
        </w:rPr>
        <w:t>ruesi i lejes i cili nxjerr mineralin n</w:t>
      </w:r>
      <w:r>
        <w:rPr>
          <w:b/>
          <w:bCs/>
          <w:sz w:val="20"/>
        </w:rPr>
        <w:t>ë</w:t>
      </w:r>
      <w:r w:rsidRPr="002117C0">
        <w:rPr>
          <w:b/>
          <w:bCs/>
          <w:sz w:val="20"/>
        </w:rPr>
        <w:t xml:space="preserve"> k</w:t>
      </w:r>
      <w:r>
        <w:rPr>
          <w:b/>
          <w:bCs/>
          <w:sz w:val="20"/>
        </w:rPr>
        <w:t>ë</w:t>
      </w:r>
      <w:r w:rsidRPr="002117C0">
        <w:rPr>
          <w:b/>
          <w:bCs/>
          <w:sz w:val="20"/>
        </w:rPr>
        <w:t>t</w:t>
      </w:r>
      <w:r>
        <w:rPr>
          <w:b/>
          <w:bCs/>
          <w:sz w:val="20"/>
        </w:rPr>
        <w:t>ë</w:t>
      </w:r>
      <w:r w:rsidRPr="002117C0">
        <w:rPr>
          <w:b/>
          <w:bCs/>
          <w:sz w:val="20"/>
        </w:rPr>
        <w:t xml:space="preserve"> rast nuk </w:t>
      </w:r>
      <w:r>
        <w:rPr>
          <w:b/>
          <w:bCs/>
          <w:sz w:val="20"/>
        </w:rPr>
        <w:t>ë</w:t>
      </w:r>
      <w:r w:rsidRPr="002117C0">
        <w:rPr>
          <w:b/>
          <w:bCs/>
          <w:sz w:val="20"/>
        </w:rPr>
        <w:t>sht</w:t>
      </w:r>
      <w:r>
        <w:rPr>
          <w:b/>
          <w:bCs/>
          <w:sz w:val="20"/>
        </w:rPr>
        <w:t>ë</w:t>
      </w:r>
      <w:r w:rsidRPr="002117C0">
        <w:rPr>
          <w:b/>
          <w:bCs/>
          <w:sz w:val="20"/>
        </w:rPr>
        <w:t xml:space="preserve"> ai vet</w:t>
      </w:r>
      <w:r>
        <w:rPr>
          <w:b/>
          <w:bCs/>
          <w:sz w:val="20"/>
        </w:rPr>
        <w:t>ë</w:t>
      </w:r>
      <w:r w:rsidRPr="002117C0">
        <w:rPr>
          <w:b/>
          <w:bCs/>
          <w:sz w:val="20"/>
        </w:rPr>
        <w:t xml:space="preserve"> eksportuesi i mineralit apo n</w:t>
      </w:r>
      <w:r>
        <w:rPr>
          <w:b/>
          <w:bCs/>
          <w:sz w:val="20"/>
        </w:rPr>
        <w:t>ë</w:t>
      </w:r>
      <w:r w:rsidRPr="002117C0">
        <w:rPr>
          <w:b/>
          <w:bCs/>
          <w:sz w:val="20"/>
        </w:rPr>
        <w:t xml:space="preserve">nproduktit. </w:t>
      </w:r>
    </w:p>
    <w:p w:rsidR="00CF7B79" w:rsidRPr="002117C0" w:rsidRDefault="00CF7B79" w:rsidP="00CF7B79">
      <w:pPr>
        <w:numPr>
          <w:ilvl w:val="0"/>
          <w:numId w:val="14"/>
        </w:numPr>
        <w:jc w:val="both"/>
        <w:rPr>
          <w:sz w:val="20"/>
        </w:rPr>
      </w:pPr>
      <w:r w:rsidRPr="002117C0">
        <w:rPr>
          <w:b/>
          <w:sz w:val="20"/>
        </w:rPr>
        <w:t>Vlera e taksueshme e mineralit [25]</w:t>
      </w:r>
      <w:r w:rsidRPr="002117C0">
        <w:rPr>
          <w:sz w:val="20"/>
        </w:rPr>
        <w:t xml:space="preserve"> është baza e taksueshme mbi t</w:t>
      </w:r>
      <w:r>
        <w:rPr>
          <w:sz w:val="20"/>
        </w:rPr>
        <w:t>ë</w:t>
      </w:r>
      <w:r w:rsidRPr="002117C0">
        <w:rPr>
          <w:sz w:val="20"/>
        </w:rPr>
        <w:t xml:space="preserve"> cilën aplikohet % e rentës, që në rastin e shitjes së mineralit të papërpunuar nga zotëruesi i lejes tek eksportuesi, është e njëjtë me vlerën totale të shitjeve [26].</w:t>
      </w:r>
    </w:p>
    <w:p w:rsidR="00CF7B79" w:rsidRPr="002117C0" w:rsidRDefault="00CF7B79" w:rsidP="00CF7B79">
      <w:pPr>
        <w:numPr>
          <w:ilvl w:val="0"/>
          <w:numId w:val="14"/>
        </w:numPr>
        <w:jc w:val="both"/>
        <w:rPr>
          <w:sz w:val="20"/>
        </w:rPr>
      </w:pPr>
      <w:r w:rsidRPr="002117C0">
        <w:rPr>
          <w:b/>
          <w:sz w:val="20"/>
        </w:rPr>
        <w:t>Vlera totale e mineralit [26]</w:t>
      </w:r>
      <w:r w:rsidRPr="002117C0">
        <w:rPr>
          <w:sz w:val="20"/>
        </w:rPr>
        <w:t xml:space="preserve"> janë shitjet, brenda vendit, nga zotëruesi i lejes tek </w:t>
      </w:r>
      <w:r w:rsidRPr="00CF2F0D">
        <w:rPr>
          <w:sz w:val="20"/>
        </w:rPr>
        <w:t>eksportuesi për muajin në të cilin deklarohet</w:t>
      </w:r>
      <w:proofErr w:type="gramStart"/>
      <w:r w:rsidRPr="002117C0">
        <w:rPr>
          <w:sz w:val="20"/>
        </w:rPr>
        <w:t>,  mbi</w:t>
      </w:r>
      <w:proofErr w:type="gramEnd"/>
      <w:r w:rsidRPr="002117C0">
        <w:rPr>
          <w:sz w:val="20"/>
        </w:rPr>
        <w:t xml:space="preserve"> bazën e çmimeve të tregut brenda vendit, bazuar n</w:t>
      </w:r>
      <w:r>
        <w:rPr>
          <w:sz w:val="20"/>
        </w:rPr>
        <w:t>ë</w:t>
      </w:r>
      <w:r w:rsidRPr="002117C0">
        <w:rPr>
          <w:sz w:val="20"/>
        </w:rPr>
        <w:t xml:space="preserve"> faturat e shitjes me TVSH,  t</w:t>
      </w:r>
      <w:r>
        <w:rPr>
          <w:sz w:val="20"/>
        </w:rPr>
        <w:t>ë</w:t>
      </w:r>
      <w:r w:rsidRPr="002117C0">
        <w:rPr>
          <w:sz w:val="20"/>
        </w:rPr>
        <w:t xml:space="preserve"> mineralit të papërpunuar të nxjerrë nga sipërfaqja/nëntoka nga zotëruesi i lejes.</w:t>
      </w:r>
    </w:p>
    <w:p w:rsidR="00CF7B79" w:rsidRPr="002117C0" w:rsidRDefault="00CF7B79" w:rsidP="00CF7B79">
      <w:pPr>
        <w:numPr>
          <w:ilvl w:val="0"/>
          <w:numId w:val="14"/>
        </w:numPr>
        <w:jc w:val="both"/>
        <w:rPr>
          <w:sz w:val="20"/>
        </w:rPr>
      </w:pPr>
      <w:r w:rsidRPr="002117C0">
        <w:rPr>
          <w:b/>
          <w:sz w:val="20"/>
        </w:rPr>
        <w:t>Vlera e taksueshme e n</w:t>
      </w:r>
      <w:r>
        <w:rPr>
          <w:b/>
          <w:sz w:val="20"/>
        </w:rPr>
        <w:t>ë</w:t>
      </w:r>
      <w:r w:rsidRPr="002117C0">
        <w:rPr>
          <w:b/>
          <w:sz w:val="20"/>
        </w:rPr>
        <w:t>nproduktit [27]</w:t>
      </w:r>
      <w:r w:rsidRPr="002117C0">
        <w:rPr>
          <w:sz w:val="20"/>
        </w:rPr>
        <w:t xml:space="preserve"> është baza e taksueshme mbi te cilën aplikohet % e rentës, për nënproduktet e prodhuara nga zotëruesi i lejes të shfrytëzimit (me mineralin që ai vetë nxjerr nga sipërfaqja/nëntoka)  të cilat ai i shet  brenda vendit tek eksportuesi dhe që është vetëm vlera e mineralit të përdorur për prodhimin e  këtyre  nënprodukteve. Vlera deklarohet nga zot</w:t>
      </w:r>
      <w:r>
        <w:rPr>
          <w:sz w:val="20"/>
        </w:rPr>
        <w:t>ë</w:t>
      </w:r>
      <w:r w:rsidRPr="002117C0">
        <w:rPr>
          <w:sz w:val="20"/>
        </w:rPr>
        <w:t>ruesi i lejes, mbi bazën e normativave teknologjike dhe çmimeve të mineralit të përfshirë në nënproduktin e shitur tek eksportuesi, i cili nuk duhet të jetë më i vogël se çmimi referues i përcaktuar në Raportin e Komisionit AD-HOC. Po ashtu normativat teknologjike mbi të cilat llogaritet minerali i përfshirë në nënprodukt nuk duhet të jenë më të ulta se ato të përcaktuara në raportin e komisionit AD-HOC.</w:t>
      </w:r>
    </w:p>
    <w:p w:rsidR="00CF7B79" w:rsidRPr="002117C0" w:rsidRDefault="00CF7B79" w:rsidP="00CF7B79">
      <w:pPr>
        <w:numPr>
          <w:ilvl w:val="0"/>
          <w:numId w:val="14"/>
        </w:numPr>
        <w:jc w:val="both"/>
        <w:rPr>
          <w:sz w:val="20"/>
        </w:rPr>
      </w:pPr>
      <w:r w:rsidRPr="002117C0">
        <w:rPr>
          <w:b/>
          <w:sz w:val="20"/>
        </w:rPr>
        <w:t>Vlera totale e n</w:t>
      </w:r>
      <w:r>
        <w:rPr>
          <w:b/>
          <w:sz w:val="20"/>
        </w:rPr>
        <w:t>ë</w:t>
      </w:r>
      <w:r w:rsidRPr="002117C0">
        <w:rPr>
          <w:b/>
          <w:sz w:val="20"/>
        </w:rPr>
        <w:t>nproduktit [28]</w:t>
      </w:r>
      <w:r w:rsidRPr="002117C0">
        <w:rPr>
          <w:sz w:val="20"/>
        </w:rPr>
        <w:t xml:space="preserve"> janë shitjet brenda vendit, nga zotëruesi i lejes tek eksportuesi</w:t>
      </w:r>
      <w:proofErr w:type="gramStart"/>
      <w:r w:rsidRPr="002117C0">
        <w:rPr>
          <w:sz w:val="20"/>
        </w:rPr>
        <w:t>,  për</w:t>
      </w:r>
      <w:proofErr w:type="gramEnd"/>
      <w:r w:rsidRPr="002117C0">
        <w:rPr>
          <w:sz w:val="20"/>
        </w:rPr>
        <w:t xml:space="preserve"> muajin në të cilin deklarohet,  mbi bazën e çmimeve të tregut brenda vendit,  bazuar ne faturat e shitjes me TVSH të nënproduktit të prodhuar nga zotëruesi i lejes të shfrytëzimi.</w:t>
      </w:r>
    </w:p>
    <w:p w:rsidR="00CF7B79" w:rsidRPr="002117C0" w:rsidRDefault="00CF7B79" w:rsidP="00CF7B79">
      <w:pPr>
        <w:numPr>
          <w:ilvl w:val="0"/>
          <w:numId w:val="14"/>
        </w:numPr>
        <w:jc w:val="both"/>
        <w:rPr>
          <w:sz w:val="20"/>
        </w:rPr>
      </w:pPr>
      <w:r w:rsidRPr="002117C0">
        <w:rPr>
          <w:b/>
          <w:sz w:val="20"/>
        </w:rPr>
        <w:t>Renta e llogaritur p</w:t>
      </w:r>
      <w:r>
        <w:rPr>
          <w:b/>
          <w:sz w:val="20"/>
        </w:rPr>
        <w:t>ë</w:t>
      </w:r>
      <w:r w:rsidRPr="002117C0">
        <w:rPr>
          <w:b/>
          <w:sz w:val="20"/>
        </w:rPr>
        <w:t>r mineralin[29],</w:t>
      </w:r>
      <w:r w:rsidRPr="002117C0">
        <w:rPr>
          <w:sz w:val="20"/>
        </w:rPr>
        <w:t xml:space="preserve"> tregon rentën që duhet të paguhet nga zotëruesi i lejes të shfrytëzimit për mineralin e papërpunuar të shitur brenda vendit tek eksportuesi e cila del duke shum</w:t>
      </w:r>
      <w:r>
        <w:rPr>
          <w:sz w:val="20"/>
        </w:rPr>
        <w:t>ë</w:t>
      </w:r>
      <w:r w:rsidRPr="002117C0">
        <w:rPr>
          <w:sz w:val="20"/>
        </w:rPr>
        <w:t xml:space="preserve">zuar vlerën e tatueshme </w:t>
      </w:r>
      <w:r w:rsidRPr="004555D4">
        <w:rPr>
          <w:b/>
          <w:sz w:val="20"/>
        </w:rPr>
        <w:t>[25]</w:t>
      </w:r>
      <w:r w:rsidRPr="002117C0">
        <w:rPr>
          <w:sz w:val="20"/>
        </w:rPr>
        <w:t xml:space="preserve">  me  % e rentës  të miratuar për këtë mineral bazuar në shtojcën 2 të ligjit nr. 9975, datë </w:t>
      </w:r>
      <w:proofErr w:type="gramStart"/>
      <w:r w:rsidRPr="002117C0">
        <w:rPr>
          <w:sz w:val="20"/>
        </w:rPr>
        <w:t>28.07.2008 ,</w:t>
      </w:r>
      <w:proofErr w:type="gramEnd"/>
      <w:r w:rsidRPr="002117C0">
        <w:rPr>
          <w:sz w:val="20"/>
        </w:rPr>
        <w:t xml:space="preserve"> i ndryshuar. </w:t>
      </w:r>
    </w:p>
    <w:p w:rsidR="00CF7B79" w:rsidRPr="002117C0" w:rsidRDefault="00CF7B79" w:rsidP="00CF7B79">
      <w:pPr>
        <w:numPr>
          <w:ilvl w:val="0"/>
          <w:numId w:val="14"/>
        </w:numPr>
        <w:jc w:val="both"/>
        <w:rPr>
          <w:sz w:val="20"/>
        </w:rPr>
      </w:pPr>
      <w:r w:rsidRPr="002117C0">
        <w:rPr>
          <w:b/>
          <w:sz w:val="20"/>
        </w:rPr>
        <w:t>Renta e llogaritur p</w:t>
      </w:r>
      <w:r>
        <w:rPr>
          <w:b/>
          <w:sz w:val="20"/>
        </w:rPr>
        <w:t>ë</w:t>
      </w:r>
      <w:r w:rsidRPr="002117C0">
        <w:rPr>
          <w:b/>
          <w:sz w:val="20"/>
        </w:rPr>
        <w:t xml:space="preserve">r </w:t>
      </w:r>
      <w:proofErr w:type="gramStart"/>
      <w:r w:rsidRPr="002117C0">
        <w:rPr>
          <w:b/>
          <w:sz w:val="20"/>
        </w:rPr>
        <w:t>n</w:t>
      </w:r>
      <w:r>
        <w:rPr>
          <w:b/>
          <w:sz w:val="20"/>
        </w:rPr>
        <w:t>ë</w:t>
      </w:r>
      <w:r w:rsidRPr="002117C0">
        <w:rPr>
          <w:b/>
          <w:sz w:val="20"/>
        </w:rPr>
        <w:t>nproduktin[</w:t>
      </w:r>
      <w:proofErr w:type="gramEnd"/>
      <w:r w:rsidRPr="002117C0">
        <w:rPr>
          <w:b/>
          <w:sz w:val="20"/>
        </w:rPr>
        <w:t>30]</w:t>
      </w:r>
      <w:r w:rsidRPr="002117C0">
        <w:rPr>
          <w:sz w:val="20"/>
        </w:rPr>
        <w:t>,</w:t>
      </w:r>
      <w:r w:rsidRPr="002117C0">
        <w:rPr>
          <w:b/>
          <w:sz w:val="20"/>
        </w:rPr>
        <w:t xml:space="preserve"> </w:t>
      </w:r>
      <w:r w:rsidRPr="002117C0">
        <w:rPr>
          <w:sz w:val="20"/>
        </w:rPr>
        <w:t>tregon rentën që duhet të paguhet nga zotëruesi i lejes të shfrytëzimit për mineralin që ai vetë ka nxjerr nga sipërfaqa/nëntoka, dhe që e ka përdorur për prodhimin e nënproduktit të shitur brenda vendit tek eksportuesi,  e cila del duke shum</w:t>
      </w:r>
      <w:r>
        <w:rPr>
          <w:sz w:val="20"/>
        </w:rPr>
        <w:t>ë</w:t>
      </w:r>
      <w:r w:rsidRPr="002117C0">
        <w:rPr>
          <w:sz w:val="20"/>
        </w:rPr>
        <w:t xml:space="preserve">zuar vlerën e </w:t>
      </w:r>
      <w:r>
        <w:rPr>
          <w:sz w:val="20"/>
        </w:rPr>
        <w:t xml:space="preserve">rubrikës </w:t>
      </w:r>
      <w:r w:rsidRPr="004555D4">
        <w:rPr>
          <w:b/>
          <w:sz w:val="20"/>
        </w:rPr>
        <w:t>[27]</w:t>
      </w:r>
      <w:r w:rsidRPr="002117C0">
        <w:rPr>
          <w:sz w:val="20"/>
        </w:rPr>
        <w:t xml:space="preserve">  me  % e rentës  të miratuar për këtë mineral bazuar në shtojcën 2 të ligjit nr. 9975, datë </w:t>
      </w:r>
      <w:proofErr w:type="gramStart"/>
      <w:r w:rsidRPr="002117C0">
        <w:rPr>
          <w:sz w:val="20"/>
        </w:rPr>
        <w:t>28.07.2008 ,</w:t>
      </w:r>
      <w:proofErr w:type="gramEnd"/>
      <w:r w:rsidRPr="002117C0">
        <w:rPr>
          <w:sz w:val="20"/>
        </w:rPr>
        <w:t xml:space="preserve"> i ndryshuar</w:t>
      </w:r>
      <w:r>
        <w:rPr>
          <w:sz w:val="20"/>
        </w:rPr>
        <w:t>, (si dhe në raportin e Komisionit AD-HOC)</w:t>
      </w:r>
      <w:r w:rsidRPr="002117C0">
        <w:rPr>
          <w:sz w:val="20"/>
        </w:rPr>
        <w:t>.</w:t>
      </w:r>
    </w:p>
    <w:p w:rsidR="00CF7B79" w:rsidRPr="002117C0" w:rsidRDefault="00CF7B79" w:rsidP="00CF7B79">
      <w:pPr>
        <w:numPr>
          <w:ilvl w:val="0"/>
          <w:numId w:val="14"/>
        </w:numPr>
        <w:jc w:val="both"/>
        <w:rPr>
          <w:sz w:val="20"/>
        </w:rPr>
      </w:pPr>
      <w:r w:rsidRPr="002117C0">
        <w:rPr>
          <w:b/>
          <w:bCs/>
          <w:sz w:val="20"/>
        </w:rPr>
        <w:t xml:space="preserve">Totali i rentës për t’u </w:t>
      </w:r>
      <w:proofErr w:type="gramStart"/>
      <w:r w:rsidRPr="002117C0">
        <w:rPr>
          <w:b/>
          <w:bCs/>
          <w:sz w:val="20"/>
        </w:rPr>
        <w:t>paguar[</w:t>
      </w:r>
      <w:proofErr w:type="gramEnd"/>
      <w:r w:rsidRPr="002117C0">
        <w:rPr>
          <w:b/>
          <w:bCs/>
          <w:sz w:val="20"/>
        </w:rPr>
        <w:t xml:space="preserve">31], </w:t>
      </w:r>
      <w:r w:rsidRPr="002117C0">
        <w:rPr>
          <w:bCs/>
          <w:sz w:val="20"/>
        </w:rPr>
        <w:t xml:space="preserve">tregon shumën totale të rentës që duhet të paguhet nga zotëruesi i lejes të shfrytëzimit dhe është shuma e rubrikave </w:t>
      </w:r>
      <w:r w:rsidRPr="002117C0">
        <w:rPr>
          <w:b/>
          <w:sz w:val="20"/>
        </w:rPr>
        <w:t>[29]+</w:t>
      </w:r>
      <w:r w:rsidRPr="002117C0">
        <w:rPr>
          <w:b/>
          <w:bCs/>
          <w:sz w:val="20"/>
        </w:rPr>
        <w:t xml:space="preserve"> [30].</w:t>
      </w:r>
    </w:p>
    <w:p w:rsidR="00CF7B79" w:rsidRPr="002117C0" w:rsidRDefault="00CF7B79" w:rsidP="00CF7B79">
      <w:pPr>
        <w:rPr>
          <w:b/>
          <w:bCs/>
          <w:sz w:val="20"/>
        </w:rPr>
      </w:pPr>
    </w:p>
    <w:p w:rsidR="00CF7B79" w:rsidRPr="002117C0" w:rsidRDefault="00CF7B79" w:rsidP="00CF7B79">
      <w:pPr>
        <w:jc w:val="both"/>
        <w:rPr>
          <w:b/>
          <w:bCs/>
          <w:sz w:val="20"/>
        </w:rPr>
      </w:pPr>
      <w:proofErr w:type="gramStart"/>
      <w:r w:rsidRPr="002117C0">
        <w:rPr>
          <w:b/>
          <w:bCs/>
          <w:sz w:val="20"/>
        </w:rPr>
        <w:t>III/2.</w:t>
      </w:r>
      <w:proofErr w:type="gramEnd"/>
      <w:r w:rsidRPr="002117C0">
        <w:rPr>
          <w:b/>
          <w:bCs/>
          <w:sz w:val="20"/>
        </w:rPr>
        <w:t xml:space="preserve"> Eksporte nga eksportuesi i mineralit/nënproduktit q</w:t>
      </w:r>
      <w:r>
        <w:rPr>
          <w:b/>
          <w:bCs/>
          <w:sz w:val="20"/>
        </w:rPr>
        <w:t>ë</w:t>
      </w:r>
      <w:r w:rsidRPr="002117C0">
        <w:rPr>
          <w:b/>
          <w:bCs/>
          <w:sz w:val="20"/>
        </w:rPr>
        <w:t xml:space="preserve"> ai ka bler</w:t>
      </w:r>
      <w:r>
        <w:rPr>
          <w:b/>
          <w:bCs/>
          <w:sz w:val="20"/>
        </w:rPr>
        <w:t>ë</w:t>
      </w:r>
      <w:r w:rsidRPr="002117C0">
        <w:rPr>
          <w:b/>
          <w:bCs/>
          <w:sz w:val="20"/>
        </w:rPr>
        <w:t xml:space="preserve"> </w:t>
      </w:r>
      <w:proofErr w:type="gramStart"/>
      <w:r w:rsidRPr="002117C0">
        <w:rPr>
          <w:b/>
          <w:bCs/>
          <w:sz w:val="20"/>
        </w:rPr>
        <w:t>brenda</w:t>
      </w:r>
      <w:proofErr w:type="gramEnd"/>
      <w:r w:rsidRPr="002117C0">
        <w:rPr>
          <w:b/>
          <w:bCs/>
          <w:sz w:val="20"/>
        </w:rPr>
        <w:t xml:space="preserve"> vendit nga zotëruesi i lejes të shfrytëzimit në përputhje me pikën III/1, të këtij udhëzuesi.</w:t>
      </w:r>
    </w:p>
    <w:p w:rsidR="00CF7B79" w:rsidRPr="002117C0" w:rsidRDefault="00CF7B79" w:rsidP="00CF7B79">
      <w:pPr>
        <w:jc w:val="both"/>
        <w:rPr>
          <w:sz w:val="20"/>
        </w:rPr>
      </w:pPr>
    </w:p>
    <w:p w:rsidR="00CF7B79" w:rsidRPr="002117C0" w:rsidRDefault="00CF7B79" w:rsidP="00CF7B79">
      <w:pPr>
        <w:numPr>
          <w:ilvl w:val="0"/>
          <w:numId w:val="14"/>
        </w:numPr>
        <w:jc w:val="both"/>
        <w:rPr>
          <w:sz w:val="20"/>
        </w:rPr>
      </w:pPr>
      <w:r w:rsidRPr="002117C0">
        <w:rPr>
          <w:b/>
          <w:sz w:val="20"/>
        </w:rPr>
        <w:t>Vlera e taksueshme e mineralit [32]</w:t>
      </w:r>
      <w:r w:rsidRPr="002117C0">
        <w:rPr>
          <w:sz w:val="20"/>
        </w:rPr>
        <w:t xml:space="preserve"> është baza e taksueshme mbi t</w:t>
      </w:r>
      <w:r>
        <w:rPr>
          <w:sz w:val="20"/>
        </w:rPr>
        <w:t>ë</w:t>
      </w:r>
      <w:r w:rsidRPr="002117C0">
        <w:rPr>
          <w:sz w:val="20"/>
        </w:rPr>
        <w:t xml:space="preserve"> cilën aplikohet % e rentës që </w:t>
      </w:r>
      <w:proofErr w:type="gramStart"/>
      <w:r w:rsidRPr="002117C0">
        <w:rPr>
          <w:sz w:val="20"/>
        </w:rPr>
        <w:t>është  vlera</w:t>
      </w:r>
      <w:proofErr w:type="gramEnd"/>
      <w:r w:rsidRPr="002117C0">
        <w:rPr>
          <w:sz w:val="20"/>
        </w:rPr>
        <w:t xml:space="preserve">  totale e eksporteve të bëra nga eksportuesi për muajin për të cilin deklarohet i mineralit të papërpunuar të blerë nga zotëruesi i lejes të shfrytëzimit [33].</w:t>
      </w:r>
    </w:p>
    <w:p w:rsidR="00CF7B79" w:rsidRPr="002117C0" w:rsidRDefault="00CF7B79" w:rsidP="00CF7B79">
      <w:pPr>
        <w:numPr>
          <w:ilvl w:val="0"/>
          <w:numId w:val="14"/>
        </w:numPr>
        <w:jc w:val="both"/>
        <w:rPr>
          <w:sz w:val="20"/>
        </w:rPr>
      </w:pPr>
      <w:r w:rsidRPr="002117C0">
        <w:rPr>
          <w:b/>
          <w:sz w:val="20"/>
        </w:rPr>
        <w:t>Vlera totale e mineralit [33]</w:t>
      </w:r>
      <w:r w:rsidRPr="002117C0">
        <w:rPr>
          <w:sz w:val="20"/>
        </w:rPr>
        <w:t xml:space="preserve"> është vlera e eksportuar nga eksportuesi për muajin në të cilin deklarohet mbi bazën e çmimeve të eksportit, që është çmimi FOB Shqipëri, të mineralit të papërpunuar që </w:t>
      </w:r>
      <w:proofErr w:type="gramStart"/>
      <w:r w:rsidRPr="002117C0">
        <w:rPr>
          <w:sz w:val="20"/>
        </w:rPr>
        <w:t>ky</w:t>
      </w:r>
      <w:proofErr w:type="gramEnd"/>
      <w:r w:rsidRPr="002117C0">
        <w:rPr>
          <w:sz w:val="20"/>
        </w:rPr>
        <w:t xml:space="preserve"> eksportues ka blerë nga zotëruesi i lejes të shfrytëzimit.</w:t>
      </w:r>
    </w:p>
    <w:p w:rsidR="00CF7B79" w:rsidRPr="002117C0" w:rsidRDefault="00CF7B79" w:rsidP="00CF7B79">
      <w:pPr>
        <w:numPr>
          <w:ilvl w:val="0"/>
          <w:numId w:val="14"/>
        </w:numPr>
        <w:jc w:val="both"/>
        <w:rPr>
          <w:sz w:val="20"/>
        </w:rPr>
      </w:pPr>
      <w:r w:rsidRPr="002117C0">
        <w:rPr>
          <w:b/>
          <w:sz w:val="20"/>
        </w:rPr>
        <w:t>Vlera e taksueshme e n</w:t>
      </w:r>
      <w:r>
        <w:rPr>
          <w:b/>
          <w:sz w:val="20"/>
        </w:rPr>
        <w:t>ë</w:t>
      </w:r>
      <w:r w:rsidRPr="002117C0">
        <w:rPr>
          <w:b/>
          <w:sz w:val="20"/>
        </w:rPr>
        <w:t>nproduktit [34]</w:t>
      </w:r>
      <w:r w:rsidRPr="002117C0">
        <w:rPr>
          <w:sz w:val="20"/>
        </w:rPr>
        <w:t xml:space="preserve"> është baza e taksueshme mbi t</w:t>
      </w:r>
      <w:r>
        <w:rPr>
          <w:sz w:val="20"/>
        </w:rPr>
        <w:t>ë</w:t>
      </w:r>
      <w:r w:rsidRPr="002117C0">
        <w:rPr>
          <w:sz w:val="20"/>
        </w:rPr>
        <w:t xml:space="preserve"> cilën aplikohet % e rentës, për nënproduktet e eksportuara nga eksportuesi, </w:t>
      </w:r>
      <w:r w:rsidRPr="004555D4">
        <w:rPr>
          <w:sz w:val="20"/>
        </w:rPr>
        <w:t xml:space="preserve">për muajin për të cilin </w:t>
      </w:r>
      <w:proofErr w:type="gramStart"/>
      <w:r w:rsidRPr="004555D4">
        <w:rPr>
          <w:sz w:val="20"/>
        </w:rPr>
        <w:t>deklarohet</w:t>
      </w:r>
      <w:r w:rsidRPr="002117C0">
        <w:rPr>
          <w:sz w:val="20"/>
        </w:rPr>
        <w:t xml:space="preserve"> ,n</w:t>
      </w:r>
      <w:r>
        <w:rPr>
          <w:sz w:val="20"/>
        </w:rPr>
        <w:t>ë</w:t>
      </w:r>
      <w:r w:rsidRPr="002117C0">
        <w:rPr>
          <w:sz w:val="20"/>
        </w:rPr>
        <w:t>nprodukte</w:t>
      </w:r>
      <w:proofErr w:type="gramEnd"/>
      <w:r w:rsidRPr="002117C0">
        <w:rPr>
          <w:sz w:val="20"/>
        </w:rPr>
        <w:t xml:space="preserve"> t</w:t>
      </w:r>
      <w:r>
        <w:rPr>
          <w:sz w:val="20"/>
        </w:rPr>
        <w:t>ë</w:t>
      </w:r>
      <w:r w:rsidRPr="002117C0">
        <w:rPr>
          <w:sz w:val="20"/>
        </w:rPr>
        <w:t xml:space="preserve"> cilat ai i ka blerë nga zotëruesi i lejes të shfrytëzimit. Baza e taksueshme llogaritet vetëm për vlerën e mineralit të përdorur për prodhimin e këtyre nënprodukteve. Vlera deklarohet nga eksportuesi, mbi bazën e normativave teknologjike dhe çmimeve të mineralit të përfshirë në nënprodukt i cili nuk duhet të jetë më i vogël se çmimi referues dhe i përcaktuar në Raportin e Komisionit AD-HOC. Po ashtu normativat teknologjike mbi të cilat llogaritet minerali i përfshirë në nënprodukt nuk duhet të jenë më të ulta se ato të përcaktuara në raportin e komisionit AD-HOC.</w:t>
      </w:r>
    </w:p>
    <w:p w:rsidR="00CF7B79" w:rsidRPr="002117C0" w:rsidRDefault="00CF7B79" w:rsidP="00CF7B79">
      <w:pPr>
        <w:numPr>
          <w:ilvl w:val="0"/>
          <w:numId w:val="14"/>
        </w:numPr>
        <w:jc w:val="both"/>
        <w:rPr>
          <w:sz w:val="20"/>
        </w:rPr>
      </w:pPr>
      <w:r w:rsidRPr="002117C0">
        <w:rPr>
          <w:b/>
          <w:sz w:val="20"/>
        </w:rPr>
        <w:t xml:space="preserve">Vlera totale e </w:t>
      </w:r>
      <w:proofErr w:type="gramStart"/>
      <w:r w:rsidRPr="002117C0">
        <w:rPr>
          <w:b/>
          <w:sz w:val="20"/>
        </w:rPr>
        <w:t>n</w:t>
      </w:r>
      <w:r>
        <w:rPr>
          <w:b/>
          <w:sz w:val="20"/>
        </w:rPr>
        <w:t>ë</w:t>
      </w:r>
      <w:r w:rsidRPr="002117C0">
        <w:rPr>
          <w:b/>
          <w:sz w:val="20"/>
        </w:rPr>
        <w:t>nproduktet[</w:t>
      </w:r>
      <w:proofErr w:type="gramEnd"/>
      <w:r w:rsidRPr="002117C0">
        <w:rPr>
          <w:b/>
          <w:sz w:val="20"/>
        </w:rPr>
        <w:t>35]</w:t>
      </w:r>
      <w:r w:rsidRPr="002117C0">
        <w:rPr>
          <w:sz w:val="20"/>
        </w:rPr>
        <w:t xml:space="preserve"> tregon vlerën e eksporteve të bëra nga eksportuesi për muajin në të cilin deklarohet, mbi bazën e  në çmimeve të eksportit,  të nënprodukteve të prodhuara dhe të blera nga  zotëruesi i lejes. </w:t>
      </w:r>
    </w:p>
    <w:p w:rsidR="00CF7B79" w:rsidRPr="002117C0" w:rsidRDefault="00CF7B79" w:rsidP="00CF7B79">
      <w:pPr>
        <w:numPr>
          <w:ilvl w:val="0"/>
          <w:numId w:val="14"/>
        </w:numPr>
        <w:jc w:val="both"/>
        <w:rPr>
          <w:b/>
          <w:sz w:val="20"/>
        </w:rPr>
      </w:pPr>
      <w:r w:rsidRPr="002117C0">
        <w:rPr>
          <w:b/>
          <w:sz w:val="20"/>
        </w:rPr>
        <w:t>Renta e paguar nga zot</w:t>
      </w:r>
      <w:r>
        <w:rPr>
          <w:b/>
          <w:sz w:val="20"/>
        </w:rPr>
        <w:t>ë</w:t>
      </w:r>
      <w:r w:rsidRPr="002117C0">
        <w:rPr>
          <w:b/>
          <w:sz w:val="20"/>
        </w:rPr>
        <w:t>ruesi i lejes p</w:t>
      </w:r>
      <w:r>
        <w:rPr>
          <w:b/>
          <w:sz w:val="20"/>
        </w:rPr>
        <w:t>ë</w:t>
      </w:r>
      <w:r w:rsidRPr="002117C0">
        <w:rPr>
          <w:b/>
          <w:sz w:val="20"/>
        </w:rPr>
        <w:t xml:space="preserve">r mineralin me destinacion </w:t>
      </w:r>
      <w:proofErr w:type="gramStart"/>
      <w:r w:rsidRPr="002117C0">
        <w:rPr>
          <w:b/>
          <w:sz w:val="20"/>
        </w:rPr>
        <w:t>eksportin[</w:t>
      </w:r>
      <w:proofErr w:type="gramEnd"/>
      <w:r w:rsidRPr="002117C0">
        <w:rPr>
          <w:b/>
          <w:sz w:val="20"/>
        </w:rPr>
        <w:t>36],</w:t>
      </w:r>
      <w:r w:rsidRPr="002117C0">
        <w:rPr>
          <w:sz w:val="20"/>
        </w:rPr>
        <w:t xml:space="preserve"> tregon rentën që ka paguar zot</w:t>
      </w:r>
      <w:r>
        <w:rPr>
          <w:sz w:val="20"/>
        </w:rPr>
        <w:t>ë</w:t>
      </w:r>
      <w:r w:rsidRPr="002117C0">
        <w:rPr>
          <w:sz w:val="20"/>
        </w:rPr>
        <w:t>ruesi i lejes tek drejtoria rajonale tatimore, p</w:t>
      </w:r>
      <w:r>
        <w:rPr>
          <w:sz w:val="20"/>
        </w:rPr>
        <w:t>ë</w:t>
      </w:r>
      <w:r w:rsidRPr="002117C0">
        <w:rPr>
          <w:sz w:val="20"/>
        </w:rPr>
        <w:t>r mineralin e pap</w:t>
      </w:r>
      <w:r>
        <w:rPr>
          <w:sz w:val="20"/>
        </w:rPr>
        <w:t>ë</w:t>
      </w:r>
      <w:r w:rsidRPr="002117C0">
        <w:rPr>
          <w:sz w:val="20"/>
        </w:rPr>
        <w:t>rpunuar t</w:t>
      </w:r>
      <w:r>
        <w:rPr>
          <w:sz w:val="20"/>
        </w:rPr>
        <w:t>ë</w:t>
      </w:r>
      <w:r w:rsidRPr="002117C0">
        <w:rPr>
          <w:sz w:val="20"/>
        </w:rPr>
        <w:t xml:space="preserve"> shitur tek eksportuesi br</w:t>
      </w:r>
      <w:r>
        <w:rPr>
          <w:sz w:val="20"/>
        </w:rPr>
        <w:t>ë</w:t>
      </w:r>
      <w:r w:rsidRPr="002117C0">
        <w:rPr>
          <w:sz w:val="20"/>
        </w:rPr>
        <w:t>nda vendit p</w:t>
      </w:r>
      <w:r>
        <w:rPr>
          <w:sz w:val="20"/>
        </w:rPr>
        <w:t>ë</w:t>
      </w:r>
      <w:r w:rsidRPr="002117C0">
        <w:rPr>
          <w:sz w:val="20"/>
        </w:rPr>
        <w:t>r muajin p</w:t>
      </w:r>
      <w:r>
        <w:rPr>
          <w:sz w:val="20"/>
        </w:rPr>
        <w:t>ë</w:t>
      </w:r>
      <w:r w:rsidRPr="002117C0">
        <w:rPr>
          <w:sz w:val="20"/>
        </w:rPr>
        <w:t>r t</w:t>
      </w:r>
      <w:r>
        <w:rPr>
          <w:sz w:val="20"/>
        </w:rPr>
        <w:t>ë</w:t>
      </w:r>
      <w:r w:rsidRPr="002117C0">
        <w:rPr>
          <w:sz w:val="20"/>
        </w:rPr>
        <w:t xml:space="preserve"> cilin deklarohet. Renta e paguar nga zot</w:t>
      </w:r>
      <w:r>
        <w:rPr>
          <w:sz w:val="20"/>
        </w:rPr>
        <w:t>ë</w:t>
      </w:r>
      <w:r w:rsidRPr="002117C0">
        <w:rPr>
          <w:sz w:val="20"/>
        </w:rPr>
        <w:t>ruesi v</w:t>
      </w:r>
      <w:r>
        <w:rPr>
          <w:sz w:val="20"/>
        </w:rPr>
        <w:t>ë</w:t>
      </w:r>
      <w:r w:rsidRPr="002117C0">
        <w:rPr>
          <w:sz w:val="20"/>
        </w:rPr>
        <w:t>rtetohet nga eksportuesi n</w:t>
      </w:r>
      <w:r>
        <w:rPr>
          <w:sz w:val="20"/>
        </w:rPr>
        <w:t>ë</w:t>
      </w:r>
      <w:r w:rsidRPr="002117C0">
        <w:rPr>
          <w:sz w:val="20"/>
        </w:rPr>
        <w:t xml:space="preserve"> dogan</w:t>
      </w:r>
      <w:r>
        <w:rPr>
          <w:sz w:val="20"/>
        </w:rPr>
        <w:t>ë</w:t>
      </w:r>
      <w:r w:rsidRPr="002117C0">
        <w:rPr>
          <w:sz w:val="20"/>
        </w:rPr>
        <w:t xml:space="preserve"> n</w:t>
      </w:r>
      <w:r>
        <w:rPr>
          <w:sz w:val="20"/>
        </w:rPr>
        <w:t>ë</w:t>
      </w:r>
      <w:r w:rsidRPr="002117C0">
        <w:rPr>
          <w:sz w:val="20"/>
        </w:rPr>
        <w:t xml:space="preserve"> p</w:t>
      </w:r>
      <w:r>
        <w:rPr>
          <w:sz w:val="20"/>
        </w:rPr>
        <w:t>ë</w:t>
      </w:r>
      <w:r w:rsidRPr="002117C0">
        <w:rPr>
          <w:sz w:val="20"/>
        </w:rPr>
        <w:t>rputhje me dispozitat ligjore n</w:t>
      </w:r>
      <w:r>
        <w:rPr>
          <w:sz w:val="20"/>
        </w:rPr>
        <w:t>ë</w:t>
      </w:r>
      <w:r w:rsidRPr="002117C0">
        <w:rPr>
          <w:sz w:val="20"/>
        </w:rPr>
        <w:t xml:space="preserve"> fuqi.</w:t>
      </w:r>
    </w:p>
    <w:p w:rsidR="00CF7B79" w:rsidRDefault="00CF7B79" w:rsidP="00CF7B79">
      <w:pPr>
        <w:numPr>
          <w:ilvl w:val="0"/>
          <w:numId w:val="14"/>
        </w:numPr>
        <w:jc w:val="both"/>
        <w:rPr>
          <w:sz w:val="20"/>
        </w:rPr>
      </w:pPr>
      <w:r w:rsidRPr="004555D4">
        <w:rPr>
          <w:b/>
          <w:sz w:val="20"/>
        </w:rPr>
        <w:t>Renta e paguar në doganë për mineralin [37]</w:t>
      </w:r>
      <w:r w:rsidRPr="004555D4">
        <w:rPr>
          <w:sz w:val="20"/>
        </w:rPr>
        <w:t xml:space="preserve"> tregon rentën e paguar në doganë nga eksportuesi, për eksportin e mineralit të papërpunuar që ai ka blerë nga zotëruesi i lejes të shfrytëzimit. </w:t>
      </w:r>
      <w:r w:rsidRPr="004555D4">
        <w:rPr>
          <w:i/>
          <w:sz w:val="20"/>
          <w:u w:val="single"/>
        </w:rPr>
        <w:t xml:space="preserve">Renta e paguar ne doganë </w:t>
      </w:r>
      <w:proofErr w:type="gramStart"/>
      <w:r w:rsidRPr="004555D4">
        <w:rPr>
          <w:i/>
          <w:sz w:val="20"/>
          <w:u w:val="single"/>
        </w:rPr>
        <w:t>del</w:t>
      </w:r>
      <w:proofErr w:type="gramEnd"/>
      <w:r w:rsidRPr="004555D4">
        <w:rPr>
          <w:i/>
          <w:sz w:val="20"/>
          <w:u w:val="single"/>
        </w:rPr>
        <w:t xml:space="preserve"> si rezultat i diferencës së mineralit të eksportuar të vlerësuar me cmimet e eksportit {rubrika [32]} shumezuar me % e rentës të përcaktuar në ligj minus rentën e paguar nga zotëruesi i lejes për këtë sasi. </w:t>
      </w:r>
      <w:r w:rsidRPr="004555D4">
        <w:rPr>
          <w:sz w:val="20"/>
        </w:rPr>
        <w:t xml:space="preserve">Renta e paguar nga zotëruesi vërtetohet nga eksportuesi në doganë në përputhje me dispozitat ligjore në fuqi. </w:t>
      </w:r>
    </w:p>
    <w:p w:rsidR="00CF7B79" w:rsidRPr="004555D4" w:rsidRDefault="00CF7B79" w:rsidP="00CF7B79">
      <w:pPr>
        <w:numPr>
          <w:ilvl w:val="0"/>
          <w:numId w:val="14"/>
        </w:numPr>
        <w:jc w:val="both"/>
        <w:rPr>
          <w:sz w:val="20"/>
        </w:rPr>
      </w:pPr>
      <w:r w:rsidRPr="004555D4">
        <w:rPr>
          <w:b/>
          <w:sz w:val="20"/>
        </w:rPr>
        <w:t>Renta e paguar nga zotëruesi i lejes për nënproduktin me destinacion eksportin [38]</w:t>
      </w:r>
      <w:r w:rsidRPr="004555D4">
        <w:rPr>
          <w:sz w:val="20"/>
        </w:rPr>
        <w:t>,</w:t>
      </w:r>
      <w:r w:rsidRPr="004555D4">
        <w:rPr>
          <w:b/>
          <w:sz w:val="20"/>
        </w:rPr>
        <w:t xml:space="preserve"> </w:t>
      </w:r>
      <w:r w:rsidRPr="004555D4">
        <w:rPr>
          <w:sz w:val="20"/>
        </w:rPr>
        <w:t>tregon rentën e paguar nga zotëruesi i lejes së shfrytëzimit tek drejtoria rajonale tatimore, për mineralin e përfshirë në nënproduktin që ka shitur tek eksportuesi për muajin për të cilin deklarohet. Renta e paguar nga zotëruesi vërtetohet nga eksportuesi në doganë në përputhje me dispozitat ligjore në fuqi.</w:t>
      </w:r>
    </w:p>
    <w:p w:rsidR="00CF7B79" w:rsidRPr="002117C0" w:rsidRDefault="00CF7B79" w:rsidP="00CF7B79">
      <w:pPr>
        <w:numPr>
          <w:ilvl w:val="0"/>
          <w:numId w:val="14"/>
        </w:numPr>
        <w:jc w:val="both"/>
        <w:rPr>
          <w:sz w:val="20"/>
        </w:rPr>
      </w:pPr>
      <w:r w:rsidRPr="002117C0">
        <w:rPr>
          <w:b/>
          <w:sz w:val="20"/>
        </w:rPr>
        <w:t>Renta e paguar në doganë p</w:t>
      </w:r>
      <w:r>
        <w:rPr>
          <w:b/>
          <w:sz w:val="20"/>
        </w:rPr>
        <w:t>ë</w:t>
      </w:r>
      <w:r w:rsidRPr="002117C0">
        <w:rPr>
          <w:b/>
          <w:sz w:val="20"/>
        </w:rPr>
        <w:t>r n</w:t>
      </w:r>
      <w:r>
        <w:rPr>
          <w:b/>
          <w:sz w:val="20"/>
        </w:rPr>
        <w:t>ë</w:t>
      </w:r>
      <w:r w:rsidRPr="002117C0">
        <w:rPr>
          <w:b/>
          <w:sz w:val="20"/>
        </w:rPr>
        <w:t xml:space="preserve">nproduktin [39] </w:t>
      </w:r>
      <w:r w:rsidRPr="002117C0">
        <w:rPr>
          <w:sz w:val="20"/>
        </w:rPr>
        <w:t>tregon rentën e paguar në doganë nga eksportuesi për mineralin e përfshirë në nënproduktet q</w:t>
      </w:r>
      <w:r>
        <w:rPr>
          <w:sz w:val="20"/>
        </w:rPr>
        <w:t>ë</w:t>
      </w:r>
      <w:r w:rsidRPr="002117C0">
        <w:rPr>
          <w:sz w:val="20"/>
        </w:rPr>
        <w:t xml:space="preserve"> eksporton, nënprodukte të cilat ai i ka blerë </w:t>
      </w:r>
      <w:proofErr w:type="gramStart"/>
      <w:r w:rsidRPr="002117C0">
        <w:rPr>
          <w:sz w:val="20"/>
        </w:rPr>
        <w:t>brenda</w:t>
      </w:r>
      <w:proofErr w:type="gramEnd"/>
      <w:r w:rsidRPr="002117C0">
        <w:rPr>
          <w:sz w:val="20"/>
        </w:rPr>
        <w:t xml:space="preserve"> vendit nga zotëruesi i lejes të shfrytëzimit. </w:t>
      </w:r>
      <w:r w:rsidRPr="002117C0">
        <w:rPr>
          <w:i/>
          <w:sz w:val="20"/>
          <w:u w:val="single"/>
        </w:rPr>
        <w:t>Renta e paguar ne dogan</w:t>
      </w:r>
      <w:r>
        <w:rPr>
          <w:i/>
          <w:sz w:val="20"/>
          <w:u w:val="single"/>
        </w:rPr>
        <w:t>ë</w:t>
      </w:r>
      <w:r w:rsidRPr="002117C0">
        <w:rPr>
          <w:i/>
          <w:sz w:val="20"/>
          <w:u w:val="single"/>
        </w:rPr>
        <w:t xml:space="preserve"> </w:t>
      </w:r>
      <w:proofErr w:type="gramStart"/>
      <w:r w:rsidRPr="002117C0">
        <w:rPr>
          <w:i/>
          <w:sz w:val="20"/>
          <w:u w:val="single"/>
        </w:rPr>
        <w:t>del</w:t>
      </w:r>
      <w:proofErr w:type="gramEnd"/>
      <w:r w:rsidRPr="002117C0">
        <w:rPr>
          <w:i/>
          <w:sz w:val="20"/>
          <w:u w:val="single"/>
        </w:rPr>
        <w:t xml:space="preserve"> si rezultat i diferenc</w:t>
      </w:r>
      <w:r>
        <w:rPr>
          <w:i/>
          <w:sz w:val="20"/>
          <w:u w:val="single"/>
        </w:rPr>
        <w:t>ë</w:t>
      </w:r>
      <w:r w:rsidRPr="002117C0">
        <w:rPr>
          <w:i/>
          <w:sz w:val="20"/>
          <w:u w:val="single"/>
        </w:rPr>
        <w:t>s t</w:t>
      </w:r>
      <w:r>
        <w:rPr>
          <w:i/>
          <w:sz w:val="20"/>
          <w:u w:val="single"/>
        </w:rPr>
        <w:t>ë</w:t>
      </w:r>
      <w:r w:rsidRPr="002117C0">
        <w:rPr>
          <w:i/>
          <w:sz w:val="20"/>
          <w:u w:val="single"/>
        </w:rPr>
        <w:t xml:space="preserve"> rubrik</w:t>
      </w:r>
      <w:r>
        <w:rPr>
          <w:i/>
          <w:sz w:val="20"/>
          <w:u w:val="single"/>
        </w:rPr>
        <w:t>ë</w:t>
      </w:r>
      <w:r w:rsidRPr="002117C0">
        <w:rPr>
          <w:i/>
          <w:sz w:val="20"/>
          <w:u w:val="single"/>
        </w:rPr>
        <w:t>s [34] shumezuar me % e rent</w:t>
      </w:r>
      <w:r>
        <w:rPr>
          <w:i/>
          <w:sz w:val="20"/>
          <w:u w:val="single"/>
        </w:rPr>
        <w:t>ë</w:t>
      </w:r>
      <w:r w:rsidRPr="002117C0">
        <w:rPr>
          <w:i/>
          <w:sz w:val="20"/>
          <w:u w:val="single"/>
        </w:rPr>
        <w:t>s t</w:t>
      </w:r>
      <w:r>
        <w:rPr>
          <w:i/>
          <w:sz w:val="20"/>
          <w:u w:val="single"/>
        </w:rPr>
        <w:t>ë</w:t>
      </w:r>
      <w:r w:rsidRPr="002117C0">
        <w:rPr>
          <w:i/>
          <w:sz w:val="20"/>
          <w:u w:val="single"/>
        </w:rPr>
        <w:t xml:space="preserve"> p</w:t>
      </w:r>
      <w:r>
        <w:rPr>
          <w:i/>
          <w:sz w:val="20"/>
          <w:u w:val="single"/>
        </w:rPr>
        <w:t>ë</w:t>
      </w:r>
      <w:r w:rsidRPr="002117C0">
        <w:rPr>
          <w:i/>
          <w:sz w:val="20"/>
          <w:u w:val="single"/>
        </w:rPr>
        <w:t>rcaktuar n</w:t>
      </w:r>
      <w:r>
        <w:rPr>
          <w:i/>
          <w:sz w:val="20"/>
          <w:u w:val="single"/>
        </w:rPr>
        <w:t>ë</w:t>
      </w:r>
      <w:r w:rsidRPr="002117C0">
        <w:rPr>
          <w:i/>
          <w:sz w:val="20"/>
          <w:u w:val="single"/>
        </w:rPr>
        <w:t xml:space="preserve"> ligj </w:t>
      </w:r>
      <w:r w:rsidRPr="00FE2154">
        <w:rPr>
          <w:i/>
          <w:sz w:val="20"/>
          <w:u w:val="single"/>
        </w:rPr>
        <w:t>(si dhe n</w:t>
      </w:r>
      <w:r>
        <w:rPr>
          <w:i/>
          <w:sz w:val="20"/>
          <w:u w:val="single"/>
        </w:rPr>
        <w:t>ë</w:t>
      </w:r>
      <w:r w:rsidRPr="00FE2154">
        <w:rPr>
          <w:i/>
          <w:sz w:val="20"/>
          <w:u w:val="single"/>
        </w:rPr>
        <w:t xml:space="preserve"> raportin e Komisionit AD-HOC).</w:t>
      </w:r>
      <w:r w:rsidRPr="002117C0">
        <w:rPr>
          <w:i/>
          <w:sz w:val="20"/>
          <w:u w:val="single"/>
        </w:rPr>
        <w:t>minus rent</w:t>
      </w:r>
      <w:r>
        <w:rPr>
          <w:i/>
          <w:sz w:val="20"/>
          <w:u w:val="single"/>
        </w:rPr>
        <w:t>ë</w:t>
      </w:r>
      <w:r w:rsidRPr="002117C0">
        <w:rPr>
          <w:i/>
          <w:sz w:val="20"/>
          <w:u w:val="single"/>
        </w:rPr>
        <w:t>n e paguar nga zot</w:t>
      </w:r>
      <w:r>
        <w:rPr>
          <w:i/>
          <w:sz w:val="20"/>
          <w:u w:val="single"/>
        </w:rPr>
        <w:t>ë</w:t>
      </w:r>
      <w:r w:rsidRPr="002117C0">
        <w:rPr>
          <w:i/>
          <w:sz w:val="20"/>
          <w:u w:val="single"/>
        </w:rPr>
        <w:t>ruesi i lejes p</w:t>
      </w:r>
      <w:r>
        <w:rPr>
          <w:i/>
          <w:sz w:val="20"/>
          <w:u w:val="single"/>
        </w:rPr>
        <w:t>ë</w:t>
      </w:r>
      <w:r w:rsidRPr="002117C0">
        <w:rPr>
          <w:i/>
          <w:sz w:val="20"/>
          <w:u w:val="single"/>
        </w:rPr>
        <w:t>r k</w:t>
      </w:r>
      <w:r>
        <w:rPr>
          <w:i/>
          <w:sz w:val="20"/>
          <w:u w:val="single"/>
        </w:rPr>
        <w:t>ë</w:t>
      </w:r>
      <w:r w:rsidRPr="002117C0">
        <w:rPr>
          <w:i/>
          <w:sz w:val="20"/>
          <w:u w:val="single"/>
        </w:rPr>
        <w:t>t</w:t>
      </w:r>
      <w:r>
        <w:rPr>
          <w:i/>
          <w:sz w:val="20"/>
          <w:u w:val="single"/>
        </w:rPr>
        <w:t>ë</w:t>
      </w:r>
      <w:r w:rsidRPr="002117C0">
        <w:rPr>
          <w:i/>
          <w:sz w:val="20"/>
          <w:u w:val="single"/>
        </w:rPr>
        <w:t xml:space="preserve"> sasi minerali t</w:t>
      </w:r>
      <w:r>
        <w:rPr>
          <w:i/>
          <w:sz w:val="20"/>
          <w:u w:val="single"/>
        </w:rPr>
        <w:t>ë</w:t>
      </w:r>
      <w:r w:rsidRPr="002117C0">
        <w:rPr>
          <w:i/>
          <w:sz w:val="20"/>
          <w:u w:val="single"/>
        </w:rPr>
        <w:t xml:space="preserve"> p</w:t>
      </w:r>
      <w:r>
        <w:rPr>
          <w:i/>
          <w:sz w:val="20"/>
          <w:u w:val="single"/>
        </w:rPr>
        <w:t>ë</w:t>
      </w:r>
      <w:r w:rsidRPr="002117C0">
        <w:rPr>
          <w:i/>
          <w:sz w:val="20"/>
          <w:u w:val="single"/>
        </w:rPr>
        <w:t>rfshir</w:t>
      </w:r>
      <w:r>
        <w:rPr>
          <w:i/>
          <w:sz w:val="20"/>
          <w:u w:val="single"/>
        </w:rPr>
        <w:t>ë</w:t>
      </w:r>
      <w:r w:rsidRPr="002117C0">
        <w:rPr>
          <w:i/>
          <w:sz w:val="20"/>
          <w:u w:val="single"/>
        </w:rPr>
        <w:t xml:space="preserve"> n</w:t>
      </w:r>
      <w:r>
        <w:rPr>
          <w:i/>
          <w:sz w:val="20"/>
          <w:u w:val="single"/>
        </w:rPr>
        <w:t>ë</w:t>
      </w:r>
      <w:r w:rsidRPr="002117C0">
        <w:rPr>
          <w:i/>
          <w:sz w:val="20"/>
          <w:u w:val="single"/>
        </w:rPr>
        <w:t xml:space="preserve"> n</w:t>
      </w:r>
      <w:r>
        <w:rPr>
          <w:i/>
          <w:sz w:val="20"/>
          <w:u w:val="single"/>
        </w:rPr>
        <w:t>ë</w:t>
      </w:r>
      <w:r w:rsidRPr="002117C0">
        <w:rPr>
          <w:i/>
          <w:sz w:val="20"/>
          <w:u w:val="single"/>
        </w:rPr>
        <w:t>nproduktin q</w:t>
      </w:r>
      <w:r>
        <w:rPr>
          <w:i/>
          <w:sz w:val="20"/>
          <w:u w:val="single"/>
        </w:rPr>
        <w:t>ë</w:t>
      </w:r>
      <w:r w:rsidRPr="002117C0">
        <w:rPr>
          <w:i/>
          <w:sz w:val="20"/>
          <w:u w:val="single"/>
        </w:rPr>
        <w:t xml:space="preserve"> eksportohet.</w:t>
      </w:r>
      <w:r w:rsidRPr="002117C0">
        <w:rPr>
          <w:sz w:val="20"/>
        </w:rPr>
        <w:t xml:space="preserve"> Renta e paguar nga zot</w:t>
      </w:r>
      <w:r>
        <w:rPr>
          <w:sz w:val="20"/>
        </w:rPr>
        <w:t>ë</w:t>
      </w:r>
      <w:r w:rsidRPr="002117C0">
        <w:rPr>
          <w:sz w:val="20"/>
        </w:rPr>
        <w:t>ruesi v</w:t>
      </w:r>
      <w:r>
        <w:rPr>
          <w:sz w:val="20"/>
        </w:rPr>
        <w:t>ë</w:t>
      </w:r>
      <w:r w:rsidRPr="002117C0">
        <w:rPr>
          <w:sz w:val="20"/>
        </w:rPr>
        <w:t>rtetohet nga eksportuesi n</w:t>
      </w:r>
      <w:r>
        <w:rPr>
          <w:sz w:val="20"/>
        </w:rPr>
        <w:t>ë</w:t>
      </w:r>
      <w:r w:rsidRPr="002117C0">
        <w:rPr>
          <w:sz w:val="20"/>
        </w:rPr>
        <w:t xml:space="preserve"> dogan</w:t>
      </w:r>
      <w:r>
        <w:rPr>
          <w:sz w:val="20"/>
        </w:rPr>
        <w:t>ë</w:t>
      </w:r>
      <w:r w:rsidRPr="002117C0">
        <w:rPr>
          <w:sz w:val="20"/>
        </w:rPr>
        <w:t xml:space="preserve"> n</w:t>
      </w:r>
      <w:r>
        <w:rPr>
          <w:sz w:val="20"/>
        </w:rPr>
        <w:t>ë</w:t>
      </w:r>
      <w:r w:rsidRPr="002117C0">
        <w:rPr>
          <w:sz w:val="20"/>
        </w:rPr>
        <w:t xml:space="preserve"> p</w:t>
      </w:r>
      <w:r>
        <w:rPr>
          <w:sz w:val="20"/>
        </w:rPr>
        <w:t>ë</w:t>
      </w:r>
      <w:r w:rsidRPr="002117C0">
        <w:rPr>
          <w:sz w:val="20"/>
        </w:rPr>
        <w:t>rputhje me dispozitat ligjore n</w:t>
      </w:r>
      <w:r>
        <w:rPr>
          <w:sz w:val="20"/>
        </w:rPr>
        <w:t>ë</w:t>
      </w:r>
      <w:r w:rsidRPr="002117C0">
        <w:rPr>
          <w:sz w:val="20"/>
        </w:rPr>
        <w:t xml:space="preserve"> fuqi.</w:t>
      </w:r>
    </w:p>
    <w:p w:rsidR="00CF7B79" w:rsidRPr="002117C0" w:rsidRDefault="00CF7B79" w:rsidP="00CF7B79">
      <w:pPr>
        <w:numPr>
          <w:ilvl w:val="0"/>
          <w:numId w:val="14"/>
        </w:numPr>
        <w:jc w:val="both"/>
        <w:rPr>
          <w:sz w:val="20"/>
        </w:rPr>
      </w:pPr>
      <w:r w:rsidRPr="002117C0">
        <w:rPr>
          <w:b/>
          <w:bCs/>
          <w:sz w:val="20"/>
        </w:rPr>
        <w:t>Totali i rentës s</w:t>
      </w:r>
      <w:r>
        <w:rPr>
          <w:b/>
          <w:bCs/>
          <w:sz w:val="20"/>
        </w:rPr>
        <w:t>ë</w:t>
      </w:r>
      <w:r w:rsidRPr="002117C0">
        <w:rPr>
          <w:b/>
          <w:bCs/>
          <w:sz w:val="20"/>
        </w:rPr>
        <w:t xml:space="preserve"> paguar nga zot</w:t>
      </w:r>
      <w:r>
        <w:rPr>
          <w:b/>
          <w:bCs/>
          <w:sz w:val="20"/>
        </w:rPr>
        <w:t>ë</w:t>
      </w:r>
      <w:r w:rsidRPr="002117C0">
        <w:rPr>
          <w:b/>
          <w:bCs/>
          <w:sz w:val="20"/>
        </w:rPr>
        <w:t xml:space="preserve">ruesi i </w:t>
      </w:r>
      <w:proofErr w:type="gramStart"/>
      <w:r w:rsidRPr="002117C0">
        <w:rPr>
          <w:b/>
          <w:bCs/>
          <w:sz w:val="20"/>
        </w:rPr>
        <w:t>lejes[</w:t>
      </w:r>
      <w:proofErr w:type="gramEnd"/>
      <w:r w:rsidRPr="002117C0">
        <w:rPr>
          <w:b/>
          <w:bCs/>
          <w:sz w:val="20"/>
        </w:rPr>
        <w:t xml:space="preserve">40], </w:t>
      </w:r>
      <w:r w:rsidRPr="002117C0">
        <w:rPr>
          <w:bCs/>
          <w:sz w:val="20"/>
        </w:rPr>
        <w:t xml:space="preserve">tregon shumën totale të rentës të paguar nga zotëruesi i lejes të shfrytëzimit dhe është shuma e rubrikave </w:t>
      </w:r>
      <w:r w:rsidRPr="002117C0">
        <w:rPr>
          <w:b/>
          <w:sz w:val="20"/>
        </w:rPr>
        <w:t>[36]+</w:t>
      </w:r>
      <w:r w:rsidRPr="002117C0">
        <w:rPr>
          <w:b/>
          <w:bCs/>
          <w:sz w:val="20"/>
        </w:rPr>
        <w:t xml:space="preserve"> [38].</w:t>
      </w:r>
    </w:p>
    <w:p w:rsidR="00CF7B79" w:rsidRPr="002117C0" w:rsidRDefault="00CF7B79" w:rsidP="00CF7B79">
      <w:pPr>
        <w:numPr>
          <w:ilvl w:val="0"/>
          <w:numId w:val="14"/>
        </w:numPr>
        <w:jc w:val="both"/>
        <w:rPr>
          <w:b/>
          <w:bCs/>
          <w:sz w:val="20"/>
        </w:rPr>
      </w:pPr>
      <w:r w:rsidRPr="002117C0">
        <w:rPr>
          <w:b/>
          <w:bCs/>
          <w:sz w:val="20"/>
        </w:rPr>
        <w:t>Totali i rentës së paguar n</w:t>
      </w:r>
      <w:r>
        <w:rPr>
          <w:b/>
          <w:bCs/>
          <w:sz w:val="20"/>
        </w:rPr>
        <w:t>ë</w:t>
      </w:r>
      <w:r w:rsidRPr="002117C0">
        <w:rPr>
          <w:b/>
          <w:bCs/>
          <w:sz w:val="20"/>
        </w:rPr>
        <w:t xml:space="preserve"> dogan</w:t>
      </w:r>
      <w:r>
        <w:rPr>
          <w:b/>
          <w:bCs/>
          <w:sz w:val="20"/>
        </w:rPr>
        <w:t>ë</w:t>
      </w:r>
      <w:r w:rsidRPr="002117C0">
        <w:rPr>
          <w:b/>
          <w:bCs/>
          <w:sz w:val="20"/>
        </w:rPr>
        <w:t xml:space="preserve"> [41]</w:t>
      </w:r>
      <w:r w:rsidRPr="002117C0">
        <w:rPr>
          <w:bCs/>
          <w:sz w:val="20"/>
        </w:rPr>
        <w:t xml:space="preserve"> tregon shumën totale të rentës që paguhet në doganë nga eksportuesi dhe është shuma e rubrikave </w:t>
      </w:r>
      <w:r w:rsidRPr="002117C0">
        <w:rPr>
          <w:b/>
          <w:sz w:val="20"/>
        </w:rPr>
        <w:t>[37</w:t>
      </w:r>
      <w:proofErr w:type="gramStart"/>
      <w:r w:rsidRPr="002117C0">
        <w:rPr>
          <w:b/>
          <w:sz w:val="20"/>
        </w:rPr>
        <w:t>]+</w:t>
      </w:r>
      <w:proofErr w:type="gramEnd"/>
      <w:r w:rsidRPr="002117C0">
        <w:rPr>
          <w:b/>
          <w:bCs/>
          <w:sz w:val="20"/>
        </w:rPr>
        <w:t xml:space="preserve"> [39].</w:t>
      </w:r>
    </w:p>
    <w:p w:rsidR="00CF7B79" w:rsidRPr="002117C0" w:rsidRDefault="00CF7B79" w:rsidP="00CF7B79">
      <w:pPr>
        <w:numPr>
          <w:ilvl w:val="0"/>
          <w:numId w:val="14"/>
        </w:numPr>
        <w:jc w:val="both"/>
        <w:rPr>
          <w:bCs/>
          <w:sz w:val="20"/>
        </w:rPr>
      </w:pPr>
      <w:r w:rsidRPr="002117C0">
        <w:rPr>
          <w:b/>
          <w:bCs/>
          <w:sz w:val="20"/>
        </w:rPr>
        <w:t xml:space="preserve">Taksa e rentës minerare për t’u </w:t>
      </w:r>
      <w:proofErr w:type="gramStart"/>
      <w:r w:rsidRPr="002117C0">
        <w:rPr>
          <w:b/>
          <w:bCs/>
          <w:sz w:val="20"/>
        </w:rPr>
        <w:t>paguar[</w:t>
      </w:r>
      <w:proofErr w:type="gramEnd"/>
      <w:r w:rsidRPr="002117C0">
        <w:rPr>
          <w:b/>
          <w:bCs/>
          <w:sz w:val="20"/>
        </w:rPr>
        <w:t>42]</w:t>
      </w:r>
      <w:r w:rsidRPr="002117C0">
        <w:rPr>
          <w:bCs/>
          <w:sz w:val="20"/>
        </w:rPr>
        <w:t xml:space="preserve"> tregon shumën totale të rentës</w:t>
      </w:r>
      <w:r w:rsidRPr="002117C0">
        <w:rPr>
          <w:b/>
          <w:bCs/>
          <w:sz w:val="20"/>
        </w:rPr>
        <w:t xml:space="preserve"> </w:t>
      </w:r>
      <w:r w:rsidRPr="002117C0">
        <w:rPr>
          <w:bCs/>
          <w:sz w:val="20"/>
        </w:rPr>
        <w:t xml:space="preserve">për t’u paguar nga zotëruesi i lejes të shfrytëzimit </w:t>
      </w:r>
      <w:r>
        <w:rPr>
          <w:bCs/>
          <w:sz w:val="20"/>
        </w:rPr>
        <w:t xml:space="preserve">pranë drejtorisë rajonale tatimore </w:t>
      </w:r>
      <w:r w:rsidRPr="002117C0">
        <w:rPr>
          <w:bCs/>
          <w:sz w:val="20"/>
        </w:rPr>
        <w:t>dhe është shuma e rubrikave [14]+[31].</w:t>
      </w:r>
    </w:p>
    <w:p w:rsidR="00CF7B79" w:rsidRPr="002117C0" w:rsidRDefault="00CF7B79" w:rsidP="00CF7B79">
      <w:pPr>
        <w:numPr>
          <w:ilvl w:val="0"/>
          <w:numId w:val="14"/>
        </w:numPr>
        <w:jc w:val="both"/>
        <w:rPr>
          <w:bCs/>
          <w:sz w:val="20"/>
        </w:rPr>
      </w:pPr>
      <w:r w:rsidRPr="002117C0">
        <w:rPr>
          <w:b/>
          <w:bCs/>
          <w:sz w:val="20"/>
        </w:rPr>
        <w:t>Dënime/</w:t>
      </w:r>
      <w:proofErr w:type="gramStart"/>
      <w:r w:rsidRPr="002117C0">
        <w:rPr>
          <w:b/>
          <w:bCs/>
          <w:sz w:val="20"/>
        </w:rPr>
        <w:t>interesa[</w:t>
      </w:r>
      <w:proofErr w:type="gramEnd"/>
      <w:r w:rsidRPr="002117C0">
        <w:rPr>
          <w:b/>
          <w:bCs/>
          <w:sz w:val="20"/>
        </w:rPr>
        <w:t xml:space="preserve">43] </w:t>
      </w:r>
      <w:r w:rsidRPr="002117C0">
        <w:rPr>
          <w:bCs/>
          <w:sz w:val="20"/>
        </w:rPr>
        <w:t>janë</w:t>
      </w:r>
      <w:r w:rsidRPr="002117C0">
        <w:rPr>
          <w:b/>
          <w:bCs/>
          <w:sz w:val="20"/>
        </w:rPr>
        <w:t xml:space="preserve"> </w:t>
      </w:r>
      <w:r w:rsidRPr="002117C0">
        <w:rPr>
          <w:bCs/>
          <w:sz w:val="20"/>
        </w:rPr>
        <w:t>dënime dhe interesa në përputhje me sanksionet të përcaktuara në ligjin nr. 9920/2008” Për procedurat tatimore në Republikën e Shqipërisë”, i ndryshuar.</w:t>
      </w:r>
    </w:p>
    <w:p w:rsidR="00CF7B79" w:rsidRPr="002117C0" w:rsidRDefault="00CF7B79" w:rsidP="00CF7B79">
      <w:pPr>
        <w:numPr>
          <w:ilvl w:val="0"/>
          <w:numId w:val="14"/>
        </w:numPr>
        <w:jc w:val="both"/>
        <w:rPr>
          <w:bCs/>
          <w:sz w:val="20"/>
        </w:rPr>
      </w:pPr>
      <w:r w:rsidRPr="002117C0">
        <w:rPr>
          <w:b/>
          <w:bCs/>
          <w:sz w:val="20"/>
        </w:rPr>
        <w:t xml:space="preserve">Totali për t’u </w:t>
      </w:r>
      <w:proofErr w:type="gramStart"/>
      <w:r w:rsidRPr="002117C0">
        <w:rPr>
          <w:b/>
          <w:bCs/>
          <w:sz w:val="20"/>
        </w:rPr>
        <w:t>paguar[</w:t>
      </w:r>
      <w:proofErr w:type="gramEnd"/>
      <w:r w:rsidRPr="002117C0">
        <w:rPr>
          <w:b/>
          <w:bCs/>
          <w:sz w:val="20"/>
        </w:rPr>
        <w:t xml:space="preserve">44] </w:t>
      </w:r>
      <w:r w:rsidRPr="002117C0">
        <w:rPr>
          <w:bCs/>
          <w:sz w:val="20"/>
        </w:rPr>
        <w:t>është shuma e rubrikave [42+43].</w:t>
      </w:r>
    </w:p>
    <w:p w:rsidR="009D67B7" w:rsidRPr="00320CBD" w:rsidRDefault="009D67B7" w:rsidP="00CA1B01">
      <w:pPr>
        <w:spacing w:after="200"/>
        <w:rPr>
          <w:lang w:val="sq-AL"/>
        </w:rPr>
      </w:pPr>
    </w:p>
    <w:sectPr w:rsidR="009D67B7" w:rsidRPr="00320CBD" w:rsidSect="003271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2731"/>
    <w:multiLevelType w:val="hybridMultilevel"/>
    <w:tmpl w:val="8DFC5E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E2275E"/>
    <w:multiLevelType w:val="hybridMultilevel"/>
    <w:tmpl w:val="5058B4C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6910CE3"/>
    <w:multiLevelType w:val="hybridMultilevel"/>
    <w:tmpl w:val="E6D879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E0E6114"/>
    <w:multiLevelType w:val="hybridMultilevel"/>
    <w:tmpl w:val="6D60819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A8A4613"/>
    <w:multiLevelType w:val="hybridMultilevel"/>
    <w:tmpl w:val="A328D8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AF84669"/>
    <w:multiLevelType w:val="hybridMultilevel"/>
    <w:tmpl w:val="DFD0C8A2"/>
    <w:lvl w:ilvl="0" w:tplc="E16A4BD0">
      <w:start w:val="1"/>
      <w:numFmt w:val="upp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212703D6"/>
    <w:multiLevelType w:val="hybridMultilevel"/>
    <w:tmpl w:val="72AEE4B6"/>
    <w:lvl w:ilvl="0" w:tplc="A68611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F3B9F"/>
    <w:multiLevelType w:val="hybridMultilevel"/>
    <w:tmpl w:val="5D34E65E"/>
    <w:lvl w:ilvl="0" w:tplc="5E705CE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12F149A"/>
    <w:multiLevelType w:val="hybridMultilevel"/>
    <w:tmpl w:val="7D7438EA"/>
    <w:lvl w:ilvl="0" w:tplc="87C03AA6">
      <w:start w:val="1"/>
      <w:numFmt w:val="decimal"/>
      <w:lvlText w:val="%1."/>
      <w:lvlJc w:val="left"/>
      <w:pPr>
        <w:ind w:left="720" w:hanging="360"/>
      </w:pPr>
      <w:rPr>
        <w:rFonts w:eastAsia="MS Mincho"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CD8723F"/>
    <w:multiLevelType w:val="hybridMultilevel"/>
    <w:tmpl w:val="6AF83E20"/>
    <w:lvl w:ilvl="0" w:tplc="BCD4893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E4DBC"/>
    <w:multiLevelType w:val="hybridMultilevel"/>
    <w:tmpl w:val="C2283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158E3"/>
    <w:multiLevelType w:val="hybridMultilevel"/>
    <w:tmpl w:val="C2283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F310B4"/>
    <w:multiLevelType w:val="hybridMultilevel"/>
    <w:tmpl w:val="C2283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4B1130"/>
    <w:multiLevelType w:val="hybridMultilevel"/>
    <w:tmpl w:val="FE84C12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932614D"/>
    <w:multiLevelType w:val="hybridMultilevel"/>
    <w:tmpl w:val="677C5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F15650"/>
    <w:multiLevelType w:val="hybridMultilevel"/>
    <w:tmpl w:val="21A2A7F2"/>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2AD38C5"/>
    <w:multiLevelType w:val="hybridMultilevel"/>
    <w:tmpl w:val="ABA421AA"/>
    <w:lvl w:ilvl="0" w:tplc="25406420">
      <w:start w:val="1"/>
      <w:numFmt w:val="decimal"/>
      <w:lvlText w:val="%1."/>
      <w:lvlJc w:val="left"/>
      <w:pPr>
        <w:ind w:left="720" w:hanging="360"/>
      </w:pPr>
      <w:rPr>
        <w:rFonts w:eastAsia="MS Mincho"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FD4E8E"/>
    <w:multiLevelType w:val="hybridMultilevel"/>
    <w:tmpl w:val="C2283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925666"/>
    <w:multiLevelType w:val="hybridMultilevel"/>
    <w:tmpl w:val="70B4207E"/>
    <w:lvl w:ilvl="0" w:tplc="DDB896B2">
      <w:start w:val="1"/>
      <w:numFmt w:val="lowerLetter"/>
      <w:lvlText w:val="%1)"/>
      <w:lvlJc w:val="left"/>
      <w:pPr>
        <w:ind w:left="720" w:hanging="360"/>
      </w:pPr>
      <w:rPr>
        <w:rFonts w:ascii="Times New Roman" w:eastAsia="Times New Roman" w:hAnsi="Times New Roman" w:cs="Times New Roman"/>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7C2F775E"/>
    <w:multiLevelType w:val="hybridMultilevel"/>
    <w:tmpl w:val="55D8DB4C"/>
    <w:lvl w:ilvl="0" w:tplc="145EB244">
      <w:start w:val="1"/>
      <w:numFmt w:val="lowerLetter"/>
      <w:lvlText w:val="%1)"/>
      <w:lvlJc w:val="left"/>
      <w:pPr>
        <w:ind w:left="90" w:hanging="360"/>
      </w:pPr>
      <w:rPr>
        <w:rFonts w:cs="Times New Roman" w:hint="default"/>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num w:numId="1">
    <w:abstractNumId w:val="13"/>
  </w:num>
  <w:num w:numId="2">
    <w:abstractNumId w:val="7"/>
  </w:num>
  <w:num w:numId="3">
    <w:abstractNumId w:val="19"/>
  </w:num>
  <w:num w:numId="4">
    <w:abstractNumId w:val="0"/>
  </w:num>
  <w:num w:numId="5">
    <w:abstractNumId w:val="16"/>
  </w:num>
  <w:num w:numId="6">
    <w:abstractNumId w:val="8"/>
  </w:num>
  <w:num w:numId="7">
    <w:abstractNumId w:val="2"/>
  </w:num>
  <w:num w:numId="8">
    <w:abstractNumId w:val="3"/>
  </w:num>
  <w:num w:numId="9">
    <w:abstractNumId w:val="18"/>
  </w:num>
  <w:num w:numId="10">
    <w:abstractNumId w:val="1"/>
  </w:num>
  <w:num w:numId="11">
    <w:abstractNumId w:val="4"/>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6"/>
  </w:num>
  <w:num w:numId="15">
    <w:abstractNumId w:val="14"/>
  </w:num>
  <w:num w:numId="16">
    <w:abstractNumId w:val="10"/>
  </w:num>
  <w:num w:numId="17">
    <w:abstractNumId w:val="11"/>
  </w:num>
  <w:num w:numId="18">
    <w:abstractNumId w:val="17"/>
  </w:num>
  <w:num w:numId="19">
    <w:abstractNumId w:val="12"/>
  </w:num>
  <w:num w:numId="20">
    <w:abstractNumId w:val="9"/>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22FDE"/>
    <w:rsid w:val="00003CA8"/>
    <w:rsid w:val="000058EA"/>
    <w:rsid w:val="00026E5F"/>
    <w:rsid w:val="00065015"/>
    <w:rsid w:val="00072CFD"/>
    <w:rsid w:val="0008001D"/>
    <w:rsid w:val="0008436D"/>
    <w:rsid w:val="000951F3"/>
    <w:rsid w:val="000A3DC0"/>
    <w:rsid w:val="000B0B0C"/>
    <w:rsid w:val="000C0D2A"/>
    <w:rsid w:val="000D2AD6"/>
    <w:rsid w:val="000D6CEE"/>
    <w:rsid w:val="00102015"/>
    <w:rsid w:val="00116B7A"/>
    <w:rsid w:val="00121F78"/>
    <w:rsid w:val="001221D2"/>
    <w:rsid w:val="00125EBE"/>
    <w:rsid w:val="001337DA"/>
    <w:rsid w:val="00144222"/>
    <w:rsid w:val="0016698A"/>
    <w:rsid w:val="00167FB1"/>
    <w:rsid w:val="0017033A"/>
    <w:rsid w:val="00177833"/>
    <w:rsid w:val="00180F2F"/>
    <w:rsid w:val="00191243"/>
    <w:rsid w:val="00197BC5"/>
    <w:rsid w:val="001A4CA1"/>
    <w:rsid w:val="001B14B0"/>
    <w:rsid w:val="001B56EF"/>
    <w:rsid w:val="001C06F9"/>
    <w:rsid w:val="001C0C64"/>
    <w:rsid w:val="001D54F1"/>
    <w:rsid w:val="001E2258"/>
    <w:rsid w:val="001E519E"/>
    <w:rsid w:val="001E52B8"/>
    <w:rsid w:val="001F3B96"/>
    <w:rsid w:val="001F574E"/>
    <w:rsid w:val="001F5BF6"/>
    <w:rsid w:val="001F6774"/>
    <w:rsid w:val="00202E11"/>
    <w:rsid w:val="00205BF1"/>
    <w:rsid w:val="00206468"/>
    <w:rsid w:val="00217398"/>
    <w:rsid w:val="002434B8"/>
    <w:rsid w:val="002435C6"/>
    <w:rsid w:val="002461A2"/>
    <w:rsid w:val="00246990"/>
    <w:rsid w:val="00252ECA"/>
    <w:rsid w:val="00254608"/>
    <w:rsid w:val="00266BCB"/>
    <w:rsid w:val="00271AE5"/>
    <w:rsid w:val="002761C5"/>
    <w:rsid w:val="002829E6"/>
    <w:rsid w:val="002A2FAA"/>
    <w:rsid w:val="002A34D9"/>
    <w:rsid w:val="002A496A"/>
    <w:rsid w:val="002B4A87"/>
    <w:rsid w:val="002D091B"/>
    <w:rsid w:val="002E1BD8"/>
    <w:rsid w:val="002E2474"/>
    <w:rsid w:val="00305B8A"/>
    <w:rsid w:val="00316C3A"/>
    <w:rsid w:val="00320CBD"/>
    <w:rsid w:val="003261BB"/>
    <w:rsid w:val="003271FB"/>
    <w:rsid w:val="00330B52"/>
    <w:rsid w:val="003504B0"/>
    <w:rsid w:val="00350CF8"/>
    <w:rsid w:val="00360149"/>
    <w:rsid w:val="003628DB"/>
    <w:rsid w:val="00367CA4"/>
    <w:rsid w:val="0038782F"/>
    <w:rsid w:val="003A6240"/>
    <w:rsid w:val="003C2333"/>
    <w:rsid w:val="003C4331"/>
    <w:rsid w:val="003D35A6"/>
    <w:rsid w:val="003E1A5A"/>
    <w:rsid w:val="003E731D"/>
    <w:rsid w:val="003F3D46"/>
    <w:rsid w:val="00405EEA"/>
    <w:rsid w:val="00412D5F"/>
    <w:rsid w:val="00413F28"/>
    <w:rsid w:val="00424EF1"/>
    <w:rsid w:val="00433446"/>
    <w:rsid w:val="004441E2"/>
    <w:rsid w:val="00455F21"/>
    <w:rsid w:val="00457157"/>
    <w:rsid w:val="00462070"/>
    <w:rsid w:val="00471654"/>
    <w:rsid w:val="00482961"/>
    <w:rsid w:val="00490375"/>
    <w:rsid w:val="004927B8"/>
    <w:rsid w:val="004B4C56"/>
    <w:rsid w:val="004C416B"/>
    <w:rsid w:val="004F4B4F"/>
    <w:rsid w:val="004F50FF"/>
    <w:rsid w:val="004F7406"/>
    <w:rsid w:val="005022BB"/>
    <w:rsid w:val="005141C7"/>
    <w:rsid w:val="00514FFB"/>
    <w:rsid w:val="00531DF5"/>
    <w:rsid w:val="005369B6"/>
    <w:rsid w:val="005425C5"/>
    <w:rsid w:val="005536F3"/>
    <w:rsid w:val="00566597"/>
    <w:rsid w:val="0057152E"/>
    <w:rsid w:val="00571568"/>
    <w:rsid w:val="00572732"/>
    <w:rsid w:val="00581AA1"/>
    <w:rsid w:val="0058252D"/>
    <w:rsid w:val="005862FD"/>
    <w:rsid w:val="005B0318"/>
    <w:rsid w:val="005B067E"/>
    <w:rsid w:val="005C44AA"/>
    <w:rsid w:val="005D1073"/>
    <w:rsid w:val="005D7DC1"/>
    <w:rsid w:val="005F39FC"/>
    <w:rsid w:val="005F4D3C"/>
    <w:rsid w:val="00601F5F"/>
    <w:rsid w:val="0060296B"/>
    <w:rsid w:val="00602BF6"/>
    <w:rsid w:val="00603D4E"/>
    <w:rsid w:val="0061662F"/>
    <w:rsid w:val="00621814"/>
    <w:rsid w:val="006241FB"/>
    <w:rsid w:val="006267D7"/>
    <w:rsid w:val="0064204C"/>
    <w:rsid w:val="00642763"/>
    <w:rsid w:val="00646310"/>
    <w:rsid w:val="00662EA8"/>
    <w:rsid w:val="006632AE"/>
    <w:rsid w:val="00673C7E"/>
    <w:rsid w:val="00676ADF"/>
    <w:rsid w:val="006813A8"/>
    <w:rsid w:val="00693FC2"/>
    <w:rsid w:val="006A4AB6"/>
    <w:rsid w:val="006B59BD"/>
    <w:rsid w:val="006B75D1"/>
    <w:rsid w:val="006D3712"/>
    <w:rsid w:val="006E2665"/>
    <w:rsid w:val="006E4B4F"/>
    <w:rsid w:val="006E633F"/>
    <w:rsid w:val="006E65C0"/>
    <w:rsid w:val="006F05E4"/>
    <w:rsid w:val="006F6498"/>
    <w:rsid w:val="00717B2A"/>
    <w:rsid w:val="00721922"/>
    <w:rsid w:val="007253F0"/>
    <w:rsid w:val="0073057E"/>
    <w:rsid w:val="00731AEE"/>
    <w:rsid w:val="0073342B"/>
    <w:rsid w:val="0074571C"/>
    <w:rsid w:val="00752A93"/>
    <w:rsid w:val="00765E93"/>
    <w:rsid w:val="0077492B"/>
    <w:rsid w:val="007749A0"/>
    <w:rsid w:val="00776752"/>
    <w:rsid w:val="00786245"/>
    <w:rsid w:val="0078630F"/>
    <w:rsid w:val="00797348"/>
    <w:rsid w:val="007A2824"/>
    <w:rsid w:val="007A6689"/>
    <w:rsid w:val="007B1A29"/>
    <w:rsid w:val="007B4A98"/>
    <w:rsid w:val="007C1211"/>
    <w:rsid w:val="007F7FE6"/>
    <w:rsid w:val="0080211A"/>
    <w:rsid w:val="0080715A"/>
    <w:rsid w:val="00812997"/>
    <w:rsid w:val="0081627B"/>
    <w:rsid w:val="008167B8"/>
    <w:rsid w:val="00817DC9"/>
    <w:rsid w:val="00821DDC"/>
    <w:rsid w:val="00831256"/>
    <w:rsid w:val="00856CA6"/>
    <w:rsid w:val="00862E7A"/>
    <w:rsid w:val="0087434D"/>
    <w:rsid w:val="00892AA3"/>
    <w:rsid w:val="008952A3"/>
    <w:rsid w:val="00895CA4"/>
    <w:rsid w:val="008A26FF"/>
    <w:rsid w:val="008A62EE"/>
    <w:rsid w:val="008B22F4"/>
    <w:rsid w:val="008B632C"/>
    <w:rsid w:val="008C6A8C"/>
    <w:rsid w:val="008D2DF3"/>
    <w:rsid w:val="008F3AF2"/>
    <w:rsid w:val="008F4334"/>
    <w:rsid w:val="00901035"/>
    <w:rsid w:val="00926381"/>
    <w:rsid w:val="009376AF"/>
    <w:rsid w:val="009400D0"/>
    <w:rsid w:val="0094430E"/>
    <w:rsid w:val="0095465D"/>
    <w:rsid w:val="0095466F"/>
    <w:rsid w:val="00967413"/>
    <w:rsid w:val="00970075"/>
    <w:rsid w:val="00971CD3"/>
    <w:rsid w:val="00973054"/>
    <w:rsid w:val="009744DD"/>
    <w:rsid w:val="009946FC"/>
    <w:rsid w:val="009A1C09"/>
    <w:rsid w:val="009A4136"/>
    <w:rsid w:val="009B5CCA"/>
    <w:rsid w:val="009B7299"/>
    <w:rsid w:val="009C3403"/>
    <w:rsid w:val="009D539B"/>
    <w:rsid w:val="009D67B7"/>
    <w:rsid w:val="009E1D61"/>
    <w:rsid w:val="009E5C31"/>
    <w:rsid w:val="009F432B"/>
    <w:rsid w:val="00A058EF"/>
    <w:rsid w:val="00A07ED3"/>
    <w:rsid w:val="00A16BE7"/>
    <w:rsid w:val="00A16DAE"/>
    <w:rsid w:val="00A176E4"/>
    <w:rsid w:val="00A2572B"/>
    <w:rsid w:val="00A26739"/>
    <w:rsid w:val="00A26AC5"/>
    <w:rsid w:val="00A41D22"/>
    <w:rsid w:val="00A55B96"/>
    <w:rsid w:val="00A61DB0"/>
    <w:rsid w:val="00A67C97"/>
    <w:rsid w:val="00A8159C"/>
    <w:rsid w:val="00AA5527"/>
    <w:rsid w:val="00AB6E05"/>
    <w:rsid w:val="00AC7619"/>
    <w:rsid w:val="00AE0E18"/>
    <w:rsid w:val="00AE485D"/>
    <w:rsid w:val="00B1362A"/>
    <w:rsid w:val="00B21D44"/>
    <w:rsid w:val="00B36E09"/>
    <w:rsid w:val="00B51D09"/>
    <w:rsid w:val="00B52633"/>
    <w:rsid w:val="00B5501C"/>
    <w:rsid w:val="00B72465"/>
    <w:rsid w:val="00B75F8F"/>
    <w:rsid w:val="00B77024"/>
    <w:rsid w:val="00B778C4"/>
    <w:rsid w:val="00B83B84"/>
    <w:rsid w:val="00B84159"/>
    <w:rsid w:val="00B85C83"/>
    <w:rsid w:val="00B94B87"/>
    <w:rsid w:val="00BA3E33"/>
    <w:rsid w:val="00BC5426"/>
    <w:rsid w:val="00BC71E0"/>
    <w:rsid w:val="00BC7548"/>
    <w:rsid w:val="00BD342B"/>
    <w:rsid w:val="00BE1381"/>
    <w:rsid w:val="00BF48FE"/>
    <w:rsid w:val="00BF614A"/>
    <w:rsid w:val="00C01897"/>
    <w:rsid w:val="00C05731"/>
    <w:rsid w:val="00C1056C"/>
    <w:rsid w:val="00C108A4"/>
    <w:rsid w:val="00C11CE7"/>
    <w:rsid w:val="00C13E4B"/>
    <w:rsid w:val="00C21171"/>
    <w:rsid w:val="00C31C6E"/>
    <w:rsid w:val="00C32DBE"/>
    <w:rsid w:val="00C3345D"/>
    <w:rsid w:val="00C34085"/>
    <w:rsid w:val="00C43569"/>
    <w:rsid w:val="00C46B66"/>
    <w:rsid w:val="00C47F17"/>
    <w:rsid w:val="00C51A3B"/>
    <w:rsid w:val="00C53582"/>
    <w:rsid w:val="00C53901"/>
    <w:rsid w:val="00C56705"/>
    <w:rsid w:val="00C60DFD"/>
    <w:rsid w:val="00C70973"/>
    <w:rsid w:val="00C747B0"/>
    <w:rsid w:val="00C82C28"/>
    <w:rsid w:val="00C92295"/>
    <w:rsid w:val="00CA1B01"/>
    <w:rsid w:val="00CB3A94"/>
    <w:rsid w:val="00CB4700"/>
    <w:rsid w:val="00CB6DCD"/>
    <w:rsid w:val="00CC0B52"/>
    <w:rsid w:val="00CC2598"/>
    <w:rsid w:val="00CE1D38"/>
    <w:rsid w:val="00CE20E6"/>
    <w:rsid w:val="00CE3B93"/>
    <w:rsid w:val="00CF5DD7"/>
    <w:rsid w:val="00CF7B79"/>
    <w:rsid w:val="00D22FDE"/>
    <w:rsid w:val="00D26F35"/>
    <w:rsid w:val="00D26F6A"/>
    <w:rsid w:val="00D36285"/>
    <w:rsid w:val="00D50724"/>
    <w:rsid w:val="00D6118D"/>
    <w:rsid w:val="00D61F7C"/>
    <w:rsid w:val="00D73644"/>
    <w:rsid w:val="00D75C7D"/>
    <w:rsid w:val="00D81661"/>
    <w:rsid w:val="00D8272F"/>
    <w:rsid w:val="00D911F1"/>
    <w:rsid w:val="00D97208"/>
    <w:rsid w:val="00DA3E6B"/>
    <w:rsid w:val="00DA4E48"/>
    <w:rsid w:val="00DA51C1"/>
    <w:rsid w:val="00DA7506"/>
    <w:rsid w:val="00DB208A"/>
    <w:rsid w:val="00DC5596"/>
    <w:rsid w:val="00DC5C27"/>
    <w:rsid w:val="00DD004D"/>
    <w:rsid w:val="00DE3B89"/>
    <w:rsid w:val="00DE3F3B"/>
    <w:rsid w:val="00DF6D14"/>
    <w:rsid w:val="00DF7442"/>
    <w:rsid w:val="00E015E4"/>
    <w:rsid w:val="00E01DB8"/>
    <w:rsid w:val="00E1078F"/>
    <w:rsid w:val="00E16ADE"/>
    <w:rsid w:val="00E20FE8"/>
    <w:rsid w:val="00E3667E"/>
    <w:rsid w:val="00E4475E"/>
    <w:rsid w:val="00E528FA"/>
    <w:rsid w:val="00E62CFF"/>
    <w:rsid w:val="00E73CAF"/>
    <w:rsid w:val="00E863C4"/>
    <w:rsid w:val="00E941B1"/>
    <w:rsid w:val="00E97F59"/>
    <w:rsid w:val="00EA7220"/>
    <w:rsid w:val="00EB2510"/>
    <w:rsid w:val="00ED3E83"/>
    <w:rsid w:val="00ED4374"/>
    <w:rsid w:val="00ED6355"/>
    <w:rsid w:val="00ED6D25"/>
    <w:rsid w:val="00EE6DD6"/>
    <w:rsid w:val="00EF5975"/>
    <w:rsid w:val="00EF6004"/>
    <w:rsid w:val="00F123E4"/>
    <w:rsid w:val="00F21A9A"/>
    <w:rsid w:val="00F21BDE"/>
    <w:rsid w:val="00F3055D"/>
    <w:rsid w:val="00F40D83"/>
    <w:rsid w:val="00F5690A"/>
    <w:rsid w:val="00F65D00"/>
    <w:rsid w:val="00F87916"/>
    <w:rsid w:val="00FA1646"/>
    <w:rsid w:val="00FA6077"/>
    <w:rsid w:val="00FB3155"/>
    <w:rsid w:val="00FB7CCA"/>
    <w:rsid w:val="00FC0A82"/>
    <w:rsid w:val="00FC0BA9"/>
    <w:rsid w:val="00FE636B"/>
    <w:rsid w:val="00FF110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DE"/>
    <w:rPr>
      <w:rFonts w:ascii="Times New Roman" w:eastAsia="Times New Roman" w:hAnsi="Times New Roman"/>
      <w:sz w:val="24"/>
      <w:szCs w:val="24"/>
      <w:lang w:val="en-GB"/>
    </w:rPr>
  </w:style>
  <w:style w:type="paragraph" w:styleId="Heading1">
    <w:name w:val="heading 1"/>
    <w:basedOn w:val="Normal"/>
    <w:next w:val="Normal"/>
    <w:link w:val="Heading1Char"/>
    <w:uiPriority w:val="99"/>
    <w:qFormat/>
    <w:rsid w:val="00D22FDE"/>
    <w:pPr>
      <w:keepNext/>
      <w:spacing w:before="240" w:after="60"/>
      <w:outlineLvl w:val="0"/>
    </w:pPr>
    <w:rPr>
      <w:rFonts w:ascii="Arial" w:eastAsia="MS Mincho" w:hAnsi="Arial"/>
      <w:b/>
      <w:bCs/>
      <w:kern w:val="32"/>
      <w:sz w:val="32"/>
      <w:szCs w:val="32"/>
    </w:rPr>
  </w:style>
  <w:style w:type="paragraph" w:styleId="Heading3">
    <w:name w:val="heading 3"/>
    <w:basedOn w:val="Normal"/>
    <w:next w:val="Normal"/>
    <w:link w:val="Heading3Char"/>
    <w:uiPriority w:val="99"/>
    <w:qFormat/>
    <w:rsid w:val="00D22FDE"/>
    <w:pPr>
      <w:keepNext/>
      <w:spacing w:before="240" w:after="60"/>
      <w:outlineLvl w:val="2"/>
    </w:pPr>
    <w:rPr>
      <w:rFonts w:ascii="Arial" w:eastAsia="MS Mincho"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FDE"/>
    <w:rPr>
      <w:rFonts w:ascii="Arial" w:eastAsia="MS Mincho" w:hAnsi="Arial" w:cs="Times New Roman"/>
      <w:b/>
      <w:bCs/>
      <w:kern w:val="32"/>
      <w:sz w:val="32"/>
      <w:szCs w:val="32"/>
      <w:lang w:val="en-GB"/>
    </w:rPr>
  </w:style>
  <w:style w:type="character" w:customStyle="1" w:styleId="Heading3Char">
    <w:name w:val="Heading 3 Char"/>
    <w:basedOn w:val="DefaultParagraphFont"/>
    <w:link w:val="Heading3"/>
    <w:uiPriority w:val="99"/>
    <w:locked/>
    <w:rsid w:val="00D22FDE"/>
    <w:rPr>
      <w:rFonts w:ascii="Arial" w:eastAsia="MS Mincho" w:hAnsi="Arial" w:cs="Times New Roman"/>
      <w:b/>
      <w:bCs/>
      <w:sz w:val="26"/>
      <w:szCs w:val="26"/>
      <w:lang w:val="en-GB"/>
    </w:rPr>
  </w:style>
  <w:style w:type="paragraph" w:customStyle="1" w:styleId="Akti">
    <w:name w:val="Akti"/>
    <w:uiPriority w:val="99"/>
    <w:rsid w:val="00D22FDE"/>
    <w:pPr>
      <w:keepNext/>
      <w:widowControl w:val="0"/>
      <w:jc w:val="center"/>
      <w:outlineLvl w:val="0"/>
    </w:pPr>
    <w:rPr>
      <w:rFonts w:ascii="CG Times" w:eastAsia="Batang" w:hAnsi="CG Times"/>
      <w:b/>
      <w:caps/>
      <w:color w:val="000000"/>
      <w:lang w:val="en-GB"/>
    </w:rPr>
  </w:style>
  <w:style w:type="paragraph" w:customStyle="1" w:styleId="NumriData">
    <w:name w:val="Numri_Data"/>
    <w:next w:val="Normal"/>
    <w:uiPriority w:val="99"/>
    <w:rsid w:val="00D22FDE"/>
    <w:pPr>
      <w:keepNext/>
      <w:widowControl w:val="0"/>
      <w:jc w:val="center"/>
      <w:outlineLvl w:val="0"/>
    </w:pPr>
    <w:rPr>
      <w:rFonts w:ascii="CG Times" w:eastAsia="Batang" w:hAnsi="CG Times"/>
      <w:b/>
      <w:szCs w:val="20"/>
      <w:lang w:val="en-GB"/>
    </w:rPr>
  </w:style>
  <w:style w:type="paragraph" w:customStyle="1" w:styleId="Titulli">
    <w:name w:val="Titulli"/>
    <w:next w:val="Normal"/>
    <w:uiPriority w:val="99"/>
    <w:rsid w:val="00D22FDE"/>
    <w:pPr>
      <w:keepNext/>
      <w:widowControl w:val="0"/>
      <w:jc w:val="center"/>
      <w:outlineLvl w:val="1"/>
    </w:pPr>
    <w:rPr>
      <w:rFonts w:ascii="CG Times" w:eastAsia="Batang" w:hAnsi="CG Times"/>
      <w:b/>
      <w:caps/>
      <w:lang w:val="en-GB"/>
    </w:rPr>
  </w:style>
  <w:style w:type="paragraph" w:customStyle="1" w:styleId="VENDOSI">
    <w:name w:val="VENDOSI"/>
    <w:next w:val="Normal"/>
    <w:uiPriority w:val="99"/>
    <w:rsid w:val="00D22FDE"/>
    <w:pPr>
      <w:keepNext/>
      <w:widowControl w:val="0"/>
      <w:jc w:val="center"/>
    </w:pPr>
    <w:rPr>
      <w:rFonts w:ascii="CG Times" w:eastAsia="Batang" w:hAnsi="CG Times"/>
      <w:caps/>
      <w:lang w:val="en-GB"/>
    </w:rPr>
  </w:style>
  <w:style w:type="paragraph" w:styleId="BodyText3">
    <w:name w:val="Body Text 3"/>
    <w:basedOn w:val="Normal"/>
    <w:link w:val="BodyText3Char"/>
    <w:uiPriority w:val="99"/>
    <w:rsid w:val="00D22FDE"/>
    <w:pPr>
      <w:jc w:val="both"/>
    </w:pPr>
    <w:rPr>
      <w:rFonts w:ascii="Arial" w:eastAsia="MS Mincho" w:hAnsi="Arial"/>
      <w:sz w:val="20"/>
      <w:szCs w:val="20"/>
    </w:rPr>
  </w:style>
  <w:style w:type="character" w:customStyle="1" w:styleId="BodyText3Char">
    <w:name w:val="Body Text 3 Char"/>
    <w:basedOn w:val="DefaultParagraphFont"/>
    <w:link w:val="BodyText3"/>
    <w:uiPriority w:val="99"/>
    <w:locked/>
    <w:rsid w:val="00D22FDE"/>
    <w:rPr>
      <w:rFonts w:ascii="Arial" w:eastAsia="MS Mincho" w:hAnsi="Arial" w:cs="Times New Roman"/>
      <w:sz w:val="20"/>
      <w:szCs w:val="20"/>
    </w:rPr>
  </w:style>
  <w:style w:type="paragraph" w:styleId="BalloonText">
    <w:name w:val="Balloon Text"/>
    <w:basedOn w:val="Normal"/>
    <w:link w:val="BalloonTextChar"/>
    <w:uiPriority w:val="99"/>
    <w:semiHidden/>
    <w:rsid w:val="00D22F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2FDE"/>
    <w:rPr>
      <w:rFonts w:ascii="Tahoma" w:hAnsi="Tahoma" w:cs="Tahoma"/>
      <w:sz w:val="16"/>
      <w:szCs w:val="16"/>
      <w:lang w:val="en-GB"/>
    </w:rPr>
  </w:style>
  <w:style w:type="paragraph" w:styleId="ListParagraph">
    <w:name w:val="List Paragraph"/>
    <w:basedOn w:val="Normal"/>
    <w:link w:val="ListParagraphChar"/>
    <w:uiPriority w:val="99"/>
    <w:qFormat/>
    <w:rsid w:val="004F4B4F"/>
    <w:pPr>
      <w:ind w:left="720"/>
      <w:contextualSpacing/>
    </w:pPr>
  </w:style>
  <w:style w:type="paragraph" w:customStyle="1" w:styleId="Default">
    <w:name w:val="Default"/>
    <w:uiPriority w:val="99"/>
    <w:rsid w:val="00862E7A"/>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rsid w:val="005369B6"/>
    <w:pPr>
      <w:spacing w:before="100" w:beforeAutospacing="1" w:after="100" w:afterAutospacing="1"/>
    </w:pPr>
    <w:rPr>
      <w:rFonts w:eastAsia="Calibri"/>
      <w:lang w:val="en-US"/>
    </w:rPr>
  </w:style>
  <w:style w:type="character" w:customStyle="1" w:styleId="ListParagraphChar">
    <w:name w:val="List Paragraph Char"/>
    <w:link w:val="ListParagraph"/>
    <w:uiPriority w:val="99"/>
    <w:locked/>
    <w:rsid w:val="00DD004D"/>
    <w:rPr>
      <w:rFonts w:ascii="Times New Roman" w:hAnsi="Times New Roman"/>
      <w:sz w:val="24"/>
      <w:lang w:val="en-GB"/>
    </w:rPr>
  </w:style>
  <w:style w:type="paragraph" w:styleId="CommentText">
    <w:name w:val="annotation text"/>
    <w:basedOn w:val="Normal"/>
    <w:link w:val="CommentTextChar"/>
    <w:uiPriority w:val="99"/>
    <w:rsid w:val="00CE3B93"/>
    <w:pPr>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locked/>
    <w:rsid w:val="00CE3B93"/>
    <w:rPr>
      <w:rFonts w:ascii="Calibri" w:eastAsia="Times New Roman" w:hAnsi="Calibri" w:cs="Times New Roman"/>
      <w:sz w:val="20"/>
      <w:szCs w:val="20"/>
    </w:rPr>
  </w:style>
  <w:style w:type="character" w:styleId="CommentReference">
    <w:name w:val="annotation reference"/>
    <w:basedOn w:val="DefaultParagraphFont"/>
    <w:uiPriority w:val="99"/>
    <w:rsid w:val="00CE3B93"/>
    <w:rPr>
      <w:rFonts w:cs="Times New Roman"/>
      <w:sz w:val="16"/>
      <w:szCs w:val="16"/>
    </w:rPr>
  </w:style>
  <w:style w:type="paragraph" w:styleId="CommentSubject">
    <w:name w:val="annotation subject"/>
    <w:basedOn w:val="CommentText"/>
    <w:next w:val="CommentText"/>
    <w:link w:val="CommentSubjectChar"/>
    <w:uiPriority w:val="99"/>
    <w:semiHidden/>
    <w:rsid w:val="006E65C0"/>
    <w:pPr>
      <w:spacing w:after="0" w:line="240" w:lineRule="auto"/>
    </w:pPr>
    <w:rPr>
      <w:rFonts w:ascii="Times New Roman" w:eastAsia="Times New Roman" w:hAnsi="Times New Roman"/>
      <w:b/>
      <w:bCs/>
      <w:lang w:val="en-GB"/>
    </w:rPr>
  </w:style>
  <w:style w:type="character" w:customStyle="1" w:styleId="CommentSubjectChar">
    <w:name w:val="Comment Subject Char"/>
    <w:basedOn w:val="CommentTextChar"/>
    <w:link w:val="CommentSubject"/>
    <w:uiPriority w:val="99"/>
    <w:semiHidden/>
    <w:locked/>
    <w:rsid w:val="006E65C0"/>
    <w:rPr>
      <w:rFonts w:ascii="Times New Roman" w:hAnsi="Times New Roman"/>
      <w:b/>
      <w:bCs/>
      <w:lang w:val="en-GB"/>
    </w:rPr>
  </w:style>
  <w:style w:type="character" w:customStyle="1" w:styleId="apple-converted-space">
    <w:name w:val="apple-converted-space"/>
    <w:basedOn w:val="DefaultParagraphFont"/>
    <w:uiPriority w:val="99"/>
    <w:rsid w:val="00AA5527"/>
    <w:rPr>
      <w:rFonts w:cs="Times New Roman"/>
    </w:rPr>
  </w:style>
  <w:style w:type="paragraph" w:styleId="Caption">
    <w:name w:val="caption"/>
    <w:basedOn w:val="Normal"/>
    <w:next w:val="Normal"/>
    <w:qFormat/>
    <w:locked/>
    <w:rsid w:val="00CF7B79"/>
    <w:pPr>
      <w:jc w:val="center"/>
    </w:pPr>
    <w:rPr>
      <w:b/>
      <w:bCs/>
      <w:i/>
      <w:iCs/>
      <w:szCs w:val="20"/>
      <w:lang w:val="en-US"/>
    </w:rPr>
  </w:style>
</w:styles>
</file>

<file path=word/webSettings.xml><?xml version="1.0" encoding="utf-8"?>
<w:webSettings xmlns:r="http://schemas.openxmlformats.org/officeDocument/2006/relationships" xmlns:w="http://schemas.openxmlformats.org/wordprocessingml/2006/main">
  <w:divs>
    <w:div w:id="751241853">
      <w:marLeft w:val="0"/>
      <w:marRight w:val="0"/>
      <w:marTop w:val="0"/>
      <w:marBottom w:val="0"/>
      <w:divBdr>
        <w:top w:val="none" w:sz="0" w:space="0" w:color="auto"/>
        <w:left w:val="none" w:sz="0" w:space="0" w:color="auto"/>
        <w:bottom w:val="none" w:sz="0" w:space="0" w:color="auto"/>
        <w:right w:val="none" w:sz="0" w:space="0" w:color="auto"/>
      </w:divBdr>
    </w:div>
    <w:div w:id="751241854">
      <w:marLeft w:val="0"/>
      <w:marRight w:val="0"/>
      <w:marTop w:val="0"/>
      <w:marBottom w:val="0"/>
      <w:divBdr>
        <w:top w:val="none" w:sz="0" w:space="0" w:color="auto"/>
        <w:left w:val="none" w:sz="0" w:space="0" w:color="auto"/>
        <w:bottom w:val="none" w:sz="0" w:space="0" w:color="auto"/>
        <w:right w:val="none" w:sz="0" w:space="0" w:color="auto"/>
      </w:divBdr>
    </w:div>
    <w:div w:id="751241855">
      <w:marLeft w:val="0"/>
      <w:marRight w:val="0"/>
      <w:marTop w:val="0"/>
      <w:marBottom w:val="0"/>
      <w:divBdr>
        <w:top w:val="none" w:sz="0" w:space="0" w:color="auto"/>
        <w:left w:val="none" w:sz="0" w:space="0" w:color="auto"/>
        <w:bottom w:val="none" w:sz="0" w:space="0" w:color="auto"/>
        <w:right w:val="none" w:sz="0" w:space="0" w:color="auto"/>
      </w:divBdr>
    </w:div>
    <w:div w:id="751241856">
      <w:marLeft w:val="0"/>
      <w:marRight w:val="0"/>
      <w:marTop w:val="0"/>
      <w:marBottom w:val="0"/>
      <w:divBdr>
        <w:top w:val="none" w:sz="0" w:space="0" w:color="auto"/>
        <w:left w:val="none" w:sz="0" w:space="0" w:color="auto"/>
        <w:bottom w:val="none" w:sz="0" w:space="0" w:color="auto"/>
        <w:right w:val="none" w:sz="0" w:space="0" w:color="auto"/>
      </w:divBdr>
    </w:div>
    <w:div w:id="751241857">
      <w:marLeft w:val="0"/>
      <w:marRight w:val="0"/>
      <w:marTop w:val="0"/>
      <w:marBottom w:val="0"/>
      <w:divBdr>
        <w:top w:val="none" w:sz="0" w:space="0" w:color="auto"/>
        <w:left w:val="none" w:sz="0" w:space="0" w:color="auto"/>
        <w:bottom w:val="none" w:sz="0" w:space="0" w:color="auto"/>
        <w:right w:val="none" w:sz="0" w:space="0" w:color="auto"/>
      </w:divBdr>
    </w:div>
    <w:div w:id="751241858">
      <w:marLeft w:val="0"/>
      <w:marRight w:val="0"/>
      <w:marTop w:val="0"/>
      <w:marBottom w:val="0"/>
      <w:divBdr>
        <w:top w:val="none" w:sz="0" w:space="0" w:color="auto"/>
        <w:left w:val="none" w:sz="0" w:space="0" w:color="auto"/>
        <w:bottom w:val="none" w:sz="0" w:space="0" w:color="auto"/>
        <w:right w:val="none" w:sz="0" w:space="0" w:color="auto"/>
      </w:divBdr>
    </w:div>
    <w:div w:id="751241859">
      <w:marLeft w:val="0"/>
      <w:marRight w:val="0"/>
      <w:marTop w:val="0"/>
      <w:marBottom w:val="0"/>
      <w:divBdr>
        <w:top w:val="none" w:sz="0" w:space="0" w:color="auto"/>
        <w:left w:val="none" w:sz="0" w:space="0" w:color="auto"/>
        <w:bottom w:val="none" w:sz="0" w:space="0" w:color="auto"/>
        <w:right w:val="none" w:sz="0" w:space="0" w:color="auto"/>
      </w:divBdr>
    </w:div>
    <w:div w:id="751241860">
      <w:marLeft w:val="0"/>
      <w:marRight w:val="0"/>
      <w:marTop w:val="0"/>
      <w:marBottom w:val="0"/>
      <w:divBdr>
        <w:top w:val="none" w:sz="0" w:space="0" w:color="auto"/>
        <w:left w:val="none" w:sz="0" w:space="0" w:color="auto"/>
        <w:bottom w:val="none" w:sz="0" w:space="0" w:color="auto"/>
        <w:right w:val="none" w:sz="0" w:space="0" w:color="auto"/>
      </w:divBdr>
    </w:div>
    <w:div w:id="751241861">
      <w:marLeft w:val="0"/>
      <w:marRight w:val="0"/>
      <w:marTop w:val="0"/>
      <w:marBottom w:val="0"/>
      <w:divBdr>
        <w:top w:val="none" w:sz="0" w:space="0" w:color="auto"/>
        <w:left w:val="none" w:sz="0" w:space="0" w:color="auto"/>
        <w:bottom w:val="none" w:sz="0" w:space="0" w:color="auto"/>
        <w:right w:val="none" w:sz="0" w:space="0" w:color="auto"/>
      </w:divBdr>
    </w:div>
    <w:div w:id="751241862">
      <w:marLeft w:val="0"/>
      <w:marRight w:val="0"/>
      <w:marTop w:val="0"/>
      <w:marBottom w:val="0"/>
      <w:divBdr>
        <w:top w:val="none" w:sz="0" w:space="0" w:color="auto"/>
        <w:left w:val="none" w:sz="0" w:space="0" w:color="auto"/>
        <w:bottom w:val="none" w:sz="0" w:space="0" w:color="auto"/>
        <w:right w:val="none" w:sz="0" w:space="0" w:color="auto"/>
      </w:divBdr>
    </w:div>
    <w:div w:id="751241863">
      <w:marLeft w:val="0"/>
      <w:marRight w:val="0"/>
      <w:marTop w:val="0"/>
      <w:marBottom w:val="0"/>
      <w:divBdr>
        <w:top w:val="none" w:sz="0" w:space="0" w:color="auto"/>
        <w:left w:val="none" w:sz="0" w:space="0" w:color="auto"/>
        <w:bottom w:val="none" w:sz="0" w:space="0" w:color="auto"/>
        <w:right w:val="none" w:sz="0" w:space="0" w:color="auto"/>
      </w:divBdr>
    </w:div>
    <w:div w:id="751241864">
      <w:marLeft w:val="0"/>
      <w:marRight w:val="0"/>
      <w:marTop w:val="0"/>
      <w:marBottom w:val="0"/>
      <w:divBdr>
        <w:top w:val="none" w:sz="0" w:space="0" w:color="auto"/>
        <w:left w:val="none" w:sz="0" w:space="0" w:color="auto"/>
        <w:bottom w:val="none" w:sz="0" w:space="0" w:color="auto"/>
        <w:right w:val="none" w:sz="0" w:space="0" w:color="auto"/>
      </w:divBdr>
    </w:div>
    <w:div w:id="751241865">
      <w:marLeft w:val="0"/>
      <w:marRight w:val="0"/>
      <w:marTop w:val="0"/>
      <w:marBottom w:val="0"/>
      <w:divBdr>
        <w:top w:val="none" w:sz="0" w:space="0" w:color="auto"/>
        <w:left w:val="none" w:sz="0" w:space="0" w:color="auto"/>
        <w:bottom w:val="none" w:sz="0" w:space="0" w:color="auto"/>
        <w:right w:val="none" w:sz="0" w:space="0" w:color="auto"/>
      </w:divBdr>
    </w:div>
    <w:div w:id="751241866">
      <w:marLeft w:val="0"/>
      <w:marRight w:val="0"/>
      <w:marTop w:val="0"/>
      <w:marBottom w:val="0"/>
      <w:divBdr>
        <w:top w:val="none" w:sz="0" w:space="0" w:color="auto"/>
        <w:left w:val="none" w:sz="0" w:space="0" w:color="auto"/>
        <w:bottom w:val="none" w:sz="0" w:space="0" w:color="auto"/>
        <w:right w:val="none" w:sz="0" w:space="0" w:color="auto"/>
      </w:divBdr>
    </w:div>
    <w:div w:id="751241867">
      <w:marLeft w:val="0"/>
      <w:marRight w:val="0"/>
      <w:marTop w:val="0"/>
      <w:marBottom w:val="0"/>
      <w:divBdr>
        <w:top w:val="none" w:sz="0" w:space="0" w:color="auto"/>
        <w:left w:val="none" w:sz="0" w:space="0" w:color="auto"/>
        <w:bottom w:val="none" w:sz="0" w:space="0" w:color="auto"/>
        <w:right w:val="none" w:sz="0" w:space="0" w:color="auto"/>
      </w:divBdr>
    </w:div>
    <w:div w:id="751241868">
      <w:marLeft w:val="0"/>
      <w:marRight w:val="0"/>
      <w:marTop w:val="0"/>
      <w:marBottom w:val="0"/>
      <w:divBdr>
        <w:top w:val="none" w:sz="0" w:space="0" w:color="auto"/>
        <w:left w:val="none" w:sz="0" w:space="0" w:color="auto"/>
        <w:bottom w:val="none" w:sz="0" w:space="0" w:color="auto"/>
        <w:right w:val="none" w:sz="0" w:space="0" w:color="auto"/>
      </w:divBdr>
    </w:div>
    <w:div w:id="751241869">
      <w:marLeft w:val="0"/>
      <w:marRight w:val="0"/>
      <w:marTop w:val="0"/>
      <w:marBottom w:val="0"/>
      <w:divBdr>
        <w:top w:val="none" w:sz="0" w:space="0" w:color="auto"/>
        <w:left w:val="none" w:sz="0" w:space="0" w:color="auto"/>
        <w:bottom w:val="none" w:sz="0" w:space="0" w:color="auto"/>
        <w:right w:val="none" w:sz="0" w:space="0" w:color="auto"/>
      </w:divBdr>
    </w:div>
    <w:div w:id="751241870">
      <w:marLeft w:val="0"/>
      <w:marRight w:val="0"/>
      <w:marTop w:val="0"/>
      <w:marBottom w:val="0"/>
      <w:divBdr>
        <w:top w:val="none" w:sz="0" w:space="0" w:color="auto"/>
        <w:left w:val="none" w:sz="0" w:space="0" w:color="auto"/>
        <w:bottom w:val="none" w:sz="0" w:space="0" w:color="auto"/>
        <w:right w:val="none" w:sz="0" w:space="0" w:color="auto"/>
      </w:divBdr>
    </w:div>
    <w:div w:id="751241871">
      <w:marLeft w:val="0"/>
      <w:marRight w:val="0"/>
      <w:marTop w:val="0"/>
      <w:marBottom w:val="0"/>
      <w:divBdr>
        <w:top w:val="none" w:sz="0" w:space="0" w:color="auto"/>
        <w:left w:val="none" w:sz="0" w:space="0" w:color="auto"/>
        <w:bottom w:val="none" w:sz="0" w:space="0" w:color="auto"/>
        <w:right w:val="none" w:sz="0" w:space="0" w:color="auto"/>
      </w:divBdr>
    </w:div>
    <w:div w:id="751241872">
      <w:marLeft w:val="0"/>
      <w:marRight w:val="0"/>
      <w:marTop w:val="0"/>
      <w:marBottom w:val="0"/>
      <w:divBdr>
        <w:top w:val="none" w:sz="0" w:space="0" w:color="auto"/>
        <w:left w:val="none" w:sz="0" w:space="0" w:color="auto"/>
        <w:bottom w:val="none" w:sz="0" w:space="0" w:color="auto"/>
        <w:right w:val="none" w:sz="0" w:space="0" w:color="auto"/>
      </w:divBdr>
    </w:div>
    <w:div w:id="751241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6484</Words>
  <Characters>36961</Characters>
  <Application>Microsoft Office Word</Application>
  <DocSecurity>0</DocSecurity>
  <Lines>308</Lines>
  <Paragraphs>86</Paragraphs>
  <ScaleCrop>false</ScaleCrop>
  <Company/>
  <LinksUpToDate>false</LinksUpToDate>
  <CharactersWithSpaces>43359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arjanadyrmishi</dc:creator>
  <cp:keywords/>
  <dc:description/>
  <cp:lastModifiedBy>arminda.murrizi</cp:lastModifiedBy>
  <cp:revision>8</cp:revision>
  <cp:lastPrinted>2014-01-14T12:01:00Z</cp:lastPrinted>
  <dcterms:created xsi:type="dcterms:W3CDTF">2014-01-14T11:23:00Z</dcterms:created>
  <dcterms:modified xsi:type="dcterms:W3CDTF">2014-01-14T12:04:00Z</dcterms:modified>
</cp:coreProperties>
</file>