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2D" w:rsidRPr="00EE462D" w:rsidRDefault="00EE462D" w:rsidP="00EE462D">
      <w:pPr>
        <w:jc w:val="center"/>
        <w:rPr>
          <w:rFonts w:ascii="Times New Roman" w:hAnsi="Times New Roman" w:cs="Times New Roman"/>
          <w:b/>
          <w:sz w:val="24"/>
          <w:szCs w:val="24"/>
        </w:rPr>
      </w:pPr>
      <w:r w:rsidRPr="00EE462D">
        <w:rPr>
          <w:rFonts w:ascii="Times New Roman" w:hAnsi="Times New Roman" w:cs="Times New Roman"/>
          <w:b/>
          <w:sz w:val="24"/>
          <w:szCs w:val="24"/>
        </w:rPr>
        <w:t>LIGJ Nr. 83/2014</w:t>
      </w:r>
    </w:p>
    <w:p w:rsidR="00EE462D" w:rsidRPr="00EE462D" w:rsidRDefault="00EE462D" w:rsidP="00EE462D">
      <w:pPr>
        <w:jc w:val="center"/>
        <w:rPr>
          <w:rFonts w:ascii="Times New Roman" w:hAnsi="Times New Roman" w:cs="Times New Roman"/>
          <w:b/>
          <w:sz w:val="24"/>
          <w:szCs w:val="24"/>
        </w:rPr>
      </w:pPr>
      <w:r w:rsidRPr="00EE462D">
        <w:rPr>
          <w:rFonts w:ascii="Times New Roman" w:hAnsi="Times New Roman" w:cs="Times New Roman"/>
          <w:b/>
          <w:sz w:val="24"/>
          <w:szCs w:val="24"/>
        </w:rPr>
        <w:t>PËR DISA NDRYSHIME NË LIGJIN NR. 8438, DATË 28.12.1998, “PËR TATIMIN MBI TË ARDHURAT”, TË NDRYSHUAR</w:t>
      </w:r>
    </w:p>
    <w:p w:rsidR="00EE462D" w:rsidRPr="00EE462D" w:rsidRDefault="00EE462D" w:rsidP="00EE462D">
      <w:pPr>
        <w:rPr>
          <w:rFonts w:ascii="Times New Roman" w:hAnsi="Times New Roman" w:cs="Times New Roman"/>
          <w:sz w:val="24"/>
          <w:szCs w:val="24"/>
        </w:rPr>
      </w:pP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 xml:space="preserve">Në mbështetje të neneve 78, 83, pika 1, dhe 155, të Kushtetutës, me propozimin e Këshillit të Ministrave, </w:t>
      </w:r>
    </w:p>
    <w:p w:rsidR="00EE462D" w:rsidRPr="00EE462D" w:rsidRDefault="00EE462D" w:rsidP="007B6D18">
      <w:pPr>
        <w:jc w:val="center"/>
        <w:rPr>
          <w:rFonts w:ascii="Times New Roman" w:hAnsi="Times New Roman" w:cs="Times New Roman"/>
          <w:b/>
          <w:sz w:val="24"/>
          <w:szCs w:val="24"/>
        </w:rPr>
      </w:pPr>
      <w:r w:rsidRPr="00EE462D">
        <w:rPr>
          <w:rFonts w:ascii="Times New Roman" w:hAnsi="Times New Roman" w:cs="Times New Roman"/>
          <w:b/>
          <w:sz w:val="24"/>
          <w:szCs w:val="24"/>
        </w:rPr>
        <w:t>KUVENDI I REPUBLIKËS SË SHQIPËRISË</w:t>
      </w:r>
    </w:p>
    <w:p w:rsidR="00EE462D" w:rsidRPr="00EE462D" w:rsidRDefault="00EE462D" w:rsidP="007B6D18">
      <w:pPr>
        <w:jc w:val="center"/>
        <w:rPr>
          <w:rFonts w:ascii="Times New Roman" w:hAnsi="Times New Roman" w:cs="Times New Roman"/>
          <w:b/>
          <w:sz w:val="24"/>
          <w:szCs w:val="24"/>
        </w:rPr>
      </w:pPr>
      <w:r w:rsidRPr="00EE462D">
        <w:rPr>
          <w:rFonts w:ascii="Times New Roman" w:hAnsi="Times New Roman" w:cs="Times New Roman"/>
          <w:b/>
          <w:sz w:val="24"/>
          <w:szCs w:val="24"/>
        </w:rPr>
        <w:t>VENDOSI:</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Në ligjin nr. 8438, datë 28.12.1998, “Për tatimin mbi të ardhurat”, të ndryshuar, bëhen këto ndryshime:</w:t>
      </w:r>
    </w:p>
    <w:p w:rsidR="00EE462D" w:rsidRPr="00EE462D" w:rsidRDefault="00EE462D" w:rsidP="00EE462D">
      <w:pPr>
        <w:jc w:val="center"/>
        <w:rPr>
          <w:rFonts w:ascii="Times New Roman" w:hAnsi="Times New Roman" w:cs="Times New Roman"/>
          <w:b/>
          <w:sz w:val="24"/>
          <w:szCs w:val="24"/>
        </w:rPr>
      </w:pPr>
      <w:r w:rsidRPr="00EE462D">
        <w:rPr>
          <w:rFonts w:ascii="Times New Roman" w:hAnsi="Times New Roman" w:cs="Times New Roman"/>
          <w:b/>
          <w:sz w:val="24"/>
          <w:szCs w:val="24"/>
        </w:rPr>
        <w:t>Neni 1</w:t>
      </w:r>
    </w:p>
    <w:p w:rsid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Neni 30 ndryshohet si më poshtë:</w:t>
      </w:r>
    </w:p>
    <w:p w:rsidR="00EE462D" w:rsidRPr="00E50006" w:rsidRDefault="00EE462D" w:rsidP="00E50006">
      <w:pPr>
        <w:jc w:val="center"/>
        <w:rPr>
          <w:rFonts w:ascii="Times New Roman" w:hAnsi="Times New Roman" w:cs="Times New Roman"/>
          <w:b/>
          <w:sz w:val="24"/>
          <w:szCs w:val="24"/>
        </w:rPr>
      </w:pPr>
      <w:bookmarkStart w:id="0" w:name="_GoBack"/>
      <w:r w:rsidRPr="00E50006">
        <w:rPr>
          <w:rFonts w:ascii="Times New Roman" w:hAnsi="Times New Roman" w:cs="Times New Roman"/>
          <w:b/>
          <w:sz w:val="24"/>
          <w:szCs w:val="24"/>
        </w:rPr>
        <w:t>“Neni 30</w:t>
      </w:r>
    </w:p>
    <w:p w:rsidR="00EE462D" w:rsidRPr="00E50006" w:rsidRDefault="00EE462D" w:rsidP="00E50006">
      <w:pPr>
        <w:jc w:val="center"/>
        <w:rPr>
          <w:rFonts w:ascii="Times New Roman" w:hAnsi="Times New Roman" w:cs="Times New Roman"/>
          <w:b/>
          <w:sz w:val="24"/>
          <w:szCs w:val="24"/>
        </w:rPr>
      </w:pPr>
      <w:r w:rsidRPr="00E50006">
        <w:rPr>
          <w:rFonts w:ascii="Times New Roman" w:hAnsi="Times New Roman" w:cs="Times New Roman"/>
          <w:b/>
          <w:sz w:val="24"/>
          <w:szCs w:val="24"/>
        </w:rPr>
        <w:t>Parapagimet</w:t>
      </w:r>
    </w:p>
    <w:bookmarkEnd w:id="0"/>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 xml:space="preserve">1. Gjatë periudhës vijuese tatimore, tatimpaguesi parapaguan, në llogarinë e organeve </w:t>
      </w:r>
      <w:r>
        <w:rPr>
          <w:rFonts w:ascii="Times New Roman" w:hAnsi="Times New Roman" w:cs="Times New Roman"/>
          <w:sz w:val="24"/>
          <w:szCs w:val="24"/>
        </w:rPr>
        <w:t>t</w:t>
      </w:r>
      <w:r w:rsidRPr="00EE462D">
        <w:rPr>
          <w:rFonts w:ascii="Times New Roman" w:hAnsi="Times New Roman" w:cs="Times New Roman"/>
          <w:sz w:val="24"/>
          <w:szCs w:val="24"/>
        </w:rPr>
        <w:t xml:space="preserve">atimore, këstet </w:t>
      </w:r>
      <w:r>
        <w:rPr>
          <w:rFonts w:ascii="Times New Roman" w:hAnsi="Times New Roman" w:cs="Times New Roman"/>
          <w:sz w:val="24"/>
          <w:szCs w:val="24"/>
        </w:rPr>
        <w:t xml:space="preserve"> </w:t>
      </w:r>
      <w:r w:rsidRPr="00EE462D">
        <w:rPr>
          <w:rFonts w:ascii="Times New Roman" w:hAnsi="Times New Roman" w:cs="Times New Roman"/>
          <w:sz w:val="24"/>
          <w:szCs w:val="24"/>
        </w:rPr>
        <w:t>tremujore të tatimit mbi fitimin, brenda datës 30 mars,</w:t>
      </w:r>
      <w:r>
        <w:rPr>
          <w:rFonts w:ascii="Times New Roman" w:hAnsi="Times New Roman" w:cs="Times New Roman"/>
          <w:sz w:val="24"/>
          <w:szCs w:val="24"/>
        </w:rPr>
        <w:t xml:space="preserve"> </w:t>
      </w:r>
      <w:r w:rsidRPr="00EE462D">
        <w:rPr>
          <w:rFonts w:ascii="Times New Roman" w:hAnsi="Times New Roman" w:cs="Times New Roman"/>
          <w:sz w:val="24"/>
          <w:szCs w:val="24"/>
        </w:rPr>
        <w:t xml:space="preserve">për muajt janar,shkurt dhe mars; brenda datës 30 qershor, për muajt prill, maj dhe qershor; brenda datës 30 shtator, për muajt korrik, gusht dhe shtator dhe, brenda datës 30 dhjetor, për muajt tetor, nëntor dhe dhjetor. Këstet mund të paguhen edhe në baza mujore, jo më vonë se data 15 e çdo muaji, në shumat si më poshtë: </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 xml:space="preserve">a) për çdonjërin nga muajt janar, shkurt dhe mars të periudhës vijuese tatimore, shumën e </w:t>
      </w:r>
      <w:r>
        <w:rPr>
          <w:rFonts w:ascii="Times New Roman" w:hAnsi="Times New Roman" w:cs="Times New Roman"/>
          <w:sz w:val="24"/>
          <w:szCs w:val="24"/>
        </w:rPr>
        <w:t>t</w:t>
      </w:r>
      <w:r w:rsidRPr="00EE462D">
        <w:rPr>
          <w:rFonts w:ascii="Times New Roman" w:hAnsi="Times New Roman" w:cs="Times New Roman"/>
          <w:sz w:val="24"/>
          <w:szCs w:val="24"/>
        </w:rPr>
        <w:t>atimit mbi fitimin</w:t>
      </w:r>
      <w:r>
        <w:rPr>
          <w:rFonts w:ascii="Times New Roman" w:hAnsi="Times New Roman" w:cs="Times New Roman"/>
          <w:sz w:val="24"/>
          <w:szCs w:val="24"/>
        </w:rPr>
        <w:t xml:space="preserve"> </w:t>
      </w:r>
      <w:r w:rsidRPr="00EE462D">
        <w:rPr>
          <w:rFonts w:ascii="Times New Roman" w:hAnsi="Times New Roman" w:cs="Times New Roman"/>
          <w:sz w:val="24"/>
          <w:szCs w:val="24"/>
        </w:rPr>
        <w:t xml:space="preserve">për periudhën tatimore të dy viteve më parë pjesëtuar me 12; </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 xml:space="preserve">b) për çdonjërin nga 9 muajt e tjerë të periudhës vijuese tatimore, shumën e tatimit mbi </w:t>
      </w:r>
      <w:r>
        <w:rPr>
          <w:rFonts w:ascii="Times New Roman" w:hAnsi="Times New Roman" w:cs="Times New Roman"/>
          <w:sz w:val="24"/>
          <w:szCs w:val="24"/>
        </w:rPr>
        <w:t>f</w:t>
      </w:r>
      <w:r w:rsidRPr="00EE462D">
        <w:rPr>
          <w:rFonts w:ascii="Times New Roman" w:hAnsi="Times New Roman" w:cs="Times New Roman"/>
          <w:sz w:val="24"/>
          <w:szCs w:val="24"/>
        </w:rPr>
        <w:t xml:space="preserve">itimin për periudhën paraardhëse tatimore pjesëtuar me 12. </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 xml:space="preserve">2. Në rastin kur tatimpaguesi e fillon veprimtarinë gjatë periudhës tatimore të vitit të dytë paraardhës, parapagimet për muajt janar-mars të periudhës vijuese tatimore janë si më poshtë: </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 xml:space="preserve">2.1. Shuma e tatimit mbi fitimin për periudhën tatimore të dy viteve më parë pjesëtuar me numrin e muajve, gjatë të cilëve tatimpaguesi ka ushtruar veprimtarinë tatimore. Për </w:t>
      </w:r>
      <w:r>
        <w:rPr>
          <w:rFonts w:ascii="Times New Roman" w:hAnsi="Times New Roman" w:cs="Times New Roman"/>
          <w:sz w:val="24"/>
          <w:szCs w:val="24"/>
        </w:rPr>
        <w:t>p</w:t>
      </w:r>
      <w:r w:rsidRPr="00EE462D">
        <w:rPr>
          <w:rFonts w:ascii="Times New Roman" w:hAnsi="Times New Roman" w:cs="Times New Roman"/>
          <w:sz w:val="24"/>
          <w:szCs w:val="24"/>
        </w:rPr>
        <w:t xml:space="preserve">ërcaktimin e parapagimeve për muajt e tjerë të periudhës vijuese tatimore, tatimi llogaritet sipas shkronjës “b”, të pikës 1, të këtij neni. </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 xml:space="preserve">3. Në rastin kur tatimpaguesi e fillon veprimtarinë gjatë periudhës paraardhëse tatimore, parapagimet për muajt janar-mars të periudhës vijuese tatimore janë sa shuma e vlerësuar e tatimit mbi fitimin për periudhën e mëparshme, pjesëtuar me numrin e muajve të periudhës </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lastRenderedPageBreak/>
        <w:t xml:space="preserve">së mëparshme, gjatë të cilëve është ushtruar veprimtari. </w:t>
      </w:r>
      <w:r>
        <w:rPr>
          <w:rFonts w:ascii="Times New Roman" w:hAnsi="Times New Roman" w:cs="Times New Roman"/>
          <w:sz w:val="24"/>
          <w:szCs w:val="24"/>
        </w:rPr>
        <w:t>S</w:t>
      </w:r>
      <w:r w:rsidRPr="00EE462D">
        <w:rPr>
          <w:rFonts w:ascii="Times New Roman" w:hAnsi="Times New Roman" w:cs="Times New Roman"/>
          <w:sz w:val="24"/>
          <w:szCs w:val="24"/>
        </w:rPr>
        <w:t xml:space="preserve">hkronja “b”, e pikës 1, të këtij neni, zbatohet për përcaktimin e parapagimeve për efekt të muajve të mbetur nga periudha vijuese tatimore. </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 xml:space="preserve">4. Në rastin kur një tatimpagues fillon të ushtrojë një veprimtari në periudhën vijuese </w:t>
      </w:r>
      <w:r>
        <w:rPr>
          <w:rFonts w:ascii="Times New Roman" w:hAnsi="Times New Roman" w:cs="Times New Roman"/>
          <w:sz w:val="24"/>
          <w:szCs w:val="24"/>
        </w:rPr>
        <w:t>t</w:t>
      </w:r>
      <w:r w:rsidRPr="00EE462D">
        <w:rPr>
          <w:rFonts w:ascii="Times New Roman" w:hAnsi="Times New Roman" w:cs="Times New Roman"/>
          <w:sz w:val="24"/>
          <w:szCs w:val="24"/>
        </w:rPr>
        <w:t xml:space="preserve">atimore, parapagimet për këtë periudhë janë sa shuma e vlerësuar e tatimit mbi fitimin për periudhën vijuese, pjesëtuar me numrin e muajve të mbetur nga periudha vijuese tatimore. Përjashtimisht, tatimpaguesit që fillojnë veprimtarinë në periudhën vijuese dhe ushtrojnë veprimtari në sferën prodhuese nuk do t’i nënshtrohen parapagimit të detyrimit për tatimin mbi fitimin për një periudhë 6-mujore ose për periudhën e mbetur deri në fund të vitit vijues, nëse kjo periudhë është edhe më e vogël se 6 muaj. </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 xml:space="preserve">5. Në rastin kur tatimpaguesi, në çdo kohë, gjatë periudhës tatimore, vërteton para organeve tatimore se tatimi mbi fitimin për këtë periudhë tatimore do të jetë, në mënyrë domethënëse, më i ulët se tatimi mbi fitimin në periudhën paraardhëse ose periudhën e dytë paraardhëse, atëherë organet tatimore pranojnë zvogëlimin e parapagimeve, sipas rregullave të vendosura me udhëzim të Ministrit të Financave. Në rast se subjekti taksapagues ka ulur këstet e </w:t>
      </w:r>
      <w:r>
        <w:rPr>
          <w:rFonts w:ascii="Times New Roman" w:hAnsi="Times New Roman" w:cs="Times New Roman"/>
          <w:sz w:val="24"/>
          <w:szCs w:val="24"/>
        </w:rPr>
        <w:t xml:space="preserve"> p</w:t>
      </w:r>
      <w:r w:rsidRPr="00EE462D">
        <w:rPr>
          <w:rFonts w:ascii="Times New Roman" w:hAnsi="Times New Roman" w:cs="Times New Roman"/>
          <w:sz w:val="24"/>
          <w:szCs w:val="24"/>
        </w:rPr>
        <w:t xml:space="preserve">arapagimit, të caktuara nga organi tatimor, dhe detyrimi tatimor vjetor për tatimfitimin, që rezulton nga bilanci, tejkalon parapagimin me më shumë se 10 për qind, subjekti duhet të paguajë kamatëvonesa mbi diferencën ndërmjet detyrimit real vjetor dhe shumës së </w:t>
      </w:r>
      <w:r>
        <w:rPr>
          <w:rFonts w:ascii="Times New Roman" w:hAnsi="Times New Roman" w:cs="Times New Roman"/>
          <w:sz w:val="24"/>
          <w:szCs w:val="24"/>
        </w:rPr>
        <w:t>p</w:t>
      </w:r>
      <w:r w:rsidRPr="00EE462D">
        <w:rPr>
          <w:rFonts w:ascii="Times New Roman" w:hAnsi="Times New Roman" w:cs="Times New Roman"/>
          <w:sz w:val="24"/>
          <w:szCs w:val="24"/>
        </w:rPr>
        <w:t xml:space="preserve">arapaguar gjatë vitit, sipas rregullave të vendosura me udhëzim të Ministrit të Financave. </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 xml:space="preserve">6. Nëse organet tatimore vlerësojnë se tatimi mbi fitimin për periudhën vijuese tatimore do të tejkalojë me më tepër se 10 për qind tatimin mbi fitimin e periudhës së mëparshme tatimore, ato mund të rregullojnë në rritje parapagimet, në përputhje me tatimin mbi fitimin e vlerësuar prej tyre.”. </w:t>
      </w:r>
    </w:p>
    <w:p w:rsidR="00EE462D" w:rsidRPr="00EE462D" w:rsidRDefault="00EE462D" w:rsidP="00EE462D">
      <w:pPr>
        <w:rPr>
          <w:rFonts w:ascii="Times New Roman" w:hAnsi="Times New Roman" w:cs="Times New Roman"/>
          <w:b/>
          <w:sz w:val="24"/>
          <w:szCs w:val="24"/>
        </w:rPr>
      </w:pPr>
      <w:r>
        <w:rPr>
          <w:rFonts w:ascii="Times New Roman" w:hAnsi="Times New Roman" w:cs="Times New Roman"/>
          <w:sz w:val="24"/>
          <w:szCs w:val="24"/>
        </w:rPr>
        <w:t xml:space="preserve">                                                            </w:t>
      </w:r>
      <w:r w:rsidRPr="00EE462D">
        <w:rPr>
          <w:rFonts w:ascii="Times New Roman" w:hAnsi="Times New Roman" w:cs="Times New Roman"/>
          <w:b/>
          <w:sz w:val="24"/>
          <w:szCs w:val="24"/>
        </w:rPr>
        <w:t>Neni 2</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 xml:space="preserve">Në nenin 33/1, pika 3 ndryshohet si më poshtë: </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“3. Personi juridik duhet të deklarojë dhe të paguajë</w:t>
      </w:r>
      <w:r>
        <w:rPr>
          <w:rFonts w:ascii="Times New Roman" w:hAnsi="Times New Roman" w:cs="Times New Roman"/>
          <w:sz w:val="24"/>
          <w:szCs w:val="24"/>
        </w:rPr>
        <w:t xml:space="preserve"> </w:t>
      </w:r>
      <w:r w:rsidRPr="00EE462D">
        <w:rPr>
          <w:rFonts w:ascii="Times New Roman" w:hAnsi="Times New Roman" w:cs="Times New Roman"/>
          <w:sz w:val="24"/>
          <w:szCs w:val="24"/>
        </w:rPr>
        <w:t>për llogari të administratës tatimore tatimin mbi dividendin e pagueshëm, sipas pikës 1, të këtij neni, jo më vonë se data 20 gusht e vitit kur bëhet miratimi i rezultateve, pavarësisht nëse është bërë ose jo shpërndarja e</w:t>
      </w:r>
      <w:r>
        <w:rPr>
          <w:rFonts w:ascii="Times New Roman" w:hAnsi="Times New Roman" w:cs="Times New Roman"/>
          <w:sz w:val="24"/>
          <w:szCs w:val="24"/>
        </w:rPr>
        <w:t xml:space="preserve"> </w:t>
      </w:r>
      <w:r w:rsidRPr="00EE462D">
        <w:rPr>
          <w:rFonts w:ascii="Times New Roman" w:hAnsi="Times New Roman" w:cs="Times New Roman"/>
          <w:sz w:val="24"/>
          <w:szCs w:val="24"/>
        </w:rPr>
        <w:t xml:space="preserve">dividendit.”. </w:t>
      </w:r>
    </w:p>
    <w:p w:rsidR="00EE462D" w:rsidRPr="00EE462D" w:rsidRDefault="00EE462D" w:rsidP="00EE462D">
      <w:pPr>
        <w:jc w:val="center"/>
        <w:rPr>
          <w:rFonts w:ascii="Times New Roman" w:hAnsi="Times New Roman" w:cs="Times New Roman"/>
          <w:b/>
          <w:sz w:val="24"/>
          <w:szCs w:val="24"/>
        </w:rPr>
      </w:pPr>
      <w:r w:rsidRPr="00EE462D">
        <w:rPr>
          <w:rFonts w:ascii="Times New Roman" w:hAnsi="Times New Roman" w:cs="Times New Roman"/>
          <w:b/>
          <w:sz w:val="24"/>
          <w:szCs w:val="24"/>
        </w:rPr>
        <w:t>Neni 3</w:t>
      </w:r>
    </w:p>
    <w:p w:rsidR="00EE462D" w:rsidRPr="00EE462D" w:rsidRDefault="00EE462D" w:rsidP="00EE462D">
      <w:pPr>
        <w:rPr>
          <w:rFonts w:ascii="Times New Roman" w:hAnsi="Times New Roman" w:cs="Times New Roman"/>
          <w:sz w:val="24"/>
          <w:szCs w:val="24"/>
        </w:rPr>
      </w:pPr>
      <w:r w:rsidRPr="00EE462D">
        <w:rPr>
          <w:rFonts w:ascii="Times New Roman" w:hAnsi="Times New Roman" w:cs="Times New Roman"/>
          <w:sz w:val="24"/>
          <w:szCs w:val="24"/>
        </w:rPr>
        <w:t>Ky ligj hyn në fuqi 15 ditë pas botimit në Fletoren Zyrtare.</w:t>
      </w:r>
    </w:p>
    <w:p w:rsidR="00EE462D" w:rsidRPr="00EE462D" w:rsidRDefault="00EE462D" w:rsidP="00EE462D">
      <w:pPr>
        <w:rPr>
          <w:rFonts w:ascii="Times New Roman" w:hAnsi="Times New Roman" w:cs="Times New Roman"/>
          <w:b/>
          <w:sz w:val="24"/>
          <w:szCs w:val="24"/>
        </w:rPr>
      </w:pPr>
      <w:r w:rsidRPr="00EE462D">
        <w:rPr>
          <w:rFonts w:ascii="Times New Roman" w:hAnsi="Times New Roman" w:cs="Times New Roman"/>
          <w:b/>
          <w:sz w:val="24"/>
          <w:szCs w:val="24"/>
        </w:rPr>
        <w:t>Miratuar në datën 17.7.2014</w:t>
      </w:r>
    </w:p>
    <w:p w:rsidR="00EE462D" w:rsidRPr="00EE462D" w:rsidRDefault="00EE462D" w:rsidP="00EE462D">
      <w:pPr>
        <w:rPr>
          <w:rFonts w:ascii="Times New Roman" w:hAnsi="Times New Roman" w:cs="Times New Roman"/>
          <w:b/>
          <w:sz w:val="24"/>
          <w:szCs w:val="24"/>
        </w:rPr>
      </w:pPr>
      <w:r w:rsidRPr="00EE462D">
        <w:rPr>
          <w:rFonts w:ascii="Times New Roman" w:hAnsi="Times New Roman" w:cs="Times New Roman"/>
          <w:b/>
          <w:sz w:val="24"/>
          <w:szCs w:val="24"/>
        </w:rPr>
        <w:t xml:space="preserve">Shpallur me dekretin nr. 8664, datë 1.8.2014 të </w:t>
      </w:r>
    </w:p>
    <w:p w:rsidR="00EE462D" w:rsidRPr="00EE462D" w:rsidRDefault="00EE462D" w:rsidP="00EE462D">
      <w:pPr>
        <w:rPr>
          <w:rFonts w:ascii="Times New Roman" w:hAnsi="Times New Roman" w:cs="Times New Roman"/>
          <w:b/>
          <w:sz w:val="24"/>
          <w:szCs w:val="24"/>
        </w:rPr>
      </w:pPr>
      <w:r w:rsidRPr="00EE462D">
        <w:rPr>
          <w:rFonts w:ascii="Times New Roman" w:hAnsi="Times New Roman" w:cs="Times New Roman"/>
          <w:b/>
          <w:sz w:val="24"/>
          <w:szCs w:val="24"/>
        </w:rPr>
        <w:t>Presidentit të Republikës së Shqipërisë, Bujar Nishani</w:t>
      </w:r>
    </w:p>
    <w:p w:rsidR="000058F1" w:rsidRPr="00EE462D" w:rsidRDefault="000058F1" w:rsidP="00EE462D">
      <w:pPr>
        <w:rPr>
          <w:rFonts w:ascii="Times New Roman" w:hAnsi="Times New Roman" w:cs="Times New Roman"/>
          <w:sz w:val="24"/>
          <w:szCs w:val="24"/>
        </w:rPr>
      </w:pPr>
    </w:p>
    <w:sectPr w:rsidR="000058F1" w:rsidRPr="00EE4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2D"/>
    <w:rsid w:val="000058F1"/>
    <w:rsid w:val="007B6D18"/>
    <w:rsid w:val="00E50006"/>
    <w:rsid w:val="00EE462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ardian.kola</dc:creator>
  <cp:lastModifiedBy>ardian.kola</cp:lastModifiedBy>
  <cp:revision>3</cp:revision>
  <dcterms:created xsi:type="dcterms:W3CDTF">2014-08-14T12:14:00Z</dcterms:created>
  <dcterms:modified xsi:type="dcterms:W3CDTF">2014-08-14T13:38:00Z</dcterms:modified>
</cp:coreProperties>
</file>