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63" w:rsidRPr="00A60542" w:rsidRDefault="00E22763" w:rsidP="002B0812">
      <w:pPr>
        <w:jc w:val="center"/>
        <w:rPr>
          <w:rFonts w:ascii="Times New Roman" w:hAnsi="Times New Roman" w:cs="Times New Roman"/>
          <w:b/>
          <w:sz w:val="24"/>
          <w:szCs w:val="24"/>
        </w:rPr>
      </w:pPr>
      <w:r w:rsidRPr="00A60542">
        <w:rPr>
          <w:rFonts w:ascii="Times New Roman" w:hAnsi="Times New Roman" w:cs="Times New Roman"/>
          <w:b/>
          <w:sz w:val="24"/>
          <w:szCs w:val="24"/>
        </w:rPr>
        <w:t>LIGJ</w:t>
      </w:r>
      <w:r w:rsidR="00A60542" w:rsidRPr="00A60542">
        <w:rPr>
          <w:rFonts w:ascii="Times New Roman" w:hAnsi="Times New Roman" w:cs="Times New Roman"/>
          <w:b/>
          <w:sz w:val="24"/>
          <w:szCs w:val="24"/>
        </w:rPr>
        <w:t xml:space="preserve"> </w:t>
      </w:r>
      <w:r w:rsidRPr="00A60542">
        <w:rPr>
          <w:rFonts w:ascii="Times New Roman" w:hAnsi="Times New Roman" w:cs="Times New Roman"/>
          <w:b/>
          <w:sz w:val="24"/>
          <w:szCs w:val="24"/>
        </w:rPr>
        <w:t>Nr. 84/2014</w:t>
      </w:r>
    </w:p>
    <w:p w:rsidR="00E22763" w:rsidRPr="00A60542" w:rsidRDefault="00E22763" w:rsidP="002B0812">
      <w:pPr>
        <w:jc w:val="center"/>
        <w:rPr>
          <w:rFonts w:ascii="Times New Roman" w:hAnsi="Times New Roman" w:cs="Times New Roman"/>
          <w:b/>
          <w:sz w:val="24"/>
          <w:szCs w:val="24"/>
        </w:rPr>
      </w:pPr>
      <w:r w:rsidRPr="00A60542">
        <w:rPr>
          <w:rFonts w:ascii="Times New Roman" w:hAnsi="Times New Roman" w:cs="Times New Roman"/>
          <w:b/>
          <w:sz w:val="24"/>
          <w:szCs w:val="24"/>
        </w:rPr>
        <w:t xml:space="preserve">PËR DISA NDRYSHIME NË LIGJIN NR. 9920, DATË 19.5.2008, “PËR PROCEDURAT </w:t>
      </w:r>
      <w:r w:rsidR="00A60542" w:rsidRPr="00A60542">
        <w:rPr>
          <w:rFonts w:ascii="Times New Roman" w:hAnsi="Times New Roman" w:cs="Times New Roman"/>
          <w:b/>
          <w:sz w:val="24"/>
          <w:szCs w:val="24"/>
        </w:rPr>
        <w:t xml:space="preserve"> </w:t>
      </w:r>
      <w:r w:rsidRPr="00A60542">
        <w:rPr>
          <w:rFonts w:ascii="Times New Roman" w:hAnsi="Times New Roman" w:cs="Times New Roman"/>
          <w:b/>
          <w:sz w:val="24"/>
          <w:szCs w:val="24"/>
        </w:rPr>
        <w:t>TATIMORE NË REPUBLIKËN E SHQIPËRISË”, TË NDRYSHUAR</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Në mbështetje të neneve 78, 83, pika 1, dhe 155, të Kushtetutës, me propozimin e Këshillit të Ministrave, </w:t>
      </w:r>
    </w:p>
    <w:p w:rsidR="00E22763" w:rsidRPr="00A60542" w:rsidRDefault="00E22763" w:rsidP="00FB7E03">
      <w:pPr>
        <w:jc w:val="center"/>
        <w:rPr>
          <w:rFonts w:ascii="Times New Roman" w:hAnsi="Times New Roman" w:cs="Times New Roman"/>
          <w:b/>
          <w:sz w:val="24"/>
          <w:szCs w:val="24"/>
        </w:rPr>
      </w:pPr>
      <w:r w:rsidRPr="00A60542">
        <w:rPr>
          <w:rFonts w:ascii="Times New Roman" w:hAnsi="Times New Roman" w:cs="Times New Roman"/>
          <w:b/>
          <w:sz w:val="24"/>
          <w:szCs w:val="24"/>
        </w:rPr>
        <w:t>KUVENDI</w:t>
      </w:r>
      <w:r w:rsidR="00A60542" w:rsidRPr="00A60542">
        <w:rPr>
          <w:rFonts w:ascii="Times New Roman" w:hAnsi="Times New Roman" w:cs="Times New Roman"/>
          <w:b/>
          <w:sz w:val="24"/>
          <w:szCs w:val="24"/>
        </w:rPr>
        <w:t xml:space="preserve"> </w:t>
      </w:r>
      <w:r w:rsidRPr="00A60542">
        <w:rPr>
          <w:rFonts w:ascii="Times New Roman" w:hAnsi="Times New Roman" w:cs="Times New Roman"/>
          <w:b/>
          <w:sz w:val="24"/>
          <w:szCs w:val="24"/>
        </w:rPr>
        <w:t>I REPUBLIKËS SË SHQIPËRISË</w:t>
      </w:r>
    </w:p>
    <w:p w:rsidR="00E22763" w:rsidRPr="00A60542" w:rsidRDefault="00E22763" w:rsidP="00FB7E03">
      <w:pPr>
        <w:jc w:val="center"/>
        <w:rPr>
          <w:rFonts w:ascii="Times New Roman" w:hAnsi="Times New Roman" w:cs="Times New Roman"/>
          <w:b/>
          <w:sz w:val="24"/>
          <w:szCs w:val="24"/>
        </w:rPr>
      </w:pPr>
      <w:r w:rsidRPr="00A60542">
        <w:rPr>
          <w:rFonts w:ascii="Times New Roman" w:hAnsi="Times New Roman" w:cs="Times New Roman"/>
          <w:b/>
          <w:sz w:val="24"/>
          <w:szCs w:val="24"/>
        </w:rPr>
        <w:t>VENDOSI:</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ligjin nr. 9920, datë 19.5.2008, “Për procedurat tatimore në Republikën e Shqipërisë”, të ndryshuar, bëhen këto ndryshime:</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1</w:t>
      </w:r>
    </w:p>
    <w:p w:rsid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nenin 23, pikat 2 dhe 3 ndryshohen si më poshtë:</w:t>
      </w:r>
      <w:r w:rsidR="00A60542">
        <w:rPr>
          <w:rFonts w:ascii="Times New Roman" w:hAnsi="Times New Roman" w:cs="Times New Roman"/>
          <w:sz w:val="24"/>
          <w:szCs w:val="24"/>
        </w:rPr>
        <w:t xml:space="preserve">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“2. Vlerësimet, njoftimet, vendimet dhe komunikimet zyrtare të administratës tatimore, drejtuar tatimpaguesit, i njoftohen atij duke ia dërguar në adresën e deklaruar nga vetë ai:</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a) në rrugë elektronike, në përputhje me legjislacionin e komunikimeve elektronike dhe kur tatimpaguesi ka dhënë pëlqimin për pranimin e njoftimit në rrugë elektronike ose;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b) nëpërmjet shërbimit postar rekomande.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3. Aktet e përcaktuara në pikën 2, të këtij neni, dhe çdo korrespondencë tjetër që i dërgohet tatimpaguesit nga administrata tatimore, konsiderohen të marra nga tatimpaguesi jo më vonë se dhjetë ditë kalendarike pas datës së dërgimit të mesazhit elektronik apo të postës rekomande. Data e njoftimit është data e nisjes së mesazhit elektronik apo e pranimit të dokumentit nga shërbimi postar.</w:t>
      </w:r>
      <w:r w:rsidR="00A60542">
        <w:rPr>
          <w:rFonts w:ascii="Times New Roman" w:hAnsi="Times New Roman" w:cs="Times New Roman"/>
          <w:sz w:val="24"/>
          <w:szCs w:val="24"/>
        </w:rPr>
        <w:t xml:space="preserve"> </w:t>
      </w:r>
      <w:r w:rsidRPr="00A60542">
        <w:rPr>
          <w:rFonts w:ascii="Times New Roman" w:hAnsi="Times New Roman" w:cs="Times New Roman"/>
          <w:sz w:val="24"/>
          <w:szCs w:val="24"/>
        </w:rPr>
        <w:t xml:space="preserve">Dhënia e pëlqimit dhe mënyra për marrjen dhe </w:t>
      </w:r>
      <w:r w:rsidR="00A60542">
        <w:rPr>
          <w:rFonts w:ascii="Times New Roman" w:hAnsi="Times New Roman" w:cs="Times New Roman"/>
          <w:sz w:val="24"/>
          <w:szCs w:val="24"/>
        </w:rPr>
        <w:t xml:space="preserve"> </w:t>
      </w:r>
      <w:r w:rsidRPr="00A60542">
        <w:rPr>
          <w:rFonts w:ascii="Times New Roman" w:hAnsi="Times New Roman" w:cs="Times New Roman"/>
          <w:sz w:val="24"/>
          <w:szCs w:val="24"/>
        </w:rPr>
        <w:t>vlefshmërinë e dhënies së pëlqimit për komunikimin elektronik të tatimpaguesit me administratën tatimore rregullohen me udhëzim të Ministrit të Financave.”.</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2</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nenin 40 bëhen këto ndryshime: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1. Pika 4 ndryshohet si më poshtë: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“4. Regjistrimi në Qendrën Kombëtare të Regjistrimit shërben njëkohësisht si regjistrim në administratën tatimore, si dhe në skemat e sigurimit shoqëror e shëndetësor të Inspektoratit të Punës dhe organeve doganore.”.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2. Pas pikës 4 shtohet pika 4.1 me këtë përmbajtje: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“4.1. Në administratën tatimore regjistrohen personat juridikë, fizikë dhe individët e mëposhtëm:</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lastRenderedPageBreak/>
        <w:t xml:space="preserve">a) organizatat jofitimprurëse, ku përfshihen fondacionet, shoqatat, qendrat, si dhe degët e organizatave jofitimprurëse të huaja të regjistruara në regjistrin e organizatave jofitimprurëse, në Gjykatën e Rrethit Gjyqësor Tiranë;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b) persona të tjerë juridikë, të cilët nuk regjistrohen në Regjistrin Tregtar në Qendrën </w:t>
      </w:r>
      <w:r w:rsidR="00A60542">
        <w:rPr>
          <w:rFonts w:ascii="Times New Roman" w:hAnsi="Times New Roman" w:cs="Times New Roman"/>
          <w:sz w:val="24"/>
          <w:szCs w:val="24"/>
        </w:rPr>
        <w:t>K</w:t>
      </w:r>
      <w:r w:rsidRPr="00A60542">
        <w:rPr>
          <w:rFonts w:ascii="Times New Roman" w:hAnsi="Times New Roman" w:cs="Times New Roman"/>
          <w:sz w:val="24"/>
          <w:szCs w:val="24"/>
        </w:rPr>
        <w:t>ombëtare të Regjistrimit, si dhe përfaqësi e ambasada të huaja, entet publike kombëtare apo vendore, njësitë e zbatimit të projekteve të veçanta dhe persona të tjerë të ngjashëm me to;</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c) përfaqësuesit tatimorë të tatimpaguesve jorezidentë;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ç) të vetëpunësuarit në veprimtari tregtare apo shërbimi ambulant;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d) kryefamiljari, që punëson individë, si punëtorë shtëpie, kujdestarë dhe persona të tjerë të kësaj natyre;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dh) fermeri.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Personat e regjistruar në administratën tatimore pajisen me numër identifikimi unik (NUIS), të gjeneruar nga sistemi, i cili shërben si numër i identifikimit tatimor të tyre, për tatimet kombëtare dhe vendore.</w:t>
      </w:r>
      <w:r w:rsidR="00A60542">
        <w:rPr>
          <w:rFonts w:ascii="Times New Roman" w:hAnsi="Times New Roman" w:cs="Times New Roman"/>
          <w:sz w:val="24"/>
          <w:szCs w:val="24"/>
        </w:rPr>
        <w:t xml:space="preserve"> </w:t>
      </w:r>
      <w:r w:rsidRPr="00A60542">
        <w:rPr>
          <w:rFonts w:ascii="Times New Roman" w:hAnsi="Times New Roman" w:cs="Times New Roman"/>
          <w:sz w:val="24"/>
          <w:szCs w:val="24"/>
        </w:rPr>
        <w:t>Mënyra e regjistrimit dhe dokumentacioni që administrohet në dosjen e regjistrimit të këtyre personave, pranë administratës tatimore, përcaktohen me udhëzim të Ministrit të Financave.”.</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3</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Në nenin 43, shkronja “dh”, e pikës 3, shfuqizohet. </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4</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nenin 44, pikat 1 dhe 2 ndryshohen si më poshtë: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“1. Administrata tatimore transferon regjistrimin e tatimpaguesit nga regjistri aktiv në regjistrin pasiv, që mbahet nga administrata tatimore, në rast se përmbushet, të paktën, një nga kushtet e mëposhtme: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a) nuk ushtron më veprimtari tregtare për një periudhë tatimore prej 12 muajsh të njëpasnjëshëm;</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b) nuk dorëzon deklaratën tatimore për një periudhë tatimore prej 12 muajsh të njëpasnjëshëm;</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c) deklaron në QKR pezullim veprimtarie tregtare.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2. Për të gjithë periudhën e qëndrimit në regjistrin pasiv, ndaj tatimpaguesit nuk llogariten gjoba për mosdeklarim tatimor.”.</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5</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Neni 45 ndryshohet si më poshtë:</w:t>
      </w:r>
    </w:p>
    <w:p w:rsidR="00E22763" w:rsidRPr="00A60542" w:rsidRDefault="00E22763" w:rsidP="00782BA4">
      <w:pPr>
        <w:jc w:val="center"/>
        <w:rPr>
          <w:rFonts w:ascii="Times New Roman" w:hAnsi="Times New Roman" w:cs="Times New Roman"/>
          <w:b/>
          <w:sz w:val="24"/>
          <w:szCs w:val="24"/>
        </w:rPr>
      </w:pPr>
      <w:r w:rsidRPr="00A60542">
        <w:rPr>
          <w:rFonts w:ascii="Times New Roman" w:hAnsi="Times New Roman" w:cs="Times New Roman"/>
          <w:sz w:val="24"/>
          <w:szCs w:val="24"/>
        </w:rPr>
        <w:lastRenderedPageBreak/>
        <w:t>“</w:t>
      </w:r>
      <w:r w:rsidRPr="00A60542">
        <w:rPr>
          <w:rFonts w:ascii="Times New Roman" w:hAnsi="Times New Roman" w:cs="Times New Roman"/>
          <w:b/>
          <w:sz w:val="24"/>
          <w:szCs w:val="24"/>
        </w:rPr>
        <w:t>Neni 45</w:t>
      </w:r>
    </w:p>
    <w:p w:rsidR="00E22763" w:rsidRPr="00A60542" w:rsidRDefault="00E22763" w:rsidP="00782BA4">
      <w:pPr>
        <w:jc w:val="center"/>
        <w:rPr>
          <w:rFonts w:ascii="Times New Roman" w:hAnsi="Times New Roman" w:cs="Times New Roman"/>
          <w:b/>
          <w:sz w:val="24"/>
          <w:szCs w:val="24"/>
        </w:rPr>
      </w:pPr>
      <w:r w:rsidRPr="00A60542">
        <w:rPr>
          <w:rFonts w:ascii="Times New Roman" w:hAnsi="Times New Roman" w:cs="Times New Roman"/>
          <w:b/>
          <w:sz w:val="24"/>
          <w:szCs w:val="24"/>
        </w:rPr>
        <w:t>Çregjistrimi i subjekteve tatimore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1. Personat e regjistruar në organin tatimor mund të çregjistrohen në rastet që vijojnë: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a) personat fizikë dhe juridikë, sipas dispozitave të ligjit “Për Qendrën Kombëtare të Regjistrimit”;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b) organizatat jofitimprurëse, në bazë të vendimit të gjykatës;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c) përfaqësuesi tatimor, me përmbushjen e detyrimit tatimor si i tillë.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2. Datë e çregjistrimit të tatimpaguesit në administratën tatimore është data e çregjistrimit në QKR ose gjykatë. Datë e çregjistrimit të personave të vetëpunësuar në veprimtari tregtare apo shërbimi ambulant, të kryefamiljarit, që punëson individë si punëtore shtëpie, kujdestare etj. të kësaj natyre, të përfaqësuesve tatimorë dhe fermerit është data e miratimit të çregjistrimit të tyre nga administrata tatimore, por me efekt në datën e paraqitjes së kërkesës për</w:t>
      </w:r>
      <w:r w:rsidR="00A60542">
        <w:rPr>
          <w:rFonts w:ascii="Times New Roman" w:hAnsi="Times New Roman" w:cs="Times New Roman"/>
          <w:sz w:val="24"/>
          <w:szCs w:val="24"/>
        </w:rPr>
        <w:t xml:space="preserve"> </w:t>
      </w:r>
      <w:r w:rsidRPr="00A60542">
        <w:rPr>
          <w:rFonts w:ascii="Times New Roman" w:hAnsi="Times New Roman" w:cs="Times New Roman"/>
          <w:sz w:val="24"/>
          <w:szCs w:val="24"/>
        </w:rPr>
        <w:t>çregjistrim.</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3. Qendra Kombëtare e Regjistrimit ose gjykata njofton organin tatimor kompetent për regjistrimin e hapjes së procedurave të likuidimit ose për kërkesën për çregjistrim të personit fizik, apo për aplikimin për çregjistrim të personit juridik edhe kur kemi të bëjmë me aplikimin për çregjistrim pa kryerjen e likuidimit.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4. Subjektet e regjistruara pranë Qendrës Kombëtare të Regjistrimit ose gjykatës çregjistrohen pasi të kenë paguar të gjitha detyrimet tatimore të papaguara dhe pasi të kenë paraqitur pranë administratës tatimore pasqyrat financiare dhe deklaratat tatimore për veprimtarinë ekonomike të kryer nga data e mbylljes së periudhës së fundit tatimore dhe gjatë procedurës së likuidimit.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5. Organi tatimor kompetent, brenda 30 ditëve kalendarike nga data e paraqitjes së pasqyrave financiare, të përcaktuara në pikën 4, të këtij neni, është i detyruar të verifikojë situatën</w:t>
      </w:r>
      <w:r w:rsidR="00A60542">
        <w:rPr>
          <w:rFonts w:ascii="Times New Roman" w:hAnsi="Times New Roman" w:cs="Times New Roman"/>
          <w:sz w:val="24"/>
          <w:szCs w:val="24"/>
        </w:rPr>
        <w:t xml:space="preserve"> </w:t>
      </w:r>
      <w:r w:rsidRPr="00A60542">
        <w:rPr>
          <w:rFonts w:ascii="Times New Roman" w:hAnsi="Times New Roman" w:cs="Times New Roman"/>
          <w:sz w:val="24"/>
          <w:szCs w:val="24"/>
        </w:rPr>
        <w:t xml:space="preserve">tatimore të subjekteve dhe, kur është e nevojshme, të ushtrojë kontroll në mjedisin ku ushtron veprimtarinë subjekti, sipas një analize risku.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6. Qendra Kombëtare e Regjistrimit ose gjykata nuk mund të kryejë çregjistrimin, në qoftë se, brenda afatit 30-ditor, të përmendur në pikën 4, të këtij neni, administrata tatimore e kundërshton me shkrim çregjistrimin. Kundërshtimi i çregjistrimit të tatimpaguesit nga administrata tatimore tregon shumën e detyrimeve tatimore të papaguara të tatimpaguesit dhe, në rastin e personit juridik, faktin se ai nuk ka paraqitur pasqyrat financiare të mbylljes së aktivitetit deri në momentin e likuidimit.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7. Nëse pas 30 ditëve nga data e dorëzimit të pasqyrave financiare të mbylljes, sipas pikës 6, të këtij neni, organi tatimor kompetent nuk ka paraqitur ndonjë kundërshtim me shkrim apo kundërshtimi nuk përmban shumën e detyrimeve tatimore, të gjobave dhe interesave të papaguar, Qendra Kombëtare e Regjistrimit ose gjykata kryejnë menjëherë çregjistrimin e subjektit.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lastRenderedPageBreak/>
        <w:t xml:space="preserve">8. Pasi tatimpaguesi ka paraqitur pasqyrat financiare të mbylljes dhe ka shlyer të gjitha detyrimet tatimore, gjobat dhe interesat e papaguar, organi tatimor kompetent detyrohet të tërheqë menjëherë kundërshtimin për çregjistrim dhe Qendra Kombëtare e Regjistrimit kryen menjëherë çregjistrimin e tatimpaguesit.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9. Nëse pavarësisht shlyerjes, organi tatimor kompetent nuk ka tërhequr kundërshtimin, atëherë subjekti mund t’i paraqesë Qendrës Kombëtare të Regjistrimit dokumentin që </w:t>
      </w:r>
      <w:r w:rsidR="00A60542">
        <w:rPr>
          <w:rFonts w:ascii="Times New Roman" w:hAnsi="Times New Roman" w:cs="Times New Roman"/>
          <w:sz w:val="24"/>
          <w:szCs w:val="24"/>
        </w:rPr>
        <w:t>v</w:t>
      </w:r>
      <w:r w:rsidRPr="00A60542">
        <w:rPr>
          <w:rFonts w:ascii="Times New Roman" w:hAnsi="Times New Roman" w:cs="Times New Roman"/>
          <w:sz w:val="24"/>
          <w:szCs w:val="24"/>
        </w:rPr>
        <w:t xml:space="preserve">ërteton shlyerjen e shumës totale të detyrimeve tatimore, të gjobave dhe interesave të përcaktuar në kundërshtimin për çregjistrim. Në këtë rast Qendra Kombëtare e Regjistrimit kryen menjëherë çregjistrimin e subjektit dhe njofton organin tatimor kompetent.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10. Çregjistrimi tatimor nuk eliminon detyrimet ekzistuese tatimore dhe nuk parandalon administratën tatimore të vlerësojë ose të mbledhë detyrimet tatimore.”.</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6</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nenin 65, pika 7 ndryshohet si më poshtë: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“7. Detyrimi për të deklaruar, për tatimpaguesit persona fizikë që kërkojnë të çregjistrohen, ndërpritet në çastin e aplikimit të tyre për çregjistrim në Qendrën Kombëtare të Regjistrimit, ndërsa për tatimpaguesit persona juridikë, në momentin e çregjistrimit të tyre në Qendrën Kombëtare të Regjistrimit ose në gjykatë.”.</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7</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Neni 66 shfuqizohet. </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8</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nenin 69, pika 1 ndryshohet si më poshtë: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“1. Administrata tatimore, brenda 10 ditëve kalendarike nga data e llogaritjes së vlerësimit prej saj, i dërgon tatimpaguesit njoftimin e vlerësimit tatimor dhe</w:t>
      </w:r>
      <w:r w:rsidR="00A60542">
        <w:rPr>
          <w:rFonts w:ascii="Times New Roman" w:hAnsi="Times New Roman" w:cs="Times New Roman"/>
          <w:sz w:val="24"/>
          <w:szCs w:val="24"/>
        </w:rPr>
        <w:t xml:space="preserve"> </w:t>
      </w:r>
      <w:r w:rsidRPr="00A60542">
        <w:rPr>
          <w:rFonts w:ascii="Times New Roman" w:hAnsi="Times New Roman" w:cs="Times New Roman"/>
          <w:sz w:val="24"/>
          <w:szCs w:val="24"/>
        </w:rPr>
        <w:t>kërkesën për pagesën e detyrimit tatimor:</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a) në rrugë elektronike, në përputhje me legjislacionin e komunikimeve elektronike dhe kur tatimpaguesit kanë dhënë pëlqimin për pranimin e njoftimit në rrugë elektronike, ose;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b) nëpërmjet shërbimit postar rekomande.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Marrja dijeni nga tatimpaguesi dhe llogaritja e të gjitha afateve që janë të lidhura me njoftimin e vlerësimit bëhen sipas parashikimeve të pikës 3, të nenit 23, të këtij ligji.”.</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9</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Pas nenit 71 shtohet neni 71/1 me këtë përmbajtje:</w:t>
      </w:r>
    </w:p>
    <w:p w:rsidR="00E22763" w:rsidRPr="00782BA4" w:rsidRDefault="00E22763" w:rsidP="00782BA4">
      <w:pPr>
        <w:jc w:val="center"/>
        <w:rPr>
          <w:rFonts w:ascii="Times New Roman" w:hAnsi="Times New Roman" w:cs="Times New Roman"/>
          <w:b/>
          <w:sz w:val="24"/>
          <w:szCs w:val="24"/>
        </w:rPr>
      </w:pPr>
      <w:r w:rsidRPr="00782BA4">
        <w:rPr>
          <w:rFonts w:ascii="Times New Roman" w:hAnsi="Times New Roman" w:cs="Times New Roman"/>
          <w:b/>
          <w:sz w:val="24"/>
          <w:szCs w:val="24"/>
        </w:rPr>
        <w:t>“Neni 71/1</w:t>
      </w:r>
    </w:p>
    <w:p w:rsidR="00782BA4" w:rsidRPr="00782BA4" w:rsidRDefault="00E22763" w:rsidP="00782BA4">
      <w:pPr>
        <w:jc w:val="center"/>
        <w:rPr>
          <w:rFonts w:ascii="Times New Roman" w:hAnsi="Times New Roman" w:cs="Times New Roman"/>
          <w:b/>
          <w:sz w:val="24"/>
          <w:szCs w:val="24"/>
        </w:rPr>
      </w:pPr>
      <w:r w:rsidRPr="00782BA4">
        <w:rPr>
          <w:rFonts w:ascii="Times New Roman" w:hAnsi="Times New Roman" w:cs="Times New Roman"/>
          <w:b/>
          <w:sz w:val="24"/>
          <w:szCs w:val="24"/>
        </w:rPr>
        <w:t>Letërkujtesa</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lastRenderedPageBreak/>
        <w:t>1. Administrata tatimore, brenda 5 ditëve kalendarike nga përfundimi i afatit ligjor të deklarimit, i lëshon tatimpaguesit, i cili nuk ka dorëzuar deklaratën e tij të një periudhe tatimore, një letërkujtesë, sipas formës dhe përmbajtjes së përcaktuar në udhëzimin e Ministrit të Financave.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2. Administrata tatimore, brenda 10 ditëve kalendarike nga lëshimi i letërkujtesës, të përcaktuar në pikën 1, të këtij neni, mund të lëshojë një njoftim vlerësimi automatik nga zyra për tatimpaguesin, i cili, edhe pas lëshimit të letërkujtesës, vazhdon të mos ketë dorëzuar deklaratën e tij të një periudhe tatimore. </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3. Vlerësimi tatimor nga zyra bëhet në mënyrë automatike nga sistemi informatik, në një nga mënyrat e përcaktuara në nenin 72, të këtij ligji.</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4. Njoftimvlerësimi, i lëshuar sipas pikës 2, të këtij neni, nuk mund të apelohet nga </w:t>
      </w:r>
      <w:r w:rsidR="00A60542">
        <w:rPr>
          <w:rFonts w:ascii="Times New Roman" w:hAnsi="Times New Roman" w:cs="Times New Roman"/>
          <w:sz w:val="24"/>
          <w:szCs w:val="24"/>
        </w:rPr>
        <w:t>t</w:t>
      </w:r>
      <w:r w:rsidRPr="00A60542">
        <w:rPr>
          <w:rFonts w:ascii="Times New Roman" w:hAnsi="Times New Roman" w:cs="Times New Roman"/>
          <w:sz w:val="24"/>
          <w:szCs w:val="24"/>
        </w:rPr>
        <w:t>atimpaguesi. Tatimpaguesi, i cili nuk është dakord me këtë njoftim vlerësimi, mund të paraqesë deklaratën e tij tatimore, e cila anulon tërësisht vlerësimin tatimor nga zyra.</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5. Ndaj tatimpaguesit që vazhdon të mos paraqesë deklaratën e tij tatimore, për të cilën është bërë një vlerësim automatik tatimor nga zyra, administrata tatimore fillon procedurat e </w:t>
      </w:r>
      <w:r w:rsidR="00A60542">
        <w:rPr>
          <w:rFonts w:ascii="Times New Roman" w:hAnsi="Times New Roman" w:cs="Times New Roman"/>
          <w:sz w:val="24"/>
          <w:szCs w:val="24"/>
        </w:rPr>
        <w:t>m</w:t>
      </w:r>
      <w:r w:rsidRPr="00A60542">
        <w:rPr>
          <w:rFonts w:ascii="Times New Roman" w:hAnsi="Times New Roman" w:cs="Times New Roman"/>
          <w:sz w:val="24"/>
          <w:szCs w:val="24"/>
        </w:rPr>
        <w:t>bledhjes me forcë të detyrimeve tatimore, si për çdo detyrim tjetër tatimor të papaguar.”.</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10</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Neni 79 ndryshohet si më poshtë:</w:t>
      </w:r>
    </w:p>
    <w:p w:rsidR="00E22763" w:rsidRPr="00782BA4" w:rsidRDefault="00E22763" w:rsidP="00782BA4">
      <w:pPr>
        <w:jc w:val="center"/>
        <w:rPr>
          <w:rFonts w:ascii="Times New Roman" w:hAnsi="Times New Roman" w:cs="Times New Roman"/>
          <w:b/>
          <w:sz w:val="24"/>
          <w:szCs w:val="24"/>
        </w:rPr>
      </w:pPr>
      <w:r w:rsidRPr="00782BA4">
        <w:rPr>
          <w:rFonts w:ascii="Times New Roman" w:hAnsi="Times New Roman" w:cs="Times New Roman"/>
          <w:b/>
          <w:sz w:val="24"/>
          <w:szCs w:val="24"/>
        </w:rPr>
        <w:t>“Neni 79</w:t>
      </w:r>
    </w:p>
    <w:p w:rsidR="00E22763" w:rsidRPr="00782BA4" w:rsidRDefault="00E22763" w:rsidP="00782BA4">
      <w:pPr>
        <w:jc w:val="center"/>
        <w:rPr>
          <w:rFonts w:ascii="Times New Roman" w:hAnsi="Times New Roman" w:cs="Times New Roman"/>
          <w:b/>
          <w:sz w:val="24"/>
          <w:szCs w:val="24"/>
        </w:rPr>
      </w:pPr>
      <w:r w:rsidRPr="00782BA4">
        <w:rPr>
          <w:rFonts w:ascii="Times New Roman" w:hAnsi="Times New Roman" w:cs="Times New Roman"/>
          <w:b/>
          <w:sz w:val="24"/>
          <w:szCs w:val="24"/>
        </w:rPr>
        <w:t>Radha e pagesës së kontributeve dhe të detyrimeve tatimore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1. Pagesat e kontributeve të sigurimeve dhe të detyrimeve tatimore bëhen sipas kësaj radhe: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a) kontributet e detyrueshme të sigurimeve shëndetësore;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b) kontributet e detyrueshme të sigurimeve shoqërore të punëmarrësit;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c) kontributet e detyrueshme suplementare të sigurimeve shoqërore;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ç) kontributet e detyrueshme të sigurimeve shoqërore të punëdhënësit;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d) tatimet;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dh) kamatëvonesat,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e) gjobat;</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ë) kostot administrative.</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2. Kostot administrative llogariten në përputhje me rregullat e miratuara në udhëzimin e Ministrit të Financave.</w:t>
      </w:r>
    </w:p>
    <w:p w:rsidR="00E22763" w:rsidRPr="00A60542" w:rsidRDefault="00E22763" w:rsidP="00E22763">
      <w:pPr>
        <w:rPr>
          <w:rFonts w:ascii="Times New Roman" w:hAnsi="Times New Roman" w:cs="Times New Roman"/>
          <w:sz w:val="24"/>
          <w:szCs w:val="24"/>
        </w:rPr>
      </w:pPr>
      <w:bookmarkStart w:id="0" w:name="_GoBack"/>
      <w:r w:rsidRPr="00A60542">
        <w:rPr>
          <w:rFonts w:ascii="Times New Roman" w:hAnsi="Times New Roman" w:cs="Times New Roman"/>
          <w:sz w:val="24"/>
          <w:szCs w:val="24"/>
        </w:rPr>
        <w:lastRenderedPageBreak/>
        <w:t xml:space="preserve">3. Rregullat dhe procedurat për zbatimin e radhës së pagesave, sipas pikës 1, të këtij neni </w:t>
      </w:r>
      <w:bookmarkEnd w:id="0"/>
      <w:r w:rsidRPr="00A60542">
        <w:rPr>
          <w:rFonts w:ascii="Times New Roman" w:hAnsi="Times New Roman" w:cs="Times New Roman"/>
          <w:sz w:val="24"/>
          <w:szCs w:val="24"/>
        </w:rPr>
        <w:t>përcaktohen me udhëzim të Ministrit të Financave.”.</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11</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Në nenin 114, pika 2 ndryshohet si më poshtë:</w:t>
      </w:r>
    </w:p>
    <w:p w:rsidR="00E22763" w:rsidRPr="00A60542" w:rsidRDefault="00E22763" w:rsidP="00E22763">
      <w:pPr>
        <w:rPr>
          <w:rFonts w:ascii="Times New Roman" w:hAnsi="Times New Roman" w:cs="Times New Roman"/>
          <w:sz w:val="24"/>
          <w:szCs w:val="24"/>
        </w:rPr>
      </w:pPr>
      <w:r w:rsidRPr="00A60542">
        <w:rPr>
          <w:rFonts w:ascii="Times New Roman" w:hAnsi="Times New Roman" w:cs="Times New Roman"/>
          <w:sz w:val="24"/>
          <w:szCs w:val="24"/>
        </w:rPr>
        <w:t xml:space="preserve">“2. Për qëllime të këtij neni, shuma e papaguar e detyrimit tatimor është diferenca ndërmjet detyrimit tatimor që duhet paguar dhe shumës së tatimit të paguar. Shumë e papaguar e detyrimit tatimor konsiderohet edhe ulja e tepricës kreditore të tatimpaguesit, në rastin e një rivlerësimi tatimor.”. </w:t>
      </w:r>
    </w:p>
    <w:p w:rsidR="00E22763" w:rsidRPr="00A60542" w:rsidRDefault="00E22763" w:rsidP="00A60542">
      <w:pPr>
        <w:jc w:val="center"/>
        <w:rPr>
          <w:rFonts w:ascii="Times New Roman" w:hAnsi="Times New Roman" w:cs="Times New Roman"/>
          <w:b/>
          <w:sz w:val="24"/>
          <w:szCs w:val="24"/>
        </w:rPr>
      </w:pPr>
      <w:r w:rsidRPr="00A60542">
        <w:rPr>
          <w:rFonts w:ascii="Times New Roman" w:hAnsi="Times New Roman" w:cs="Times New Roman"/>
          <w:b/>
          <w:sz w:val="24"/>
          <w:szCs w:val="24"/>
        </w:rPr>
        <w:t>Neni 12</w:t>
      </w:r>
    </w:p>
    <w:p w:rsidR="00E22763" w:rsidRPr="00A60542" w:rsidRDefault="00E22763" w:rsidP="00E22763">
      <w:pPr>
        <w:rPr>
          <w:rFonts w:ascii="Times New Roman" w:hAnsi="Times New Roman" w:cs="Times New Roman"/>
          <w:b/>
          <w:sz w:val="24"/>
          <w:szCs w:val="24"/>
        </w:rPr>
      </w:pPr>
      <w:r w:rsidRPr="00A60542">
        <w:rPr>
          <w:rFonts w:ascii="Times New Roman" w:hAnsi="Times New Roman" w:cs="Times New Roman"/>
          <w:b/>
          <w:sz w:val="24"/>
          <w:szCs w:val="24"/>
        </w:rPr>
        <w:t xml:space="preserve">Ky ligj hyn në fuqi 15 ditë pas botimit në Fletoren Zyrtare. </w:t>
      </w:r>
    </w:p>
    <w:p w:rsidR="00E22763" w:rsidRPr="00A60542" w:rsidRDefault="00E22763" w:rsidP="00E22763">
      <w:pPr>
        <w:rPr>
          <w:rFonts w:ascii="Times New Roman" w:hAnsi="Times New Roman" w:cs="Times New Roman"/>
          <w:b/>
          <w:sz w:val="24"/>
          <w:szCs w:val="24"/>
        </w:rPr>
      </w:pPr>
      <w:r w:rsidRPr="00A60542">
        <w:rPr>
          <w:rFonts w:ascii="Times New Roman" w:hAnsi="Times New Roman" w:cs="Times New Roman"/>
          <w:b/>
          <w:sz w:val="24"/>
          <w:szCs w:val="24"/>
        </w:rPr>
        <w:t>Miratuar në datën 17.7.2014</w:t>
      </w:r>
    </w:p>
    <w:p w:rsidR="000058F1" w:rsidRPr="00A60542" w:rsidRDefault="00E22763" w:rsidP="00E22763">
      <w:pPr>
        <w:rPr>
          <w:rFonts w:ascii="Times New Roman" w:hAnsi="Times New Roman" w:cs="Times New Roman"/>
          <w:b/>
          <w:sz w:val="24"/>
          <w:szCs w:val="24"/>
        </w:rPr>
      </w:pPr>
      <w:r w:rsidRPr="00A60542">
        <w:rPr>
          <w:rFonts w:ascii="Times New Roman" w:hAnsi="Times New Roman" w:cs="Times New Roman"/>
          <w:b/>
          <w:sz w:val="24"/>
          <w:szCs w:val="24"/>
        </w:rPr>
        <w:t>Shpallur me dekretin nr. 8665, datë 1.8.2014 të Presidentit të Republikës së Shqipërisë, Bujar Nishani</w:t>
      </w:r>
      <w:r w:rsidRPr="00A60542">
        <w:rPr>
          <w:rFonts w:ascii="Times New Roman" w:hAnsi="Times New Roman" w:cs="Times New Roman"/>
          <w:b/>
          <w:sz w:val="24"/>
          <w:szCs w:val="24"/>
        </w:rPr>
        <w:cr/>
      </w:r>
    </w:p>
    <w:sectPr w:rsidR="000058F1" w:rsidRPr="00A60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763"/>
    <w:rsid w:val="000058F1"/>
    <w:rsid w:val="002B0812"/>
    <w:rsid w:val="00782BA4"/>
    <w:rsid w:val="00A60542"/>
    <w:rsid w:val="00E22763"/>
    <w:rsid w:val="00FB7E0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ardian.kola</dc:creator>
  <cp:lastModifiedBy>ardian.kola</cp:lastModifiedBy>
  <cp:revision>5</cp:revision>
  <dcterms:created xsi:type="dcterms:W3CDTF">2014-08-14T12:33:00Z</dcterms:created>
  <dcterms:modified xsi:type="dcterms:W3CDTF">2014-08-14T13:39:00Z</dcterms:modified>
</cp:coreProperties>
</file>