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B4" w:rsidRPr="00D339D9" w:rsidRDefault="004A716D" w:rsidP="00E616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A</w:t>
      </w:r>
      <w:r w:rsidRPr="004A716D">
        <w:rPr>
          <w:rFonts w:ascii="Times New Roman" w:hAnsi="Times New Roman" w:cs="Times New Roman"/>
          <w:b/>
          <w:sz w:val="24"/>
          <w:szCs w:val="28"/>
          <w:lang w:val="sq-AL"/>
        </w:rPr>
        <w:t>NEKS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 xml:space="preserve"> 2: </w:t>
      </w:r>
      <w:r w:rsidR="0031696F" w:rsidRPr="00D339D9">
        <w:rPr>
          <w:rFonts w:ascii="Times New Roman" w:hAnsi="Times New Roman" w:cs="Times New Roman"/>
          <w:b/>
          <w:sz w:val="28"/>
          <w:szCs w:val="28"/>
          <w:lang w:val="sq-AL"/>
        </w:rPr>
        <w:t xml:space="preserve">METODOLOGJIA </w:t>
      </w:r>
    </w:p>
    <w:p w:rsidR="0031696F" w:rsidRPr="00D339D9" w:rsidRDefault="0031696F" w:rsidP="00E616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207CB4" w:rsidRPr="00D339D9" w:rsidRDefault="00785216" w:rsidP="007852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339D9">
        <w:rPr>
          <w:rFonts w:ascii="Times New Roman" w:hAnsi="Times New Roman" w:cs="Times New Roman"/>
          <w:b/>
          <w:sz w:val="24"/>
          <w:szCs w:val="24"/>
          <w:lang w:val="sq-AL"/>
        </w:rPr>
        <w:t>“</w:t>
      </w:r>
      <w:r w:rsidR="00207CB4" w:rsidRPr="00D339D9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5A3848" w:rsidRPr="00D339D9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Ë</w:t>
      </w:r>
      <w:r w:rsidR="00207CB4" w:rsidRPr="00D339D9">
        <w:rPr>
          <w:rFonts w:ascii="Times New Roman" w:hAnsi="Times New Roman" w:cs="Times New Roman"/>
          <w:b/>
          <w:sz w:val="24"/>
          <w:szCs w:val="24"/>
          <w:lang w:val="sq-AL"/>
        </w:rPr>
        <w:t>R MONITORIMI</w:t>
      </w:r>
      <w:r w:rsidR="00441F65" w:rsidRPr="00D339D9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Pr="00D339D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 RAPORTIMIN </w:t>
      </w:r>
      <w:r w:rsidR="00207CB4" w:rsidRPr="00D339D9">
        <w:rPr>
          <w:rFonts w:ascii="Times New Roman" w:hAnsi="Times New Roman" w:cs="Times New Roman"/>
          <w:b/>
          <w:sz w:val="24"/>
          <w:szCs w:val="24"/>
          <w:lang w:val="sq-AL"/>
        </w:rPr>
        <w:t>E INVESTIMEVE PUBLIKE</w:t>
      </w:r>
      <w:r w:rsidRPr="00D339D9">
        <w:rPr>
          <w:rFonts w:ascii="Times New Roman" w:hAnsi="Times New Roman" w:cs="Times New Roman"/>
          <w:b/>
          <w:sz w:val="24"/>
          <w:szCs w:val="24"/>
          <w:lang w:val="sq-AL"/>
        </w:rPr>
        <w:t>”</w:t>
      </w:r>
    </w:p>
    <w:p w:rsidR="00785216" w:rsidRPr="007F29F9" w:rsidRDefault="00785216" w:rsidP="0031696F">
      <w:pPr>
        <w:tabs>
          <w:tab w:val="left" w:pos="0"/>
        </w:tabs>
        <w:spacing w:after="18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</w:p>
    <w:p w:rsidR="00785216" w:rsidRPr="007F29F9" w:rsidRDefault="005C770D" w:rsidP="00E6162A">
      <w:pPr>
        <w:tabs>
          <w:tab w:val="left" w:pos="0"/>
        </w:tabs>
        <w:spacing w:after="18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Rregullat</w:t>
      </w:r>
      <w:r w:rsidR="00986FE4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e m</w:t>
      </w:r>
      <w:r w:rsidR="00DD4E3C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ëposhtme do të aplikohen në proc</w:t>
      </w:r>
      <w:r w:rsidR="00986FE4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esin e </w:t>
      </w:r>
      <w:r w:rsidR="00436F7D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monitorimit dhe </w:t>
      </w:r>
      <w:r w:rsidR="00785216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raportimit </w:t>
      </w:r>
      <w:r w:rsidR="00436F7D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</w:t>
      </w:r>
      <w:r w:rsidR="00E6162A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 w:rsidR="00986FE4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investimeve publike. </w:t>
      </w:r>
    </w:p>
    <w:p w:rsidR="006432CC" w:rsidRPr="007F29F9" w:rsidRDefault="00D12A2C" w:rsidP="008927F4">
      <w:pPr>
        <w:pStyle w:val="BodyText"/>
        <w:numPr>
          <w:ilvl w:val="0"/>
          <w:numId w:val="20"/>
        </w:numPr>
        <w:spacing w:after="240" w:line="276" w:lineRule="auto"/>
        <w:rPr>
          <w:b/>
          <w:lang w:val="sq-AL" w:eastAsia="en-GB"/>
        </w:rPr>
      </w:pPr>
      <w:r w:rsidRPr="007F29F9">
        <w:rPr>
          <w:b/>
          <w:lang w:val="sq-AL" w:eastAsia="en-GB"/>
        </w:rPr>
        <w:t>Rregulla</w:t>
      </w:r>
      <w:r w:rsidR="00000A32" w:rsidRPr="007F29F9">
        <w:rPr>
          <w:b/>
          <w:lang w:val="sq-AL" w:eastAsia="en-GB"/>
        </w:rPr>
        <w:t xml:space="preserve"> të </w:t>
      </w:r>
      <w:r w:rsidR="009F3C6E" w:rsidRPr="007F29F9">
        <w:rPr>
          <w:b/>
          <w:lang w:val="sq-AL" w:eastAsia="en-GB"/>
        </w:rPr>
        <w:t>P</w:t>
      </w:r>
      <w:r w:rsidRPr="007F29F9">
        <w:rPr>
          <w:b/>
          <w:lang w:val="sq-AL" w:eastAsia="en-GB"/>
        </w:rPr>
        <w:t>ërgjithshme</w:t>
      </w:r>
      <w:r w:rsidR="00000A32" w:rsidRPr="007F29F9">
        <w:rPr>
          <w:b/>
          <w:lang w:val="sq-AL" w:eastAsia="en-GB"/>
        </w:rPr>
        <w:t xml:space="preserve"> të Monitorimit</w:t>
      </w:r>
    </w:p>
    <w:p w:rsidR="00AE02A2" w:rsidRDefault="00EB09FB" w:rsidP="004151B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  <w:r w:rsidRPr="007F29F9">
        <w:rPr>
          <w:rFonts w:ascii="Times New Roman" w:eastAsia="Calibri" w:hAnsi="Times New Roman" w:cs="Times New Roman"/>
          <w:bCs/>
          <w:i/>
          <w:sz w:val="24"/>
          <w:szCs w:val="24"/>
          <w:lang w:val="sq-AL"/>
        </w:rPr>
        <w:t>Monitorimi</w:t>
      </w:r>
      <w:r w:rsidR="000126EB" w:rsidRPr="007F29F9">
        <w:rPr>
          <w:rFonts w:ascii="Times New Roman" w:eastAsia="Calibri" w:hAnsi="Times New Roman" w:cs="Times New Roman"/>
          <w:bCs/>
          <w:i/>
          <w:sz w:val="24"/>
          <w:szCs w:val="24"/>
          <w:lang w:val="sq-AL"/>
        </w:rPr>
        <w:t xml:space="preserve"> </w:t>
      </w:r>
      <w:r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ësht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procesi p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DC429D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rm</w:t>
      </w:r>
      <w:r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es t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cilit institucionet </w:t>
      </w:r>
      <w:r w:rsidR="00D548EA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buxhetore</w:t>
      </w:r>
      <w:r w:rsidR="008D626C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,</w:t>
      </w:r>
      <w:r w:rsidR="00D548EA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</w:t>
      </w:r>
      <w:r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p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rgjegj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se p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r zbatimin e projekteve </w:t>
      </w:r>
      <w:r w:rsidR="00D548EA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të investimeve publike</w:t>
      </w:r>
      <w:r w:rsidR="007B258A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,</w:t>
      </w:r>
      <w:r w:rsidR="00D548EA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</w:t>
      </w:r>
      <w:r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sigurojn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q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</w:t>
      </w:r>
      <w:r w:rsidR="00D548EA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realizimi financiar i projekteve dhe </w:t>
      </w:r>
      <w:r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aktivitetet q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8D626C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ato</w:t>
      </w:r>
      <w:r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po zbatojn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</w:t>
      </w:r>
      <w:r w:rsidR="00D548EA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në këtë kuadër, </w:t>
      </w:r>
      <w:r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jan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n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p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D548EA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rputhje </w:t>
      </w:r>
      <w:r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me planet</w:t>
      </w:r>
      <w:r w:rsidR="007B258A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vjetore</w:t>
      </w:r>
      <w:r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</w:t>
      </w:r>
      <w:r w:rsidR="007B258A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t</w:t>
      </w:r>
      <w:r w:rsidR="00E37AC3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miratuara n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D548EA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nivel projekti.</w:t>
      </w:r>
      <w:r w:rsidR="004151B3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</w:t>
      </w:r>
    </w:p>
    <w:p w:rsidR="00EB09FB" w:rsidRPr="007F29F9" w:rsidRDefault="00D32CDB" w:rsidP="004151B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  <w:r w:rsidRPr="007F29F9">
        <w:rPr>
          <w:rFonts w:ascii="Times New Roman" w:eastAsia="Calibri" w:hAnsi="Times New Roman" w:cs="Times New Roman"/>
          <w:bCs/>
          <w:i/>
          <w:sz w:val="24"/>
          <w:szCs w:val="24"/>
          <w:lang w:val="sq-AL"/>
        </w:rPr>
        <w:t>M</w:t>
      </w:r>
      <w:r w:rsidR="00EB09FB" w:rsidRPr="007F29F9">
        <w:rPr>
          <w:rFonts w:ascii="Times New Roman" w:eastAsia="Calibri" w:hAnsi="Times New Roman" w:cs="Times New Roman"/>
          <w:bCs/>
          <w:i/>
          <w:sz w:val="24"/>
          <w:szCs w:val="24"/>
          <w:lang w:val="sq-AL"/>
        </w:rPr>
        <w:t>onitorimi</w:t>
      </w:r>
      <w:r w:rsidR="00EB09FB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</w:t>
      </w:r>
      <w:r w:rsidR="00D13CEA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do t</w:t>
      </w:r>
      <w:r w:rsidR="00E37AC3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D13CEA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zhvillohet si nj</w:t>
      </w:r>
      <w:r w:rsidR="00E37AC3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D13CEA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</w:t>
      </w:r>
      <w:r w:rsidR="00D13CEA" w:rsidRPr="007F29F9">
        <w:rPr>
          <w:rFonts w:ascii="Times New Roman" w:eastAsia="Calibri" w:hAnsi="Times New Roman" w:cs="Times New Roman"/>
          <w:bCs/>
          <w:i/>
          <w:sz w:val="24"/>
          <w:szCs w:val="24"/>
          <w:lang w:val="sq-AL"/>
        </w:rPr>
        <w:t>p</w:t>
      </w:r>
      <w:r w:rsidR="00EB09FB" w:rsidRPr="007F29F9">
        <w:rPr>
          <w:rFonts w:ascii="Times New Roman" w:eastAsia="Calibri" w:hAnsi="Times New Roman" w:cs="Times New Roman"/>
          <w:bCs/>
          <w:i/>
          <w:sz w:val="24"/>
          <w:szCs w:val="24"/>
          <w:lang w:val="sq-AL"/>
        </w:rPr>
        <w:t>roces sistematik</w:t>
      </w:r>
      <w:r w:rsidR="00D13CEA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, i cili ka p</w:t>
      </w:r>
      <w:r w:rsidR="00E37AC3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D13CEA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r q</w:t>
      </w:r>
      <w:r w:rsidR="00E37AC3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D13CEA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llim </w:t>
      </w:r>
      <w:r w:rsidR="00EB09FB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t</w:t>
      </w:r>
      <w:r w:rsidR="00EB09FB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EB09FB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krahas</w:t>
      </w:r>
      <w:r w:rsidR="00D13CEA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oj</w:t>
      </w:r>
      <w:r w:rsidR="00E37AC3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EB09FB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performanc</w:t>
      </w:r>
      <w:r w:rsidR="00EB09FB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EB09FB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n e investimeve </w:t>
      </w:r>
      <w:r w:rsidR="00EB09FB" w:rsidRPr="008D626C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n</w:t>
      </w:r>
      <w:r w:rsidR="00EB09FB" w:rsidRPr="008D626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EB09FB" w:rsidRPr="008D626C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t</w:t>
      </w:r>
      <w:r w:rsidR="00EB09FB" w:rsidRPr="008D626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EB09FB" w:rsidRPr="008D626C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r</w:t>
      </w:r>
      <w:r w:rsidR="00EB09FB" w:rsidRPr="008D626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EB09FB" w:rsidRPr="008D626C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si me objektivat</w:t>
      </w:r>
      <w:r w:rsidR="00EB09FB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p</w:t>
      </w:r>
      <w:r w:rsidR="00EB09FB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EB09FB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r t</w:t>
      </w:r>
      <w:r w:rsidR="00EB09FB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EB09FB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cilat jan</w:t>
      </w:r>
      <w:r w:rsidR="00EB09FB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EB09FB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programuar</w:t>
      </w:r>
      <w:r w:rsidR="00D13CEA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,</w:t>
      </w:r>
      <w:r w:rsidR="00EB09FB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si dhe marrjen n</w:t>
      </w:r>
      <w:r w:rsidR="00EB09FB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EB09FB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koh</w:t>
      </w:r>
      <w:r w:rsidR="00EB09FB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EB09FB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t</w:t>
      </w:r>
      <w:r w:rsidR="00EB09FB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EB09FB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masave </w:t>
      </w:r>
      <w:r w:rsidR="00DD4E3C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paraprake</w:t>
      </w:r>
      <w:r w:rsidR="00EB09FB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p</w:t>
      </w:r>
      <w:r w:rsidR="00EB09FB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EB09FB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r m</w:t>
      </w:r>
      <w:r w:rsidR="00EB09FB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EB09FB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nj</w:t>
      </w:r>
      <w:r w:rsidR="00D13CEA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animin e risqeve dhe problemeve gjat</w:t>
      </w:r>
      <w:r w:rsidR="00E37AC3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D13CEA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realizimit t</w:t>
      </w:r>
      <w:r w:rsidR="00E37AC3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D13CEA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projekteve t</w:t>
      </w:r>
      <w:r w:rsidR="00E37AC3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D13CEA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investimeve.</w:t>
      </w:r>
    </w:p>
    <w:p w:rsidR="007B258A" w:rsidRPr="007F29F9" w:rsidRDefault="007B258A" w:rsidP="00E37AC3">
      <w:pPr>
        <w:pStyle w:val="BodyText"/>
        <w:numPr>
          <w:ilvl w:val="0"/>
          <w:numId w:val="0"/>
        </w:numPr>
        <w:spacing w:after="240" w:line="276" w:lineRule="auto"/>
        <w:rPr>
          <w:lang w:val="sq-AL" w:eastAsia="en-GB"/>
        </w:rPr>
      </w:pPr>
      <w:r w:rsidRPr="007F29F9">
        <w:rPr>
          <w:lang w:val="sq-AL" w:eastAsia="en-GB"/>
        </w:rPr>
        <w:t xml:space="preserve">Monitorimi i projekteve të investimeve publike do të bëhet duke marrë parasysh specifikat dhe procedurat që ndiqen në zbatimin e projekteve sipas burimit të financimit.  </w:t>
      </w:r>
    </w:p>
    <w:p w:rsidR="00654993" w:rsidRPr="007F29F9" w:rsidRDefault="00654993" w:rsidP="00E6162A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F29F9">
        <w:rPr>
          <w:rFonts w:ascii="Times New Roman" w:hAnsi="Times New Roman" w:cs="Times New Roman"/>
          <w:b/>
          <w:sz w:val="24"/>
          <w:szCs w:val="24"/>
          <w:lang w:val="sq-AL"/>
        </w:rPr>
        <w:t>Q</w:t>
      </w:r>
      <w:r w:rsidR="0098301E" w:rsidRPr="007F29F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b/>
          <w:sz w:val="24"/>
          <w:szCs w:val="24"/>
          <w:lang w:val="sq-AL"/>
        </w:rPr>
        <w:t>llimi</w:t>
      </w:r>
    </w:p>
    <w:p w:rsidR="00817BA7" w:rsidRPr="007F29F9" w:rsidRDefault="00D548EA" w:rsidP="00E6162A">
      <w:pPr>
        <w:spacing w:after="2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F29F9">
        <w:rPr>
          <w:rFonts w:ascii="Times New Roman" w:hAnsi="Times New Roman" w:cs="Times New Roman"/>
          <w:sz w:val="24"/>
          <w:szCs w:val="24"/>
          <w:lang w:val="sq-AL"/>
        </w:rPr>
        <w:t>Metodologjia e Monitorimit dhe Raportimit t</w:t>
      </w:r>
      <w:r w:rsidR="0098301E" w:rsidRPr="007F29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Investimeve Publike</w:t>
      </w:r>
      <w:r w:rsidR="00854DA1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ka p</w:t>
      </w:r>
      <w:r w:rsidR="00A56C2A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 w:rsidR="00854DA1" w:rsidRPr="007F29F9">
        <w:rPr>
          <w:rFonts w:ascii="Times New Roman" w:hAnsi="Times New Roman" w:cs="Times New Roman"/>
          <w:sz w:val="24"/>
          <w:szCs w:val="24"/>
          <w:lang w:val="sq-AL"/>
        </w:rPr>
        <w:t>r q</w:t>
      </w:r>
      <w:r w:rsidR="00A56C2A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 w:rsidR="00854DA1" w:rsidRPr="007F29F9">
        <w:rPr>
          <w:rFonts w:ascii="Times New Roman" w:hAnsi="Times New Roman" w:cs="Times New Roman"/>
          <w:sz w:val="24"/>
          <w:szCs w:val="24"/>
          <w:lang w:val="sq-AL"/>
        </w:rPr>
        <w:t>llim t</w:t>
      </w:r>
      <w:r w:rsidR="00A56C2A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 w:rsidR="00436F7D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standartizoj</w:t>
      </w:r>
      <w:r w:rsidR="00E6162A" w:rsidRPr="007F29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126EB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1000B" w:rsidRPr="007F29F9">
        <w:rPr>
          <w:rFonts w:ascii="Times New Roman" w:hAnsi="Times New Roman" w:cs="Times New Roman"/>
          <w:sz w:val="24"/>
          <w:szCs w:val="24"/>
          <w:lang w:val="sq-AL"/>
        </w:rPr>
        <w:t>form</w:t>
      </w:r>
      <w:r w:rsidR="00E1000B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 w:rsidR="00E1000B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n dhe </w:t>
      </w:r>
      <w:r w:rsidR="00854DA1" w:rsidRPr="007F29F9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A56C2A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 w:rsidR="00854DA1" w:rsidRPr="007F29F9"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="00A56C2A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 w:rsidR="00854DA1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n e raportimit nga ana e ministrive. </w:t>
      </w:r>
      <w:r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Kjo metodologji </w:t>
      </w:r>
      <w:r w:rsidR="00A56C2A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 w:rsidR="00854DA1" w:rsidRPr="007F29F9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A56C2A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ë </w:t>
      </w:r>
      <w:r w:rsidR="00854DA1" w:rsidRPr="007F29F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A56C2A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 w:rsidR="00436F7D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sinkron me udh</w:t>
      </w:r>
      <w:r w:rsidR="00E6162A" w:rsidRPr="007F29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4DA1" w:rsidRPr="007F29F9">
        <w:rPr>
          <w:rFonts w:ascii="Times New Roman" w:hAnsi="Times New Roman" w:cs="Times New Roman"/>
          <w:sz w:val="24"/>
          <w:szCs w:val="24"/>
          <w:lang w:val="sq-AL"/>
        </w:rPr>
        <w:t>zime</w:t>
      </w:r>
      <w:r w:rsidR="00A56C2A" w:rsidRPr="007F29F9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854DA1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A56C2A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 w:rsidR="00436F7D" w:rsidRPr="007F29F9">
        <w:rPr>
          <w:rFonts w:ascii="Times New Roman" w:hAnsi="Times New Roman" w:cs="Times New Roman"/>
          <w:sz w:val="24"/>
          <w:szCs w:val="24"/>
          <w:lang w:val="sq-AL"/>
        </w:rPr>
        <w:t>r hartimi</w:t>
      </w:r>
      <w:r w:rsidR="00854DA1" w:rsidRPr="007F29F9">
        <w:rPr>
          <w:rFonts w:ascii="Times New Roman" w:hAnsi="Times New Roman" w:cs="Times New Roman"/>
          <w:sz w:val="24"/>
          <w:szCs w:val="24"/>
          <w:lang w:val="sq-AL"/>
        </w:rPr>
        <w:t>n dhe zbatimi</w:t>
      </w:r>
      <w:r w:rsidR="00436F7D" w:rsidRPr="007F29F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854DA1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e buxhetit</w:t>
      </w:r>
      <w:r w:rsidR="00B12B03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66C00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="00817BA7" w:rsidRPr="007F29F9">
        <w:rPr>
          <w:rFonts w:ascii="Times New Roman" w:hAnsi="Times New Roman" w:cs="Times New Roman"/>
          <w:sz w:val="24"/>
          <w:szCs w:val="24"/>
          <w:lang w:val="sq-AL"/>
        </w:rPr>
        <w:t>rregullon mar</w:t>
      </w:r>
      <w:r w:rsidR="00436F7D" w:rsidRPr="007F29F9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022EB0" w:rsidRPr="007F29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17BA7" w:rsidRPr="007F29F9">
        <w:rPr>
          <w:rFonts w:ascii="Times New Roman" w:hAnsi="Times New Roman" w:cs="Times New Roman"/>
          <w:sz w:val="24"/>
          <w:szCs w:val="24"/>
          <w:lang w:val="sq-AL"/>
        </w:rPr>
        <w:t>dh</w:t>
      </w:r>
      <w:r w:rsidR="00FC79C5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 w:rsidR="00817BA7" w:rsidRPr="007F29F9">
        <w:rPr>
          <w:rFonts w:ascii="Times New Roman" w:hAnsi="Times New Roman" w:cs="Times New Roman"/>
          <w:sz w:val="24"/>
          <w:szCs w:val="24"/>
          <w:lang w:val="sq-AL"/>
        </w:rPr>
        <w:t>niet n</w:t>
      </w:r>
      <w:r w:rsidR="00817BA7" w:rsidRPr="008D626C"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FC79C5" w:rsidRPr="008D626C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 w:rsidR="00817BA7" w:rsidRPr="008D626C">
        <w:rPr>
          <w:rFonts w:ascii="Times New Roman" w:hAnsi="Times New Roman" w:cs="Times New Roman"/>
          <w:sz w:val="24"/>
          <w:szCs w:val="24"/>
          <w:lang w:val="sq-AL"/>
        </w:rPr>
        <w:t>rinst</w:t>
      </w:r>
      <w:r w:rsidR="00817BA7" w:rsidRPr="007F29F9">
        <w:rPr>
          <w:rFonts w:ascii="Times New Roman" w:hAnsi="Times New Roman" w:cs="Times New Roman"/>
          <w:sz w:val="24"/>
          <w:szCs w:val="24"/>
          <w:lang w:val="sq-AL"/>
        </w:rPr>
        <w:t>itucionale n</w:t>
      </w:r>
      <w:r w:rsidR="00FC79C5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 w:rsidR="00817BA7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fush</w:t>
      </w:r>
      <w:r w:rsidR="00FC79C5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 w:rsidR="00817BA7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n e </w:t>
      </w:r>
      <w:r w:rsidR="008D626C">
        <w:rPr>
          <w:rFonts w:ascii="Times New Roman" w:hAnsi="Times New Roman" w:cs="Times New Roman"/>
          <w:sz w:val="24"/>
          <w:szCs w:val="24"/>
          <w:lang w:val="sq-AL"/>
        </w:rPr>
        <w:t>monitorimit dhe raportimit</w:t>
      </w:r>
      <w:r w:rsidR="00817BA7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519E4" w:rsidRPr="007F29F9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FC79C5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 w:rsidR="008519E4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investimeve publike </w:t>
      </w:r>
      <w:r w:rsidR="00817BA7" w:rsidRPr="007F29F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FC79C5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 w:rsidR="00817BA7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FC79C5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 w:rsidR="00817BA7" w:rsidRPr="007F29F9">
        <w:rPr>
          <w:rFonts w:ascii="Times New Roman" w:hAnsi="Times New Roman" w:cs="Times New Roman"/>
          <w:sz w:val="24"/>
          <w:szCs w:val="24"/>
          <w:lang w:val="sq-AL"/>
        </w:rPr>
        <w:t>rputhje me p</w:t>
      </w:r>
      <w:r w:rsidR="00FC79C5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 w:rsidR="00D339D9" w:rsidRPr="007F29F9">
        <w:rPr>
          <w:rFonts w:ascii="Times New Roman" w:hAnsi="Times New Roman" w:cs="Times New Roman"/>
          <w:sz w:val="24"/>
          <w:szCs w:val="24"/>
          <w:lang w:val="sq-AL"/>
        </w:rPr>
        <w:t>rgj</w:t>
      </w:r>
      <w:r w:rsidR="00817BA7" w:rsidRPr="007F29F9">
        <w:rPr>
          <w:rFonts w:ascii="Times New Roman" w:hAnsi="Times New Roman" w:cs="Times New Roman"/>
          <w:sz w:val="24"/>
          <w:szCs w:val="24"/>
          <w:lang w:val="sq-AL"/>
        </w:rPr>
        <w:t>egj</w:t>
      </w:r>
      <w:r w:rsidR="00FC79C5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 w:rsidR="00817BA7" w:rsidRPr="007F29F9">
        <w:rPr>
          <w:rFonts w:ascii="Times New Roman" w:hAnsi="Times New Roman" w:cs="Times New Roman"/>
          <w:sz w:val="24"/>
          <w:szCs w:val="24"/>
          <w:lang w:val="sq-AL"/>
        </w:rPr>
        <w:t>sit</w:t>
      </w:r>
      <w:r w:rsidR="00E6162A" w:rsidRPr="007F29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17BA7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shtet</w:t>
      </w:r>
      <w:r w:rsidR="00FC79C5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 w:rsidR="00817BA7" w:rsidRPr="007F29F9">
        <w:rPr>
          <w:rFonts w:ascii="Times New Roman" w:hAnsi="Times New Roman" w:cs="Times New Roman"/>
          <w:sz w:val="24"/>
          <w:szCs w:val="24"/>
          <w:lang w:val="sq-AL"/>
        </w:rPr>
        <w:t>rore t</w:t>
      </w:r>
      <w:r w:rsidR="00FC79C5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 w:rsidR="00817BA7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ministrive.</w:t>
      </w:r>
    </w:p>
    <w:p w:rsidR="007F539D" w:rsidRPr="007F29F9" w:rsidRDefault="00DD4E3C" w:rsidP="00654993">
      <w:pPr>
        <w:tabs>
          <w:tab w:val="left" w:pos="720"/>
        </w:tabs>
        <w:spacing w:after="24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7F29F9">
        <w:rPr>
          <w:rFonts w:ascii="Times New Roman" w:eastAsia="Calibri" w:hAnsi="Times New Roman" w:cs="Times New Roman"/>
          <w:b/>
          <w:sz w:val="24"/>
          <w:szCs w:val="24"/>
          <w:lang w:val="sq-AL"/>
        </w:rPr>
        <w:t>O</w:t>
      </w:r>
      <w:r w:rsidR="00B50B19" w:rsidRPr="007F29F9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bjektivat e </w:t>
      </w:r>
      <w:r w:rsidR="007F539D" w:rsidRPr="007F29F9">
        <w:rPr>
          <w:rFonts w:ascii="Times New Roman" w:eastAsia="Calibri" w:hAnsi="Times New Roman" w:cs="Times New Roman"/>
          <w:b/>
          <w:sz w:val="24"/>
          <w:szCs w:val="24"/>
          <w:lang w:val="sq-AL"/>
        </w:rPr>
        <w:t>monitorimit t</w:t>
      </w:r>
      <w:r w:rsidR="00E6162A" w:rsidRPr="007F29F9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="007F539D" w:rsidRPr="007F29F9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projekteve t</w:t>
      </w:r>
      <w:r w:rsidR="00E6162A" w:rsidRPr="007F29F9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="007F539D" w:rsidRPr="007F29F9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investimeve publike</w:t>
      </w:r>
    </w:p>
    <w:p w:rsidR="00654993" w:rsidRPr="007F29F9" w:rsidRDefault="007F539D" w:rsidP="00E6162A">
      <w:pPr>
        <w:numPr>
          <w:ilvl w:val="0"/>
          <w:numId w:val="18"/>
        </w:numPr>
        <w:spacing w:after="24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7F29F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 xml:space="preserve">Të përmirësojë </w:t>
      </w:r>
      <w:r w:rsidR="007D07C8" w:rsidRPr="008D626C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eficienc</w:t>
      </w:r>
      <w:r w:rsidR="007D07C8" w:rsidRPr="008D626C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="007D07C8" w:rsidRPr="007F29F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 xml:space="preserve">n e </w:t>
      </w:r>
      <w:r w:rsidRPr="007F29F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sistemi</w:t>
      </w:r>
      <w:r w:rsidR="007D07C8" w:rsidRPr="007F29F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t</w:t>
      </w:r>
      <w:r w:rsidRPr="007F29F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 xml:space="preserve"> aktual të monitorimit t</w:t>
      </w:r>
      <w:r w:rsidR="007D07C8" w:rsidRPr="007F29F9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 xml:space="preserve"> investimeve publike:</w:t>
      </w:r>
    </w:p>
    <w:p w:rsidR="007F539D" w:rsidRPr="007F29F9" w:rsidRDefault="00654993" w:rsidP="00654993">
      <w:pPr>
        <w:spacing w:after="240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S</w:t>
      </w:r>
      <w:r w:rsidR="007F539D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istemi i monitorimit synon nj</w:t>
      </w:r>
      <w:r w:rsidR="004D0DBE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7F539D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raportim efikas dhe realist q</w:t>
      </w:r>
      <w:r w:rsidR="004D0DBE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7F539D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identifikon n</w:t>
      </w:r>
      <w:r w:rsidR="004D0DBE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7F539D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koh</w:t>
      </w:r>
      <w:r w:rsidR="004D0DBE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7F539D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dhe i paraprin akumulimit t</w:t>
      </w:r>
      <w:r w:rsidR="004D0DBE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B12B03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problemeve</w:t>
      </w:r>
      <w:r w:rsidR="008D626C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, duke</w:t>
      </w:r>
      <w:r w:rsidR="007F539D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</w:t>
      </w:r>
      <w:r w:rsidR="008D626C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vënë në </w:t>
      </w:r>
      <w:r w:rsidR="00E4686B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dijeni</w:t>
      </w:r>
      <w:r w:rsidR="007F539D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strukturat vendimmarrës</w:t>
      </w:r>
      <w:r w:rsidR="0017142F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e</w:t>
      </w:r>
      <w:r w:rsidR="007F539D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me q</w:t>
      </w:r>
      <w:r w:rsidR="00E6162A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7F539D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llim zgjidhjen </w:t>
      </w:r>
      <w:r w:rsidR="00951303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n</w:t>
      </w:r>
      <w:r w:rsidR="004D0DBE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951303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koh</w:t>
      </w:r>
      <w:r w:rsidR="004D0DBE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951303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t</w:t>
      </w:r>
      <w:r w:rsidR="004D0DBE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7F539D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</w:t>
      </w:r>
      <w:r w:rsidR="00CD0B2E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tyre</w:t>
      </w:r>
      <w:r w:rsidR="007F539D" w:rsidRPr="00B962DE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.</w:t>
      </w:r>
    </w:p>
    <w:p w:rsidR="00654993" w:rsidRPr="007F29F9" w:rsidRDefault="007F539D" w:rsidP="00E6162A">
      <w:pPr>
        <w:numPr>
          <w:ilvl w:val="0"/>
          <w:numId w:val="18"/>
        </w:numPr>
        <w:spacing w:after="24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F29F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Të p</w:t>
      </w:r>
      <w:r w:rsidR="007D07C8" w:rsidRPr="007F29F9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rmir</w:t>
      </w:r>
      <w:r w:rsidR="007D07C8" w:rsidRPr="007F29F9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="00030D75" w:rsidRPr="007F29F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soj</w:t>
      </w:r>
      <w:r w:rsidR="00E6162A" w:rsidRPr="007F29F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 xml:space="preserve"> procesin e planifikimit vjetor dhe afatmesëm n</w:t>
      </w:r>
      <w:r w:rsidR="007D07C8" w:rsidRPr="007F29F9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 xml:space="preserve"> nivel programi dhe projekti:</w:t>
      </w:r>
    </w:p>
    <w:p w:rsidR="007F539D" w:rsidRPr="007F29F9" w:rsidRDefault="00654993" w:rsidP="00654993">
      <w:pPr>
        <w:spacing w:after="240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G</w:t>
      </w:r>
      <w:r w:rsidR="007F539D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jetjet dhe rekomandimet e raporteve t</w:t>
      </w:r>
      <w:r w:rsidR="004D0DBE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7F539D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monitorimit do t</w:t>
      </w:r>
      <w:r w:rsidR="004D0DBE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7F539D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ndihmojnë ministritë të përmirësojnë mënyrën e planifikimit t</w:t>
      </w:r>
      <w:r w:rsidR="004D0DBE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7F539D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projekteve, duke mundësuar </w:t>
      </w:r>
      <w:r w:rsidR="004D0DBE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një</w:t>
      </w:r>
      <w:r w:rsidR="007F539D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përqasje m</w:t>
      </w:r>
      <w:r w:rsidR="004D0DBE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7F539D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t</w:t>
      </w:r>
      <w:r w:rsidR="004D0DBE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7F539D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mir</w:t>
      </w:r>
      <w:r w:rsidR="004D0DBE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7F539D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n</w:t>
      </w:r>
      <w:r w:rsidR="004D0DBE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7F539D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raport me arritjen e objektivave sektoriale, rishikimin e politikave dhe buxhetimin e programeve.  </w:t>
      </w:r>
    </w:p>
    <w:p w:rsidR="00654993" w:rsidRPr="007F29F9" w:rsidRDefault="007F539D" w:rsidP="005B645F">
      <w:pPr>
        <w:pStyle w:val="ListParagraph"/>
        <w:numPr>
          <w:ilvl w:val="0"/>
          <w:numId w:val="18"/>
        </w:numPr>
        <w:spacing w:after="240"/>
        <w:jc w:val="both"/>
        <w:rPr>
          <w:rFonts w:ascii="Times New Roman" w:eastAsia="Calibri" w:hAnsi="Times New Roman" w:cs="Times New Roman"/>
          <w:bCs/>
          <w:sz w:val="24"/>
          <w:szCs w:val="24"/>
          <w:lang w:val="sq-AL"/>
        </w:rPr>
      </w:pPr>
      <w:r w:rsidRPr="007F29F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 xml:space="preserve">Të </w:t>
      </w:r>
      <w:r w:rsidR="004D0DBE" w:rsidRPr="007F29F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p</w:t>
      </w:r>
      <w:r w:rsidR="004D0DBE" w:rsidRPr="007F29F9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="004D0DBE" w:rsidRPr="007F29F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rmirësoj</w:t>
      </w:r>
      <w:r w:rsidR="004D0DBE" w:rsidRPr="007F29F9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 xml:space="preserve"> kuadrin institucional t</w:t>
      </w:r>
      <w:r w:rsidR="00AD74C7" w:rsidRPr="007F29F9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="00CD0B2E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 xml:space="preserve"> </w:t>
      </w:r>
      <w:r w:rsidR="00CD0B2E" w:rsidRPr="007F29F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monitorimit</w:t>
      </w:r>
      <w:r w:rsidR="00CD0B2E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 xml:space="preserve"> e raportimit</w:t>
      </w:r>
      <w:r w:rsidRPr="007F29F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 xml:space="preserve"> </w:t>
      </w:r>
      <w:r w:rsidR="00CD0B2E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 xml:space="preserve">si </w:t>
      </w:r>
      <w:r w:rsidRPr="007F29F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 xml:space="preserve">dhe </w:t>
      </w:r>
      <w:r w:rsidR="00820816" w:rsidRPr="007F29F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 xml:space="preserve">përgjegjësitë </w:t>
      </w:r>
      <w:r w:rsidRPr="007F29F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n</w:t>
      </w:r>
      <w:r w:rsidR="00AD74C7" w:rsidRPr="007F29F9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="00654993" w:rsidRPr="007F29F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 xml:space="preserve"> procesin e planifikimit </w:t>
      </w:r>
    </w:p>
    <w:p w:rsidR="00A3608D" w:rsidRPr="007F29F9" w:rsidRDefault="00DC429D" w:rsidP="00466B67">
      <w:pPr>
        <w:spacing w:after="240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Min</w:t>
      </w:r>
      <w:r w:rsidR="00CD0B2E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istria përgjegjëse për financat </w:t>
      </w:r>
      <w:r w:rsidR="007F539D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përgj</w:t>
      </w:r>
      <w:r w:rsidR="00CD0B2E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igjet</w:t>
      </w:r>
      <w:r w:rsidR="007F539D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</w:t>
      </w:r>
      <w:r w:rsidR="004D0DBE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për</w:t>
      </w:r>
      <w:r w:rsidR="007F539D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përgatitjen e standarteve dhe metodologjisë s</w:t>
      </w:r>
      <w:r w:rsidR="004D0DBE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7F539D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raportimit si dhe </w:t>
      </w:r>
      <w:r w:rsidR="00CD0B2E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për </w:t>
      </w:r>
      <w:r w:rsidR="007F539D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vlerësimin periodik t</w:t>
      </w:r>
      <w:r w:rsidR="004D0DBE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7F539D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projekteve dhe programeve t</w:t>
      </w:r>
      <w:r w:rsidR="004D0DBE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7F539D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investimeve publike</w:t>
      </w:r>
      <w:r w:rsidR="00E060D4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. Sipas rastit</w:t>
      </w:r>
      <w:r w:rsidR="00CD0B2E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,</w:t>
      </w:r>
      <w:r w:rsidR="00B12B03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</w:t>
      </w:r>
      <w:r w:rsidR="00E060D4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ministria përgjegjëse për financat propozon</w:t>
      </w:r>
      <w:r w:rsidR="00860217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</w:t>
      </w:r>
      <w:r w:rsidR="007F539D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zgjidhje</w:t>
      </w:r>
      <w:r w:rsidR="00860217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të mundshme të</w:t>
      </w:r>
      <w:r w:rsidR="007F539D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problemeve t</w:t>
      </w:r>
      <w:r w:rsidR="004D0DBE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7F539D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projekteve</w:t>
      </w:r>
      <w:r w:rsidR="00860217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,</w:t>
      </w:r>
      <w:r w:rsidR="007F539D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n</w:t>
      </w:r>
      <w:r w:rsidR="004D0DBE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ë</w:t>
      </w:r>
      <w:r w:rsidR="007F539D" w:rsidRPr="00CA6136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bashkëpunim me ministritë e linjës.</w:t>
      </w:r>
      <w:r w:rsidR="007F539D" w:rsidRPr="007F29F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</w:t>
      </w:r>
    </w:p>
    <w:p w:rsidR="00A603AE" w:rsidRPr="007F29F9" w:rsidRDefault="006D4FD1" w:rsidP="00A603AE">
      <w:pPr>
        <w:pStyle w:val="ListParagraph"/>
        <w:numPr>
          <w:ilvl w:val="0"/>
          <w:numId w:val="20"/>
        </w:numPr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F29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Procedurat e </w:t>
      </w:r>
      <w:r w:rsidR="00F2153C" w:rsidRPr="007F29F9">
        <w:rPr>
          <w:rFonts w:ascii="Times New Roman" w:hAnsi="Times New Roman" w:cs="Times New Roman"/>
          <w:b/>
          <w:sz w:val="24"/>
          <w:szCs w:val="24"/>
          <w:lang w:val="sq-AL"/>
        </w:rPr>
        <w:t>M</w:t>
      </w:r>
      <w:r w:rsidR="00FA1145" w:rsidRPr="007F29F9">
        <w:rPr>
          <w:rFonts w:ascii="Times New Roman" w:hAnsi="Times New Roman" w:cs="Times New Roman"/>
          <w:b/>
          <w:sz w:val="24"/>
          <w:szCs w:val="24"/>
          <w:lang w:val="sq-AL"/>
        </w:rPr>
        <w:t>onitorimit</w:t>
      </w:r>
      <w:r w:rsidR="008927F4" w:rsidRPr="007F29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 Raportimit të</w:t>
      </w:r>
      <w:r w:rsidR="00061E5F" w:rsidRPr="007F29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F2153C" w:rsidRPr="007F29F9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7F29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nvestimeve </w:t>
      </w:r>
      <w:r w:rsidR="00F2153C" w:rsidRPr="007F29F9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Pr="007F29F9">
        <w:rPr>
          <w:rFonts w:ascii="Times New Roman" w:hAnsi="Times New Roman" w:cs="Times New Roman"/>
          <w:b/>
          <w:sz w:val="24"/>
          <w:szCs w:val="24"/>
          <w:lang w:val="sq-AL"/>
        </w:rPr>
        <w:t>ublike</w:t>
      </w:r>
    </w:p>
    <w:p w:rsidR="00A603AE" w:rsidRPr="007F29F9" w:rsidRDefault="00A603AE" w:rsidP="00A603A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F29F9">
        <w:rPr>
          <w:rFonts w:ascii="Times New Roman" w:hAnsi="Times New Roman" w:cs="Times New Roman"/>
          <w:b/>
          <w:sz w:val="24"/>
          <w:szCs w:val="24"/>
          <w:lang w:val="sq-AL"/>
        </w:rPr>
        <w:t>Fusha /Objekti i raportimit</w:t>
      </w:r>
    </w:p>
    <w:p w:rsidR="00A603AE" w:rsidRPr="007F29F9" w:rsidRDefault="00A603AE" w:rsidP="00A603AE">
      <w:pPr>
        <w:spacing w:after="2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Objekt i </w:t>
      </w:r>
      <w:r w:rsidR="00CD0B2E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monitorimit </w:t>
      </w:r>
      <w:r w:rsidR="00CD0B2E"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Pr="007F29F9">
        <w:rPr>
          <w:rFonts w:ascii="Times New Roman" w:hAnsi="Times New Roman" w:cs="Times New Roman"/>
          <w:sz w:val="24"/>
          <w:szCs w:val="24"/>
          <w:lang w:val="sq-AL"/>
        </w:rPr>
        <w:t>raportimit nga ana e ministrive dhe institucioneve buxhetore q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zbatojn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projekte të </w:t>
      </w:r>
      <w:r w:rsidRPr="00827366">
        <w:rPr>
          <w:rFonts w:ascii="Times New Roman" w:hAnsi="Times New Roman" w:cs="Times New Roman"/>
          <w:sz w:val="24"/>
          <w:szCs w:val="24"/>
          <w:lang w:val="sq-AL"/>
        </w:rPr>
        <w:t>investimeve publike</w:t>
      </w:r>
      <w:r w:rsidR="00CD0B2E" w:rsidRPr="00827366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827366">
        <w:rPr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Pr="0082736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jen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gjitha projektet e investimeve publike q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financohen n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kuadër t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buxhetit t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shtetit, pavar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sz w:val="24"/>
          <w:szCs w:val="24"/>
          <w:lang w:val="sq-AL"/>
        </w:rPr>
        <w:t>sisht burimit dhe vler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financimit.</w:t>
      </w:r>
    </w:p>
    <w:p w:rsidR="00EA213A" w:rsidRPr="007F29F9" w:rsidRDefault="00FA1145" w:rsidP="008927F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F29F9">
        <w:rPr>
          <w:rFonts w:ascii="Times New Roman" w:hAnsi="Times New Roman" w:cs="Times New Roman"/>
          <w:b/>
          <w:sz w:val="24"/>
          <w:szCs w:val="24"/>
          <w:lang w:val="sq-AL"/>
        </w:rPr>
        <w:t>Burimi i t</w:t>
      </w:r>
      <w:r w:rsidR="00E6162A" w:rsidRPr="007F29F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EA213A" w:rsidRPr="007F29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</w:t>
      </w:r>
      <w:r w:rsidR="00E6162A" w:rsidRPr="007F29F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EA213A" w:rsidRPr="007F29F9">
        <w:rPr>
          <w:rFonts w:ascii="Times New Roman" w:hAnsi="Times New Roman" w:cs="Times New Roman"/>
          <w:b/>
          <w:sz w:val="24"/>
          <w:szCs w:val="24"/>
          <w:lang w:val="sq-AL"/>
        </w:rPr>
        <w:t>nave t</w:t>
      </w:r>
      <w:r w:rsidR="00E6162A" w:rsidRPr="007F29F9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EA213A" w:rsidRPr="007F29F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monitorimit</w:t>
      </w:r>
      <w:r w:rsidR="004151B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 f</w:t>
      </w:r>
      <w:r w:rsidR="004151B3" w:rsidRPr="007F29F9">
        <w:rPr>
          <w:rFonts w:ascii="Times New Roman" w:hAnsi="Times New Roman" w:cs="Times New Roman"/>
          <w:b/>
          <w:sz w:val="24"/>
          <w:szCs w:val="24"/>
          <w:lang w:val="sq-AL"/>
        </w:rPr>
        <w:t>orma e raportimit</w:t>
      </w:r>
    </w:p>
    <w:p w:rsidR="004D215C" w:rsidRPr="007F29F9" w:rsidRDefault="009951CD" w:rsidP="004D215C">
      <w:pPr>
        <w:spacing w:after="2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D0B2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267522" w:rsidRPr="00CD0B2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CD0B2E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267522" w:rsidRPr="00CD0B2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FA1145" w:rsidRPr="00CD0B2E">
        <w:rPr>
          <w:rFonts w:ascii="Times New Roman" w:hAnsi="Times New Roman" w:cs="Times New Roman"/>
          <w:sz w:val="24"/>
          <w:szCs w:val="24"/>
          <w:lang w:val="sq-AL"/>
        </w:rPr>
        <w:t>nat</w:t>
      </w:r>
      <w:r w:rsidR="00AA2045" w:rsidRPr="00CD0B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D4FD1" w:rsidRPr="00CD0B2E">
        <w:rPr>
          <w:rFonts w:ascii="Times New Roman" w:hAnsi="Times New Roman" w:cs="Times New Roman"/>
          <w:sz w:val="24"/>
          <w:szCs w:val="24"/>
          <w:lang w:val="sq-AL"/>
        </w:rPr>
        <w:t>baz</w:t>
      </w:r>
      <w:r w:rsidR="00267522" w:rsidRPr="00CD0B2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6D4FD1" w:rsidRPr="00CD0B2E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267522" w:rsidRPr="00CD0B2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6D4FD1" w:rsidRPr="00CD0B2E">
        <w:rPr>
          <w:rFonts w:ascii="Times New Roman" w:hAnsi="Times New Roman" w:cs="Times New Roman"/>
          <w:sz w:val="24"/>
          <w:szCs w:val="24"/>
          <w:lang w:val="sq-AL"/>
        </w:rPr>
        <w:t>r monitorimin dhe vl</w:t>
      </w:r>
      <w:r w:rsidR="00267522" w:rsidRPr="00CD0B2E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6D4FD1" w:rsidRPr="00CD0B2E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267522" w:rsidRPr="00CD0B2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6D4FD1" w:rsidRPr="00CD0B2E">
        <w:rPr>
          <w:rFonts w:ascii="Times New Roman" w:hAnsi="Times New Roman" w:cs="Times New Roman"/>
          <w:sz w:val="24"/>
          <w:szCs w:val="24"/>
          <w:lang w:val="sq-AL"/>
        </w:rPr>
        <w:t>simin e projekteve t</w:t>
      </w:r>
      <w:r w:rsidR="00267522" w:rsidRPr="00CD0B2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6D4FD1" w:rsidRPr="00CD0B2E">
        <w:rPr>
          <w:rFonts w:ascii="Times New Roman" w:hAnsi="Times New Roman" w:cs="Times New Roman"/>
          <w:sz w:val="24"/>
          <w:szCs w:val="24"/>
          <w:lang w:val="sq-AL"/>
        </w:rPr>
        <w:t xml:space="preserve"> investimeve publike </w:t>
      </w:r>
      <w:r w:rsidRPr="00CD0B2E">
        <w:rPr>
          <w:rFonts w:ascii="Times New Roman" w:hAnsi="Times New Roman" w:cs="Times New Roman"/>
          <w:sz w:val="24"/>
          <w:szCs w:val="24"/>
          <w:lang w:val="sq-AL"/>
        </w:rPr>
        <w:t>do t</w:t>
      </w:r>
      <w:r w:rsidR="00267522" w:rsidRPr="00CD0B2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CD0B2E">
        <w:rPr>
          <w:rFonts w:ascii="Times New Roman" w:hAnsi="Times New Roman" w:cs="Times New Roman"/>
          <w:sz w:val="24"/>
          <w:szCs w:val="24"/>
          <w:lang w:val="sq-AL"/>
        </w:rPr>
        <w:t xml:space="preserve"> gjenerohen nga</w:t>
      </w:r>
      <w:r w:rsidR="00A603AE" w:rsidRPr="00CD0B2E">
        <w:rPr>
          <w:rFonts w:ascii="Times New Roman" w:hAnsi="Times New Roman" w:cs="Times New Roman"/>
          <w:sz w:val="24"/>
          <w:szCs w:val="24"/>
          <w:lang w:val="sq-AL"/>
        </w:rPr>
        <w:t xml:space="preserve"> raportim</w:t>
      </w:r>
      <w:r w:rsidR="00466B67" w:rsidRPr="00CD0B2E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A603AE" w:rsidRPr="00CD0B2E">
        <w:rPr>
          <w:rFonts w:ascii="Times New Roman" w:hAnsi="Times New Roman" w:cs="Times New Roman"/>
          <w:sz w:val="24"/>
          <w:szCs w:val="24"/>
          <w:lang w:val="sq-AL"/>
        </w:rPr>
        <w:t xml:space="preserve">t </w:t>
      </w:r>
      <w:r w:rsidR="00466B67" w:rsidRPr="00CD0B2E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="00A603AE" w:rsidRPr="00CD0B2E">
        <w:rPr>
          <w:rFonts w:ascii="Times New Roman" w:hAnsi="Times New Roman" w:cs="Times New Roman"/>
          <w:sz w:val="24"/>
          <w:szCs w:val="24"/>
          <w:lang w:val="sq-AL"/>
        </w:rPr>
        <w:t>ministrive t</w:t>
      </w:r>
      <w:r w:rsidR="00E37AC3" w:rsidRPr="00CD0B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603AE" w:rsidRPr="00CD0B2E">
        <w:rPr>
          <w:rFonts w:ascii="Times New Roman" w:hAnsi="Times New Roman" w:cs="Times New Roman"/>
          <w:sz w:val="24"/>
          <w:szCs w:val="24"/>
          <w:lang w:val="sq-AL"/>
        </w:rPr>
        <w:t xml:space="preserve"> linj</w:t>
      </w:r>
      <w:r w:rsidR="00E37AC3" w:rsidRPr="00CD0B2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66B67" w:rsidRPr="00CD0B2E">
        <w:rPr>
          <w:rFonts w:ascii="Times New Roman" w:hAnsi="Times New Roman" w:cs="Times New Roman"/>
          <w:sz w:val="24"/>
          <w:szCs w:val="24"/>
          <w:lang w:val="sq-AL"/>
        </w:rPr>
        <w:t xml:space="preserve">s </w:t>
      </w:r>
      <w:r w:rsidR="00F154DB" w:rsidRPr="00CD0B2E">
        <w:rPr>
          <w:rFonts w:ascii="Times New Roman" w:hAnsi="Times New Roman" w:cs="Times New Roman"/>
          <w:sz w:val="24"/>
          <w:szCs w:val="24"/>
          <w:lang w:val="sq-AL"/>
        </w:rPr>
        <w:t>dhe institucione</w:t>
      </w:r>
      <w:r w:rsidR="00466B67" w:rsidRPr="00CD0B2E">
        <w:rPr>
          <w:rFonts w:ascii="Times New Roman" w:hAnsi="Times New Roman" w:cs="Times New Roman"/>
          <w:sz w:val="24"/>
          <w:szCs w:val="24"/>
          <w:lang w:val="sq-AL"/>
        </w:rPr>
        <w:t>ve</w:t>
      </w:r>
      <w:r w:rsidR="00A3608D" w:rsidRPr="00CD0B2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66B67" w:rsidRPr="00CD0B2E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A3608D" w:rsidRPr="00CD0B2E">
        <w:rPr>
          <w:rFonts w:ascii="Times New Roman" w:hAnsi="Times New Roman" w:cs="Times New Roman"/>
          <w:sz w:val="24"/>
          <w:szCs w:val="24"/>
          <w:lang w:val="sq-AL"/>
        </w:rPr>
        <w:t xml:space="preserve"> tjera</w:t>
      </w:r>
      <w:r w:rsidR="00F154DB" w:rsidRPr="00CD0B2E">
        <w:rPr>
          <w:rFonts w:ascii="Times New Roman" w:hAnsi="Times New Roman" w:cs="Times New Roman"/>
          <w:sz w:val="24"/>
          <w:szCs w:val="24"/>
          <w:lang w:val="sq-AL"/>
        </w:rPr>
        <w:t xml:space="preserve"> buxhetore q</w:t>
      </w:r>
      <w:r w:rsidR="00267522" w:rsidRPr="00CD0B2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F154DB" w:rsidRPr="00CD0B2E">
        <w:rPr>
          <w:rFonts w:ascii="Times New Roman" w:hAnsi="Times New Roman" w:cs="Times New Roman"/>
          <w:sz w:val="24"/>
          <w:szCs w:val="24"/>
          <w:lang w:val="sq-AL"/>
        </w:rPr>
        <w:t xml:space="preserve"> zbatojn</w:t>
      </w:r>
      <w:r w:rsidR="00267522" w:rsidRPr="00CD0B2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F154DB" w:rsidRPr="00CD0B2E">
        <w:rPr>
          <w:rFonts w:ascii="Times New Roman" w:hAnsi="Times New Roman" w:cs="Times New Roman"/>
          <w:sz w:val="24"/>
          <w:szCs w:val="24"/>
          <w:lang w:val="sq-AL"/>
        </w:rPr>
        <w:t xml:space="preserve"> projekte me financim</w:t>
      </w:r>
      <w:r w:rsidR="008927F4" w:rsidRPr="00CD0B2E">
        <w:rPr>
          <w:rFonts w:ascii="Times New Roman" w:hAnsi="Times New Roman" w:cs="Times New Roman"/>
          <w:sz w:val="24"/>
          <w:szCs w:val="24"/>
          <w:lang w:val="sq-AL"/>
        </w:rPr>
        <w:t xml:space="preserve"> të brendshëm dhe</w:t>
      </w:r>
      <w:r w:rsidR="00F154DB" w:rsidRPr="00CD0B2E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267522" w:rsidRPr="00CD0B2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F154DB" w:rsidRPr="00CD0B2E">
        <w:rPr>
          <w:rFonts w:ascii="Times New Roman" w:hAnsi="Times New Roman" w:cs="Times New Roman"/>
          <w:sz w:val="24"/>
          <w:szCs w:val="24"/>
          <w:lang w:val="sq-AL"/>
        </w:rPr>
        <w:t xml:space="preserve"> huaj</w:t>
      </w:r>
      <w:r w:rsidR="008344D2" w:rsidRPr="00CD0B2E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DC429D" w:rsidRPr="00CD0B2E">
        <w:rPr>
          <w:rFonts w:ascii="Times New Roman" w:hAnsi="Times New Roman" w:cs="Times New Roman"/>
          <w:sz w:val="24"/>
          <w:szCs w:val="24"/>
          <w:lang w:val="sq-AL"/>
        </w:rPr>
        <w:t xml:space="preserve"> dhe nga Sistemi Informatik Financiar i Qeverisë (SIFQ</w:t>
      </w:r>
      <w:r w:rsidR="000A548A" w:rsidRPr="00CD0B2E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F154DB" w:rsidRPr="00CD0B2E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4D215C" w:rsidRPr="00CD0B2E">
        <w:rPr>
          <w:rFonts w:ascii="Times New Roman" w:hAnsi="Times New Roman" w:cs="Times New Roman"/>
          <w:sz w:val="24"/>
          <w:szCs w:val="24"/>
          <w:lang w:val="sq-AL"/>
        </w:rPr>
        <w:t>Sipas rastit, mund të shfrytëzohen edhe burime të tjera të dhënash</w:t>
      </w:r>
      <w:r w:rsidR="00DC429D" w:rsidRPr="00CD0B2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A603AE" w:rsidRPr="00AE02A2" w:rsidRDefault="00410193" w:rsidP="00143484">
      <w:pPr>
        <w:spacing w:after="240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  <w:r w:rsidRPr="00AE02A2">
        <w:rPr>
          <w:rFonts w:ascii="Times New Roman" w:hAnsi="Times New Roman" w:cs="Times New Roman"/>
          <w:sz w:val="24"/>
          <w:szCs w:val="24"/>
          <w:u w:val="single"/>
          <w:lang w:val="sq-AL"/>
        </w:rPr>
        <w:t>Forma dhe m</w:t>
      </w:r>
      <w:r w:rsidRPr="00AE02A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AE02A2">
        <w:rPr>
          <w:rFonts w:ascii="Times New Roman" w:hAnsi="Times New Roman" w:cs="Times New Roman"/>
          <w:sz w:val="24"/>
          <w:szCs w:val="24"/>
          <w:u w:val="single"/>
          <w:lang w:val="sq-AL"/>
        </w:rPr>
        <w:t>nyra e raportimit t</w:t>
      </w:r>
      <w:r w:rsidRPr="00AE02A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AE02A2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investimeve publike do t</w:t>
      </w:r>
      <w:r w:rsidRPr="00AE02A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AE02A2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</w:t>
      </w:r>
      <w:r w:rsidR="00143484" w:rsidRPr="00AE02A2">
        <w:rPr>
          <w:rFonts w:ascii="Times New Roman" w:hAnsi="Times New Roman" w:cs="Times New Roman"/>
          <w:sz w:val="24"/>
          <w:szCs w:val="24"/>
          <w:u w:val="single"/>
          <w:lang w:val="sq-AL"/>
        </w:rPr>
        <w:t>p</w:t>
      </w:r>
      <w:r w:rsidR="007F29F9" w:rsidRPr="00AE02A2">
        <w:rPr>
          <w:rFonts w:ascii="Times New Roman" w:hAnsi="Times New Roman" w:cs="Times New Roman"/>
          <w:sz w:val="24"/>
          <w:szCs w:val="24"/>
          <w:u w:val="single"/>
          <w:lang w:val="sq-AL"/>
        </w:rPr>
        <w:t>ë</w:t>
      </w:r>
      <w:r w:rsidR="00143484" w:rsidRPr="00AE02A2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rcaktohet nga Ministri </w:t>
      </w:r>
      <w:r w:rsidR="00DC429D" w:rsidRPr="00AE02A2">
        <w:rPr>
          <w:rFonts w:ascii="Times New Roman" w:eastAsia="Calibri" w:hAnsi="Times New Roman" w:cs="Times New Roman"/>
          <w:bCs/>
          <w:sz w:val="24"/>
          <w:szCs w:val="24"/>
          <w:u w:val="single"/>
          <w:lang w:val="sq-AL"/>
        </w:rPr>
        <w:t>përgjegjës për financat</w:t>
      </w:r>
      <w:r w:rsidR="00AE02A2" w:rsidRPr="00AE02A2">
        <w:rPr>
          <w:rFonts w:ascii="Times New Roman" w:eastAsia="Calibri" w:hAnsi="Times New Roman" w:cs="Times New Roman"/>
          <w:bCs/>
          <w:sz w:val="24"/>
          <w:szCs w:val="24"/>
          <w:u w:val="single"/>
          <w:lang w:val="sq-AL"/>
        </w:rPr>
        <w:t xml:space="preserve"> në fillim të vitit buxhetor.</w:t>
      </w:r>
    </w:p>
    <w:p w:rsidR="00817BA7" w:rsidRPr="00031600" w:rsidRDefault="00817BA7" w:rsidP="00E42EC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31600">
        <w:rPr>
          <w:rFonts w:ascii="Times New Roman" w:hAnsi="Times New Roman" w:cs="Times New Roman"/>
          <w:b/>
          <w:sz w:val="24"/>
          <w:szCs w:val="24"/>
          <w:lang w:val="sq-AL"/>
        </w:rPr>
        <w:t>Afatet e Raportimit</w:t>
      </w:r>
    </w:p>
    <w:p w:rsidR="00D85419" w:rsidRPr="007F29F9" w:rsidRDefault="00817BA7" w:rsidP="00E6162A">
      <w:pPr>
        <w:spacing w:after="2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31600">
        <w:rPr>
          <w:rFonts w:ascii="Times New Roman" w:hAnsi="Times New Roman" w:cs="Times New Roman"/>
          <w:sz w:val="24"/>
          <w:szCs w:val="24"/>
          <w:lang w:val="sq-AL"/>
        </w:rPr>
        <w:t>Raportimi p</w:t>
      </w:r>
      <w:r w:rsidR="00613DF9" w:rsidRPr="0003160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031600">
        <w:rPr>
          <w:rFonts w:ascii="Times New Roman" w:hAnsi="Times New Roman" w:cs="Times New Roman"/>
          <w:sz w:val="24"/>
          <w:szCs w:val="24"/>
          <w:lang w:val="sq-AL"/>
        </w:rPr>
        <w:t>r ecurin</w:t>
      </w:r>
      <w:r w:rsidR="00613DF9" w:rsidRPr="0003160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031600">
        <w:rPr>
          <w:rFonts w:ascii="Times New Roman" w:hAnsi="Times New Roman" w:cs="Times New Roman"/>
          <w:sz w:val="24"/>
          <w:szCs w:val="24"/>
          <w:lang w:val="sq-AL"/>
        </w:rPr>
        <w:t xml:space="preserve"> e realizimit t</w:t>
      </w:r>
      <w:r w:rsidR="00613DF9" w:rsidRPr="0003160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031600">
        <w:rPr>
          <w:rFonts w:ascii="Times New Roman" w:hAnsi="Times New Roman" w:cs="Times New Roman"/>
          <w:sz w:val="24"/>
          <w:szCs w:val="24"/>
          <w:lang w:val="sq-AL"/>
        </w:rPr>
        <w:t xml:space="preserve"> investimeve publike do t</w:t>
      </w:r>
      <w:r w:rsidR="00613DF9" w:rsidRPr="0003160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B6373" w:rsidRPr="00031600"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="00E6162A" w:rsidRPr="0003160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31600">
        <w:rPr>
          <w:rFonts w:ascii="Times New Roman" w:hAnsi="Times New Roman" w:cs="Times New Roman"/>
          <w:sz w:val="24"/>
          <w:szCs w:val="24"/>
          <w:lang w:val="sq-AL"/>
        </w:rPr>
        <w:t>het n</w:t>
      </w:r>
      <w:r w:rsidR="00613DF9" w:rsidRPr="0003160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494722" w:rsidRPr="0003160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0B6373" w:rsidRPr="00AE02A2">
        <w:rPr>
          <w:rFonts w:ascii="Times New Roman" w:hAnsi="Times New Roman" w:cs="Times New Roman"/>
          <w:sz w:val="24"/>
          <w:szCs w:val="24"/>
          <w:u w:val="single"/>
          <w:lang w:val="sq-AL"/>
        </w:rPr>
        <w:t>m</w:t>
      </w:r>
      <w:r w:rsidR="00E6162A" w:rsidRPr="00AE02A2">
        <w:rPr>
          <w:rFonts w:ascii="Times New Roman" w:hAnsi="Times New Roman" w:cs="Times New Roman"/>
          <w:sz w:val="24"/>
          <w:szCs w:val="24"/>
          <w:u w:val="single"/>
          <w:lang w:val="sq-AL"/>
        </w:rPr>
        <w:t>ë</w:t>
      </w:r>
      <w:r w:rsidR="000B6373" w:rsidRPr="00AE02A2">
        <w:rPr>
          <w:rFonts w:ascii="Times New Roman" w:hAnsi="Times New Roman" w:cs="Times New Roman"/>
          <w:sz w:val="24"/>
          <w:szCs w:val="24"/>
          <w:u w:val="single"/>
          <w:lang w:val="sq-AL"/>
        </w:rPr>
        <w:t>nyr</w:t>
      </w:r>
      <w:r w:rsidR="00E6162A" w:rsidRPr="00AE02A2">
        <w:rPr>
          <w:rFonts w:ascii="Times New Roman" w:hAnsi="Times New Roman" w:cs="Times New Roman"/>
          <w:sz w:val="24"/>
          <w:szCs w:val="24"/>
          <w:u w:val="single"/>
          <w:lang w:val="sq-AL"/>
        </w:rPr>
        <w:t>ë</w:t>
      </w:r>
      <w:r w:rsidRPr="00AE02A2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periodike</w:t>
      </w:r>
      <w:r w:rsidR="002E7F66" w:rsidRPr="00AE02A2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n</w:t>
      </w:r>
      <w:r w:rsidR="00613DF9" w:rsidRPr="00AE02A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="002E7F66" w:rsidRPr="00AE02A2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baz</w:t>
      </w:r>
      <w:r w:rsidR="00613DF9" w:rsidRPr="00AE02A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="002E7F66" w:rsidRPr="00AE02A2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mujore</w:t>
      </w:r>
      <w:r w:rsidRPr="00AE02A2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03160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E7F66" w:rsidRPr="00031600">
        <w:rPr>
          <w:rFonts w:ascii="Times New Roman" w:hAnsi="Times New Roman" w:cs="Times New Roman"/>
          <w:sz w:val="24"/>
          <w:szCs w:val="24"/>
          <w:lang w:val="sq-AL"/>
        </w:rPr>
        <w:t>Raportimi mbi baz</w:t>
      </w:r>
      <w:r w:rsidR="00E6162A" w:rsidRPr="0003160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E7F66" w:rsidRPr="00031600">
        <w:rPr>
          <w:rFonts w:ascii="Times New Roman" w:hAnsi="Times New Roman" w:cs="Times New Roman"/>
          <w:sz w:val="24"/>
          <w:szCs w:val="24"/>
          <w:lang w:val="sq-AL"/>
        </w:rPr>
        <w:t xml:space="preserve"> mujore ka p</w:t>
      </w:r>
      <w:r w:rsidR="00613DF9" w:rsidRPr="0003160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E7F66" w:rsidRPr="00031600">
        <w:rPr>
          <w:rFonts w:ascii="Times New Roman" w:hAnsi="Times New Roman" w:cs="Times New Roman"/>
          <w:sz w:val="24"/>
          <w:szCs w:val="24"/>
          <w:lang w:val="sq-AL"/>
        </w:rPr>
        <w:t>r q</w:t>
      </w:r>
      <w:r w:rsidR="00613DF9" w:rsidRPr="0003160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E7F66" w:rsidRPr="00031600">
        <w:rPr>
          <w:rFonts w:ascii="Times New Roman" w:hAnsi="Times New Roman" w:cs="Times New Roman"/>
          <w:sz w:val="24"/>
          <w:szCs w:val="24"/>
          <w:lang w:val="sq-AL"/>
        </w:rPr>
        <w:t xml:space="preserve">llim </w:t>
      </w:r>
      <w:r w:rsidRPr="00031600">
        <w:rPr>
          <w:rFonts w:ascii="Times New Roman" w:hAnsi="Times New Roman" w:cs="Times New Roman"/>
          <w:sz w:val="24"/>
          <w:szCs w:val="24"/>
          <w:lang w:val="sq-AL"/>
        </w:rPr>
        <w:t>dis</w:t>
      </w:r>
      <w:r w:rsidR="000B6373" w:rsidRPr="0003160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031600">
        <w:rPr>
          <w:rFonts w:ascii="Times New Roman" w:hAnsi="Times New Roman" w:cs="Times New Roman"/>
          <w:sz w:val="24"/>
          <w:szCs w:val="24"/>
          <w:lang w:val="sq-AL"/>
        </w:rPr>
        <w:t>plinimin e inve</w:t>
      </w:r>
      <w:r w:rsidR="000B6373" w:rsidRPr="00031600">
        <w:rPr>
          <w:rFonts w:ascii="Times New Roman" w:hAnsi="Times New Roman" w:cs="Times New Roman"/>
          <w:sz w:val="24"/>
          <w:szCs w:val="24"/>
          <w:lang w:val="sq-AL"/>
        </w:rPr>
        <w:t>stimeve, evidentimin dhe shmangi</w:t>
      </w:r>
      <w:r w:rsidRPr="00031600">
        <w:rPr>
          <w:rFonts w:ascii="Times New Roman" w:hAnsi="Times New Roman" w:cs="Times New Roman"/>
          <w:sz w:val="24"/>
          <w:szCs w:val="24"/>
          <w:lang w:val="sq-AL"/>
        </w:rPr>
        <w:t>en n</w:t>
      </w:r>
      <w:r w:rsidR="00613DF9" w:rsidRPr="0003160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031600">
        <w:rPr>
          <w:rFonts w:ascii="Times New Roman" w:hAnsi="Times New Roman" w:cs="Times New Roman"/>
          <w:sz w:val="24"/>
          <w:szCs w:val="24"/>
          <w:lang w:val="sq-AL"/>
        </w:rPr>
        <w:t xml:space="preserve"> koh</w:t>
      </w:r>
      <w:r w:rsidR="00613DF9" w:rsidRPr="0003160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03160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613DF9" w:rsidRPr="0003160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F09D5" w:rsidRPr="00031600">
        <w:rPr>
          <w:rFonts w:ascii="Times New Roman" w:hAnsi="Times New Roman" w:cs="Times New Roman"/>
          <w:sz w:val="24"/>
          <w:szCs w:val="24"/>
          <w:lang w:val="sq-AL"/>
        </w:rPr>
        <w:t xml:space="preserve"> problematikë</w:t>
      </w:r>
      <w:r w:rsidRPr="00031600">
        <w:rPr>
          <w:rFonts w:ascii="Times New Roman" w:hAnsi="Times New Roman" w:cs="Times New Roman"/>
          <w:sz w:val="24"/>
          <w:szCs w:val="24"/>
          <w:lang w:val="sq-AL"/>
        </w:rPr>
        <w:t>s q</w:t>
      </w:r>
      <w:r w:rsidR="00613DF9" w:rsidRPr="0003160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031600">
        <w:rPr>
          <w:rFonts w:ascii="Times New Roman" w:hAnsi="Times New Roman" w:cs="Times New Roman"/>
          <w:sz w:val="24"/>
          <w:szCs w:val="24"/>
          <w:lang w:val="sq-AL"/>
        </w:rPr>
        <w:t xml:space="preserve"> haset n</w:t>
      </w:r>
      <w:r w:rsidR="00613DF9" w:rsidRPr="0003160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031600">
        <w:rPr>
          <w:rFonts w:ascii="Times New Roman" w:hAnsi="Times New Roman" w:cs="Times New Roman"/>
          <w:sz w:val="24"/>
          <w:szCs w:val="24"/>
          <w:lang w:val="sq-AL"/>
        </w:rPr>
        <w:t xml:space="preserve"> zbatimin e projekteve</w:t>
      </w:r>
      <w:r w:rsidR="002E7F66" w:rsidRPr="00031600">
        <w:rPr>
          <w:rFonts w:ascii="Times New Roman" w:hAnsi="Times New Roman" w:cs="Times New Roman"/>
          <w:sz w:val="24"/>
          <w:szCs w:val="24"/>
          <w:lang w:val="sq-AL"/>
        </w:rPr>
        <w:t>. Ra</w:t>
      </w:r>
      <w:r w:rsidR="00A73CDB" w:rsidRPr="00031600">
        <w:rPr>
          <w:rFonts w:ascii="Times New Roman" w:hAnsi="Times New Roman" w:cs="Times New Roman"/>
          <w:sz w:val="24"/>
          <w:szCs w:val="24"/>
          <w:lang w:val="sq-AL"/>
        </w:rPr>
        <w:t>portimi do t</w:t>
      </w:r>
      <w:r w:rsidR="00E6162A" w:rsidRPr="0003160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73CDB" w:rsidRPr="00031600"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="00E6162A" w:rsidRPr="0003160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73CDB" w:rsidRPr="00031600">
        <w:rPr>
          <w:rFonts w:ascii="Times New Roman" w:hAnsi="Times New Roman" w:cs="Times New Roman"/>
          <w:sz w:val="24"/>
          <w:szCs w:val="24"/>
          <w:lang w:val="sq-AL"/>
        </w:rPr>
        <w:t xml:space="preserve">het </w:t>
      </w:r>
      <w:r w:rsidRPr="00031600">
        <w:rPr>
          <w:rFonts w:ascii="Times New Roman" w:hAnsi="Times New Roman" w:cs="Times New Roman"/>
          <w:sz w:val="24"/>
          <w:szCs w:val="24"/>
          <w:lang w:val="sq-AL"/>
        </w:rPr>
        <w:t>sipas standartit t</w:t>
      </w:r>
      <w:r w:rsidR="00E6162A" w:rsidRPr="0003160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31600">
        <w:rPr>
          <w:rFonts w:ascii="Times New Roman" w:hAnsi="Times New Roman" w:cs="Times New Roman"/>
          <w:sz w:val="24"/>
          <w:szCs w:val="24"/>
          <w:lang w:val="sq-AL"/>
        </w:rPr>
        <w:t xml:space="preserve"> parashikuar </w:t>
      </w:r>
      <w:r w:rsidR="00825A09" w:rsidRPr="0003160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E6162A" w:rsidRPr="0003160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25A09" w:rsidRPr="00031600">
        <w:rPr>
          <w:rFonts w:ascii="Times New Roman" w:hAnsi="Times New Roman" w:cs="Times New Roman"/>
          <w:sz w:val="24"/>
          <w:szCs w:val="24"/>
          <w:lang w:val="sq-AL"/>
        </w:rPr>
        <w:t xml:space="preserve"> seksionin </w:t>
      </w:r>
      <w:r w:rsidR="004D4565" w:rsidRPr="00031600">
        <w:rPr>
          <w:rFonts w:ascii="Times New Roman" w:hAnsi="Times New Roman" w:cs="Times New Roman"/>
          <w:sz w:val="24"/>
          <w:szCs w:val="24"/>
          <w:lang w:val="sq-AL"/>
        </w:rPr>
        <w:t>e mësipërm</w:t>
      </w:r>
      <w:r w:rsidRPr="00031600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98231F" w:rsidRPr="007F29F9" w:rsidRDefault="004D4565" w:rsidP="00A603AE">
      <w:pPr>
        <w:spacing w:after="2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F29F9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98301E" w:rsidRPr="007F29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gjitha </w:t>
      </w:r>
      <w:r w:rsidR="00D85419" w:rsidRPr="007F29F9">
        <w:rPr>
          <w:rFonts w:ascii="Times New Roman" w:hAnsi="Times New Roman" w:cs="Times New Roman"/>
          <w:sz w:val="24"/>
          <w:szCs w:val="24"/>
          <w:lang w:val="sq-AL"/>
        </w:rPr>
        <w:t>institucionet buxhetore q</w:t>
      </w:r>
      <w:r w:rsidR="00613DF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D85419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zbatojn</w:t>
      </w:r>
      <w:r w:rsidR="00E6162A" w:rsidRPr="007F29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85419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projekte</w:t>
      </w:r>
      <w:r w:rsidR="00825A09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investimi</w:t>
      </w:r>
      <w:r w:rsidR="00D85419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D85419" w:rsidRPr="007F29F9">
        <w:rPr>
          <w:rFonts w:ascii="Times New Roman" w:hAnsi="Times New Roman" w:cs="Times New Roman"/>
          <w:sz w:val="24"/>
          <w:szCs w:val="24"/>
          <w:u w:val="single"/>
          <w:lang w:val="sq-AL"/>
        </w:rPr>
        <w:t>brenda dat</w:t>
      </w:r>
      <w:r w:rsidR="00613DF9" w:rsidRPr="007F29F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="00D85419" w:rsidRPr="007F29F9">
        <w:rPr>
          <w:rFonts w:ascii="Times New Roman" w:hAnsi="Times New Roman" w:cs="Times New Roman"/>
          <w:sz w:val="24"/>
          <w:szCs w:val="24"/>
          <w:u w:val="single"/>
          <w:lang w:val="sq-AL"/>
        </w:rPr>
        <w:t>s 1</w:t>
      </w:r>
      <w:r w:rsidR="00E42EC4" w:rsidRPr="007F29F9">
        <w:rPr>
          <w:rFonts w:ascii="Times New Roman" w:hAnsi="Times New Roman" w:cs="Times New Roman"/>
          <w:sz w:val="24"/>
          <w:szCs w:val="24"/>
          <w:u w:val="single"/>
          <w:lang w:val="sq-AL"/>
        </w:rPr>
        <w:t>0</w:t>
      </w:r>
      <w:r w:rsidR="00D85419" w:rsidRPr="007F29F9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t</w:t>
      </w:r>
      <w:r w:rsidR="00613DF9" w:rsidRPr="007F29F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="00D85419" w:rsidRPr="007F29F9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çdo muaji</w:t>
      </w:r>
      <w:r w:rsidR="00D85419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duhet t</w:t>
      </w:r>
      <w:r w:rsidR="00613DF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D85419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d</w:t>
      </w:r>
      <w:r w:rsidR="00613DF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D85419" w:rsidRPr="007F29F9">
        <w:rPr>
          <w:rFonts w:ascii="Times New Roman" w:hAnsi="Times New Roman" w:cs="Times New Roman"/>
          <w:sz w:val="24"/>
          <w:szCs w:val="24"/>
          <w:lang w:val="sq-AL"/>
        </w:rPr>
        <w:t>rgojn</w:t>
      </w:r>
      <w:r w:rsidR="00E6162A" w:rsidRPr="007F29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85419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pran</w:t>
      </w:r>
      <w:r w:rsidR="00613DF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D85419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Drejtoris</w:t>
      </w:r>
      <w:r w:rsidR="00613DF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D85419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613DF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D85419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94722" w:rsidRPr="007F29F9">
        <w:rPr>
          <w:rFonts w:ascii="Times New Roman" w:hAnsi="Times New Roman" w:cs="Times New Roman"/>
          <w:sz w:val="24"/>
          <w:szCs w:val="24"/>
          <w:lang w:val="sq-AL"/>
        </w:rPr>
        <w:t>Menaxhimit t</w:t>
      </w:r>
      <w:r w:rsidR="00DC429D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94722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Investimeve Publike </w:t>
      </w:r>
      <w:r w:rsidR="00D85419" w:rsidRPr="007F29F9">
        <w:rPr>
          <w:rFonts w:ascii="Times New Roman" w:hAnsi="Times New Roman" w:cs="Times New Roman"/>
          <w:sz w:val="24"/>
          <w:szCs w:val="24"/>
          <w:lang w:val="sq-AL"/>
        </w:rPr>
        <w:t>raportet e monitorimit p</w:t>
      </w:r>
      <w:r w:rsidR="00613DF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D85419" w:rsidRPr="007F29F9">
        <w:rPr>
          <w:rFonts w:ascii="Times New Roman" w:hAnsi="Times New Roman" w:cs="Times New Roman"/>
          <w:sz w:val="24"/>
          <w:szCs w:val="24"/>
          <w:lang w:val="sq-AL"/>
        </w:rPr>
        <w:t>r muajin paraardh</w:t>
      </w:r>
      <w:r w:rsidR="00613DF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D85419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s. </w:t>
      </w:r>
      <w:r w:rsidR="00825A09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Drejtoria e </w:t>
      </w:r>
      <w:r w:rsidR="00D164E6" w:rsidRPr="007F29F9">
        <w:rPr>
          <w:rFonts w:ascii="Times New Roman" w:hAnsi="Times New Roman" w:cs="Times New Roman"/>
          <w:sz w:val="24"/>
          <w:szCs w:val="24"/>
          <w:lang w:val="sq-AL"/>
        </w:rPr>
        <w:t>Menaxhimit të</w:t>
      </w:r>
      <w:r w:rsidR="00494722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Investimeve Publike </w:t>
      </w:r>
      <w:r w:rsidR="00825A09" w:rsidRPr="007F29F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613DF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825A09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C429D" w:rsidRPr="007F29F9">
        <w:rPr>
          <w:rFonts w:ascii="Times New Roman" w:hAnsi="Times New Roman" w:cs="Times New Roman"/>
          <w:sz w:val="24"/>
          <w:szCs w:val="24"/>
          <w:lang w:val="sq-AL"/>
        </w:rPr>
        <w:t>Ministri</w:t>
      </w:r>
      <w:r w:rsidR="00DC429D"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="00DC429D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C429D" w:rsidRPr="00DC429D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përgjegjës</w:t>
      </w:r>
      <w:r w:rsidR="00DC429D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e</w:t>
      </w:r>
      <w:r w:rsidR="00DC429D" w:rsidRPr="00DC429D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për financat</w:t>
      </w:r>
      <w:r w:rsidR="00DC429D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,</w:t>
      </w:r>
      <w:r w:rsidR="00DC429D" w:rsidRPr="007F29F9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</w:t>
      </w:r>
      <w:r w:rsidR="00825A09" w:rsidRPr="007F29F9">
        <w:rPr>
          <w:rFonts w:ascii="Times New Roman" w:hAnsi="Times New Roman" w:cs="Times New Roman"/>
          <w:sz w:val="24"/>
          <w:szCs w:val="24"/>
          <w:u w:val="single"/>
          <w:lang w:val="sq-AL"/>
        </w:rPr>
        <w:t>brenda dat</w:t>
      </w:r>
      <w:r w:rsidR="00613DF9" w:rsidRPr="007F29F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="00825A09" w:rsidRPr="007F29F9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s </w:t>
      </w:r>
      <w:r w:rsidR="00E42EC4" w:rsidRPr="007F29F9">
        <w:rPr>
          <w:rFonts w:ascii="Times New Roman" w:hAnsi="Times New Roman" w:cs="Times New Roman"/>
          <w:sz w:val="24"/>
          <w:szCs w:val="24"/>
          <w:u w:val="single"/>
          <w:lang w:val="sq-AL"/>
        </w:rPr>
        <w:t>20</w:t>
      </w:r>
      <w:r w:rsidR="00825A09" w:rsidRPr="007F29F9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t</w:t>
      </w:r>
      <w:r w:rsidR="00613DF9" w:rsidRPr="007F29F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="00E42EC4" w:rsidRPr="007F29F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 xml:space="preserve"> </w:t>
      </w:r>
      <w:r w:rsidR="000B6373" w:rsidRPr="007F29F9">
        <w:rPr>
          <w:rFonts w:ascii="Times New Roman" w:hAnsi="Times New Roman" w:cs="Times New Roman"/>
          <w:sz w:val="24"/>
          <w:szCs w:val="24"/>
          <w:u w:val="single"/>
          <w:lang w:val="sq-AL"/>
        </w:rPr>
        <w:t>ç</w:t>
      </w:r>
      <w:r w:rsidR="00825A09" w:rsidRPr="007F29F9">
        <w:rPr>
          <w:rFonts w:ascii="Times New Roman" w:hAnsi="Times New Roman" w:cs="Times New Roman"/>
          <w:sz w:val="24"/>
          <w:szCs w:val="24"/>
          <w:u w:val="single"/>
          <w:lang w:val="sq-AL"/>
        </w:rPr>
        <w:t>do muaji</w:t>
      </w:r>
      <w:r w:rsidR="00825A09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613DF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B6373" w:rsidRPr="007F29F9">
        <w:rPr>
          <w:rFonts w:ascii="Times New Roman" w:hAnsi="Times New Roman" w:cs="Times New Roman"/>
          <w:sz w:val="24"/>
          <w:szCs w:val="24"/>
          <w:lang w:val="sq-AL"/>
        </w:rPr>
        <w:t>rdit</w:t>
      </w:r>
      <w:r w:rsidR="00E6162A" w:rsidRPr="007F29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6373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son </w:t>
      </w:r>
      <w:r w:rsidR="00825A09" w:rsidRPr="007F29F9">
        <w:rPr>
          <w:rFonts w:ascii="Times New Roman" w:hAnsi="Times New Roman" w:cs="Times New Roman"/>
          <w:sz w:val="24"/>
          <w:szCs w:val="24"/>
          <w:lang w:val="sq-AL"/>
        </w:rPr>
        <w:t>raportin p</w:t>
      </w:r>
      <w:r w:rsidR="00613DF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825A09" w:rsidRPr="007F29F9">
        <w:rPr>
          <w:rFonts w:ascii="Times New Roman" w:hAnsi="Times New Roman" w:cs="Times New Roman"/>
          <w:sz w:val="24"/>
          <w:szCs w:val="24"/>
          <w:lang w:val="sq-AL"/>
        </w:rPr>
        <w:t>rmbledh</w:t>
      </w:r>
      <w:r w:rsidR="00860217" w:rsidRPr="007F29F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25A09" w:rsidRPr="007F29F9">
        <w:rPr>
          <w:rFonts w:ascii="Times New Roman" w:hAnsi="Times New Roman" w:cs="Times New Roman"/>
          <w:sz w:val="24"/>
          <w:szCs w:val="24"/>
          <w:lang w:val="sq-AL"/>
        </w:rPr>
        <w:t>s t</w:t>
      </w:r>
      <w:r w:rsidR="00613DF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825A09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monitorimit t</w:t>
      </w:r>
      <w:r w:rsidR="00613DF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825A09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164E6" w:rsidRPr="007F29F9">
        <w:rPr>
          <w:rFonts w:ascii="Times New Roman" w:hAnsi="Times New Roman" w:cs="Times New Roman"/>
          <w:sz w:val="24"/>
          <w:szCs w:val="24"/>
          <w:lang w:val="sq-AL"/>
        </w:rPr>
        <w:t>investim</w:t>
      </w:r>
      <w:r w:rsidR="00825A09" w:rsidRPr="007F29F9">
        <w:rPr>
          <w:rFonts w:ascii="Times New Roman" w:hAnsi="Times New Roman" w:cs="Times New Roman"/>
          <w:sz w:val="24"/>
          <w:szCs w:val="24"/>
          <w:lang w:val="sq-AL"/>
        </w:rPr>
        <w:t>eve p</w:t>
      </w:r>
      <w:r w:rsidR="00613DF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B6373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r w:rsidR="000B6373" w:rsidRPr="00DA1206">
        <w:rPr>
          <w:rFonts w:ascii="Times New Roman" w:hAnsi="Times New Roman" w:cs="Times New Roman"/>
          <w:sz w:val="24"/>
          <w:szCs w:val="24"/>
          <w:lang w:val="sq-AL"/>
        </w:rPr>
        <w:t>periudh</w:t>
      </w:r>
      <w:r w:rsidR="00E6162A" w:rsidRPr="00DA120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25A09" w:rsidRPr="00DA1206">
        <w:rPr>
          <w:rFonts w:ascii="Times New Roman" w:hAnsi="Times New Roman" w:cs="Times New Roman"/>
          <w:sz w:val="24"/>
          <w:szCs w:val="24"/>
          <w:lang w:val="sq-AL"/>
        </w:rPr>
        <w:t xml:space="preserve">n. </w:t>
      </w:r>
      <w:r w:rsidR="008344D2" w:rsidRPr="00DA1206">
        <w:rPr>
          <w:rFonts w:ascii="Times New Roman" w:hAnsi="Times New Roman" w:cs="Times New Roman"/>
          <w:sz w:val="24"/>
          <w:szCs w:val="24"/>
          <w:lang w:val="sq-AL"/>
        </w:rPr>
        <w:t>Raporti vjetor i monitorimit t</w:t>
      </w:r>
      <w:r w:rsidR="008344D2" w:rsidRPr="00DA120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8344D2" w:rsidRPr="00DA1206">
        <w:rPr>
          <w:rFonts w:ascii="Times New Roman" w:hAnsi="Times New Roman" w:cs="Times New Roman"/>
          <w:sz w:val="24"/>
          <w:szCs w:val="24"/>
          <w:lang w:val="sq-AL"/>
        </w:rPr>
        <w:t xml:space="preserve"> investimeve publike për periudh</w:t>
      </w:r>
      <w:r w:rsidR="008344D2" w:rsidRPr="00DA120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8344D2" w:rsidRPr="00DA1206">
        <w:rPr>
          <w:rFonts w:ascii="Times New Roman" w:hAnsi="Times New Roman" w:cs="Times New Roman"/>
          <w:sz w:val="24"/>
          <w:szCs w:val="24"/>
          <w:lang w:val="sq-AL"/>
        </w:rPr>
        <w:t>n ushtrimore hartohet brenda tremujorit të parë të vitit pasardhës.</w:t>
      </w:r>
    </w:p>
    <w:p w:rsidR="0009548C" w:rsidRPr="007F29F9" w:rsidRDefault="0009548C" w:rsidP="0098301E">
      <w:pPr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7F29F9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Kuadri institucional i monitorimit</w:t>
      </w:r>
    </w:p>
    <w:p w:rsidR="0009548C" w:rsidRPr="007F29F9" w:rsidRDefault="00DC429D" w:rsidP="00E6162A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F29F9">
        <w:rPr>
          <w:rFonts w:ascii="Times New Roman" w:hAnsi="Times New Roman" w:cs="Times New Roman"/>
          <w:sz w:val="24"/>
          <w:szCs w:val="24"/>
          <w:lang w:val="sq-AL"/>
        </w:rPr>
        <w:t>Ministri</w:t>
      </w:r>
      <w:r w:rsidR="00F82492">
        <w:rPr>
          <w:rFonts w:ascii="Times New Roman" w:hAnsi="Times New Roman" w:cs="Times New Roman"/>
          <w:sz w:val="24"/>
          <w:szCs w:val="24"/>
          <w:lang w:val="sq-AL"/>
        </w:rPr>
        <w:t>a</w:t>
      </w:r>
      <w:r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C429D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përgjegjës</w:t>
      </w:r>
      <w:r w:rsidR="00F82492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e</w:t>
      </w:r>
      <w:r w:rsidRPr="00DC429D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për financat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9548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sht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9548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institucioni p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9548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rgjegj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9548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s </w:t>
      </w:r>
      <w:r w:rsidR="00BD437A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BD437A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 p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BD437A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rcaktimin e standarteve t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9548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monitorimi</w:t>
      </w:r>
      <w:r w:rsidR="00BD437A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</w:t>
      </w:r>
      <w:r w:rsidR="0009548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dhe </w:t>
      </w:r>
      <w:r w:rsidR="00885DD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370CD6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09548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vler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9548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simi</w:t>
      </w:r>
      <w:r w:rsidR="00BD437A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 t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B6373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ecuris</w:t>
      </w:r>
      <w:r w:rsidR="00E6162A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BD437A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s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BD437A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zbatimit t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370CD6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09548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investimeve n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9548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9548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rputhje </w:t>
      </w:r>
      <w:r w:rsidR="000B6373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me </w:t>
      </w:r>
      <w:r w:rsidR="0009548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prioritetet e miratuara n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9548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fillim t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9548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vitit buxhetor. </w:t>
      </w:r>
      <w:r w:rsidR="000B6373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Drejtoria e </w:t>
      </w:r>
      <w:r w:rsidR="00370CD6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Menaxhimit t</w:t>
      </w:r>
      <w:r w:rsidR="002F09D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Investimeve Publike </w:t>
      </w:r>
      <w:r w:rsidRPr="007F29F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Ministri</w:t>
      </w:r>
      <w:r>
        <w:rPr>
          <w:rFonts w:ascii="Times New Roman" w:hAnsi="Times New Roman" w:cs="Times New Roman"/>
          <w:sz w:val="24"/>
          <w:szCs w:val="24"/>
          <w:lang w:val="sq-AL"/>
        </w:rPr>
        <w:t>në</w:t>
      </w:r>
      <w:r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C429D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përgjegjës</w:t>
      </w:r>
      <w:r>
        <w:rPr>
          <w:rFonts w:ascii="Times New Roman" w:eastAsia="Calibri" w:hAnsi="Times New Roman" w:cs="Times New Roman"/>
          <w:bCs/>
          <w:sz w:val="24"/>
          <w:szCs w:val="24"/>
          <w:lang w:val="sq-AL"/>
        </w:rPr>
        <w:t>e</w:t>
      </w:r>
      <w:r w:rsidRPr="00DC429D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</w:t>
      </w:r>
      <w:r w:rsidRPr="00D424D9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për financat</w:t>
      </w:r>
      <w:r w:rsidRPr="00D424D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BA6331" w:rsidRPr="00403A2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</w:t>
      </w:r>
      <w:r w:rsidR="00AB027C" w:rsidRPr="00403A2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BA6331" w:rsidRPr="00403A2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rgj</w:t>
      </w:r>
      <w:r w:rsidR="00D424D9" w:rsidRPr="00403A2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igjet </w:t>
      </w:r>
      <w:r w:rsidR="00BA6331" w:rsidRPr="00403A2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</w:t>
      </w:r>
      <w:r w:rsidR="00AB027C" w:rsidRPr="00D424D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BA6331" w:rsidRPr="00D424D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</w:t>
      </w:r>
      <w:r w:rsidR="00BA6331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ndjekjen dhe respektimin e afateve t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BA6331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raportimit</w:t>
      </w:r>
      <w:r w:rsidR="00064751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, </w:t>
      </w:r>
      <w:r w:rsidR="00BA6331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garantimi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n e </w:t>
      </w:r>
      <w:r w:rsidR="00BA6331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cil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B6373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sis</w:t>
      </w:r>
      <w:r w:rsidR="00E6162A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BA6331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s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BA6331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raportimit nga ana e ministrive dhe institucioneve buxhetore</w:t>
      </w:r>
      <w:r w:rsidR="00885DD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q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885DD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zbatojn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885DD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projekte investimi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</w:t>
      </w:r>
      <w:r w:rsidR="00064751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si dhe p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64751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rgatitjen e raporteve p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64751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rmb</w:t>
      </w:r>
      <w:r w:rsidR="000B6373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l</w:t>
      </w:r>
      <w:r w:rsidR="00064751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edh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64751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se periodike dhe vjetore t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64751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monitorimit t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064751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investimeve</w:t>
      </w:r>
      <w:r w:rsidR="00BA6331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. </w:t>
      </w:r>
    </w:p>
    <w:p w:rsidR="00BA6331" w:rsidRPr="007F29F9" w:rsidRDefault="00BA6331" w:rsidP="00E6162A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Ministrit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dhe institucionet buxhetore p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rcaktojn</w:t>
      </w:r>
      <w:r w:rsidR="00860217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strukturat p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rgjegj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se p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r raportimin 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pran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DC429D" w:rsidRPr="007F29F9">
        <w:rPr>
          <w:rFonts w:ascii="Times New Roman" w:hAnsi="Times New Roman" w:cs="Times New Roman"/>
          <w:sz w:val="24"/>
          <w:szCs w:val="24"/>
          <w:lang w:val="sq-AL"/>
        </w:rPr>
        <w:t>Ministri</w:t>
      </w:r>
      <w:r w:rsidR="00DC429D">
        <w:rPr>
          <w:rFonts w:ascii="Times New Roman" w:hAnsi="Times New Roman" w:cs="Times New Roman"/>
          <w:sz w:val="24"/>
          <w:szCs w:val="24"/>
          <w:lang w:val="sq-AL"/>
        </w:rPr>
        <w:t>së</w:t>
      </w:r>
      <w:r w:rsidR="00DC429D" w:rsidRPr="007F29F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C429D" w:rsidRPr="00DC429D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përgjegjës</w:t>
      </w:r>
      <w:r w:rsidR="00DC429D">
        <w:rPr>
          <w:rFonts w:ascii="Times New Roman" w:eastAsia="Calibri" w:hAnsi="Times New Roman" w:cs="Times New Roman"/>
          <w:bCs/>
          <w:sz w:val="24"/>
          <w:szCs w:val="24"/>
          <w:lang w:val="sq-AL"/>
        </w:rPr>
        <w:t>e</w:t>
      </w:r>
      <w:r w:rsidR="00DC429D" w:rsidRPr="00DC429D">
        <w:rPr>
          <w:rFonts w:ascii="Times New Roman" w:eastAsia="Calibri" w:hAnsi="Times New Roman" w:cs="Times New Roman"/>
          <w:bCs/>
          <w:sz w:val="24"/>
          <w:szCs w:val="24"/>
          <w:lang w:val="sq-AL"/>
        </w:rPr>
        <w:t xml:space="preserve"> për financat</w:t>
      </w:r>
      <w:r w:rsidR="00DC429D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/Drejtoris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s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2F6AE2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Menaxhimit t</w:t>
      </w:r>
      <w:r w:rsidR="0098301E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F6AE2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Investimeve Publike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t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cilat raportojn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n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m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nyr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periodike, n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rrug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shkresore dhe elektronike, n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rputhje me </w:t>
      </w:r>
      <w:r w:rsidR="00111593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formatet e raportimit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.</w:t>
      </w:r>
      <w:r w:rsidR="002F6AE2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Strukturat p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rgjegj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se p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 monitorimin b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jn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ver</w:t>
      </w:r>
      <w:r w:rsidR="00F8249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i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fikimin, dhe sipas rastit edhe korrektimet apo plot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simet e nevojshme t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informacion</w:t>
      </w:r>
      <w:r w:rsidR="00064751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it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t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d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rg</w:t>
      </w:r>
      <w:r w:rsidR="00BD437A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u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ar nga drejtorit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ose inst</w:t>
      </w:r>
      <w:r w:rsidR="00BD437A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itucionet e var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BD437A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sis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n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rputhje me specifikimet e p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rca</w:t>
      </w:r>
      <w:r w:rsidR="000B6373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tuara n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F09D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formatet e parashikuara t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4D215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kësaj metodologjie</w:t>
      </w:r>
      <w:r w:rsidR="004151B3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. 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Ç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do ministri, 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brenda sistemit t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2F6AE2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vet dhe n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rputhje me programet q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menaxhon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, 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do t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nd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rtoj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skem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 e raportimit t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brendsh</w:t>
      </w:r>
      <w:r w:rsidR="00E6162A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 p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 t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gjitha st</w:t>
      </w:r>
      <w:r w:rsidR="00F8249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ukturat brenda ose jasht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saj</w:t>
      </w:r>
      <w:r w:rsidR="00D424D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q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zbatojn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pr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o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jekte t</w:t>
      </w:r>
      <w:r w:rsidR="00AB027C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investime</w:t>
      </w:r>
      <w:r w:rsidR="00860217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ve</w:t>
      </w:r>
      <w:r w:rsidR="00A46FD9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publike</w:t>
      </w:r>
      <w:r w:rsidR="00290BB5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.</w:t>
      </w:r>
    </w:p>
    <w:p w:rsidR="004B59FB" w:rsidRPr="007F29F9" w:rsidRDefault="004B59FB" w:rsidP="00E6162A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Ministrit</w:t>
      </w:r>
      <w:r w:rsidR="00F902F4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dhe institucionet buxhetore, si institucione p</w:t>
      </w:r>
      <w:r w:rsidR="00F902F4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rgjegj</w:t>
      </w:r>
      <w:r w:rsidR="00F902F4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se p</w:t>
      </w:r>
      <w:r w:rsidR="00F902F4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 kontraktimin dhe zbatimin e projekteve, kan</w:t>
      </w:r>
      <w:r w:rsidR="00F902F4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nj</w:t>
      </w:r>
      <w:r w:rsidR="00F902F4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rol t</w:t>
      </w:r>
      <w:r w:rsidR="00F902F4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dyfisht</w:t>
      </w:r>
      <w:r w:rsidR="00F902F4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 evidentimin e termave kontraktuale t</w:t>
      </w:r>
      <w:r w:rsidR="00F902F4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projekteve, ndjekjen e zbatimit t</w:t>
      </w:r>
      <w:r w:rsidR="00F902F4"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projekteve dhe </w:t>
      </w:r>
      <w:r w:rsidRPr="00DA1206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raportimin e ecuris</w:t>
      </w:r>
      <w:r w:rsidR="00F902F4" w:rsidRPr="00DA1206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DA1206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 xml:space="preserve"> s</w:t>
      </w:r>
      <w:r w:rsidR="00F902F4" w:rsidRPr="00DA1206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DA1206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 xml:space="preserve"> zbatimit t</w:t>
      </w:r>
      <w:r w:rsidR="00F902F4" w:rsidRPr="00DA1206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DA1206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 xml:space="preserve"> projekteve n</w:t>
      </w:r>
      <w:r w:rsidR="00F902F4" w:rsidRPr="00DA1206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DA1206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 xml:space="preserve"> p</w:t>
      </w:r>
      <w:r w:rsidR="00F902F4" w:rsidRPr="00DA1206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DA1206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rputhje me kontratat e lidhura p</w:t>
      </w:r>
      <w:r w:rsidR="00F902F4" w:rsidRPr="00DA1206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DA1206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 xml:space="preserve">r </w:t>
      </w:r>
      <w:r w:rsidR="00F902F4" w:rsidRPr="00DA1206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ç</w:t>
      </w:r>
      <w:r w:rsidRPr="00DA1206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do proje</w:t>
      </w:r>
      <w:r w:rsidR="0035746E" w:rsidRPr="00DA1206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k</w:t>
      </w:r>
      <w:r w:rsidRPr="00DA1206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t.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 </w:t>
      </w:r>
    </w:p>
    <w:p w:rsidR="00F2153C" w:rsidRPr="007F29F9" w:rsidRDefault="00F2153C" w:rsidP="004D4565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7F29F9">
        <w:rPr>
          <w:rFonts w:ascii="Times New Roman" w:eastAsia="Calibri" w:hAnsi="Times New Roman" w:cs="Times New Roman"/>
          <w:b/>
          <w:sz w:val="24"/>
          <w:szCs w:val="24"/>
          <w:lang w:val="sq-AL"/>
        </w:rPr>
        <w:t>Lidhja e procesit t</w:t>
      </w:r>
      <w:r w:rsidRPr="007F29F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monitorimit me planifikimin</w:t>
      </w:r>
      <w:r w:rsidR="004D4565" w:rsidRPr="007F29F9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dhe </w:t>
      </w:r>
      <w:r w:rsidR="0098301E" w:rsidRPr="007F29F9">
        <w:rPr>
          <w:rFonts w:ascii="Times New Roman" w:eastAsia="Calibri" w:hAnsi="Times New Roman" w:cs="Times New Roman"/>
          <w:b/>
          <w:sz w:val="24"/>
          <w:szCs w:val="24"/>
          <w:lang w:val="sq-AL"/>
        </w:rPr>
        <w:t>buxhetimin</w:t>
      </w:r>
      <w:r w:rsidR="004D4565" w:rsidRPr="007F29F9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e projekteve</w:t>
      </w:r>
    </w:p>
    <w:p w:rsidR="00F2153C" w:rsidRPr="007F29F9" w:rsidRDefault="00F2153C" w:rsidP="00891706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>Planifikimi dhe monitor</w:t>
      </w:r>
      <w:r w:rsidR="004D4565"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>mi jan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ngusht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>sisht t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nd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>rlidhur, ku nj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proces ndjek tjetrin ashtu sikund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 edhe derivohet nga tjetri. </w:t>
      </w:r>
      <w:r w:rsidR="0045621E" w:rsidRPr="007F29F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Në këtë kontekst, monitorimi i investimeve publike përbën një instrument për të korrektuar jo vetëm planifikimin e projekteve, por edhe një menaxhim më efikas të shpenzimeve për investime.</w:t>
      </w:r>
      <w:r w:rsidR="004D4565"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>Gjetjet dhe rekomandimet e raporteve t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monitorimit do t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ndihmojn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ministrit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planifikimin dhe prioritizimin e projekteve t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investimeve p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>rgjat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gjith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ciklit t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projektit si dhe nj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harmonizim m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mir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ciklit t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projekteve me ciklin e menaxhimit t</w:t>
      </w:r>
      <w:r w:rsidRPr="007F29F9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shpenzimeve publike</w:t>
      </w:r>
      <w:r w:rsidR="004D4565"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 w:rsidRPr="007F29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</w:p>
    <w:p w:rsidR="002942BC" w:rsidRPr="00403A2F" w:rsidRDefault="00564D60" w:rsidP="00891706">
      <w:pPr>
        <w:spacing w:after="240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  <w:r w:rsidRPr="004151B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4151B3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4151B3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4151B3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4151B3">
        <w:rPr>
          <w:rFonts w:ascii="Times New Roman" w:hAnsi="Times New Roman" w:cs="Times New Roman"/>
          <w:sz w:val="24"/>
          <w:szCs w:val="24"/>
          <w:lang w:val="sq-AL"/>
        </w:rPr>
        <w:t>rputhje me ciklin e buxhetimit t</w:t>
      </w:r>
      <w:r w:rsidRPr="004151B3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4151B3">
        <w:rPr>
          <w:rFonts w:ascii="Times New Roman" w:hAnsi="Times New Roman" w:cs="Times New Roman"/>
          <w:sz w:val="24"/>
          <w:szCs w:val="24"/>
          <w:lang w:val="sq-AL"/>
        </w:rPr>
        <w:t xml:space="preserve"> projekteve dhe t</w:t>
      </w:r>
      <w:r w:rsidRPr="004151B3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4151B3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4151B3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4151B3">
        <w:rPr>
          <w:rFonts w:ascii="Times New Roman" w:hAnsi="Times New Roman" w:cs="Times New Roman"/>
          <w:sz w:val="24"/>
          <w:szCs w:val="24"/>
          <w:lang w:val="sq-AL"/>
        </w:rPr>
        <w:t>rgatitjes dhe zbatimit t</w:t>
      </w:r>
      <w:r w:rsidRPr="004151B3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4151B3">
        <w:rPr>
          <w:rFonts w:ascii="Times New Roman" w:hAnsi="Times New Roman" w:cs="Times New Roman"/>
          <w:sz w:val="24"/>
          <w:szCs w:val="24"/>
          <w:lang w:val="sq-AL"/>
        </w:rPr>
        <w:t xml:space="preserve"> buxhetit, 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>raporti p</w:t>
      </w:r>
      <w:r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>r progresin 6-mujor t</w:t>
      </w:r>
      <w:r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zbatimit t</w:t>
      </w:r>
      <w:r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investimeve do t</w:t>
      </w:r>
      <w:r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sh</w:t>
      </w:r>
      <w:r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>rbej</w:t>
      </w:r>
      <w:r w:rsidR="00053711"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si baz</w:t>
      </w:r>
      <w:r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p</w:t>
      </w:r>
      <w:r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>r rialokime t</w:t>
      </w:r>
      <w:r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mundshme t</w:t>
      </w:r>
      <w:r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shpenzimeve p</w:t>
      </w:r>
      <w:r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>r investime n</w:t>
      </w:r>
      <w:r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kuad</w:t>
      </w:r>
      <w:r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>r t</w:t>
      </w:r>
      <w:r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rishikimit t</w:t>
      </w:r>
      <w:r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buxhetit t</w:t>
      </w:r>
      <w:r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shtetit.</w:t>
      </w:r>
      <w:r w:rsidRPr="004151B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>Raporti 9-mujor do t</w:t>
      </w:r>
      <w:r w:rsidR="002942BC"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jet</w:t>
      </w:r>
      <w:r w:rsidR="002942BC"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raporti kryesor p</w:t>
      </w:r>
      <w:r w:rsidR="002942BC"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>r vler</w:t>
      </w:r>
      <w:r w:rsidR="00E6162A"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>simin e realizimit t</w:t>
      </w:r>
      <w:r w:rsidR="002942BC"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pritsh</w:t>
      </w:r>
      <w:r w:rsidR="002942BC"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>m vjetor t</w:t>
      </w:r>
      <w:r w:rsidR="002942BC"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investimeve si dhe p</w:t>
      </w:r>
      <w:r w:rsidR="002942BC"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>rgatitjen e propozimeve p</w:t>
      </w:r>
      <w:r w:rsidR="002942BC"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r tavanet sektoriale </w:t>
      </w:r>
      <w:r w:rsidR="002942BC"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>t</w:t>
      </w:r>
      <w:r w:rsidR="002942BC"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investime</w:t>
      </w:r>
      <w:r w:rsidR="002942BC"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>ve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publike n</w:t>
      </w:r>
      <w:r w:rsidR="002942BC"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kuad</w:t>
      </w:r>
      <w:r w:rsidR="002942BC"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>r t</w:t>
      </w:r>
      <w:r w:rsidR="002942BC"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hartimit t</w:t>
      </w:r>
      <w:r w:rsidR="002942BC"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projektbuxhetit p</w:t>
      </w:r>
      <w:r w:rsidR="002942BC"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>r vitin n</w:t>
      </w:r>
      <w:r w:rsidR="002942BC" w:rsidRPr="00403A2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ë</w:t>
      </w:r>
      <w:r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vazhdim.</w:t>
      </w:r>
      <w:r w:rsidR="002942BC" w:rsidRPr="00403A2F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</w:t>
      </w:r>
    </w:p>
    <w:p w:rsidR="00137D3F" w:rsidRPr="00E6162A" w:rsidRDefault="00564D60" w:rsidP="004151B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8344D2">
        <w:rPr>
          <w:rFonts w:ascii="Times New Roman" w:hAnsi="Times New Roman" w:cs="Times New Roman"/>
          <w:sz w:val="24"/>
          <w:szCs w:val="24"/>
          <w:lang w:val="sq-AL"/>
        </w:rPr>
        <w:t>Raporti vjetor i monitorimit t</w:t>
      </w:r>
      <w:r w:rsidR="002942BC" w:rsidRPr="008344D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8344D2">
        <w:rPr>
          <w:rFonts w:ascii="Times New Roman" w:hAnsi="Times New Roman" w:cs="Times New Roman"/>
          <w:sz w:val="24"/>
          <w:szCs w:val="24"/>
          <w:lang w:val="sq-AL"/>
        </w:rPr>
        <w:t xml:space="preserve"> investimeve publike </w:t>
      </w:r>
      <w:r w:rsidR="004D4565" w:rsidRPr="008344D2">
        <w:rPr>
          <w:rFonts w:ascii="Times New Roman" w:hAnsi="Times New Roman" w:cs="Times New Roman"/>
          <w:sz w:val="24"/>
          <w:szCs w:val="24"/>
          <w:lang w:val="sq-AL"/>
        </w:rPr>
        <w:t>do t</w:t>
      </w:r>
      <w:r w:rsidR="0098301E" w:rsidRPr="008344D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D4565" w:rsidRPr="008344D2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98301E" w:rsidRPr="008344D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D4565" w:rsidRPr="008344D2">
        <w:rPr>
          <w:rFonts w:ascii="Times New Roman" w:hAnsi="Times New Roman" w:cs="Times New Roman"/>
          <w:sz w:val="24"/>
          <w:szCs w:val="24"/>
          <w:lang w:val="sq-AL"/>
        </w:rPr>
        <w:t>rmbaj</w:t>
      </w:r>
      <w:r w:rsidR="0098301E" w:rsidRPr="008344D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D4565" w:rsidRPr="008344D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344D2">
        <w:rPr>
          <w:rFonts w:ascii="Times New Roman" w:hAnsi="Times New Roman" w:cs="Times New Roman"/>
          <w:sz w:val="24"/>
          <w:szCs w:val="24"/>
          <w:lang w:val="sq-AL"/>
        </w:rPr>
        <w:t>konkluzionet lidhur me zbatimin e investimeve p</w:t>
      </w:r>
      <w:r w:rsidR="002942BC" w:rsidRPr="008344D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8344D2">
        <w:rPr>
          <w:rFonts w:ascii="Times New Roman" w:hAnsi="Times New Roman" w:cs="Times New Roman"/>
          <w:sz w:val="24"/>
          <w:szCs w:val="24"/>
          <w:lang w:val="sq-AL"/>
        </w:rPr>
        <w:t>rgjat</w:t>
      </w:r>
      <w:r w:rsidR="002942BC" w:rsidRPr="008344D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8344D2">
        <w:rPr>
          <w:rFonts w:ascii="Times New Roman" w:hAnsi="Times New Roman" w:cs="Times New Roman"/>
          <w:sz w:val="24"/>
          <w:szCs w:val="24"/>
          <w:lang w:val="sq-AL"/>
        </w:rPr>
        <w:t xml:space="preserve"> periudh</w:t>
      </w:r>
      <w:r w:rsidR="002942BC" w:rsidRPr="008344D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8344D2">
        <w:rPr>
          <w:rFonts w:ascii="Times New Roman" w:hAnsi="Times New Roman" w:cs="Times New Roman"/>
          <w:sz w:val="24"/>
          <w:szCs w:val="24"/>
          <w:lang w:val="sq-AL"/>
        </w:rPr>
        <w:t xml:space="preserve">s ushtrimore </w:t>
      </w:r>
      <w:r w:rsidR="004D4565" w:rsidRPr="008344D2"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Pr="008344D2">
        <w:rPr>
          <w:rFonts w:ascii="Times New Roman" w:hAnsi="Times New Roman" w:cs="Times New Roman"/>
          <w:sz w:val="24"/>
          <w:szCs w:val="24"/>
          <w:lang w:val="sq-AL"/>
        </w:rPr>
        <w:t>do t</w:t>
      </w:r>
      <w:r w:rsidR="002942BC" w:rsidRPr="008344D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593587" w:rsidRPr="008344D2">
        <w:rPr>
          <w:rFonts w:ascii="Times New Roman" w:hAnsi="Times New Roman" w:cs="Times New Roman"/>
          <w:sz w:val="24"/>
          <w:szCs w:val="24"/>
          <w:lang w:val="sq-AL"/>
        </w:rPr>
        <w:t xml:space="preserve"> sh</w:t>
      </w:r>
      <w:r w:rsidR="00E6162A" w:rsidRPr="008344D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344D2">
        <w:rPr>
          <w:rFonts w:ascii="Times New Roman" w:hAnsi="Times New Roman" w:cs="Times New Roman"/>
          <w:sz w:val="24"/>
          <w:szCs w:val="24"/>
          <w:lang w:val="sq-AL"/>
        </w:rPr>
        <w:t>rbejn</w:t>
      </w:r>
      <w:r w:rsidR="002942BC" w:rsidRPr="008344D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8344D2">
        <w:rPr>
          <w:rFonts w:ascii="Times New Roman" w:hAnsi="Times New Roman" w:cs="Times New Roman"/>
          <w:sz w:val="24"/>
          <w:szCs w:val="24"/>
          <w:lang w:val="sq-AL"/>
        </w:rPr>
        <w:t xml:space="preserve"> si baz</w:t>
      </w:r>
      <w:r w:rsidR="002942BC" w:rsidRPr="008344D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8344D2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2942BC" w:rsidRPr="008344D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8344D2">
        <w:rPr>
          <w:rFonts w:ascii="Times New Roman" w:hAnsi="Times New Roman" w:cs="Times New Roman"/>
          <w:sz w:val="24"/>
          <w:szCs w:val="24"/>
          <w:lang w:val="sq-AL"/>
        </w:rPr>
        <w:t>r p</w:t>
      </w:r>
      <w:r w:rsidR="002942BC" w:rsidRPr="008344D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8344D2">
        <w:rPr>
          <w:rFonts w:ascii="Times New Roman" w:hAnsi="Times New Roman" w:cs="Times New Roman"/>
          <w:sz w:val="24"/>
          <w:szCs w:val="24"/>
          <w:lang w:val="sq-AL"/>
        </w:rPr>
        <w:t xml:space="preserve">rgatitjen e tavaneve </w:t>
      </w:r>
      <w:r w:rsidR="004D4565" w:rsidRPr="008344D2">
        <w:rPr>
          <w:rFonts w:ascii="Times New Roman" w:hAnsi="Times New Roman" w:cs="Times New Roman"/>
          <w:sz w:val="24"/>
          <w:szCs w:val="24"/>
          <w:lang w:val="sq-AL"/>
        </w:rPr>
        <w:t>insititucionale</w:t>
      </w:r>
      <w:r w:rsidRPr="008344D2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2942BC" w:rsidRPr="008344D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8344D2">
        <w:rPr>
          <w:rFonts w:ascii="Times New Roman" w:hAnsi="Times New Roman" w:cs="Times New Roman"/>
          <w:sz w:val="24"/>
          <w:szCs w:val="24"/>
          <w:lang w:val="sq-AL"/>
        </w:rPr>
        <w:t xml:space="preserve">r investimet publike </w:t>
      </w:r>
      <w:r w:rsidR="0098301E" w:rsidRPr="008344D2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2942BC" w:rsidRPr="008344D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98301E" w:rsidRPr="008344D2">
        <w:rPr>
          <w:rFonts w:ascii="Times New Roman" w:hAnsi="Times New Roman" w:cs="Times New Roman"/>
          <w:sz w:val="24"/>
          <w:szCs w:val="24"/>
          <w:lang w:val="sq-AL"/>
        </w:rPr>
        <w:t xml:space="preserve"> kuadër</w:t>
      </w:r>
      <w:r w:rsidRPr="008344D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8301E" w:rsidRPr="008344D2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2942BC" w:rsidRPr="008344D2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98301E" w:rsidRPr="008344D2">
        <w:rPr>
          <w:rFonts w:ascii="Times New Roman" w:hAnsi="Times New Roman" w:cs="Times New Roman"/>
          <w:sz w:val="24"/>
          <w:szCs w:val="24"/>
          <w:lang w:val="sq-AL"/>
        </w:rPr>
        <w:t>rogramit</w:t>
      </w:r>
      <w:r w:rsidRPr="008344D2">
        <w:rPr>
          <w:rFonts w:ascii="Times New Roman" w:hAnsi="Times New Roman" w:cs="Times New Roman"/>
          <w:sz w:val="24"/>
          <w:szCs w:val="24"/>
          <w:lang w:val="sq-AL"/>
        </w:rPr>
        <w:t xml:space="preserve"> Buxhetor</w:t>
      </w:r>
      <w:r w:rsidR="0098301E" w:rsidRPr="008344D2">
        <w:rPr>
          <w:rFonts w:ascii="Times New Roman" w:hAnsi="Times New Roman" w:cs="Times New Roman"/>
          <w:sz w:val="24"/>
          <w:szCs w:val="24"/>
          <w:lang w:val="sq-AL"/>
        </w:rPr>
        <w:t xml:space="preserve"> Afatmes</w:t>
      </w:r>
      <w:r w:rsidR="0098301E" w:rsidRPr="008344D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98301E" w:rsidRPr="008344D2"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8344D2">
        <w:rPr>
          <w:rFonts w:ascii="Times New Roman" w:hAnsi="Times New Roman" w:cs="Times New Roman"/>
          <w:sz w:val="24"/>
          <w:szCs w:val="24"/>
          <w:lang w:val="sq-AL"/>
        </w:rPr>
        <w:t>. Konkluzionet e raportit vjetor t</w:t>
      </w:r>
      <w:r w:rsidR="002942BC" w:rsidRPr="008344D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8344D2">
        <w:rPr>
          <w:rFonts w:ascii="Times New Roman" w:hAnsi="Times New Roman" w:cs="Times New Roman"/>
          <w:sz w:val="24"/>
          <w:szCs w:val="24"/>
          <w:lang w:val="sq-AL"/>
        </w:rPr>
        <w:t xml:space="preserve"> monitorimit do t</w:t>
      </w:r>
      <w:r w:rsidR="002942BC" w:rsidRPr="008344D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8344D2">
        <w:rPr>
          <w:rFonts w:ascii="Times New Roman" w:hAnsi="Times New Roman" w:cs="Times New Roman"/>
          <w:sz w:val="24"/>
          <w:szCs w:val="24"/>
          <w:lang w:val="sq-AL"/>
        </w:rPr>
        <w:t xml:space="preserve"> jen</w:t>
      </w:r>
      <w:r w:rsidR="002942BC" w:rsidRPr="008344D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8344D2">
        <w:rPr>
          <w:rFonts w:ascii="Times New Roman" w:hAnsi="Times New Roman" w:cs="Times New Roman"/>
          <w:sz w:val="24"/>
          <w:szCs w:val="24"/>
          <w:lang w:val="sq-AL"/>
        </w:rPr>
        <w:t xml:space="preserve"> pjes</w:t>
      </w:r>
      <w:r w:rsidR="002942BC" w:rsidRPr="008344D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8344D2">
        <w:rPr>
          <w:rFonts w:ascii="Times New Roman" w:hAnsi="Times New Roman" w:cs="Times New Roman"/>
          <w:sz w:val="24"/>
          <w:szCs w:val="24"/>
          <w:lang w:val="sq-AL"/>
        </w:rPr>
        <w:t xml:space="preserve"> e raportit p</w:t>
      </w:r>
      <w:r w:rsidR="002942BC" w:rsidRPr="008344D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593587" w:rsidRPr="008344D2">
        <w:rPr>
          <w:rFonts w:ascii="Times New Roman" w:hAnsi="Times New Roman" w:cs="Times New Roman"/>
          <w:sz w:val="24"/>
          <w:szCs w:val="24"/>
          <w:lang w:val="sq-AL"/>
        </w:rPr>
        <w:t>r buxhetin fa</w:t>
      </w:r>
      <w:r w:rsidRPr="008344D2">
        <w:rPr>
          <w:rFonts w:ascii="Times New Roman" w:hAnsi="Times New Roman" w:cs="Times New Roman"/>
          <w:sz w:val="24"/>
          <w:szCs w:val="24"/>
          <w:lang w:val="sq-AL"/>
        </w:rPr>
        <w:t>ktik q</w:t>
      </w:r>
      <w:r w:rsidR="002942BC" w:rsidRPr="008344D2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8344D2">
        <w:rPr>
          <w:rFonts w:ascii="Times New Roman" w:hAnsi="Times New Roman" w:cs="Times New Roman"/>
          <w:sz w:val="24"/>
          <w:szCs w:val="24"/>
          <w:lang w:val="sq-AL"/>
        </w:rPr>
        <w:t xml:space="preserve"> miratohet </w:t>
      </w:r>
      <w:r w:rsidR="002942BC" w:rsidRPr="008344D2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Pr="008344D2">
        <w:rPr>
          <w:rFonts w:ascii="Times New Roman" w:hAnsi="Times New Roman" w:cs="Times New Roman"/>
          <w:sz w:val="24"/>
          <w:szCs w:val="24"/>
          <w:lang w:val="sq-AL"/>
        </w:rPr>
        <w:t>do vit n</w:t>
      </w:r>
      <w:r w:rsidR="00E6162A" w:rsidRPr="008344D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8344D2">
        <w:rPr>
          <w:rFonts w:ascii="Times New Roman" w:hAnsi="Times New Roman" w:cs="Times New Roman"/>
          <w:sz w:val="24"/>
          <w:szCs w:val="24"/>
          <w:lang w:val="sq-AL"/>
        </w:rPr>
        <w:t xml:space="preserve"> Kuvend.</w:t>
      </w:r>
      <w:r w:rsidR="0098301E" w:rsidRPr="008344D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sectPr w:rsidR="00137D3F" w:rsidRPr="00E6162A" w:rsidSect="00A603AE">
      <w:headerReference w:type="default" r:id="rId9"/>
      <w:footerReference w:type="default" r:id="rId10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7F1" w:rsidRDefault="000077F1" w:rsidP="00CF115C">
      <w:pPr>
        <w:spacing w:after="0" w:line="240" w:lineRule="auto"/>
      </w:pPr>
      <w:r>
        <w:separator/>
      </w:r>
    </w:p>
  </w:endnote>
  <w:endnote w:type="continuationSeparator" w:id="0">
    <w:p w:rsidR="000077F1" w:rsidRDefault="000077F1" w:rsidP="00CF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7394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3E5F" w:rsidRDefault="002E211C">
        <w:pPr>
          <w:pStyle w:val="Footer"/>
          <w:jc w:val="right"/>
        </w:pPr>
        <w:r>
          <w:fldChar w:fldCharType="begin"/>
        </w:r>
        <w:r w:rsidR="00A13E5F">
          <w:instrText xml:space="preserve"> PAGE   \* MERGEFORMAT </w:instrText>
        </w:r>
        <w:r>
          <w:fldChar w:fldCharType="separate"/>
        </w:r>
        <w:r w:rsidR="004A71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3E5F" w:rsidRDefault="00A13E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7F1" w:rsidRDefault="000077F1" w:rsidP="00CF115C">
      <w:pPr>
        <w:spacing w:after="0" w:line="240" w:lineRule="auto"/>
      </w:pPr>
      <w:r>
        <w:separator/>
      </w:r>
    </w:p>
  </w:footnote>
  <w:footnote w:type="continuationSeparator" w:id="0">
    <w:p w:rsidR="000077F1" w:rsidRDefault="000077F1" w:rsidP="00CF1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D3F" w:rsidRDefault="00137D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4F3"/>
    <w:multiLevelType w:val="hybridMultilevel"/>
    <w:tmpl w:val="6CB8660C"/>
    <w:lvl w:ilvl="0" w:tplc="8CE00E76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4CD85382">
      <w:start w:val="1"/>
      <w:numFmt w:val="bullet"/>
      <w:lvlText w:val=""/>
      <w:lvlJc w:val="left"/>
      <w:pPr>
        <w:tabs>
          <w:tab w:val="num" w:pos="1512"/>
        </w:tabs>
        <w:ind w:left="1512" w:hanging="35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203536CE"/>
    <w:multiLevelType w:val="multilevel"/>
    <w:tmpl w:val="9614FD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EE96A87"/>
    <w:multiLevelType w:val="multilevel"/>
    <w:tmpl w:val="38FC9BF4"/>
    <w:lvl w:ilvl="0">
      <w:start w:val="5"/>
      <w:numFmt w:val="decimal"/>
      <w:pStyle w:val="Heading1"/>
      <w:lvlText w:val="Aneksi %1"/>
      <w:lvlJc w:val="left"/>
      <w:pPr>
        <w:tabs>
          <w:tab w:val="num" w:pos="522"/>
        </w:tabs>
        <w:ind w:left="522" w:hanging="432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odyText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1427314"/>
    <w:multiLevelType w:val="multilevel"/>
    <w:tmpl w:val="3A58BCB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35483A72"/>
    <w:multiLevelType w:val="hybridMultilevel"/>
    <w:tmpl w:val="C1624588"/>
    <w:lvl w:ilvl="0" w:tplc="8CE00E76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15C6C82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3A8132E5"/>
    <w:multiLevelType w:val="hybridMultilevel"/>
    <w:tmpl w:val="56346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31D4F"/>
    <w:multiLevelType w:val="multilevel"/>
    <w:tmpl w:val="0D607C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ED10CE9"/>
    <w:multiLevelType w:val="hybridMultilevel"/>
    <w:tmpl w:val="CDF4C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55069"/>
    <w:multiLevelType w:val="hybridMultilevel"/>
    <w:tmpl w:val="30C67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6C5D0F"/>
    <w:multiLevelType w:val="hybridMultilevel"/>
    <w:tmpl w:val="8CFE5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5E7D11"/>
    <w:multiLevelType w:val="hybridMultilevel"/>
    <w:tmpl w:val="76C604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F1364"/>
    <w:multiLevelType w:val="multilevel"/>
    <w:tmpl w:val="0C0EF7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4A00A20"/>
    <w:multiLevelType w:val="hybridMultilevel"/>
    <w:tmpl w:val="ACB4F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B0D7F"/>
    <w:multiLevelType w:val="hybridMultilevel"/>
    <w:tmpl w:val="2EA25132"/>
    <w:lvl w:ilvl="0" w:tplc="B16C1D3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F460F5"/>
    <w:multiLevelType w:val="hybridMultilevel"/>
    <w:tmpl w:val="BE74E9E0"/>
    <w:lvl w:ilvl="0" w:tplc="15C6C82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C9001B"/>
    <w:multiLevelType w:val="multilevel"/>
    <w:tmpl w:val="8BCA43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84F4744"/>
    <w:multiLevelType w:val="multilevel"/>
    <w:tmpl w:val="5B0E8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B67631E"/>
    <w:multiLevelType w:val="hybridMultilevel"/>
    <w:tmpl w:val="28081CF8"/>
    <w:lvl w:ilvl="0" w:tplc="4CD8538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685F08"/>
    <w:multiLevelType w:val="hybridMultilevel"/>
    <w:tmpl w:val="5322B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1D68F3"/>
    <w:multiLevelType w:val="hybridMultilevel"/>
    <w:tmpl w:val="1A6034EC"/>
    <w:lvl w:ilvl="0" w:tplc="52969978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hint="default"/>
        <w:b/>
        <w:color w:val="000000"/>
        <w:u w:color="FFFFF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7ED21D6F"/>
    <w:multiLevelType w:val="hybridMultilevel"/>
    <w:tmpl w:val="F0546FB2"/>
    <w:lvl w:ilvl="0" w:tplc="8FE4972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14B483A6">
      <w:start w:val="1"/>
      <w:numFmt w:val="bullet"/>
      <w:lvlText w:val="o"/>
      <w:lvlJc w:val="left"/>
      <w:pPr>
        <w:tabs>
          <w:tab w:val="num" w:pos="1443"/>
        </w:tabs>
        <w:ind w:left="1443" w:hanging="363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4"/>
  </w:num>
  <w:num w:numId="5">
    <w:abstractNumId w:val="4"/>
  </w:num>
  <w:num w:numId="6">
    <w:abstractNumId w:val="7"/>
  </w:num>
  <w:num w:numId="7">
    <w:abstractNumId w:val="19"/>
  </w:num>
  <w:num w:numId="8">
    <w:abstractNumId w:val="5"/>
  </w:num>
  <w:num w:numId="9">
    <w:abstractNumId w:val="15"/>
  </w:num>
  <w:num w:numId="10">
    <w:abstractNumId w:val="9"/>
  </w:num>
  <w:num w:numId="11">
    <w:abstractNumId w:val="2"/>
  </w:num>
  <w:num w:numId="12">
    <w:abstractNumId w:val="13"/>
  </w:num>
  <w:num w:numId="13">
    <w:abstractNumId w:val="16"/>
  </w:num>
  <w:num w:numId="14">
    <w:abstractNumId w:val="6"/>
  </w:num>
  <w:num w:numId="15">
    <w:abstractNumId w:val="12"/>
  </w:num>
  <w:num w:numId="16">
    <w:abstractNumId w:val="1"/>
  </w:num>
  <w:num w:numId="17">
    <w:abstractNumId w:val="11"/>
  </w:num>
  <w:num w:numId="18">
    <w:abstractNumId w:val="10"/>
  </w:num>
  <w:num w:numId="19">
    <w:abstractNumId w:val="3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FC"/>
    <w:rsid w:val="00000A32"/>
    <w:rsid w:val="00000C3D"/>
    <w:rsid w:val="000077F1"/>
    <w:rsid w:val="0001148B"/>
    <w:rsid w:val="000126EB"/>
    <w:rsid w:val="00015A1D"/>
    <w:rsid w:val="00022EB0"/>
    <w:rsid w:val="00026089"/>
    <w:rsid w:val="00030D75"/>
    <w:rsid w:val="00031600"/>
    <w:rsid w:val="0005235A"/>
    <w:rsid w:val="00053711"/>
    <w:rsid w:val="00057311"/>
    <w:rsid w:val="00061E5F"/>
    <w:rsid w:val="00064751"/>
    <w:rsid w:val="0006546E"/>
    <w:rsid w:val="0007182C"/>
    <w:rsid w:val="0009548C"/>
    <w:rsid w:val="00097A9D"/>
    <w:rsid w:val="000A09BE"/>
    <w:rsid w:val="000A3779"/>
    <w:rsid w:val="000A548A"/>
    <w:rsid w:val="000B02B0"/>
    <w:rsid w:val="000B303B"/>
    <w:rsid w:val="000B6373"/>
    <w:rsid w:val="000C0720"/>
    <w:rsid w:val="000D36EB"/>
    <w:rsid w:val="00104170"/>
    <w:rsid w:val="00104D67"/>
    <w:rsid w:val="00110447"/>
    <w:rsid w:val="00111593"/>
    <w:rsid w:val="001251AB"/>
    <w:rsid w:val="001252C7"/>
    <w:rsid w:val="00137D3F"/>
    <w:rsid w:val="00143484"/>
    <w:rsid w:val="0015462C"/>
    <w:rsid w:val="0017142F"/>
    <w:rsid w:val="00172FD7"/>
    <w:rsid w:val="00192B33"/>
    <w:rsid w:val="001A6142"/>
    <w:rsid w:val="001A6D46"/>
    <w:rsid w:val="001B3CA9"/>
    <w:rsid w:val="001D101A"/>
    <w:rsid w:val="001E211A"/>
    <w:rsid w:val="00202623"/>
    <w:rsid w:val="00207CB4"/>
    <w:rsid w:val="002115CE"/>
    <w:rsid w:val="002115DD"/>
    <w:rsid w:val="00214667"/>
    <w:rsid w:val="00240654"/>
    <w:rsid w:val="002423DE"/>
    <w:rsid w:val="00260A3E"/>
    <w:rsid w:val="002633E0"/>
    <w:rsid w:val="00267522"/>
    <w:rsid w:val="0027091A"/>
    <w:rsid w:val="002770F3"/>
    <w:rsid w:val="00290BB5"/>
    <w:rsid w:val="002942BC"/>
    <w:rsid w:val="002A0D94"/>
    <w:rsid w:val="002A7445"/>
    <w:rsid w:val="002C50BC"/>
    <w:rsid w:val="002D3462"/>
    <w:rsid w:val="002D3D1E"/>
    <w:rsid w:val="002D53F6"/>
    <w:rsid w:val="002E211C"/>
    <w:rsid w:val="002E7F66"/>
    <w:rsid w:val="002F09D5"/>
    <w:rsid w:val="002F6AE2"/>
    <w:rsid w:val="0031696F"/>
    <w:rsid w:val="00320F8F"/>
    <w:rsid w:val="0032241C"/>
    <w:rsid w:val="00327B04"/>
    <w:rsid w:val="00332DF6"/>
    <w:rsid w:val="00351462"/>
    <w:rsid w:val="00352AEA"/>
    <w:rsid w:val="0035746E"/>
    <w:rsid w:val="00370CD6"/>
    <w:rsid w:val="00381075"/>
    <w:rsid w:val="003831D6"/>
    <w:rsid w:val="0039370C"/>
    <w:rsid w:val="003A77CE"/>
    <w:rsid w:val="003A7C0B"/>
    <w:rsid w:val="003C42C0"/>
    <w:rsid w:val="003C6A6E"/>
    <w:rsid w:val="003C73F6"/>
    <w:rsid w:val="003E2CDC"/>
    <w:rsid w:val="003F0F00"/>
    <w:rsid w:val="003F6A12"/>
    <w:rsid w:val="00403A2F"/>
    <w:rsid w:val="00407791"/>
    <w:rsid w:val="00410193"/>
    <w:rsid w:val="004151B3"/>
    <w:rsid w:val="0042332A"/>
    <w:rsid w:val="00436F7D"/>
    <w:rsid w:val="004376F6"/>
    <w:rsid w:val="00437EE0"/>
    <w:rsid w:val="00441BB4"/>
    <w:rsid w:val="00441F65"/>
    <w:rsid w:val="00445295"/>
    <w:rsid w:val="00446322"/>
    <w:rsid w:val="0045621E"/>
    <w:rsid w:val="00463539"/>
    <w:rsid w:val="00466B67"/>
    <w:rsid w:val="00490602"/>
    <w:rsid w:val="004912F4"/>
    <w:rsid w:val="00494722"/>
    <w:rsid w:val="004A4DB4"/>
    <w:rsid w:val="004A716D"/>
    <w:rsid w:val="004B3EE5"/>
    <w:rsid w:val="004B59FB"/>
    <w:rsid w:val="004D0DBE"/>
    <w:rsid w:val="004D215C"/>
    <w:rsid w:val="004D4565"/>
    <w:rsid w:val="004E00D2"/>
    <w:rsid w:val="004E16E6"/>
    <w:rsid w:val="005349D8"/>
    <w:rsid w:val="005476E6"/>
    <w:rsid w:val="00551511"/>
    <w:rsid w:val="005631FF"/>
    <w:rsid w:val="00564D60"/>
    <w:rsid w:val="00570EC5"/>
    <w:rsid w:val="00590BBD"/>
    <w:rsid w:val="00593587"/>
    <w:rsid w:val="0059491C"/>
    <w:rsid w:val="005A3848"/>
    <w:rsid w:val="005A61B4"/>
    <w:rsid w:val="005B1A17"/>
    <w:rsid w:val="005B645F"/>
    <w:rsid w:val="005C624D"/>
    <w:rsid w:val="005C65A8"/>
    <w:rsid w:val="005C770D"/>
    <w:rsid w:val="005D5614"/>
    <w:rsid w:val="005E048C"/>
    <w:rsid w:val="005E34B8"/>
    <w:rsid w:val="005F0838"/>
    <w:rsid w:val="00610EE7"/>
    <w:rsid w:val="00613DF9"/>
    <w:rsid w:val="006171B8"/>
    <w:rsid w:val="006432CC"/>
    <w:rsid w:val="00650AB1"/>
    <w:rsid w:val="00654993"/>
    <w:rsid w:val="00672568"/>
    <w:rsid w:val="00677440"/>
    <w:rsid w:val="00680021"/>
    <w:rsid w:val="006A1362"/>
    <w:rsid w:val="006B6A9A"/>
    <w:rsid w:val="006C2DAE"/>
    <w:rsid w:val="006D4FD1"/>
    <w:rsid w:val="006E412C"/>
    <w:rsid w:val="006F72D9"/>
    <w:rsid w:val="00704BDC"/>
    <w:rsid w:val="00716AFC"/>
    <w:rsid w:val="00737361"/>
    <w:rsid w:val="00741401"/>
    <w:rsid w:val="00752236"/>
    <w:rsid w:val="007577D9"/>
    <w:rsid w:val="007673CE"/>
    <w:rsid w:val="00780DC9"/>
    <w:rsid w:val="00785216"/>
    <w:rsid w:val="00793298"/>
    <w:rsid w:val="007A27C3"/>
    <w:rsid w:val="007B258A"/>
    <w:rsid w:val="007C6996"/>
    <w:rsid w:val="007D07C8"/>
    <w:rsid w:val="007D36FC"/>
    <w:rsid w:val="007F29F9"/>
    <w:rsid w:val="007F539D"/>
    <w:rsid w:val="00803FD5"/>
    <w:rsid w:val="00817BA7"/>
    <w:rsid w:val="00820816"/>
    <w:rsid w:val="00821DC1"/>
    <w:rsid w:val="00822ABE"/>
    <w:rsid w:val="00825A09"/>
    <w:rsid w:val="0082618B"/>
    <w:rsid w:val="00827366"/>
    <w:rsid w:val="0083356C"/>
    <w:rsid w:val="008344D2"/>
    <w:rsid w:val="008372EA"/>
    <w:rsid w:val="00842252"/>
    <w:rsid w:val="008519E4"/>
    <w:rsid w:val="00854DA1"/>
    <w:rsid w:val="00860217"/>
    <w:rsid w:val="008610A4"/>
    <w:rsid w:val="00877FA3"/>
    <w:rsid w:val="00885DDC"/>
    <w:rsid w:val="00887EDE"/>
    <w:rsid w:val="00891706"/>
    <w:rsid w:val="008927F4"/>
    <w:rsid w:val="00896350"/>
    <w:rsid w:val="008B09B9"/>
    <w:rsid w:val="008B38A9"/>
    <w:rsid w:val="008D626C"/>
    <w:rsid w:val="008D7025"/>
    <w:rsid w:val="008F1C83"/>
    <w:rsid w:val="00900FB8"/>
    <w:rsid w:val="0090140E"/>
    <w:rsid w:val="009037C8"/>
    <w:rsid w:val="00905837"/>
    <w:rsid w:val="0091300A"/>
    <w:rsid w:val="009209D1"/>
    <w:rsid w:val="00931FF3"/>
    <w:rsid w:val="00935BA2"/>
    <w:rsid w:val="00936CC1"/>
    <w:rsid w:val="00944B05"/>
    <w:rsid w:val="00951303"/>
    <w:rsid w:val="009610DF"/>
    <w:rsid w:val="0098231F"/>
    <w:rsid w:val="0098301E"/>
    <w:rsid w:val="00986FE4"/>
    <w:rsid w:val="00993A65"/>
    <w:rsid w:val="00993BD4"/>
    <w:rsid w:val="009951CD"/>
    <w:rsid w:val="009A4C8F"/>
    <w:rsid w:val="009D10DA"/>
    <w:rsid w:val="009E235A"/>
    <w:rsid w:val="009E26BD"/>
    <w:rsid w:val="009F3C6E"/>
    <w:rsid w:val="00A11FCF"/>
    <w:rsid w:val="00A13E5F"/>
    <w:rsid w:val="00A149B4"/>
    <w:rsid w:val="00A3608D"/>
    <w:rsid w:val="00A406E7"/>
    <w:rsid w:val="00A46FD9"/>
    <w:rsid w:val="00A5190B"/>
    <w:rsid w:val="00A54B5F"/>
    <w:rsid w:val="00A56C2A"/>
    <w:rsid w:val="00A603AE"/>
    <w:rsid w:val="00A640F7"/>
    <w:rsid w:val="00A66F1A"/>
    <w:rsid w:val="00A73CDB"/>
    <w:rsid w:val="00AA0479"/>
    <w:rsid w:val="00AA2045"/>
    <w:rsid w:val="00AB027C"/>
    <w:rsid w:val="00AD74C7"/>
    <w:rsid w:val="00AE02A2"/>
    <w:rsid w:val="00B03C41"/>
    <w:rsid w:val="00B12B03"/>
    <w:rsid w:val="00B160F8"/>
    <w:rsid w:val="00B31BFB"/>
    <w:rsid w:val="00B33414"/>
    <w:rsid w:val="00B505D9"/>
    <w:rsid w:val="00B50B19"/>
    <w:rsid w:val="00B67A4C"/>
    <w:rsid w:val="00B706ED"/>
    <w:rsid w:val="00B722C6"/>
    <w:rsid w:val="00B83E88"/>
    <w:rsid w:val="00B85FC4"/>
    <w:rsid w:val="00B86F0A"/>
    <w:rsid w:val="00B910D6"/>
    <w:rsid w:val="00B925AD"/>
    <w:rsid w:val="00B962DE"/>
    <w:rsid w:val="00BA15F0"/>
    <w:rsid w:val="00BA5767"/>
    <w:rsid w:val="00BA6331"/>
    <w:rsid w:val="00BB150E"/>
    <w:rsid w:val="00BB6C63"/>
    <w:rsid w:val="00BC1CA1"/>
    <w:rsid w:val="00BD437A"/>
    <w:rsid w:val="00BE4C5C"/>
    <w:rsid w:val="00BF4340"/>
    <w:rsid w:val="00C3731D"/>
    <w:rsid w:val="00C44E50"/>
    <w:rsid w:val="00C64615"/>
    <w:rsid w:val="00C94E42"/>
    <w:rsid w:val="00CA6136"/>
    <w:rsid w:val="00CD0B2E"/>
    <w:rsid w:val="00CE1FFA"/>
    <w:rsid w:val="00CE507D"/>
    <w:rsid w:val="00CF00CF"/>
    <w:rsid w:val="00CF115C"/>
    <w:rsid w:val="00D01EF8"/>
    <w:rsid w:val="00D07382"/>
    <w:rsid w:val="00D12A2C"/>
    <w:rsid w:val="00D13CEA"/>
    <w:rsid w:val="00D164E6"/>
    <w:rsid w:val="00D20EBA"/>
    <w:rsid w:val="00D32CDB"/>
    <w:rsid w:val="00D33025"/>
    <w:rsid w:val="00D339D9"/>
    <w:rsid w:val="00D424D9"/>
    <w:rsid w:val="00D44261"/>
    <w:rsid w:val="00D51103"/>
    <w:rsid w:val="00D548EA"/>
    <w:rsid w:val="00D62FEB"/>
    <w:rsid w:val="00D85419"/>
    <w:rsid w:val="00D9278B"/>
    <w:rsid w:val="00D969C6"/>
    <w:rsid w:val="00D9766F"/>
    <w:rsid w:val="00D97BB0"/>
    <w:rsid w:val="00DA1206"/>
    <w:rsid w:val="00DB13F0"/>
    <w:rsid w:val="00DB2B56"/>
    <w:rsid w:val="00DB6A42"/>
    <w:rsid w:val="00DC429D"/>
    <w:rsid w:val="00DD4E3C"/>
    <w:rsid w:val="00DD55A5"/>
    <w:rsid w:val="00DE3C49"/>
    <w:rsid w:val="00DE7CB5"/>
    <w:rsid w:val="00DF144C"/>
    <w:rsid w:val="00DF2CF0"/>
    <w:rsid w:val="00DF2D69"/>
    <w:rsid w:val="00DF7A8C"/>
    <w:rsid w:val="00E060D4"/>
    <w:rsid w:val="00E1000B"/>
    <w:rsid w:val="00E11730"/>
    <w:rsid w:val="00E26FDF"/>
    <w:rsid w:val="00E37AC3"/>
    <w:rsid w:val="00E42942"/>
    <w:rsid w:val="00E42EC4"/>
    <w:rsid w:val="00E44E4A"/>
    <w:rsid w:val="00E4686B"/>
    <w:rsid w:val="00E60698"/>
    <w:rsid w:val="00E6162A"/>
    <w:rsid w:val="00E66C00"/>
    <w:rsid w:val="00E74B00"/>
    <w:rsid w:val="00E7789F"/>
    <w:rsid w:val="00E8641A"/>
    <w:rsid w:val="00EA213A"/>
    <w:rsid w:val="00EB09FB"/>
    <w:rsid w:val="00EB213F"/>
    <w:rsid w:val="00EF0F5A"/>
    <w:rsid w:val="00F154DB"/>
    <w:rsid w:val="00F2153C"/>
    <w:rsid w:val="00F22BE3"/>
    <w:rsid w:val="00F80D4A"/>
    <w:rsid w:val="00F82492"/>
    <w:rsid w:val="00F902F4"/>
    <w:rsid w:val="00F94A51"/>
    <w:rsid w:val="00FA037F"/>
    <w:rsid w:val="00FA1145"/>
    <w:rsid w:val="00FA361F"/>
    <w:rsid w:val="00FB0AF8"/>
    <w:rsid w:val="00FC2F1C"/>
    <w:rsid w:val="00FC79C5"/>
    <w:rsid w:val="00FC7C6A"/>
    <w:rsid w:val="00FC7DEE"/>
    <w:rsid w:val="00FD2F74"/>
    <w:rsid w:val="00FF4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6432CC"/>
    <w:pPr>
      <w:keepNext/>
      <w:numPr>
        <w:numId w:val="1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32CC"/>
    <w:pPr>
      <w:numPr>
        <w:ilvl w:val="2"/>
        <w:numId w:val="11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BodyTextChar">
    <w:name w:val="Body Text Char"/>
    <w:basedOn w:val="DefaultParagraphFont"/>
    <w:link w:val="BodyText"/>
    <w:rsid w:val="006432C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1Char">
    <w:name w:val="Heading 1 Char"/>
    <w:basedOn w:val="DefaultParagraphFont"/>
    <w:link w:val="Heading1"/>
    <w:rsid w:val="006432CC"/>
    <w:rPr>
      <w:rFonts w:ascii="Arial" w:eastAsia="Times New Roman" w:hAnsi="Arial" w:cs="Arial"/>
      <w:b/>
      <w:bCs/>
      <w:kern w:val="32"/>
      <w:sz w:val="32"/>
      <w:szCs w:val="32"/>
      <w:lang w:val="fr-FR" w:eastAsia="fr-FR"/>
    </w:rPr>
  </w:style>
  <w:style w:type="paragraph" w:styleId="ListParagraph">
    <w:name w:val="List Paragraph"/>
    <w:basedOn w:val="Normal"/>
    <w:uiPriority w:val="34"/>
    <w:qFormat/>
    <w:rsid w:val="00817B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2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1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5C"/>
  </w:style>
  <w:style w:type="paragraph" w:styleId="Footer">
    <w:name w:val="footer"/>
    <w:basedOn w:val="Normal"/>
    <w:link w:val="FooterChar"/>
    <w:uiPriority w:val="99"/>
    <w:unhideWhenUsed/>
    <w:rsid w:val="00CF1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5C"/>
  </w:style>
  <w:style w:type="paragraph" w:styleId="FootnoteText">
    <w:name w:val="footnote text"/>
    <w:basedOn w:val="Normal"/>
    <w:link w:val="FootnoteTextChar"/>
    <w:uiPriority w:val="99"/>
    <w:semiHidden/>
    <w:unhideWhenUsed/>
    <w:rsid w:val="007A27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7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27C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2F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2FD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72F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6432CC"/>
    <w:pPr>
      <w:keepNext/>
      <w:numPr>
        <w:numId w:val="1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32CC"/>
    <w:pPr>
      <w:numPr>
        <w:ilvl w:val="2"/>
        <w:numId w:val="11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BodyTextChar">
    <w:name w:val="Body Text Char"/>
    <w:basedOn w:val="DefaultParagraphFont"/>
    <w:link w:val="BodyText"/>
    <w:rsid w:val="006432C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1Char">
    <w:name w:val="Heading 1 Char"/>
    <w:basedOn w:val="DefaultParagraphFont"/>
    <w:link w:val="Heading1"/>
    <w:rsid w:val="006432CC"/>
    <w:rPr>
      <w:rFonts w:ascii="Arial" w:eastAsia="Times New Roman" w:hAnsi="Arial" w:cs="Arial"/>
      <w:b/>
      <w:bCs/>
      <w:kern w:val="32"/>
      <w:sz w:val="32"/>
      <w:szCs w:val="32"/>
      <w:lang w:val="fr-FR" w:eastAsia="fr-FR"/>
    </w:rPr>
  </w:style>
  <w:style w:type="paragraph" w:styleId="ListParagraph">
    <w:name w:val="List Paragraph"/>
    <w:basedOn w:val="Normal"/>
    <w:uiPriority w:val="34"/>
    <w:qFormat/>
    <w:rsid w:val="00817B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2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1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5C"/>
  </w:style>
  <w:style w:type="paragraph" w:styleId="Footer">
    <w:name w:val="footer"/>
    <w:basedOn w:val="Normal"/>
    <w:link w:val="FooterChar"/>
    <w:uiPriority w:val="99"/>
    <w:unhideWhenUsed/>
    <w:rsid w:val="00CF1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5C"/>
  </w:style>
  <w:style w:type="paragraph" w:styleId="FootnoteText">
    <w:name w:val="footnote text"/>
    <w:basedOn w:val="Normal"/>
    <w:link w:val="FootnoteTextChar"/>
    <w:uiPriority w:val="99"/>
    <w:semiHidden/>
    <w:unhideWhenUsed/>
    <w:rsid w:val="007A27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7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27C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2F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2FD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72F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3105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811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46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54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09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04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2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5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71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698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87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21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13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A8BF-BA0B-4A67-9FBB-3B4FCFB4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Pilkati</dc:creator>
  <cp:lastModifiedBy>eda.spahiu</cp:lastModifiedBy>
  <cp:revision>17</cp:revision>
  <cp:lastPrinted>2018-03-21T14:16:00Z</cp:lastPrinted>
  <dcterms:created xsi:type="dcterms:W3CDTF">2018-03-16T12:45:00Z</dcterms:created>
  <dcterms:modified xsi:type="dcterms:W3CDTF">2018-03-16T12:54:00Z</dcterms:modified>
</cp:coreProperties>
</file>