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B" w:rsidRPr="00A9446C" w:rsidRDefault="00512EDB" w:rsidP="00512EDB">
      <w:pPr>
        <w:widowControl w:val="0"/>
        <w:jc w:val="center"/>
        <w:rPr>
          <w:b/>
          <w:lang w:val="sq-AL"/>
        </w:rPr>
      </w:pPr>
      <w:r w:rsidRPr="00A9446C">
        <w:rPr>
          <w:noProof/>
          <w:lang w:val="sq-AL" w:eastAsia="sq-AL"/>
        </w:rPr>
        <w:drawing>
          <wp:anchor distT="0" distB="0" distL="114300" distR="114300" simplePos="0" relativeHeight="251659264" behindDoc="0" locked="0" layoutInCell="1" allowOverlap="1" wp14:anchorId="20FDB59B" wp14:editId="402CC4AA">
            <wp:simplePos x="0" y="0"/>
            <wp:positionH relativeFrom="margin">
              <wp:posOffset>-370840</wp:posOffset>
            </wp:positionH>
            <wp:positionV relativeFrom="paragraph">
              <wp:posOffset>-427990</wp:posOffset>
            </wp:positionV>
            <wp:extent cx="6587490" cy="863600"/>
            <wp:effectExtent l="0" t="0" r="381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8"/>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446C">
        <w:rPr>
          <w:b/>
          <w:lang w:val="sq-AL"/>
        </w:rPr>
        <w:t>MINISTRIA E FINANCAVE</w:t>
      </w:r>
    </w:p>
    <w:p w:rsidR="00512EDB" w:rsidRPr="00A9446C" w:rsidRDefault="00512EDB" w:rsidP="00512EDB">
      <w:pPr>
        <w:widowControl w:val="0"/>
        <w:jc w:val="center"/>
        <w:rPr>
          <w:b/>
          <w:lang w:val="sq-AL"/>
        </w:rPr>
      </w:pPr>
      <w:r w:rsidRPr="00A9446C">
        <w:rPr>
          <w:b/>
          <w:lang w:val="sq-AL"/>
        </w:rPr>
        <w:t>DHE EKONOMISË</w:t>
      </w:r>
    </w:p>
    <w:p w:rsidR="00512EDB" w:rsidRPr="00A9446C" w:rsidRDefault="00512EDB" w:rsidP="00512EDB">
      <w:pPr>
        <w:widowControl w:val="0"/>
        <w:jc w:val="center"/>
        <w:rPr>
          <w:b/>
          <w:sz w:val="28"/>
          <w:lang w:val="sq-AL"/>
        </w:rPr>
      </w:pPr>
      <w:r w:rsidRPr="00A9446C">
        <w:rPr>
          <w:b/>
          <w:lang w:val="sq-AL"/>
        </w:rPr>
        <w:t>DREJTORIA E APELIMIT TATIMOR</w:t>
      </w:r>
    </w:p>
    <w:p w:rsidR="00512EDB" w:rsidRPr="00A9446C" w:rsidRDefault="00512EDB" w:rsidP="00512EDB">
      <w:pPr>
        <w:widowControl w:val="0"/>
        <w:jc w:val="center"/>
        <w:rPr>
          <w:b/>
          <w:lang w:val="sq-AL"/>
        </w:rPr>
      </w:pPr>
    </w:p>
    <w:p w:rsidR="00512EDB" w:rsidRPr="00A9446C" w:rsidRDefault="00512EDB" w:rsidP="00512EDB">
      <w:pPr>
        <w:widowControl w:val="0"/>
        <w:jc w:val="both"/>
        <w:rPr>
          <w:lang w:val="sq-AL"/>
        </w:rPr>
      </w:pPr>
      <w:r w:rsidRPr="00A9446C">
        <w:rPr>
          <w:lang w:val="sq-AL"/>
        </w:rPr>
        <w:t>Nr._________prot.</w:t>
      </w:r>
      <w:r w:rsidRPr="00A9446C">
        <w:rPr>
          <w:lang w:val="sq-AL"/>
        </w:rPr>
        <w:tab/>
      </w:r>
      <w:r w:rsidRPr="00A9446C">
        <w:rPr>
          <w:lang w:val="sq-AL"/>
        </w:rPr>
        <w:tab/>
      </w:r>
      <w:r w:rsidRPr="00A9446C">
        <w:rPr>
          <w:lang w:val="sq-AL"/>
        </w:rPr>
        <w:tab/>
      </w:r>
      <w:r w:rsidRPr="00A9446C">
        <w:rPr>
          <w:lang w:val="sq-AL"/>
        </w:rPr>
        <w:tab/>
      </w:r>
      <w:r w:rsidRPr="00A9446C">
        <w:rPr>
          <w:lang w:val="sq-AL"/>
        </w:rPr>
        <w:tab/>
      </w:r>
      <w:r w:rsidRPr="00A9446C">
        <w:rPr>
          <w:lang w:val="sq-AL"/>
        </w:rPr>
        <w:tab/>
        <w:t xml:space="preserve">             Tiranë, më___.___.2017 </w:t>
      </w:r>
    </w:p>
    <w:p w:rsidR="00B51C07" w:rsidRDefault="00B51C07" w:rsidP="002479B5">
      <w:pPr>
        <w:spacing w:line="276" w:lineRule="auto"/>
        <w:jc w:val="both"/>
        <w:rPr>
          <w:rFonts w:eastAsia="SimSun"/>
          <w:lang w:val="sq-AL" w:eastAsia="zh-CN"/>
        </w:rPr>
      </w:pPr>
    </w:p>
    <w:p w:rsidR="00B51C07" w:rsidRDefault="00B51C07" w:rsidP="002479B5">
      <w:pPr>
        <w:spacing w:line="276" w:lineRule="auto"/>
        <w:ind w:left="2880" w:firstLine="720"/>
        <w:jc w:val="both"/>
        <w:rPr>
          <w:rFonts w:eastAsia="SimSun"/>
          <w:b/>
          <w:u w:val="single"/>
          <w:lang w:val="sq-AL" w:eastAsia="zh-CN"/>
        </w:rPr>
      </w:pPr>
      <w:r w:rsidRPr="00BE330D">
        <w:rPr>
          <w:rFonts w:eastAsia="SimSun"/>
          <w:b/>
          <w:u w:val="single"/>
          <w:lang w:val="sq-AL" w:eastAsia="zh-CN"/>
        </w:rPr>
        <w:t>V E N D I M</w:t>
      </w:r>
    </w:p>
    <w:p w:rsidR="00B51C07" w:rsidRPr="00BE330D" w:rsidRDefault="00B51C07" w:rsidP="002479B5">
      <w:pPr>
        <w:spacing w:line="276" w:lineRule="auto"/>
        <w:ind w:left="2880" w:firstLine="720"/>
        <w:jc w:val="both"/>
        <w:rPr>
          <w:rFonts w:eastAsia="SimSun"/>
          <w:b/>
          <w:u w:val="single"/>
          <w:lang w:val="sq-AL" w:eastAsia="zh-CN"/>
        </w:rPr>
      </w:pPr>
    </w:p>
    <w:p w:rsidR="007338C9" w:rsidRPr="009D5438" w:rsidRDefault="00B51C07" w:rsidP="002479B5">
      <w:pPr>
        <w:spacing w:line="276" w:lineRule="auto"/>
        <w:rPr>
          <w:rFonts w:eastAsia="SimSun"/>
          <w:lang w:val="sq-AL" w:eastAsia="zh-CN"/>
        </w:rPr>
      </w:pPr>
      <w:r>
        <w:rPr>
          <w:rFonts w:eastAsia="SimSun"/>
          <w:b/>
          <w:lang w:val="sq-AL" w:eastAsia="zh-CN"/>
        </w:rPr>
        <w:t>Ankimuesi</w:t>
      </w:r>
      <w:r w:rsidRPr="00BE330D">
        <w:rPr>
          <w:rFonts w:eastAsia="SimSun"/>
          <w:lang w:val="sq-AL" w:eastAsia="zh-CN"/>
        </w:rPr>
        <w:t xml:space="preserve">: </w:t>
      </w:r>
      <w:r>
        <w:rPr>
          <w:rFonts w:eastAsia="SimSun"/>
          <w:lang w:val="sq-AL" w:eastAsia="zh-CN"/>
        </w:rPr>
        <w:tab/>
      </w:r>
      <w:r w:rsidR="007338C9">
        <w:rPr>
          <w:rFonts w:eastAsia="SimSun"/>
          <w:lang w:val="sq-AL" w:eastAsia="zh-CN"/>
        </w:rPr>
        <w:t xml:space="preserve">Tatimpaguesi </w:t>
      </w:r>
      <w:r w:rsidR="002479B5">
        <w:rPr>
          <w:rFonts w:eastAsia="SimSun"/>
          <w:lang w:val="sq-AL" w:eastAsia="zh-CN"/>
        </w:rPr>
        <w:t>___________</w:t>
      </w:r>
    </w:p>
    <w:p w:rsidR="007338C9" w:rsidRDefault="007338C9" w:rsidP="002479B5">
      <w:pPr>
        <w:spacing w:line="276" w:lineRule="auto"/>
        <w:rPr>
          <w:rFonts w:eastAsia="SimSun"/>
          <w:lang w:val="sq-AL" w:eastAsia="zh-CN"/>
        </w:rPr>
      </w:pPr>
      <w:r w:rsidRPr="009D5438">
        <w:rPr>
          <w:rFonts w:eastAsia="SimSun"/>
          <w:lang w:val="sq-AL" w:eastAsia="zh-CN"/>
        </w:rPr>
        <w:tab/>
      </w:r>
      <w:r w:rsidRPr="009D5438">
        <w:rPr>
          <w:rFonts w:eastAsia="SimSun"/>
          <w:lang w:val="sq-AL" w:eastAsia="zh-CN"/>
        </w:rPr>
        <w:tab/>
        <w:t>NIPT:</w:t>
      </w:r>
      <w:r>
        <w:rPr>
          <w:rFonts w:eastAsia="SimSun"/>
          <w:lang w:val="sq-AL" w:eastAsia="zh-CN"/>
        </w:rPr>
        <w:t xml:space="preserve"> </w:t>
      </w:r>
      <w:r w:rsidR="002479B5">
        <w:rPr>
          <w:rFonts w:eastAsia="SimSun"/>
          <w:lang w:val="sq-AL" w:eastAsia="zh-CN"/>
        </w:rPr>
        <w:t>_________________</w:t>
      </w:r>
    </w:p>
    <w:p w:rsidR="00B51C07" w:rsidRDefault="00B51C07" w:rsidP="002479B5">
      <w:pPr>
        <w:spacing w:line="276" w:lineRule="auto"/>
        <w:rPr>
          <w:rFonts w:eastAsia="SimSun"/>
          <w:lang w:val="sq-AL" w:eastAsia="zh-CN"/>
        </w:rPr>
      </w:pPr>
    </w:p>
    <w:p w:rsidR="008A5565" w:rsidRPr="00A90858" w:rsidRDefault="008A5565" w:rsidP="002479B5">
      <w:pPr>
        <w:pStyle w:val="Header"/>
        <w:tabs>
          <w:tab w:val="left" w:pos="720"/>
        </w:tabs>
        <w:spacing w:line="276" w:lineRule="auto"/>
        <w:jc w:val="both"/>
        <w:rPr>
          <w:b/>
          <w:bCs/>
        </w:rPr>
      </w:pPr>
      <w:proofErr w:type="spellStart"/>
      <w:r w:rsidRPr="00A90858">
        <w:rPr>
          <w:b/>
          <w:bCs/>
        </w:rPr>
        <w:t>Objekti</w:t>
      </w:r>
      <w:proofErr w:type="spellEnd"/>
      <w:r w:rsidRPr="00A90858">
        <w:rPr>
          <w:b/>
          <w:bCs/>
        </w:rPr>
        <w:t xml:space="preserve"> i </w:t>
      </w:r>
      <w:proofErr w:type="spellStart"/>
      <w:r w:rsidRPr="00A90858">
        <w:rPr>
          <w:b/>
          <w:bCs/>
        </w:rPr>
        <w:t>ankimit</w:t>
      </w:r>
      <w:proofErr w:type="spellEnd"/>
      <w:r w:rsidRPr="00A90858">
        <w:rPr>
          <w:b/>
          <w:bCs/>
        </w:rPr>
        <w:t xml:space="preserve">: </w:t>
      </w:r>
      <w:proofErr w:type="spellStart"/>
      <w:r>
        <w:rPr>
          <w:b/>
          <w:bCs/>
        </w:rPr>
        <w:t>Kërkesë</w:t>
      </w:r>
      <w:proofErr w:type="spellEnd"/>
      <w:r>
        <w:rPr>
          <w:b/>
          <w:bCs/>
        </w:rPr>
        <w:t xml:space="preserve"> </w:t>
      </w:r>
      <w:proofErr w:type="spellStart"/>
      <w:r>
        <w:rPr>
          <w:b/>
          <w:bCs/>
        </w:rPr>
        <w:t>për</w:t>
      </w:r>
      <w:proofErr w:type="spellEnd"/>
      <w:r>
        <w:rPr>
          <w:b/>
          <w:bCs/>
        </w:rPr>
        <w:t xml:space="preserve"> </w:t>
      </w:r>
      <w:proofErr w:type="spellStart"/>
      <w:r>
        <w:rPr>
          <w:b/>
          <w:bCs/>
        </w:rPr>
        <w:t>apelim</w:t>
      </w:r>
      <w:proofErr w:type="spellEnd"/>
      <w:r>
        <w:rPr>
          <w:b/>
          <w:bCs/>
        </w:rPr>
        <w:t xml:space="preserve"> </w:t>
      </w:r>
      <w:proofErr w:type="spellStart"/>
      <w:r>
        <w:rPr>
          <w:b/>
          <w:bCs/>
        </w:rPr>
        <w:t>t</w:t>
      </w:r>
      <w:r w:rsidR="00F93CF4">
        <w:rPr>
          <w:b/>
          <w:bCs/>
        </w:rPr>
        <w:t>ë</w:t>
      </w:r>
      <w:proofErr w:type="spellEnd"/>
      <w:r w:rsidR="0019734D" w:rsidRPr="0019734D">
        <w:rPr>
          <w:b/>
          <w:bCs/>
        </w:rPr>
        <w:t xml:space="preserve"> </w:t>
      </w:r>
      <w:proofErr w:type="spellStart"/>
      <w:r w:rsidR="0019734D">
        <w:rPr>
          <w:b/>
          <w:bCs/>
        </w:rPr>
        <w:t>aktit</w:t>
      </w:r>
      <w:proofErr w:type="spellEnd"/>
      <w:r w:rsidR="0019734D">
        <w:rPr>
          <w:b/>
          <w:bCs/>
        </w:rPr>
        <w:t xml:space="preserve"> </w:t>
      </w:r>
      <w:proofErr w:type="spellStart"/>
      <w:r w:rsidR="0019734D">
        <w:rPr>
          <w:b/>
          <w:bCs/>
        </w:rPr>
        <w:t>administrativ</w:t>
      </w:r>
      <w:proofErr w:type="spellEnd"/>
      <w:r w:rsidR="0019734D">
        <w:rPr>
          <w:b/>
          <w:bCs/>
        </w:rPr>
        <w:t xml:space="preserve"> </w:t>
      </w:r>
      <w:proofErr w:type="spellStart"/>
      <w:r w:rsidR="0019734D">
        <w:rPr>
          <w:b/>
          <w:bCs/>
        </w:rPr>
        <w:t>Njoftim</w:t>
      </w:r>
      <w:proofErr w:type="spellEnd"/>
      <w:r w:rsidR="0019734D">
        <w:rPr>
          <w:b/>
          <w:bCs/>
        </w:rPr>
        <w:t xml:space="preserve"> </w:t>
      </w:r>
      <w:proofErr w:type="spellStart"/>
      <w:r w:rsidR="0019734D">
        <w:rPr>
          <w:b/>
          <w:bCs/>
        </w:rPr>
        <w:t>Vler</w:t>
      </w:r>
      <w:r w:rsidR="00F93CF4">
        <w:rPr>
          <w:b/>
          <w:bCs/>
        </w:rPr>
        <w:t>ë</w:t>
      </w:r>
      <w:r w:rsidR="0019734D">
        <w:rPr>
          <w:b/>
          <w:bCs/>
        </w:rPr>
        <w:t>simi</w:t>
      </w:r>
      <w:proofErr w:type="spellEnd"/>
      <w:r w:rsidR="0019734D">
        <w:rPr>
          <w:b/>
          <w:bCs/>
        </w:rPr>
        <w:t xml:space="preserve"> </w:t>
      </w:r>
      <w:proofErr w:type="spellStart"/>
      <w:r w:rsidR="0019734D">
        <w:rPr>
          <w:b/>
          <w:bCs/>
        </w:rPr>
        <w:t>p</w:t>
      </w:r>
      <w:r w:rsidR="00F93CF4">
        <w:rPr>
          <w:b/>
          <w:bCs/>
        </w:rPr>
        <w:t>ë</w:t>
      </w:r>
      <w:r w:rsidR="0019734D">
        <w:rPr>
          <w:b/>
          <w:bCs/>
        </w:rPr>
        <w:t>r</w:t>
      </w:r>
      <w:proofErr w:type="spellEnd"/>
      <w:r w:rsidR="0019734D">
        <w:rPr>
          <w:b/>
          <w:bCs/>
        </w:rPr>
        <w:t xml:space="preserve"> </w:t>
      </w:r>
      <w:proofErr w:type="spellStart"/>
      <w:r w:rsidR="0019734D">
        <w:rPr>
          <w:b/>
          <w:bCs/>
        </w:rPr>
        <w:t>Detyrimet</w:t>
      </w:r>
      <w:proofErr w:type="spellEnd"/>
      <w:r w:rsidR="0019734D">
        <w:rPr>
          <w:b/>
          <w:bCs/>
        </w:rPr>
        <w:t xml:space="preserve"> </w:t>
      </w:r>
      <w:proofErr w:type="spellStart"/>
      <w:r w:rsidR="0019734D">
        <w:rPr>
          <w:b/>
          <w:bCs/>
        </w:rPr>
        <w:t>Tatimore</w:t>
      </w:r>
      <w:proofErr w:type="spellEnd"/>
      <w:r w:rsidR="00261ADE">
        <w:rPr>
          <w:b/>
          <w:bCs/>
        </w:rPr>
        <w:t>.</w:t>
      </w:r>
    </w:p>
    <w:p w:rsidR="008A5565" w:rsidRPr="00A90858" w:rsidRDefault="008A5565" w:rsidP="002479B5">
      <w:pPr>
        <w:pStyle w:val="Header"/>
        <w:tabs>
          <w:tab w:val="left" w:pos="720"/>
        </w:tabs>
        <w:spacing w:line="276" w:lineRule="auto"/>
        <w:rPr>
          <w:b/>
          <w:bCs/>
        </w:rPr>
      </w:pPr>
    </w:p>
    <w:p w:rsidR="008A5565" w:rsidRDefault="008A5565" w:rsidP="002479B5">
      <w:pPr>
        <w:tabs>
          <w:tab w:val="left" w:pos="1260"/>
        </w:tabs>
        <w:spacing w:line="276" w:lineRule="auto"/>
        <w:jc w:val="both"/>
        <w:rPr>
          <w:bCs/>
        </w:rPr>
      </w:pPr>
      <w:r w:rsidRPr="00512EDB">
        <w:rPr>
          <w:bCs/>
          <w:lang w:val="pt-BR"/>
        </w:rPr>
        <w:t>Në zbatim të Ligjit Nr.9920 datë 19.05.2008, “Për Pro</w:t>
      </w:r>
      <w:r w:rsidR="005E4C07" w:rsidRPr="00512EDB">
        <w:rPr>
          <w:bCs/>
          <w:lang w:val="pt-BR"/>
        </w:rPr>
        <w:t>c</w:t>
      </w:r>
      <w:r w:rsidRPr="00512EDB">
        <w:rPr>
          <w:bCs/>
          <w:lang w:val="pt-BR"/>
        </w:rPr>
        <w:t>edurat Tatimore në Republikë</w:t>
      </w:r>
      <w:r w:rsidR="005E4C07" w:rsidRPr="00512EDB">
        <w:rPr>
          <w:bCs/>
          <w:lang w:val="pt-BR"/>
        </w:rPr>
        <w:t>n e Shqipë</w:t>
      </w:r>
      <w:r w:rsidRPr="00512EDB">
        <w:rPr>
          <w:bCs/>
          <w:lang w:val="pt-BR"/>
        </w:rPr>
        <w:t xml:space="preserve">risë”, </w:t>
      </w:r>
      <w:r w:rsidRPr="00512EDB">
        <w:rPr>
          <w:bCs/>
          <w:i/>
          <w:lang w:val="pt-BR"/>
        </w:rPr>
        <w:t>(ndryshuar)</w:t>
      </w:r>
      <w:r w:rsidRPr="00512EDB">
        <w:rPr>
          <w:rStyle w:val="apple-style-span"/>
          <w:bCs/>
          <w:i/>
        </w:rPr>
        <w:t>,</w:t>
      </w:r>
      <w:r w:rsidRPr="00512EDB">
        <w:rPr>
          <w:rStyle w:val="apple-style-span"/>
          <w:bCs/>
        </w:rPr>
        <w:t xml:space="preserve"> </w:t>
      </w:r>
      <w:r w:rsidRPr="00512EDB">
        <w:rPr>
          <w:bCs/>
          <w:lang w:val="pt-BR"/>
        </w:rPr>
        <w:t xml:space="preserve">Kreu XIII Ankimimi Administrativ Tatimor, nenet 106, 107, 108, 109 dhe Udhëzimit të Ministrit të Financave Nr 24, datë 02.09.2008, </w:t>
      </w:r>
      <w:r w:rsidRPr="00512EDB">
        <w:rPr>
          <w:bCs/>
          <w:i/>
          <w:lang w:val="pt-BR"/>
        </w:rPr>
        <w:t>(ndryshuar)</w:t>
      </w:r>
      <w:r w:rsidRPr="00512EDB">
        <w:rPr>
          <w:rFonts w:eastAsia="Times New Roman"/>
          <w:bCs/>
          <w:i/>
        </w:rPr>
        <w:t>,</w:t>
      </w:r>
      <w:r w:rsidRPr="00512EDB">
        <w:rPr>
          <w:rFonts w:eastAsia="Times New Roman"/>
          <w:bCs/>
        </w:rPr>
        <w:t xml:space="preserve"> </w:t>
      </w:r>
      <w:r w:rsidRPr="00512EDB">
        <w:rPr>
          <w:bCs/>
          <w:lang w:val="pt-BR"/>
        </w:rPr>
        <w:t xml:space="preserve">në zbatim të tij, </w:t>
      </w:r>
      <w:r w:rsidR="00FA1221" w:rsidRPr="00512EDB">
        <w:rPr>
          <w:bCs/>
          <w:lang w:val="pt-BR"/>
        </w:rPr>
        <w:t xml:space="preserve">(paragrafi 134), </w:t>
      </w:r>
      <w:r w:rsidRPr="00512EDB">
        <w:rPr>
          <w:bCs/>
          <w:lang w:val="pt-BR"/>
        </w:rPr>
        <w:t xml:space="preserve">është depozituar kërkesa për apelim, </w:t>
      </w:r>
      <w:r w:rsidR="00261ADE" w:rsidRPr="00512EDB">
        <w:rPr>
          <w:bCs/>
          <w:lang w:val="pt-BR"/>
        </w:rPr>
        <w:t>protokolluar n</w:t>
      </w:r>
      <w:r w:rsidR="00F93CF4" w:rsidRPr="00512EDB">
        <w:rPr>
          <w:bCs/>
          <w:lang w:val="pt-BR"/>
        </w:rPr>
        <w:t>ë</w:t>
      </w:r>
      <w:r w:rsidR="00261ADE" w:rsidRPr="00512EDB">
        <w:rPr>
          <w:bCs/>
          <w:lang w:val="pt-BR"/>
        </w:rPr>
        <w:t xml:space="preserve"> Drejtorin</w:t>
      </w:r>
      <w:r w:rsidRPr="00512EDB">
        <w:rPr>
          <w:bCs/>
          <w:lang w:val="pt-BR"/>
        </w:rPr>
        <w:t xml:space="preserve">ë </w:t>
      </w:r>
      <w:r w:rsidR="00261ADE" w:rsidRPr="00512EDB">
        <w:rPr>
          <w:bCs/>
          <w:lang w:val="pt-BR"/>
        </w:rPr>
        <w:t>e</w:t>
      </w:r>
      <w:r w:rsidRPr="00512EDB">
        <w:rPr>
          <w:bCs/>
          <w:lang w:val="pt-BR"/>
        </w:rPr>
        <w:t xml:space="preserve"> Përgjithshme të Tatimeve, </w:t>
      </w:r>
      <w:r w:rsidRPr="00512EDB">
        <w:rPr>
          <w:bCs/>
          <w:lang w:val="it-IT"/>
        </w:rPr>
        <w:t>dhe</w:t>
      </w:r>
      <w:r w:rsidR="00261ADE" w:rsidRPr="00512EDB">
        <w:t xml:space="preserve"> </w:t>
      </w:r>
      <w:proofErr w:type="spellStart"/>
      <w:r w:rsidR="00261ADE" w:rsidRPr="00512EDB">
        <w:t>n</w:t>
      </w:r>
      <w:r w:rsidR="00F93CF4" w:rsidRPr="00512EDB">
        <w:t>ë</w:t>
      </w:r>
      <w:proofErr w:type="spellEnd"/>
      <w:r w:rsidR="00261ADE" w:rsidRPr="00512EDB">
        <w:t xml:space="preserve"> </w:t>
      </w:r>
      <w:proofErr w:type="spellStart"/>
      <w:r w:rsidR="00261ADE" w:rsidRPr="00512EDB">
        <w:t>Drejtorin</w:t>
      </w:r>
      <w:r w:rsidR="00F93CF4" w:rsidRPr="00512EDB">
        <w:t>ë</w:t>
      </w:r>
      <w:proofErr w:type="spellEnd"/>
      <w:r w:rsidR="00261ADE" w:rsidRPr="00512EDB">
        <w:t xml:space="preserve"> e </w:t>
      </w:r>
      <w:proofErr w:type="spellStart"/>
      <w:r w:rsidR="00261ADE" w:rsidRPr="00512EDB">
        <w:t>Apelimit</w:t>
      </w:r>
      <w:proofErr w:type="spellEnd"/>
      <w:r w:rsidR="00261ADE" w:rsidRPr="00512EDB">
        <w:t xml:space="preserve"> </w:t>
      </w:r>
      <w:proofErr w:type="spellStart"/>
      <w:r w:rsidR="00261ADE" w:rsidRPr="00512EDB">
        <w:t>Tatimor</w:t>
      </w:r>
      <w:proofErr w:type="spellEnd"/>
      <w:r w:rsidR="00261ADE" w:rsidRPr="00512EDB">
        <w:t xml:space="preserve"> </w:t>
      </w:r>
      <w:proofErr w:type="spellStart"/>
      <w:r w:rsidR="00261ADE" w:rsidRPr="00512EDB">
        <w:t>pran</w:t>
      </w:r>
      <w:r w:rsidR="00F93CF4" w:rsidRPr="00512EDB">
        <w:t>ë</w:t>
      </w:r>
      <w:proofErr w:type="spellEnd"/>
      <w:r w:rsidR="00261ADE" w:rsidRPr="00512EDB">
        <w:t xml:space="preserve"> </w:t>
      </w:r>
      <w:proofErr w:type="spellStart"/>
      <w:r w:rsidR="00261ADE" w:rsidRPr="00512EDB">
        <w:t>Ministris</w:t>
      </w:r>
      <w:r w:rsidR="00F93CF4" w:rsidRPr="00512EDB">
        <w:t>ë</w:t>
      </w:r>
      <w:proofErr w:type="spellEnd"/>
      <w:r w:rsidR="00261ADE" w:rsidRPr="00512EDB">
        <w:t xml:space="preserve"> </w:t>
      </w:r>
      <w:proofErr w:type="spellStart"/>
      <w:r w:rsidR="00261ADE" w:rsidRPr="00512EDB">
        <w:t>s</w:t>
      </w:r>
      <w:r w:rsidR="00F93CF4" w:rsidRPr="00512EDB">
        <w:t>ë</w:t>
      </w:r>
      <w:proofErr w:type="spellEnd"/>
      <w:r w:rsidR="00261ADE" w:rsidRPr="00512EDB">
        <w:t xml:space="preserve"> </w:t>
      </w:r>
      <w:proofErr w:type="spellStart"/>
      <w:r w:rsidR="00261ADE" w:rsidRPr="00512EDB">
        <w:t>Financave</w:t>
      </w:r>
      <w:proofErr w:type="spellEnd"/>
      <w:r w:rsidR="00261ADE" w:rsidRPr="00512EDB">
        <w:t xml:space="preserve"> </w:t>
      </w:r>
      <w:r w:rsidRPr="00512EDB">
        <w:t xml:space="preserve">me </w:t>
      </w:r>
      <w:proofErr w:type="spellStart"/>
      <w:r w:rsidRPr="00512EDB">
        <w:t>Objekt</w:t>
      </w:r>
      <w:proofErr w:type="spellEnd"/>
      <w:r w:rsidRPr="00512EDB">
        <w:t>:</w:t>
      </w:r>
      <w:r w:rsidR="007338C9" w:rsidRPr="00512EDB">
        <w:rPr>
          <w:bCs/>
        </w:rPr>
        <w:t xml:space="preserve"> </w:t>
      </w:r>
      <w:proofErr w:type="spellStart"/>
      <w:r w:rsidR="007338C9" w:rsidRPr="00512EDB">
        <w:rPr>
          <w:bCs/>
        </w:rPr>
        <w:t>Kërkesë</w:t>
      </w:r>
      <w:proofErr w:type="spellEnd"/>
      <w:r w:rsidR="007338C9" w:rsidRPr="00512EDB">
        <w:rPr>
          <w:bCs/>
        </w:rPr>
        <w:t xml:space="preserve"> </w:t>
      </w:r>
      <w:proofErr w:type="spellStart"/>
      <w:r w:rsidR="007338C9" w:rsidRPr="00512EDB">
        <w:rPr>
          <w:bCs/>
        </w:rPr>
        <w:t>për</w:t>
      </w:r>
      <w:proofErr w:type="spellEnd"/>
      <w:r w:rsidR="007338C9" w:rsidRPr="00512EDB">
        <w:rPr>
          <w:bCs/>
        </w:rPr>
        <w:t xml:space="preserve"> </w:t>
      </w:r>
      <w:proofErr w:type="spellStart"/>
      <w:r w:rsidR="007338C9" w:rsidRPr="00512EDB">
        <w:rPr>
          <w:bCs/>
        </w:rPr>
        <w:t>apelim</w:t>
      </w:r>
      <w:proofErr w:type="spellEnd"/>
      <w:r w:rsidR="007338C9" w:rsidRPr="00512EDB">
        <w:rPr>
          <w:bCs/>
        </w:rPr>
        <w:t xml:space="preserve"> </w:t>
      </w:r>
      <w:proofErr w:type="spellStart"/>
      <w:r w:rsidR="007338C9" w:rsidRPr="00512EDB">
        <w:rPr>
          <w:bCs/>
        </w:rPr>
        <w:t>të</w:t>
      </w:r>
      <w:proofErr w:type="spellEnd"/>
      <w:r w:rsidR="007338C9" w:rsidRPr="00512EDB">
        <w:rPr>
          <w:bCs/>
        </w:rPr>
        <w:t xml:space="preserve"> </w:t>
      </w:r>
      <w:proofErr w:type="spellStart"/>
      <w:r w:rsidR="007338C9" w:rsidRPr="00512EDB">
        <w:rPr>
          <w:bCs/>
        </w:rPr>
        <w:t>aktit</w:t>
      </w:r>
      <w:proofErr w:type="spellEnd"/>
      <w:r w:rsidR="007338C9" w:rsidRPr="00512EDB">
        <w:rPr>
          <w:bCs/>
        </w:rPr>
        <w:t xml:space="preserve"> </w:t>
      </w:r>
      <w:proofErr w:type="spellStart"/>
      <w:r w:rsidR="007338C9" w:rsidRPr="00512EDB">
        <w:rPr>
          <w:bCs/>
        </w:rPr>
        <w:t>administrativ</w:t>
      </w:r>
      <w:proofErr w:type="spellEnd"/>
      <w:r w:rsidR="007338C9" w:rsidRPr="00512EDB">
        <w:rPr>
          <w:bCs/>
        </w:rPr>
        <w:t xml:space="preserve"> </w:t>
      </w:r>
      <w:proofErr w:type="spellStart"/>
      <w:r w:rsidR="007338C9" w:rsidRPr="00512EDB">
        <w:rPr>
          <w:bCs/>
        </w:rPr>
        <w:t>Njoftim</w:t>
      </w:r>
      <w:proofErr w:type="spellEnd"/>
      <w:r w:rsidR="007338C9" w:rsidRPr="00512EDB">
        <w:rPr>
          <w:bCs/>
        </w:rPr>
        <w:t xml:space="preserve"> </w:t>
      </w:r>
      <w:proofErr w:type="spellStart"/>
      <w:r w:rsidR="007338C9" w:rsidRPr="00512EDB">
        <w:rPr>
          <w:bCs/>
        </w:rPr>
        <w:t>V</w:t>
      </w:r>
      <w:r w:rsidR="00EB6274">
        <w:rPr>
          <w:bCs/>
        </w:rPr>
        <w:t>lerësimi</w:t>
      </w:r>
      <w:proofErr w:type="spellEnd"/>
      <w:r w:rsidR="00EB6274">
        <w:rPr>
          <w:bCs/>
        </w:rPr>
        <w:t xml:space="preserve"> </w:t>
      </w:r>
      <w:proofErr w:type="spellStart"/>
      <w:r w:rsidR="00EB6274">
        <w:rPr>
          <w:bCs/>
        </w:rPr>
        <w:t>për</w:t>
      </w:r>
      <w:proofErr w:type="spellEnd"/>
      <w:r w:rsidR="00EB6274">
        <w:rPr>
          <w:bCs/>
        </w:rPr>
        <w:t xml:space="preserve"> </w:t>
      </w:r>
      <w:proofErr w:type="spellStart"/>
      <w:r w:rsidR="00EB6274">
        <w:rPr>
          <w:bCs/>
        </w:rPr>
        <w:t>Detyrimet</w:t>
      </w:r>
      <w:proofErr w:type="spellEnd"/>
      <w:r w:rsidR="00EB6274">
        <w:rPr>
          <w:bCs/>
        </w:rPr>
        <w:t xml:space="preserve"> </w:t>
      </w:r>
      <w:proofErr w:type="spellStart"/>
      <w:r w:rsidR="00EB6274">
        <w:rPr>
          <w:bCs/>
        </w:rPr>
        <w:t>Tatimore</w:t>
      </w:r>
      <w:proofErr w:type="spellEnd"/>
      <w:r w:rsidR="00EB6274">
        <w:rPr>
          <w:bCs/>
        </w:rPr>
        <w:t xml:space="preserve">, </w:t>
      </w:r>
      <w:proofErr w:type="spellStart"/>
      <w:r w:rsidR="00EB6274">
        <w:rPr>
          <w:bCs/>
        </w:rPr>
        <w:t>ku</w:t>
      </w:r>
      <w:proofErr w:type="spellEnd"/>
      <w:r w:rsidR="00EB6274">
        <w:rPr>
          <w:bCs/>
        </w:rPr>
        <w:t xml:space="preserve"> </w:t>
      </w:r>
      <w:proofErr w:type="spellStart"/>
      <w:r w:rsidR="00EB6274">
        <w:rPr>
          <w:bCs/>
        </w:rPr>
        <w:t>janë</w:t>
      </w:r>
      <w:proofErr w:type="spellEnd"/>
      <w:r w:rsidR="00EB6274">
        <w:rPr>
          <w:bCs/>
        </w:rPr>
        <w:t xml:space="preserve"> </w:t>
      </w:r>
      <w:proofErr w:type="spellStart"/>
      <w:r w:rsidR="00EB6274">
        <w:rPr>
          <w:bCs/>
        </w:rPr>
        <w:t>përcaktuar</w:t>
      </w:r>
      <w:proofErr w:type="spellEnd"/>
      <w:r w:rsidR="00EB6274">
        <w:rPr>
          <w:bCs/>
        </w:rPr>
        <w:t xml:space="preserve"> </w:t>
      </w:r>
      <w:proofErr w:type="spellStart"/>
      <w:r w:rsidRPr="002565F8">
        <w:rPr>
          <w:bCs/>
        </w:rPr>
        <w:t>detyrime</w:t>
      </w:r>
      <w:r w:rsidR="00EB6274">
        <w:rPr>
          <w:bCs/>
        </w:rPr>
        <w:t>t</w:t>
      </w:r>
      <w:proofErr w:type="spellEnd"/>
      <w:r w:rsidR="00EB6274">
        <w:rPr>
          <w:bCs/>
        </w:rPr>
        <w:t xml:space="preserve"> </w:t>
      </w:r>
      <w:proofErr w:type="spellStart"/>
      <w:r w:rsidR="00EB6274">
        <w:rPr>
          <w:bCs/>
        </w:rPr>
        <w:t>si</w:t>
      </w:r>
      <w:proofErr w:type="spellEnd"/>
      <w:r w:rsidR="00EB6274">
        <w:rPr>
          <w:bCs/>
        </w:rPr>
        <w:t xml:space="preserve"> </w:t>
      </w:r>
      <w:proofErr w:type="spellStart"/>
      <w:r w:rsidR="00EB6274">
        <w:rPr>
          <w:bCs/>
        </w:rPr>
        <w:t>më</w:t>
      </w:r>
      <w:proofErr w:type="spellEnd"/>
      <w:r w:rsidR="00EB6274">
        <w:rPr>
          <w:bCs/>
        </w:rPr>
        <w:t xml:space="preserve"> </w:t>
      </w:r>
      <w:proofErr w:type="spellStart"/>
      <w:r w:rsidR="00EB6274">
        <w:rPr>
          <w:bCs/>
        </w:rPr>
        <w:t>poshtë</w:t>
      </w:r>
      <w:proofErr w:type="spellEnd"/>
      <w:r w:rsidRPr="002565F8">
        <w:rPr>
          <w:bCs/>
        </w:rPr>
        <w:t>:</w:t>
      </w:r>
    </w:p>
    <w:p w:rsidR="00EB6274" w:rsidRDefault="00EB6274" w:rsidP="002479B5">
      <w:pPr>
        <w:tabs>
          <w:tab w:val="left" w:pos="1260"/>
        </w:tabs>
        <w:spacing w:line="276" w:lineRule="auto"/>
        <w:jc w:val="both"/>
        <w:rPr>
          <w:bCs/>
        </w:rPr>
      </w:pPr>
      <w:bookmarkStart w:id="0" w:name="_GoBack"/>
      <w:bookmarkEnd w:id="0"/>
    </w:p>
    <w:tbl>
      <w:tblPr>
        <w:tblStyle w:val="TableGrid"/>
        <w:tblW w:w="8797" w:type="dxa"/>
        <w:tblInd w:w="198" w:type="dxa"/>
        <w:tblLayout w:type="fixed"/>
        <w:tblLook w:val="04A0" w:firstRow="1" w:lastRow="0" w:firstColumn="1" w:lastColumn="0" w:noHBand="0" w:noVBand="1"/>
      </w:tblPr>
      <w:tblGrid>
        <w:gridCol w:w="540"/>
        <w:gridCol w:w="2880"/>
        <w:gridCol w:w="1957"/>
        <w:gridCol w:w="1913"/>
        <w:gridCol w:w="1507"/>
      </w:tblGrid>
      <w:tr w:rsidR="007338C9" w:rsidRPr="001539E2" w:rsidTr="007338C9">
        <w:tc>
          <w:tcPr>
            <w:tcW w:w="540" w:type="dxa"/>
          </w:tcPr>
          <w:p w:rsidR="007338C9" w:rsidRPr="001539E2" w:rsidRDefault="007338C9" w:rsidP="002479B5">
            <w:pPr>
              <w:pStyle w:val="Header"/>
              <w:tabs>
                <w:tab w:val="left" w:pos="720"/>
              </w:tabs>
              <w:spacing w:line="276" w:lineRule="auto"/>
              <w:jc w:val="both"/>
              <w:rPr>
                <w:b/>
              </w:rPr>
            </w:pPr>
            <w:r>
              <w:rPr>
                <w:b/>
              </w:rPr>
              <w:t>Nr</w:t>
            </w:r>
          </w:p>
        </w:tc>
        <w:tc>
          <w:tcPr>
            <w:tcW w:w="2880" w:type="dxa"/>
          </w:tcPr>
          <w:p w:rsidR="007338C9" w:rsidRPr="001539E2" w:rsidRDefault="007338C9" w:rsidP="002479B5">
            <w:pPr>
              <w:pStyle w:val="Header"/>
              <w:tabs>
                <w:tab w:val="left" w:pos="720"/>
              </w:tabs>
              <w:spacing w:line="276" w:lineRule="auto"/>
              <w:jc w:val="both"/>
              <w:rPr>
                <w:b/>
              </w:rPr>
            </w:pPr>
            <w:proofErr w:type="spellStart"/>
            <w:r w:rsidRPr="001539E2">
              <w:rPr>
                <w:b/>
              </w:rPr>
              <w:t>Tatimi</w:t>
            </w:r>
            <w:proofErr w:type="spellEnd"/>
          </w:p>
        </w:tc>
        <w:tc>
          <w:tcPr>
            <w:tcW w:w="1957" w:type="dxa"/>
          </w:tcPr>
          <w:p w:rsidR="007338C9" w:rsidRPr="001539E2" w:rsidRDefault="007338C9" w:rsidP="002479B5">
            <w:pPr>
              <w:pStyle w:val="Header"/>
              <w:tabs>
                <w:tab w:val="left" w:pos="720"/>
              </w:tabs>
              <w:spacing w:line="276" w:lineRule="auto"/>
              <w:jc w:val="both"/>
              <w:rPr>
                <w:b/>
              </w:rPr>
            </w:pPr>
            <w:proofErr w:type="spellStart"/>
            <w:r w:rsidRPr="001539E2">
              <w:rPr>
                <w:b/>
              </w:rPr>
              <w:t>Periudha</w:t>
            </w:r>
            <w:proofErr w:type="spellEnd"/>
          </w:p>
        </w:tc>
        <w:tc>
          <w:tcPr>
            <w:tcW w:w="1913" w:type="dxa"/>
          </w:tcPr>
          <w:p w:rsidR="007338C9" w:rsidRPr="001539E2" w:rsidRDefault="007338C9" w:rsidP="002479B5">
            <w:pPr>
              <w:pStyle w:val="Header"/>
              <w:tabs>
                <w:tab w:val="left" w:pos="720"/>
              </w:tabs>
              <w:spacing w:line="276" w:lineRule="auto"/>
              <w:jc w:val="both"/>
              <w:rPr>
                <w:b/>
              </w:rPr>
            </w:pPr>
            <w:proofErr w:type="spellStart"/>
            <w:r>
              <w:rPr>
                <w:b/>
              </w:rPr>
              <w:t>Kamat</w:t>
            </w:r>
            <w:r w:rsidR="00EC0017">
              <w:rPr>
                <w:b/>
              </w:rPr>
              <w:t>ë</w:t>
            </w:r>
            <w:r>
              <w:rPr>
                <w:b/>
              </w:rPr>
              <w:t>vones</w:t>
            </w:r>
            <w:r w:rsidR="00EC0017">
              <w:rPr>
                <w:b/>
              </w:rPr>
              <w:t>ë</w:t>
            </w:r>
            <w:proofErr w:type="spellEnd"/>
            <w:r>
              <w:rPr>
                <w:b/>
              </w:rPr>
              <w:t xml:space="preserve"> (</w:t>
            </w:r>
            <w:proofErr w:type="spellStart"/>
            <w:r>
              <w:rPr>
                <w:b/>
              </w:rPr>
              <w:t>lekë</w:t>
            </w:r>
            <w:proofErr w:type="spellEnd"/>
            <w:r>
              <w:rPr>
                <w:b/>
              </w:rPr>
              <w:t>)</w:t>
            </w:r>
          </w:p>
        </w:tc>
        <w:tc>
          <w:tcPr>
            <w:tcW w:w="1507" w:type="dxa"/>
          </w:tcPr>
          <w:p w:rsidR="007338C9" w:rsidRDefault="007338C9" w:rsidP="002479B5">
            <w:pPr>
              <w:pStyle w:val="Header"/>
              <w:tabs>
                <w:tab w:val="left" w:pos="720"/>
              </w:tabs>
              <w:spacing w:line="276" w:lineRule="auto"/>
              <w:jc w:val="both"/>
              <w:rPr>
                <w:b/>
              </w:rPr>
            </w:pPr>
            <w:proofErr w:type="spellStart"/>
            <w:r>
              <w:rPr>
                <w:b/>
              </w:rPr>
              <w:t>Gjob</w:t>
            </w:r>
            <w:r w:rsidR="00EC0017">
              <w:rPr>
                <w:b/>
              </w:rPr>
              <w:t>ë</w:t>
            </w:r>
            <w:proofErr w:type="spellEnd"/>
            <w:r>
              <w:rPr>
                <w:b/>
              </w:rPr>
              <w:t xml:space="preserve"> (</w:t>
            </w:r>
            <w:proofErr w:type="spellStart"/>
            <w:r>
              <w:rPr>
                <w:b/>
              </w:rPr>
              <w:t>lek</w:t>
            </w:r>
            <w:r w:rsidR="00EC0017">
              <w:rPr>
                <w:b/>
              </w:rPr>
              <w:t>ë</w:t>
            </w:r>
            <w:proofErr w:type="spellEnd"/>
            <w:r>
              <w:rPr>
                <w:b/>
              </w:rPr>
              <w:t>)</w:t>
            </w:r>
          </w:p>
        </w:tc>
      </w:tr>
      <w:tr w:rsidR="007338C9" w:rsidRPr="001539E2" w:rsidTr="007338C9">
        <w:tc>
          <w:tcPr>
            <w:tcW w:w="540" w:type="dxa"/>
          </w:tcPr>
          <w:p w:rsidR="007338C9" w:rsidRDefault="007338C9" w:rsidP="002479B5">
            <w:pPr>
              <w:pStyle w:val="Header"/>
              <w:tabs>
                <w:tab w:val="left" w:pos="720"/>
              </w:tabs>
              <w:spacing w:line="276" w:lineRule="auto"/>
              <w:jc w:val="both"/>
            </w:pPr>
            <w:r>
              <w:t>1</w:t>
            </w:r>
          </w:p>
        </w:tc>
        <w:tc>
          <w:tcPr>
            <w:tcW w:w="2880" w:type="dxa"/>
          </w:tcPr>
          <w:p w:rsidR="007338C9" w:rsidRDefault="007338C9" w:rsidP="002479B5">
            <w:pPr>
              <w:pStyle w:val="Header"/>
              <w:tabs>
                <w:tab w:val="left" w:pos="720"/>
              </w:tabs>
              <w:spacing w:line="276" w:lineRule="auto"/>
              <w:jc w:val="both"/>
            </w:pPr>
            <w:proofErr w:type="spellStart"/>
            <w:r>
              <w:t>Sigurime</w:t>
            </w:r>
            <w:proofErr w:type="spellEnd"/>
            <w:r>
              <w:t xml:space="preserve"> </w:t>
            </w:r>
            <w:proofErr w:type="spellStart"/>
            <w:r>
              <w:t>Shoq</w:t>
            </w:r>
            <w:r w:rsidR="00EC0017">
              <w:t>ë</w:t>
            </w:r>
            <w:r>
              <w:t>rore</w:t>
            </w:r>
            <w:proofErr w:type="spellEnd"/>
            <w:r>
              <w:t xml:space="preserve"> </w:t>
            </w:r>
          </w:p>
        </w:tc>
        <w:tc>
          <w:tcPr>
            <w:tcW w:w="1957" w:type="dxa"/>
          </w:tcPr>
          <w:p w:rsidR="007338C9" w:rsidRDefault="007338C9" w:rsidP="002479B5">
            <w:pPr>
              <w:pStyle w:val="Header"/>
              <w:tabs>
                <w:tab w:val="left" w:pos="720"/>
              </w:tabs>
              <w:spacing w:line="276" w:lineRule="auto"/>
              <w:jc w:val="both"/>
            </w:pPr>
            <w:r>
              <w:t>2016/01</w:t>
            </w:r>
          </w:p>
        </w:tc>
        <w:tc>
          <w:tcPr>
            <w:tcW w:w="1913" w:type="dxa"/>
          </w:tcPr>
          <w:p w:rsidR="007338C9" w:rsidRDefault="007338C9" w:rsidP="002479B5">
            <w:pPr>
              <w:pStyle w:val="Header"/>
              <w:tabs>
                <w:tab w:val="left" w:pos="720"/>
              </w:tabs>
              <w:spacing w:line="276" w:lineRule="auto"/>
              <w:jc w:val="both"/>
            </w:pPr>
            <w:r>
              <w:t>7.006</w:t>
            </w:r>
          </w:p>
        </w:tc>
        <w:tc>
          <w:tcPr>
            <w:tcW w:w="1507" w:type="dxa"/>
          </w:tcPr>
          <w:p w:rsidR="007338C9" w:rsidRDefault="007338C9" w:rsidP="002479B5">
            <w:pPr>
              <w:pStyle w:val="Header"/>
              <w:tabs>
                <w:tab w:val="left" w:pos="720"/>
              </w:tabs>
              <w:spacing w:line="276" w:lineRule="auto"/>
              <w:jc w:val="both"/>
            </w:pPr>
            <w:r>
              <w:t>22.642</w:t>
            </w:r>
          </w:p>
        </w:tc>
      </w:tr>
      <w:tr w:rsidR="007338C9" w:rsidRPr="001539E2" w:rsidTr="007338C9">
        <w:tc>
          <w:tcPr>
            <w:tcW w:w="540" w:type="dxa"/>
          </w:tcPr>
          <w:p w:rsidR="007338C9" w:rsidRDefault="007338C9" w:rsidP="002479B5">
            <w:pPr>
              <w:pStyle w:val="Header"/>
              <w:tabs>
                <w:tab w:val="left" w:pos="720"/>
              </w:tabs>
              <w:spacing w:line="276" w:lineRule="auto"/>
              <w:jc w:val="both"/>
            </w:pPr>
            <w:r>
              <w:t>2</w:t>
            </w:r>
          </w:p>
        </w:tc>
        <w:tc>
          <w:tcPr>
            <w:tcW w:w="2880" w:type="dxa"/>
          </w:tcPr>
          <w:p w:rsidR="007338C9" w:rsidRDefault="007338C9" w:rsidP="002479B5">
            <w:pPr>
              <w:pStyle w:val="Header"/>
              <w:tabs>
                <w:tab w:val="left" w:pos="720"/>
              </w:tabs>
              <w:spacing w:line="276" w:lineRule="auto"/>
              <w:jc w:val="both"/>
            </w:pPr>
            <w:r>
              <w:t>TAP</w:t>
            </w:r>
          </w:p>
        </w:tc>
        <w:tc>
          <w:tcPr>
            <w:tcW w:w="1957" w:type="dxa"/>
          </w:tcPr>
          <w:p w:rsidR="007338C9" w:rsidRDefault="007338C9" w:rsidP="002479B5">
            <w:pPr>
              <w:pStyle w:val="Header"/>
              <w:tabs>
                <w:tab w:val="left" w:pos="720"/>
              </w:tabs>
              <w:spacing w:line="276" w:lineRule="auto"/>
              <w:jc w:val="both"/>
            </w:pPr>
            <w:r>
              <w:t>2016/01</w:t>
            </w:r>
          </w:p>
        </w:tc>
        <w:tc>
          <w:tcPr>
            <w:tcW w:w="1913" w:type="dxa"/>
          </w:tcPr>
          <w:p w:rsidR="007338C9" w:rsidRDefault="007338C9" w:rsidP="002479B5">
            <w:pPr>
              <w:pStyle w:val="Header"/>
              <w:tabs>
                <w:tab w:val="left" w:pos="720"/>
              </w:tabs>
              <w:spacing w:line="276" w:lineRule="auto"/>
              <w:jc w:val="both"/>
            </w:pPr>
            <w:r>
              <w:t xml:space="preserve">   893</w:t>
            </w:r>
          </w:p>
        </w:tc>
        <w:tc>
          <w:tcPr>
            <w:tcW w:w="1507" w:type="dxa"/>
          </w:tcPr>
          <w:p w:rsidR="007338C9" w:rsidRDefault="007338C9" w:rsidP="002479B5">
            <w:pPr>
              <w:pStyle w:val="Header"/>
              <w:tabs>
                <w:tab w:val="left" w:pos="720"/>
              </w:tabs>
              <w:spacing w:line="276" w:lineRule="auto"/>
              <w:jc w:val="both"/>
            </w:pPr>
            <w:r>
              <w:t xml:space="preserve">  2.887</w:t>
            </w:r>
          </w:p>
        </w:tc>
      </w:tr>
    </w:tbl>
    <w:p w:rsidR="002479B5" w:rsidRDefault="002479B5" w:rsidP="002479B5">
      <w:pPr>
        <w:pStyle w:val="Header"/>
        <w:tabs>
          <w:tab w:val="left" w:pos="720"/>
        </w:tabs>
        <w:spacing w:line="276" w:lineRule="auto"/>
        <w:jc w:val="both"/>
        <w:rPr>
          <w:lang w:val="it-IT"/>
        </w:rPr>
      </w:pPr>
    </w:p>
    <w:p w:rsidR="002479B5" w:rsidRDefault="00AA2A5E" w:rsidP="002479B5">
      <w:pPr>
        <w:pStyle w:val="Header"/>
        <w:tabs>
          <w:tab w:val="left" w:pos="720"/>
        </w:tabs>
        <w:spacing w:line="276" w:lineRule="auto"/>
        <w:jc w:val="both"/>
        <w:rPr>
          <w:lang w:val="it-IT"/>
        </w:rPr>
      </w:pPr>
      <w:r>
        <w:rPr>
          <w:lang w:val="it-IT"/>
        </w:rPr>
        <w:t>Fillimisht b</w:t>
      </w:r>
      <w:r w:rsidRPr="00B84F16">
        <w:rPr>
          <w:lang w:val="it-IT"/>
        </w:rPr>
        <w:t>ëjmë me dije se, Drejtoria e Apelimit Tatimor shqyrton ankimin tatimor dhe merr vendim në bazë të provave dhe argumentave të paraqitura nga tatimpaguesi, vetëm pasi të jenë plotësuar kërkesat ligjore të përcaktuara në nenin 106 dhe 107 të Ligjit Nr.9920 datë 19.05.2008, “Për Procedurat Tatimore në R.SH-së”(i ndryshuar).</w:t>
      </w:r>
    </w:p>
    <w:p w:rsidR="002479B5" w:rsidRDefault="002479B5" w:rsidP="002479B5">
      <w:pPr>
        <w:pStyle w:val="Header"/>
        <w:tabs>
          <w:tab w:val="left" w:pos="720"/>
        </w:tabs>
        <w:spacing w:line="276" w:lineRule="auto"/>
        <w:jc w:val="both"/>
        <w:rPr>
          <w:lang w:val="it-IT"/>
        </w:rPr>
      </w:pPr>
    </w:p>
    <w:p w:rsidR="00AA2A5E" w:rsidRPr="00AA2A5E" w:rsidRDefault="00AA2A5E" w:rsidP="002479B5">
      <w:pPr>
        <w:pStyle w:val="Header"/>
        <w:tabs>
          <w:tab w:val="left" w:pos="720"/>
        </w:tabs>
        <w:spacing w:line="276" w:lineRule="auto"/>
        <w:jc w:val="both"/>
        <w:rPr>
          <w:lang w:val="it-IT"/>
        </w:rPr>
      </w:pPr>
      <w:r>
        <w:rPr>
          <w:lang w:val="it-IT"/>
        </w:rPr>
        <w:t xml:space="preserve">Lidhur me plotësimin e kushtit të përcaktuar në nenin 107 të ligjit, sipas përmbajtjes </w:t>
      </w:r>
      <w:r>
        <w:rPr>
          <w:bCs/>
          <w:lang w:val="it-IT"/>
        </w:rPr>
        <w:t xml:space="preserve">së kërkeses ankimore </w:t>
      </w:r>
      <w:r>
        <w:rPr>
          <w:lang w:val="it-IT"/>
        </w:rPr>
        <w:t xml:space="preserve">ankimuesi nuk pretendon dhe nuk rezulton të ketë paraqitur dokumentacion i cili provon përmbushjen e detyrimit për kamatvonesa. </w:t>
      </w:r>
      <w:r>
        <w:rPr>
          <w:bCs/>
          <w:lang w:val="it-IT"/>
        </w:rPr>
        <w:t>Sa më sipër, Drejtoria e Apelimit Tatimor e konsideron të paplotësuar kushtin e përcaktuar në nenin 107 të ligjit, dhe do të vendos për refuzim të ankimit duke argumentuar se:</w:t>
      </w:r>
    </w:p>
    <w:p w:rsidR="00AA2A5E" w:rsidRDefault="00AA2A5E" w:rsidP="002479B5">
      <w:pPr>
        <w:pStyle w:val="Default"/>
        <w:spacing w:line="276" w:lineRule="auto"/>
        <w:jc w:val="both"/>
        <w:rPr>
          <w:bCs/>
          <w:lang w:val="it-IT"/>
        </w:rPr>
      </w:pPr>
    </w:p>
    <w:p w:rsidR="00AA2A5E" w:rsidRPr="00EC0017" w:rsidRDefault="00AA2A5E" w:rsidP="002479B5">
      <w:pPr>
        <w:pStyle w:val="Default"/>
        <w:spacing w:line="276" w:lineRule="auto"/>
        <w:jc w:val="both"/>
        <w:rPr>
          <w:bCs/>
        </w:rPr>
      </w:pPr>
      <w:r w:rsidRPr="00EC0017">
        <w:rPr>
          <w:bCs/>
          <w:lang w:val="it-IT"/>
        </w:rPr>
        <w:t xml:space="preserve">Në nenin </w:t>
      </w:r>
      <w:r w:rsidRPr="00EC0017">
        <w:t xml:space="preserve">107 </w:t>
      </w:r>
      <w:proofErr w:type="spellStart"/>
      <w:r w:rsidRPr="00EC0017">
        <w:rPr>
          <w:bCs/>
        </w:rPr>
        <w:t>Pagesa</w:t>
      </w:r>
      <w:proofErr w:type="spellEnd"/>
      <w:r w:rsidRPr="00EC0017">
        <w:rPr>
          <w:bCs/>
        </w:rPr>
        <w:t xml:space="preserve"> e </w:t>
      </w:r>
      <w:proofErr w:type="spellStart"/>
      <w:r w:rsidRPr="00EC0017">
        <w:rPr>
          <w:bCs/>
        </w:rPr>
        <w:t>detyrimit</w:t>
      </w:r>
      <w:proofErr w:type="spellEnd"/>
      <w:r w:rsidRPr="00EC0017">
        <w:rPr>
          <w:bCs/>
        </w:rPr>
        <w:t xml:space="preserve"> </w:t>
      </w:r>
      <w:proofErr w:type="spellStart"/>
      <w:r w:rsidRPr="00EC0017">
        <w:rPr>
          <w:bCs/>
        </w:rPr>
        <w:t>tatimor</w:t>
      </w:r>
      <w:proofErr w:type="spellEnd"/>
      <w:r w:rsidRPr="00EC0017">
        <w:rPr>
          <w:bCs/>
        </w:rPr>
        <w:t xml:space="preserve">, </w:t>
      </w:r>
      <w:proofErr w:type="spellStart"/>
      <w:r w:rsidRPr="00EC0017">
        <w:rPr>
          <w:bCs/>
        </w:rPr>
        <w:t>objekt</w:t>
      </w:r>
      <w:proofErr w:type="spellEnd"/>
      <w:r w:rsidRPr="00EC0017">
        <w:rPr>
          <w:bCs/>
        </w:rPr>
        <w:t xml:space="preserve"> </w:t>
      </w:r>
      <w:proofErr w:type="spellStart"/>
      <w:r w:rsidRPr="00EC0017">
        <w:rPr>
          <w:bCs/>
        </w:rPr>
        <w:t>ankimi</w:t>
      </w:r>
      <w:proofErr w:type="spellEnd"/>
      <w:r w:rsidRPr="00EC0017">
        <w:rPr>
          <w:bCs/>
        </w:rPr>
        <w:t xml:space="preserve">, </w:t>
      </w:r>
      <w:proofErr w:type="spellStart"/>
      <w:r w:rsidRPr="00EC0017">
        <w:rPr>
          <w:bCs/>
        </w:rPr>
        <w:t>të</w:t>
      </w:r>
      <w:proofErr w:type="spellEnd"/>
      <w:r w:rsidRPr="00EC0017">
        <w:rPr>
          <w:bCs/>
        </w:rPr>
        <w:t xml:space="preserve"> </w:t>
      </w:r>
      <w:proofErr w:type="spellStart"/>
      <w:r w:rsidRPr="00EC0017">
        <w:rPr>
          <w:bCs/>
        </w:rPr>
        <w:t>ligjit</w:t>
      </w:r>
      <w:proofErr w:type="spellEnd"/>
      <w:r w:rsidRPr="00EC0017">
        <w:rPr>
          <w:bCs/>
        </w:rPr>
        <w:t xml:space="preserve"> 9920, i </w:t>
      </w:r>
      <w:proofErr w:type="spellStart"/>
      <w:r w:rsidRPr="00EC0017">
        <w:rPr>
          <w:bCs/>
        </w:rPr>
        <w:t>ndryshuar</w:t>
      </w:r>
      <w:proofErr w:type="spellEnd"/>
      <w:r w:rsidRPr="00EC0017">
        <w:rPr>
          <w:bCs/>
        </w:rPr>
        <w:t xml:space="preserve"> me </w:t>
      </w:r>
      <w:proofErr w:type="spellStart"/>
      <w:r w:rsidRPr="00EC0017">
        <w:rPr>
          <w:bCs/>
        </w:rPr>
        <w:t>ligjin</w:t>
      </w:r>
      <w:proofErr w:type="spellEnd"/>
      <w:r w:rsidRPr="00EC0017">
        <w:rPr>
          <w:bCs/>
        </w:rPr>
        <w:t xml:space="preserve"> 164/2014 </w:t>
      </w:r>
      <w:proofErr w:type="spellStart"/>
      <w:r w:rsidRPr="00EC0017">
        <w:rPr>
          <w:bCs/>
        </w:rPr>
        <w:t>është</w:t>
      </w:r>
      <w:proofErr w:type="spellEnd"/>
      <w:r w:rsidRPr="00EC0017">
        <w:rPr>
          <w:bCs/>
        </w:rPr>
        <w:t xml:space="preserve"> </w:t>
      </w:r>
      <w:proofErr w:type="spellStart"/>
      <w:r w:rsidRPr="00EC0017">
        <w:rPr>
          <w:bCs/>
        </w:rPr>
        <w:t>përcaktuar</w:t>
      </w:r>
      <w:proofErr w:type="spellEnd"/>
      <w:r w:rsidRPr="00EC0017">
        <w:rPr>
          <w:bCs/>
        </w:rPr>
        <w:t xml:space="preserve">: </w:t>
      </w:r>
    </w:p>
    <w:p w:rsidR="00AA2A5E" w:rsidRPr="00010DB3" w:rsidRDefault="00AA2A5E" w:rsidP="002479B5">
      <w:pPr>
        <w:pStyle w:val="Default"/>
        <w:spacing w:line="276" w:lineRule="auto"/>
        <w:jc w:val="both"/>
        <w:rPr>
          <w:i/>
          <w:u w:val="single"/>
        </w:rPr>
      </w:pPr>
      <w:proofErr w:type="gramStart"/>
      <w:r w:rsidRPr="000F0F74">
        <w:rPr>
          <w:i/>
        </w:rPr>
        <w:t>1.Tatimpaguesi</w:t>
      </w:r>
      <w:proofErr w:type="gramEnd"/>
      <w:r w:rsidRPr="000F0F74">
        <w:rPr>
          <w:i/>
        </w:rPr>
        <w:t xml:space="preserve">, i </w:t>
      </w:r>
      <w:proofErr w:type="spellStart"/>
      <w:r w:rsidRPr="000F0F74">
        <w:rPr>
          <w:i/>
        </w:rPr>
        <w:t>cili</w:t>
      </w:r>
      <w:proofErr w:type="spellEnd"/>
      <w:r w:rsidRPr="000F0F74">
        <w:rPr>
          <w:i/>
        </w:rPr>
        <w:t xml:space="preserve"> </w:t>
      </w:r>
      <w:proofErr w:type="spellStart"/>
      <w:r w:rsidRPr="000F0F74">
        <w:rPr>
          <w:i/>
        </w:rPr>
        <w:t>kërkon</w:t>
      </w:r>
      <w:proofErr w:type="spellEnd"/>
      <w:r w:rsidRPr="000F0F74">
        <w:rPr>
          <w:i/>
        </w:rPr>
        <w:t xml:space="preserve"> </w:t>
      </w:r>
      <w:proofErr w:type="spellStart"/>
      <w:r w:rsidRPr="000F0F74">
        <w:rPr>
          <w:i/>
        </w:rPr>
        <w:t>të</w:t>
      </w:r>
      <w:proofErr w:type="spellEnd"/>
      <w:r w:rsidRPr="000F0F74">
        <w:rPr>
          <w:i/>
        </w:rPr>
        <w:t xml:space="preserve"> </w:t>
      </w:r>
      <w:proofErr w:type="spellStart"/>
      <w:r w:rsidRPr="000F0F74">
        <w:rPr>
          <w:i/>
        </w:rPr>
        <w:t>ankimojë</w:t>
      </w:r>
      <w:proofErr w:type="spellEnd"/>
      <w:r w:rsidRPr="000F0F74">
        <w:rPr>
          <w:i/>
        </w:rPr>
        <w:t xml:space="preserve">, </w:t>
      </w:r>
      <w:proofErr w:type="spellStart"/>
      <w:r w:rsidRPr="000F0F74">
        <w:rPr>
          <w:i/>
        </w:rPr>
        <w:t>sipas</w:t>
      </w:r>
      <w:proofErr w:type="spellEnd"/>
      <w:r w:rsidRPr="000F0F74">
        <w:rPr>
          <w:i/>
        </w:rPr>
        <w:t xml:space="preserve"> </w:t>
      </w:r>
      <w:proofErr w:type="spellStart"/>
      <w:r w:rsidRPr="000F0F74">
        <w:rPr>
          <w:i/>
        </w:rPr>
        <w:t>pikës</w:t>
      </w:r>
      <w:proofErr w:type="spellEnd"/>
      <w:r w:rsidRPr="000F0F74">
        <w:rPr>
          <w:i/>
        </w:rPr>
        <w:t xml:space="preserve"> 1 </w:t>
      </w:r>
      <w:proofErr w:type="spellStart"/>
      <w:r w:rsidRPr="000F0F74">
        <w:rPr>
          <w:i/>
        </w:rPr>
        <w:t>të</w:t>
      </w:r>
      <w:proofErr w:type="spellEnd"/>
      <w:r w:rsidRPr="000F0F74">
        <w:rPr>
          <w:i/>
        </w:rPr>
        <w:t xml:space="preserve"> </w:t>
      </w:r>
      <w:proofErr w:type="spellStart"/>
      <w:r w:rsidRPr="000F0F74">
        <w:rPr>
          <w:i/>
        </w:rPr>
        <w:t>nenit</w:t>
      </w:r>
      <w:proofErr w:type="spellEnd"/>
      <w:r w:rsidRPr="000F0F74">
        <w:rPr>
          <w:i/>
        </w:rPr>
        <w:t xml:space="preserve"> 106 </w:t>
      </w:r>
      <w:proofErr w:type="spellStart"/>
      <w:r w:rsidRPr="000F0F74">
        <w:rPr>
          <w:i/>
        </w:rPr>
        <w:t>të</w:t>
      </w:r>
      <w:proofErr w:type="spellEnd"/>
      <w:r w:rsidRPr="000F0F74">
        <w:rPr>
          <w:i/>
        </w:rPr>
        <w:t xml:space="preserve"> </w:t>
      </w:r>
      <w:proofErr w:type="spellStart"/>
      <w:r w:rsidRPr="000F0F74">
        <w:rPr>
          <w:i/>
        </w:rPr>
        <w:t>këtij</w:t>
      </w:r>
      <w:proofErr w:type="spellEnd"/>
      <w:r w:rsidRPr="000F0F74">
        <w:rPr>
          <w:i/>
        </w:rPr>
        <w:t xml:space="preserve"> </w:t>
      </w:r>
      <w:proofErr w:type="spellStart"/>
      <w:r w:rsidRPr="000F0F74">
        <w:rPr>
          <w:i/>
        </w:rPr>
        <w:t>ligji</w:t>
      </w:r>
      <w:proofErr w:type="spellEnd"/>
      <w:r w:rsidRPr="000F0F74">
        <w:rPr>
          <w:i/>
        </w:rPr>
        <w:t xml:space="preserve">, </w:t>
      </w:r>
      <w:proofErr w:type="spellStart"/>
      <w:r w:rsidRPr="000F0F74">
        <w:rPr>
          <w:i/>
        </w:rPr>
        <w:t>duhet</w:t>
      </w:r>
      <w:proofErr w:type="spellEnd"/>
      <w:r w:rsidRPr="000F0F74">
        <w:rPr>
          <w:i/>
        </w:rPr>
        <w:t xml:space="preserve"> </w:t>
      </w:r>
      <w:proofErr w:type="spellStart"/>
      <w:r w:rsidRPr="000F0F74">
        <w:rPr>
          <w:i/>
        </w:rPr>
        <w:t>që</w:t>
      </w:r>
      <w:proofErr w:type="spellEnd"/>
      <w:r w:rsidRPr="000F0F74">
        <w:rPr>
          <w:i/>
        </w:rPr>
        <w:t xml:space="preserve"> </w:t>
      </w:r>
      <w:proofErr w:type="spellStart"/>
      <w:r w:rsidRPr="000F0F74">
        <w:rPr>
          <w:i/>
        </w:rPr>
        <w:t>bashkë</w:t>
      </w:r>
      <w:proofErr w:type="spellEnd"/>
      <w:r w:rsidRPr="000F0F74">
        <w:rPr>
          <w:i/>
        </w:rPr>
        <w:t xml:space="preserve"> me </w:t>
      </w:r>
      <w:proofErr w:type="spellStart"/>
      <w:r w:rsidRPr="000F0F74">
        <w:rPr>
          <w:i/>
        </w:rPr>
        <w:t>ankesën</w:t>
      </w:r>
      <w:proofErr w:type="spellEnd"/>
      <w:r w:rsidRPr="000F0F74">
        <w:rPr>
          <w:i/>
        </w:rPr>
        <w:t xml:space="preserve"> </w:t>
      </w:r>
      <w:proofErr w:type="spellStart"/>
      <w:r w:rsidRPr="000F0F74">
        <w:rPr>
          <w:i/>
        </w:rPr>
        <w:t>të</w:t>
      </w:r>
      <w:proofErr w:type="spellEnd"/>
      <w:r w:rsidRPr="000F0F74">
        <w:rPr>
          <w:i/>
        </w:rPr>
        <w:t xml:space="preserve"> </w:t>
      </w:r>
      <w:proofErr w:type="spellStart"/>
      <w:r w:rsidRPr="000F0F74">
        <w:rPr>
          <w:i/>
        </w:rPr>
        <w:t>paguajë</w:t>
      </w:r>
      <w:proofErr w:type="spellEnd"/>
      <w:r w:rsidRPr="000F0F74">
        <w:rPr>
          <w:i/>
        </w:rPr>
        <w:t xml:space="preserve"> </w:t>
      </w:r>
      <w:proofErr w:type="spellStart"/>
      <w:r w:rsidRPr="000F0F74">
        <w:rPr>
          <w:i/>
        </w:rPr>
        <w:t>shumën</w:t>
      </w:r>
      <w:proofErr w:type="spellEnd"/>
      <w:r w:rsidRPr="000F0F74">
        <w:rPr>
          <w:i/>
        </w:rPr>
        <w:t xml:space="preserve"> e </w:t>
      </w:r>
      <w:proofErr w:type="spellStart"/>
      <w:r w:rsidRPr="000F0F74">
        <w:rPr>
          <w:i/>
        </w:rPr>
        <w:t>plotë</w:t>
      </w:r>
      <w:proofErr w:type="spellEnd"/>
      <w:r w:rsidRPr="000F0F74">
        <w:rPr>
          <w:i/>
        </w:rPr>
        <w:t xml:space="preserve"> </w:t>
      </w:r>
      <w:proofErr w:type="spellStart"/>
      <w:r w:rsidRPr="000F0F74">
        <w:rPr>
          <w:i/>
        </w:rPr>
        <w:t>të</w:t>
      </w:r>
      <w:proofErr w:type="spellEnd"/>
      <w:r w:rsidRPr="000F0F74">
        <w:rPr>
          <w:i/>
        </w:rPr>
        <w:t xml:space="preserve"> </w:t>
      </w:r>
      <w:proofErr w:type="spellStart"/>
      <w:r w:rsidRPr="000F0F74">
        <w:rPr>
          <w:i/>
        </w:rPr>
        <w:t>detyrimit</w:t>
      </w:r>
      <w:proofErr w:type="spellEnd"/>
      <w:r w:rsidRPr="000F0F74">
        <w:rPr>
          <w:i/>
        </w:rPr>
        <w:t xml:space="preserve"> </w:t>
      </w:r>
      <w:proofErr w:type="spellStart"/>
      <w:r w:rsidRPr="000F0F74">
        <w:rPr>
          <w:i/>
        </w:rPr>
        <w:t>tatimor</w:t>
      </w:r>
      <w:proofErr w:type="spellEnd"/>
      <w:r w:rsidRPr="000F0F74">
        <w:rPr>
          <w:i/>
        </w:rPr>
        <w:t xml:space="preserve"> </w:t>
      </w:r>
      <w:proofErr w:type="spellStart"/>
      <w:r w:rsidRPr="000F0F74">
        <w:rPr>
          <w:i/>
        </w:rPr>
        <w:t>ose</w:t>
      </w:r>
      <w:proofErr w:type="spellEnd"/>
      <w:r w:rsidRPr="000F0F74">
        <w:rPr>
          <w:i/>
        </w:rPr>
        <w:t xml:space="preserve"> </w:t>
      </w:r>
      <w:proofErr w:type="spellStart"/>
      <w:r w:rsidRPr="000F0F74">
        <w:rPr>
          <w:i/>
        </w:rPr>
        <w:t>të</w:t>
      </w:r>
      <w:proofErr w:type="spellEnd"/>
      <w:r w:rsidRPr="000F0F74">
        <w:rPr>
          <w:i/>
        </w:rPr>
        <w:t xml:space="preserve"> </w:t>
      </w:r>
      <w:proofErr w:type="spellStart"/>
      <w:r w:rsidRPr="000F0F74">
        <w:rPr>
          <w:i/>
        </w:rPr>
        <w:t>vendosë</w:t>
      </w:r>
      <w:proofErr w:type="spellEnd"/>
      <w:r w:rsidRPr="000F0F74">
        <w:rPr>
          <w:i/>
        </w:rPr>
        <w:t xml:space="preserve"> </w:t>
      </w:r>
      <w:proofErr w:type="spellStart"/>
      <w:r w:rsidRPr="000F0F74">
        <w:rPr>
          <w:i/>
        </w:rPr>
        <w:t>garanci</w:t>
      </w:r>
      <w:proofErr w:type="spellEnd"/>
      <w:r w:rsidRPr="000F0F74">
        <w:rPr>
          <w:i/>
        </w:rPr>
        <w:t xml:space="preserve"> </w:t>
      </w:r>
      <w:proofErr w:type="spellStart"/>
      <w:r w:rsidRPr="000F0F74">
        <w:rPr>
          <w:i/>
        </w:rPr>
        <w:lastRenderedPageBreak/>
        <w:t>bankare</w:t>
      </w:r>
      <w:proofErr w:type="spellEnd"/>
      <w:r w:rsidRPr="000F0F74">
        <w:rPr>
          <w:i/>
        </w:rPr>
        <w:t xml:space="preserve"> </w:t>
      </w:r>
      <w:proofErr w:type="spellStart"/>
      <w:r w:rsidRPr="000F0F74">
        <w:rPr>
          <w:i/>
        </w:rPr>
        <w:t>minimalisht</w:t>
      </w:r>
      <w:proofErr w:type="spellEnd"/>
      <w:r w:rsidRPr="000F0F74">
        <w:rPr>
          <w:i/>
        </w:rPr>
        <w:t xml:space="preserve"> 6 </w:t>
      </w:r>
      <w:proofErr w:type="spellStart"/>
      <w:r w:rsidRPr="000F0F74">
        <w:rPr>
          <w:i/>
        </w:rPr>
        <w:t>muaj</w:t>
      </w:r>
      <w:proofErr w:type="spellEnd"/>
      <w:r w:rsidRPr="000F0F74">
        <w:rPr>
          <w:i/>
        </w:rPr>
        <w:t xml:space="preserve">, </w:t>
      </w:r>
      <w:proofErr w:type="spellStart"/>
      <w:r w:rsidRPr="000F0F74">
        <w:rPr>
          <w:i/>
        </w:rPr>
        <w:t>por</w:t>
      </w:r>
      <w:proofErr w:type="spellEnd"/>
      <w:r w:rsidRPr="000F0F74">
        <w:rPr>
          <w:i/>
        </w:rPr>
        <w:t xml:space="preserve"> </w:t>
      </w:r>
      <w:proofErr w:type="spellStart"/>
      <w:r w:rsidRPr="000F0F74">
        <w:rPr>
          <w:i/>
        </w:rPr>
        <w:t>jo</w:t>
      </w:r>
      <w:proofErr w:type="spellEnd"/>
      <w:r w:rsidRPr="000F0F74">
        <w:rPr>
          <w:i/>
        </w:rPr>
        <w:t xml:space="preserve"> </w:t>
      </w:r>
      <w:proofErr w:type="spellStart"/>
      <w:r w:rsidRPr="000F0F74">
        <w:rPr>
          <w:i/>
        </w:rPr>
        <w:t>më</w:t>
      </w:r>
      <w:proofErr w:type="spellEnd"/>
      <w:r w:rsidRPr="000F0F74">
        <w:rPr>
          <w:i/>
        </w:rPr>
        <w:t xml:space="preserve"> </w:t>
      </w:r>
      <w:proofErr w:type="spellStart"/>
      <w:r w:rsidRPr="000F0F74">
        <w:rPr>
          <w:i/>
        </w:rPr>
        <w:t>pak</w:t>
      </w:r>
      <w:proofErr w:type="spellEnd"/>
      <w:r w:rsidRPr="000F0F74">
        <w:rPr>
          <w:i/>
        </w:rPr>
        <w:t xml:space="preserve"> se </w:t>
      </w:r>
      <w:proofErr w:type="spellStart"/>
      <w:r w:rsidRPr="000F0F74">
        <w:rPr>
          <w:i/>
        </w:rPr>
        <w:t>afati</w:t>
      </w:r>
      <w:proofErr w:type="spellEnd"/>
      <w:r w:rsidRPr="000F0F74">
        <w:rPr>
          <w:i/>
        </w:rPr>
        <w:t xml:space="preserve">, </w:t>
      </w:r>
      <w:proofErr w:type="spellStart"/>
      <w:r w:rsidRPr="000F0F74">
        <w:rPr>
          <w:i/>
        </w:rPr>
        <w:t>sipas</w:t>
      </w:r>
      <w:proofErr w:type="spellEnd"/>
      <w:r w:rsidRPr="000F0F74">
        <w:rPr>
          <w:i/>
        </w:rPr>
        <w:t xml:space="preserve"> </w:t>
      </w:r>
      <w:proofErr w:type="spellStart"/>
      <w:r w:rsidRPr="000F0F74">
        <w:rPr>
          <w:i/>
        </w:rPr>
        <w:t>të</w:t>
      </w:r>
      <w:proofErr w:type="spellEnd"/>
      <w:r w:rsidRPr="000F0F74">
        <w:rPr>
          <w:i/>
        </w:rPr>
        <w:t xml:space="preserve"> </w:t>
      </w:r>
      <w:proofErr w:type="spellStart"/>
      <w:r w:rsidRPr="000F0F74">
        <w:rPr>
          <w:i/>
        </w:rPr>
        <w:t>cilit</w:t>
      </w:r>
      <w:proofErr w:type="spellEnd"/>
      <w:r w:rsidRPr="000F0F74">
        <w:rPr>
          <w:i/>
        </w:rPr>
        <w:t xml:space="preserve"> </w:t>
      </w:r>
      <w:proofErr w:type="spellStart"/>
      <w:r w:rsidRPr="000F0F74">
        <w:rPr>
          <w:i/>
        </w:rPr>
        <w:t>vendimi</w:t>
      </w:r>
      <w:proofErr w:type="spellEnd"/>
      <w:r w:rsidRPr="000F0F74">
        <w:rPr>
          <w:i/>
        </w:rPr>
        <w:t xml:space="preserve"> </w:t>
      </w:r>
      <w:proofErr w:type="spellStart"/>
      <w:r w:rsidRPr="000F0F74">
        <w:rPr>
          <w:i/>
        </w:rPr>
        <w:t>ka</w:t>
      </w:r>
      <w:proofErr w:type="spellEnd"/>
      <w:r w:rsidRPr="000F0F74">
        <w:rPr>
          <w:i/>
        </w:rPr>
        <w:t xml:space="preserve"> </w:t>
      </w:r>
      <w:proofErr w:type="spellStart"/>
      <w:r w:rsidRPr="000F0F74">
        <w:rPr>
          <w:i/>
        </w:rPr>
        <w:t>marrë</w:t>
      </w:r>
      <w:proofErr w:type="spellEnd"/>
      <w:r w:rsidRPr="000F0F74">
        <w:rPr>
          <w:i/>
        </w:rPr>
        <w:t xml:space="preserve"> </w:t>
      </w:r>
      <w:proofErr w:type="spellStart"/>
      <w:r w:rsidRPr="000F0F74">
        <w:rPr>
          <w:i/>
        </w:rPr>
        <w:t>formë</w:t>
      </w:r>
      <w:proofErr w:type="spellEnd"/>
      <w:r w:rsidRPr="000F0F74">
        <w:rPr>
          <w:i/>
        </w:rPr>
        <w:t xml:space="preserve"> </w:t>
      </w:r>
      <w:proofErr w:type="spellStart"/>
      <w:r w:rsidRPr="000F0F74">
        <w:rPr>
          <w:i/>
        </w:rPr>
        <w:t>të</w:t>
      </w:r>
      <w:proofErr w:type="spellEnd"/>
      <w:r w:rsidRPr="000F0F74">
        <w:rPr>
          <w:i/>
        </w:rPr>
        <w:t xml:space="preserve"> </w:t>
      </w:r>
      <w:proofErr w:type="spellStart"/>
      <w:r w:rsidRPr="000F0F74">
        <w:rPr>
          <w:i/>
        </w:rPr>
        <w:t>prerë</w:t>
      </w:r>
      <w:proofErr w:type="spellEnd"/>
      <w:r w:rsidRPr="000F0F74">
        <w:rPr>
          <w:i/>
        </w:rPr>
        <w:t xml:space="preserve"> </w:t>
      </w:r>
      <w:proofErr w:type="spellStart"/>
      <w:r w:rsidRPr="000F0F74">
        <w:rPr>
          <w:i/>
        </w:rPr>
        <w:t>për</w:t>
      </w:r>
      <w:proofErr w:type="spellEnd"/>
      <w:r w:rsidRPr="000F0F74">
        <w:rPr>
          <w:i/>
        </w:rPr>
        <w:t xml:space="preserve"> </w:t>
      </w:r>
      <w:proofErr w:type="spellStart"/>
      <w:r w:rsidRPr="000F0F74">
        <w:rPr>
          <w:i/>
        </w:rPr>
        <w:t>shumën</w:t>
      </w:r>
      <w:proofErr w:type="spellEnd"/>
      <w:r w:rsidRPr="000F0F74">
        <w:rPr>
          <w:i/>
        </w:rPr>
        <w:t xml:space="preserve"> e </w:t>
      </w:r>
      <w:proofErr w:type="spellStart"/>
      <w:r w:rsidRPr="000F0F74">
        <w:rPr>
          <w:i/>
        </w:rPr>
        <w:t>plotë</w:t>
      </w:r>
      <w:proofErr w:type="spellEnd"/>
      <w:r w:rsidRPr="000F0F74">
        <w:rPr>
          <w:i/>
        </w:rPr>
        <w:t xml:space="preserve"> </w:t>
      </w:r>
      <w:proofErr w:type="spellStart"/>
      <w:r w:rsidRPr="000F0F74">
        <w:rPr>
          <w:i/>
        </w:rPr>
        <w:t>të</w:t>
      </w:r>
      <w:proofErr w:type="spellEnd"/>
      <w:r w:rsidRPr="000F0F74">
        <w:rPr>
          <w:i/>
        </w:rPr>
        <w:t xml:space="preserve"> </w:t>
      </w:r>
      <w:proofErr w:type="spellStart"/>
      <w:r w:rsidRPr="000F0F74">
        <w:rPr>
          <w:i/>
        </w:rPr>
        <w:t>detyrimit</w:t>
      </w:r>
      <w:proofErr w:type="spellEnd"/>
      <w:r w:rsidRPr="000F0F74">
        <w:rPr>
          <w:i/>
        </w:rPr>
        <w:t xml:space="preserve"> </w:t>
      </w:r>
      <w:proofErr w:type="spellStart"/>
      <w:r w:rsidRPr="000F0F74">
        <w:rPr>
          <w:i/>
        </w:rPr>
        <w:t>tatimor</w:t>
      </w:r>
      <w:proofErr w:type="spellEnd"/>
      <w:r w:rsidRPr="000F0F74">
        <w:rPr>
          <w:i/>
        </w:rPr>
        <w:t xml:space="preserve">, </w:t>
      </w:r>
      <w:proofErr w:type="spellStart"/>
      <w:r w:rsidRPr="00010DB3">
        <w:rPr>
          <w:i/>
          <w:u w:val="single"/>
        </w:rPr>
        <w:t>të</w:t>
      </w:r>
      <w:proofErr w:type="spellEnd"/>
      <w:r w:rsidRPr="00010DB3">
        <w:rPr>
          <w:i/>
          <w:u w:val="single"/>
        </w:rPr>
        <w:t xml:space="preserve"> </w:t>
      </w:r>
      <w:proofErr w:type="spellStart"/>
      <w:r w:rsidRPr="00010DB3">
        <w:rPr>
          <w:i/>
          <w:u w:val="single"/>
        </w:rPr>
        <w:t>përcaktuar</w:t>
      </w:r>
      <w:proofErr w:type="spellEnd"/>
      <w:r w:rsidRPr="00010DB3">
        <w:rPr>
          <w:i/>
          <w:u w:val="single"/>
        </w:rPr>
        <w:t xml:space="preserve"> </w:t>
      </w:r>
      <w:proofErr w:type="spellStart"/>
      <w:r w:rsidRPr="00010DB3">
        <w:rPr>
          <w:i/>
          <w:u w:val="single"/>
        </w:rPr>
        <w:t>në</w:t>
      </w:r>
      <w:proofErr w:type="spellEnd"/>
      <w:r w:rsidRPr="00010DB3">
        <w:rPr>
          <w:i/>
          <w:u w:val="single"/>
        </w:rPr>
        <w:t xml:space="preserve"> </w:t>
      </w:r>
      <w:proofErr w:type="spellStart"/>
      <w:r w:rsidRPr="00010DB3">
        <w:rPr>
          <w:i/>
          <w:u w:val="single"/>
        </w:rPr>
        <w:t>njoftimin</w:t>
      </w:r>
      <w:proofErr w:type="spellEnd"/>
      <w:r w:rsidRPr="00010DB3">
        <w:rPr>
          <w:i/>
          <w:u w:val="single"/>
        </w:rPr>
        <w:t xml:space="preserve"> e </w:t>
      </w:r>
      <w:proofErr w:type="spellStart"/>
      <w:r w:rsidRPr="00010DB3">
        <w:rPr>
          <w:i/>
          <w:u w:val="single"/>
        </w:rPr>
        <w:t>vlerësimit</w:t>
      </w:r>
      <w:proofErr w:type="spellEnd"/>
      <w:r w:rsidRPr="00010DB3">
        <w:rPr>
          <w:i/>
          <w:u w:val="single"/>
        </w:rPr>
        <w:t xml:space="preserve"> </w:t>
      </w:r>
      <w:proofErr w:type="spellStart"/>
      <w:r w:rsidRPr="00010DB3">
        <w:rPr>
          <w:i/>
          <w:u w:val="single"/>
        </w:rPr>
        <w:t>të</w:t>
      </w:r>
      <w:proofErr w:type="spellEnd"/>
      <w:r w:rsidRPr="00010DB3">
        <w:rPr>
          <w:i/>
          <w:u w:val="single"/>
        </w:rPr>
        <w:t xml:space="preserve"> </w:t>
      </w:r>
      <w:proofErr w:type="spellStart"/>
      <w:r w:rsidRPr="00010DB3">
        <w:rPr>
          <w:i/>
          <w:u w:val="single"/>
        </w:rPr>
        <w:t>administratës</w:t>
      </w:r>
      <w:proofErr w:type="spellEnd"/>
      <w:r w:rsidRPr="00010DB3">
        <w:rPr>
          <w:i/>
          <w:u w:val="single"/>
        </w:rPr>
        <w:t xml:space="preserve"> </w:t>
      </w:r>
      <w:proofErr w:type="spellStart"/>
      <w:r w:rsidRPr="00010DB3">
        <w:rPr>
          <w:i/>
          <w:u w:val="single"/>
        </w:rPr>
        <w:t>tatimore</w:t>
      </w:r>
      <w:proofErr w:type="spellEnd"/>
      <w:r w:rsidRPr="00010DB3">
        <w:rPr>
          <w:i/>
          <w:u w:val="single"/>
        </w:rPr>
        <w:t xml:space="preserve">. </w:t>
      </w:r>
    </w:p>
    <w:p w:rsidR="00AA2A5E" w:rsidRDefault="00AA2A5E" w:rsidP="002479B5">
      <w:pPr>
        <w:pStyle w:val="Header"/>
        <w:tabs>
          <w:tab w:val="left" w:pos="720"/>
        </w:tabs>
        <w:spacing w:line="276" w:lineRule="auto"/>
        <w:jc w:val="both"/>
        <w:rPr>
          <w:lang w:val="it-IT"/>
        </w:rPr>
      </w:pPr>
    </w:p>
    <w:p w:rsidR="00AA2A5E" w:rsidRPr="0048759C" w:rsidRDefault="00AA2A5E" w:rsidP="002479B5">
      <w:pPr>
        <w:spacing w:line="276" w:lineRule="auto"/>
        <w:jc w:val="both"/>
        <w:rPr>
          <w:lang w:val="it-IT"/>
        </w:rPr>
      </w:pPr>
      <w:r w:rsidRPr="0048759C">
        <w:rPr>
          <w:lang w:val="it-IT"/>
        </w:rPr>
        <w:t>Në Udhëzimin e Ministrit te Financave Nr.24, date 02.09.2008, në zbatim te ligjit, pika 107.2.1, dhe 107.2.2 është përcaktuar se:</w:t>
      </w:r>
    </w:p>
    <w:p w:rsidR="00AA2A5E" w:rsidRPr="009D0AE9" w:rsidRDefault="00AA2A5E" w:rsidP="002479B5">
      <w:pPr>
        <w:spacing w:line="276" w:lineRule="auto"/>
        <w:jc w:val="both"/>
        <w:rPr>
          <w:i/>
          <w:lang w:val="it-IT"/>
        </w:rPr>
      </w:pPr>
      <w:r w:rsidRPr="009D0AE9">
        <w:rPr>
          <w:i/>
          <w:lang w:val="it-IT"/>
        </w:rPr>
        <w:t>“Shuma e detyrimit për tu paguar përfshin vetëm shumën e detyrimit dhe kamatvonesën”.</w:t>
      </w:r>
    </w:p>
    <w:p w:rsidR="002479B5" w:rsidRDefault="00AA2A5E" w:rsidP="002479B5">
      <w:pPr>
        <w:pStyle w:val="Header"/>
        <w:tabs>
          <w:tab w:val="left" w:pos="720"/>
        </w:tabs>
        <w:spacing w:line="276" w:lineRule="auto"/>
        <w:jc w:val="both"/>
        <w:rPr>
          <w:i/>
          <w:sz w:val="23"/>
          <w:szCs w:val="23"/>
        </w:rPr>
      </w:pPr>
      <w:r>
        <w:rPr>
          <w:i/>
          <w:sz w:val="23"/>
          <w:szCs w:val="23"/>
        </w:rPr>
        <w:t>“</w:t>
      </w:r>
      <w:proofErr w:type="spellStart"/>
      <w:r w:rsidRPr="009D0AE9">
        <w:rPr>
          <w:i/>
          <w:sz w:val="23"/>
          <w:szCs w:val="23"/>
        </w:rPr>
        <w:t>Tatimpaguesi</w:t>
      </w:r>
      <w:proofErr w:type="spellEnd"/>
      <w:r w:rsidRPr="009D0AE9">
        <w:rPr>
          <w:i/>
          <w:sz w:val="23"/>
          <w:szCs w:val="23"/>
        </w:rPr>
        <w:t xml:space="preserve"> </w:t>
      </w:r>
      <w:proofErr w:type="spellStart"/>
      <w:r w:rsidRPr="009D0AE9">
        <w:rPr>
          <w:i/>
          <w:sz w:val="23"/>
          <w:szCs w:val="23"/>
        </w:rPr>
        <w:t>pajiset</w:t>
      </w:r>
      <w:proofErr w:type="spellEnd"/>
      <w:r w:rsidRPr="009D0AE9">
        <w:rPr>
          <w:i/>
          <w:sz w:val="23"/>
          <w:szCs w:val="23"/>
        </w:rPr>
        <w:t xml:space="preserve"> </w:t>
      </w:r>
      <w:proofErr w:type="spellStart"/>
      <w:r w:rsidRPr="009D0AE9">
        <w:rPr>
          <w:i/>
          <w:sz w:val="23"/>
          <w:szCs w:val="23"/>
        </w:rPr>
        <w:t>nga</w:t>
      </w:r>
      <w:proofErr w:type="spellEnd"/>
      <w:r w:rsidRPr="009D0AE9">
        <w:rPr>
          <w:i/>
          <w:sz w:val="23"/>
          <w:szCs w:val="23"/>
        </w:rPr>
        <w:t xml:space="preserve"> </w:t>
      </w:r>
      <w:proofErr w:type="spellStart"/>
      <w:r w:rsidRPr="009D0AE9">
        <w:rPr>
          <w:i/>
          <w:sz w:val="23"/>
          <w:szCs w:val="23"/>
        </w:rPr>
        <w:t>Drejtoria</w:t>
      </w:r>
      <w:proofErr w:type="spellEnd"/>
      <w:r w:rsidRPr="009D0AE9">
        <w:rPr>
          <w:i/>
          <w:sz w:val="23"/>
          <w:szCs w:val="23"/>
        </w:rPr>
        <w:t xml:space="preserve"> </w:t>
      </w:r>
      <w:proofErr w:type="spellStart"/>
      <w:r w:rsidRPr="009D0AE9">
        <w:rPr>
          <w:i/>
          <w:sz w:val="23"/>
          <w:szCs w:val="23"/>
        </w:rPr>
        <w:t>Rajonale</w:t>
      </w:r>
      <w:proofErr w:type="spellEnd"/>
      <w:r w:rsidRPr="009D0AE9">
        <w:rPr>
          <w:i/>
          <w:sz w:val="23"/>
          <w:szCs w:val="23"/>
        </w:rPr>
        <w:t xml:space="preserve"> </w:t>
      </w:r>
      <w:proofErr w:type="spellStart"/>
      <w:r w:rsidRPr="009D0AE9">
        <w:rPr>
          <w:i/>
          <w:sz w:val="23"/>
          <w:szCs w:val="23"/>
        </w:rPr>
        <w:t>tatimore</w:t>
      </w:r>
      <w:proofErr w:type="spellEnd"/>
      <w:r w:rsidRPr="009D0AE9">
        <w:rPr>
          <w:i/>
          <w:sz w:val="23"/>
          <w:szCs w:val="23"/>
        </w:rPr>
        <w:t xml:space="preserve"> me </w:t>
      </w:r>
      <w:proofErr w:type="spellStart"/>
      <w:r w:rsidRPr="009D0AE9">
        <w:rPr>
          <w:i/>
          <w:sz w:val="23"/>
          <w:szCs w:val="23"/>
        </w:rPr>
        <w:t>urdhër</w:t>
      </w:r>
      <w:proofErr w:type="spellEnd"/>
      <w:r w:rsidRPr="009D0AE9">
        <w:rPr>
          <w:i/>
          <w:sz w:val="23"/>
          <w:szCs w:val="23"/>
        </w:rPr>
        <w:t xml:space="preserve"> </w:t>
      </w:r>
      <w:proofErr w:type="spellStart"/>
      <w:r w:rsidRPr="009D0AE9">
        <w:rPr>
          <w:i/>
          <w:sz w:val="23"/>
          <w:szCs w:val="23"/>
        </w:rPr>
        <w:t>pagesë</w:t>
      </w:r>
      <w:proofErr w:type="spellEnd"/>
      <w:r w:rsidRPr="009D0AE9">
        <w:rPr>
          <w:i/>
          <w:sz w:val="23"/>
          <w:szCs w:val="23"/>
        </w:rPr>
        <w:t xml:space="preserve"> </w:t>
      </w:r>
      <w:proofErr w:type="spellStart"/>
      <w:r w:rsidRPr="009D0AE9">
        <w:rPr>
          <w:i/>
          <w:sz w:val="23"/>
          <w:szCs w:val="23"/>
        </w:rPr>
        <w:t>ku</w:t>
      </w:r>
      <w:proofErr w:type="spellEnd"/>
      <w:r w:rsidRPr="009D0AE9">
        <w:rPr>
          <w:i/>
          <w:sz w:val="23"/>
          <w:szCs w:val="23"/>
        </w:rPr>
        <w:t xml:space="preserve"> </w:t>
      </w:r>
      <w:proofErr w:type="spellStart"/>
      <w:r w:rsidRPr="009D0AE9">
        <w:rPr>
          <w:i/>
          <w:sz w:val="23"/>
          <w:szCs w:val="23"/>
        </w:rPr>
        <w:t>pasqyrohen</w:t>
      </w:r>
      <w:proofErr w:type="spellEnd"/>
      <w:r w:rsidRPr="009D0AE9">
        <w:rPr>
          <w:i/>
          <w:sz w:val="23"/>
          <w:szCs w:val="23"/>
        </w:rPr>
        <w:t xml:space="preserve"> </w:t>
      </w:r>
      <w:proofErr w:type="spellStart"/>
      <w:r w:rsidRPr="009D0AE9">
        <w:rPr>
          <w:i/>
          <w:sz w:val="23"/>
          <w:szCs w:val="23"/>
        </w:rPr>
        <w:t>saktësisht</w:t>
      </w:r>
      <w:proofErr w:type="spellEnd"/>
      <w:r w:rsidRPr="009D0AE9">
        <w:rPr>
          <w:i/>
          <w:sz w:val="23"/>
          <w:szCs w:val="23"/>
        </w:rPr>
        <w:t xml:space="preserve"> </w:t>
      </w:r>
      <w:proofErr w:type="spellStart"/>
      <w:r w:rsidRPr="009D0AE9">
        <w:rPr>
          <w:i/>
          <w:sz w:val="23"/>
          <w:szCs w:val="23"/>
        </w:rPr>
        <w:t>tatimi</w:t>
      </w:r>
      <w:proofErr w:type="spellEnd"/>
      <w:r w:rsidRPr="009D0AE9">
        <w:rPr>
          <w:i/>
          <w:sz w:val="23"/>
          <w:szCs w:val="23"/>
        </w:rPr>
        <w:t xml:space="preserve"> i </w:t>
      </w:r>
      <w:proofErr w:type="spellStart"/>
      <w:r w:rsidRPr="009D0AE9">
        <w:rPr>
          <w:i/>
          <w:sz w:val="23"/>
          <w:szCs w:val="23"/>
        </w:rPr>
        <w:t>pagueshëm</w:t>
      </w:r>
      <w:proofErr w:type="spellEnd"/>
      <w:r w:rsidRPr="009D0AE9">
        <w:rPr>
          <w:i/>
          <w:sz w:val="23"/>
          <w:szCs w:val="23"/>
        </w:rPr>
        <w:t xml:space="preserve"> </w:t>
      </w:r>
      <w:proofErr w:type="spellStart"/>
      <w:r w:rsidRPr="009D0AE9">
        <w:rPr>
          <w:i/>
          <w:sz w:val="23"/>
          <w:szCs w:val="23"/>
        </w:rPr>
        <w:t>dhe</w:t>
      </w:r>
      <w:proofErr w:type="spellEnd"/>
      <w:r w:rsidRPr="009D0AE9">
        <w:rPr>
          <w:i/>
          <w:sz w:val="23"/>
          <w:szCs w:val="23"/>
        </w:rPr>
        <w:t xml:space="preserve"> </w:t>
      </w:r>
      <w:proofErr w:type="spellStart"/>
      <w:r w:rsidRPr="009D0AE9">
        <w:rPr>
          <w:i/>
          <w:sz w:val="23"/>
          <w:szCs w:val="23"/>
        </w:rPr>
        <w:t>interesat</w:t>
      </w:r>
      <w:proofErr w:type="spellEnd"/>
      <w:proofErr w:type="gramStart"/>
      <w:r w:rsidRPr="009D0AE9">
        <w:rPr>
          <w:i/>
          <w:sz w:val="23"/>
          <w:szCs w:val="23"/>
        </w:rPr>
        <w:t>..”</w:t>
      </w:r>
      <w:proofErr w:type="gramEnd"/>
      <w:r w:rsidR="00EC0017">
        <w:rPr>
          <w:i/>
          <w:sz w:val="23"/>
          <w:szCs w:val="23"/>
        </w:rPr>
        <w:t xml:space="preserve"> </w:t>
      </w:r>
    </w:p>
    <w:p w:rsidR="00AA2A5E" w:rsidRPr="00EC0017" w:rsidRDefault="00AA2A5E" w:rsidP="002479B5">
      <w:pPr>
        <w:pStyle w:val="Header"/>
        <w:tabs>
          <w:tab w:val="left" w:pos="720"/>
        </w:tabs>
        <w:spacing w:line="276" w:lineRule="auto"/>
        <w:jc w:val="both"/>
        <w:rPr>
          <w:i/>
          <w:lang w:val="it-IT"/>
        </w:rPr>
      </w:pPr>
      <w:proofErr w:type="spellStart"/>
      <w:r>
        <w:t>Referuar</w:t>
      </w:r>
      <w:proofErr w:type="spellEnd"/>
      <w:r>
        <w:t xml:space="preserve"> </w:t>
      </w:r>
      <w:proofErr w:type="spellStart"/>
      <w:r>
        <w:t>dispozitave</w:t>
      </w:r>
      <w:proofErr w:type="spellEnd"/>
      <w:r>
        <w:t xml:space="preserve"> </w:t>
      </w:r>
      <w:proofErr w:type="spellStart"/>
      <w:r>
        <w:t>ligjore</w:t>
      </w:r>
      <w:proofErr w:type="spellEnd"/>
      <w:r>
        <w:t xml:space="preserve"> </w:t>
      </w:r>
      <w:proofErr w:type="spellStart"/>
      <w:r>
        <w:t>dhe</w:t>
      </w:r>
      <w:proofErr w:type="spellEnd"/>
      <w:r>
        <w:t xml:space="preserve"> </w:t>
      </w:r>
      <w:proofErr w:type="spellStart"/>
      <w:r>
        <w:t>nënligjore</w:t>
      </w:r>
      <w:proofErr w:type="spellEnd"/>
      <w:r>
        <w:t xml:space="preserve">, </w:t>
      </w:r>
      <w:proofErr w:type="spellStart"/>
      <w:r>
        <w:t>të</w:t>
      </w:r>
      <w:proofErr w:type="spellEnd"/>
      <w:r>
        <w:t xml:space="preserve"> </w:t>
      </w:r>
      <w:proofErr w:type="spellStart"/>
      <w:r>
        <w:t>sipërcituara</w:t>
      </w:r>
      <w:proofErr w:type="spellEnd"/>
      <w:r>
        <w:t xml:space="preserve"> </w:t>
      </w:r>
      <w:proofErr w:type="spellStart"/>
      <w:r>
        <w:t>është</w:t>
      </w:r>
      <w:proofErr w:type="spellEnd"/>
      <w:r>
        <w:t xml:space="preserve"> </w:t>
      </w:r>
      <w:proofErr w:type="spellStart"/>
      <w:r>
        <w:t>përcaktuar</w:t>
      </w:r>
      <w:proofErr w:type="spellEnd"/>
      <w:r>
        <w:t xml:space="preserve"> se </w:t>
      </w:r>
      <w:proofErr w:type="spellStart"/>
      <w:r>
        <w:t>kushti</w:t>
      </w:r>
      <w:proofErr w:type="spellEnd"/>
      <w:r>
        <w:t xml:space="preserve"> i </w:t>
      </w:r>
      <w:proofErr w:type="spellStart"/>
      <w:r>
        <w:t>pagesës</w:t>
      </w:r>
      <w:proofErr w:type="spellEnd"/>
      <w:r>
        <w:t xml:space="preserve"> </w:t>
      </w:r>
      <w:proofErr w:type="spellStart"/>
      <w:r>
        <w:t>së</w:t>
      </w:r>
      <w:proofErr w:type="spellEnd"/>
      <w:r>
        <w:t xml:space="preserve"> </w:t>
      </w:r>
      <w:proofErr w:type="spellStart"/>
      <w:r>
        <w:t>detyrimit</w:t>
      </w:r>
      <w:proofErr w:type="spellEnd"/>
      <w:r>
        <w:t xml:space="preserve"> </w:t>
      </w:r>
      <w:proofErr w:type="spellStart"/>
      <w:r>
        <w:t>tatimor</w:t>
      </w:r>
      <w:proofErr w:type="spellEnd"/>
      <w:r>
        <w:t xml:space="preserve"> </w:t>
      </w:r>
      <w:proofErr w:type="spellStart"/>
      <w:r>
        <w:t>sipas</w:t>
      </w:r>
      <w:proofErr w:type="spellEnd"/>
      <w:r>
        <w:t xml:space="preserve"> </w:t>
      </w:r>
      <w:proofErr w:type="spellStart"/>
      <w:r>
        <w:t>aktit</w:t>
      </w:r>
      <w:proofErr w:type="spellEnd"/>
      <w:r>
        <w:t xml:space="preserve"> </w:t>
      </w:r>
      <w:proofErr w:type="spellStart"/>
      <w:r>
        <w:t>administrativ</w:t>
      </w:r>
      <w:proofErr w:type="spellEnd"/>
      <w:r>
        <w:t xml:space="preserve">, </w:t>
      </w:r>
      <w:proofErr w:type="spellStart"/>
      <w:r>
        <w:t>Njoftim</w:t>
      </w:r>
      <w:proofErr w:type="spellEnd"/>
      <w:r>
        <w:t xml:space="preserve"> </w:t>
      </w:r>
      <w:proofErr w:type="spellStart"/>
      <w:r>
        <w:t>Vlerësimi</w:t>
      </w:r>
      <w:proofErr w:type="spellEnd"/>
      <w:r>
        <w:t xml:space="preserve"> </w:t>
      </w:r>
      <w:proofErr w:type="spellStart"/>
      <w:r>
        <w:t>për</w:t>
      </w:r>
      <w:proofErr w:type="spellEnd"/>
      <w:r>
        <w:t xml:space="preserve"> </w:t>
      </w:r>
      <w:proofErr w:type="spellStart"/>
      <w:r>
        <w:t>detyrimet</w:t>
      </w:r>
      <w:proofErr w:type="spellEnd"/>
      <w:r>
        <w:t xml:space="preserve"> </w:t>
      </w:r>
      <w:proofErr w:type="spellStart"/>
      <w:r>
        <w:t>tatimore</w:t>
      </w:r>
      <w:proofErr w:type="spellEnd"/>
      <w:r>
        <w:t xml:space="preserve">, </w:t>
      </w:r>
      <w:proofErr w:type="spellStart"/>
      <w:r>
        <w:t>konsiderohet</w:t>
      </w:r>
      <w:proofErr w:type="spellEnd"/>
      <w:r>
        <w:t xml:space="preserve"> i </w:t>
      </w:r>
      <w:proofErr w:type="spellStart"/>
      <w:r>
        <w:t>plotësuar</w:t>
      </w:r>
      <w:proofErr w:type="spellEnd"/>
      <w:r>
        <w:t xml:space="preserve"> </w:t>
      </w:r>
      <w:proofErr w:type="spellStart"/>
      <w:r>
        <w:t>vetëm</w:t>
      </w:r>
      <w:proofErr w:type="spellEnd"/>
      <w:r>
        <w:t xml:space="preserve"> </w:t>
      </w:r>
      <w:proofErr w:type="spellStart"/>
      <w:r>
        <w:t>nëse</w:t>
      </w:r>
      <w:proofErr w:type="spellEnd"/>
      <w:r>
        <w:t xml:space="preserve"> </w:t>
      </w:r>
      <w:proofErr w:type="spellStart"/>
      <w:r>
        <w:t>vertetohet</w:t>
      </w:r>
      <w:proofErr w:type="spellEnd"/>
      <w:r>
        <w:t xml:space="preserve"> </w:t>
      </w:r>
      <w:proofErr w:type="spellStart"/>
      <w:r>
        <w:t>dhe</w:t>
      </w:r>
      <w:proofErr w:type="spellEnd"/>
      <w:r>
        <w:t xml:space="preserve"> </w:t>
      </w:r>
      <w:proofErr w:type="spellStart"/>
      <w:r>
        <w:t>paraqitet</w:t>
      </w:r>
      <w:proofErr w:type="spellEnd"/>
      <w:r>
        <w:t xml:space="preserve"> </w:t>
      </w:r>
      <w:proofErr w:type="spellStart"/>
      <w:r>
        <w:t>dokumenti</w:t>
      </w:r>
      <w:proofErr w:type="spellEnd"/>
      <w:r>
        <w:t xml:space="preserve"> i </w:t>
      </w:r>
      <w:proofErr w:type="spellStart"/>
      <w:r>
        <w:t>pagesës</w:t>
      </w:r>
      <w:proofErr w:type="spellEnd"/>
      <w:r>
        <w:t xml:space="preserve">, </w:t>
      </w:r>
      <w:proofErr w:type="spellStart"/>
      <w:r>
        <w:t>Garancisë</w:t>
      </w:r>
      <w:proofErr w:type="spellEnd"/>
      <w:r>
        <w:t xml:space="preserve"> </w:t>
      </w:r>
      <w:proofErr w:type="spellStart"/>
      <w:r>
        <w:t>Bankare</w:t>
      </w:r>
      <w:proofErr w:type="spellEnd"/>
      <w:r>
        <w:t xml:space="preserve"> </w:t>
      </w:r>
      <w:proofErr w:type="spellStart"/>
      <w:r>
        <w:t>ose</w:t>
      </w:r>
      <w:proofErr w:type="spellEnd"/>
      <w:r>
        <w:t xml:space="preserve"> </w:t>
      </w:r>
      <w:proofErr w:type="spellStart"/>
      <w:r>
        <w:t>në</w:t>
      </w:r>
      <w:proofErr w:type="spellEnd"/>
      <w:r>
        <w:t xml:space="preserve"> </w:t>
      </w:r>
      <w:proofErr w:type="spellStart"/>
      <w:r>
        <w:t>rastin</w:t>
      </w:r>
      <w:proofErr w:type="spellEnd"/>
      <w:r>
        <w:t xml:space="preserve"> se </w:t>
      </w:r>
      <w:proofErr w:type="spellStart"/>
      <w:r>
        <w:t>pretendohet</w:t>
      </w:r>
      <w:proofErr w:type="spellEnd"/>
      <w:r>
        <w:t xml:space="preserve"> </w:t>
      </w:r>
      <w:proofErr w:type="spellStart"/>
      <w:r>
        <w:t>mbipagesë</w:t>
      </w:r>
      <w:proofErr w:type="spellEnd"/>
      <w:r>
        <w:t xml:space="preserve"> (</w:t>
      </w:r>
      <w:proofErr w:type="spellStart"/>
      <w:r>
        <w:t>tatime</w:t>
      </w:r>
      <w:proofErr w:type="spellEnd"/>
      <w:r>
        <w:t xml:space="preserve"> </w:t>
      </w:r>
      <w:proofErr w:type="spellStart"/>
      <w:r>
        <w:t>te</w:t>
      </w:r>
      <w:proofErr w:type="spellEnd"/>
      <w:r>
        <w:t xml:space="preserve"> </w:t>
      </w:r>
      <w:proofErr w:type="spellStart"/>
      <w:r>
        <w:t>paguara</w:t>
      </w:r>
      <w:proofErr w:type="spellEnd"/>
      <w:r>
        <w:t xml:space="preserve"> </w:t>
      </w:r>
      <w:proofErr w:type="spellStart"/>
      <w:r>
        <w:t>tepër</w:t>
      </w:r>
      <w:proofErr w:type="spellEnd"/>
      <w:r>
        <w:t xml:space="preserve"> </w:t>
      </w:r>
      <w:proofErr w:type="spellStart"/>
      <w:r>
        <w:t>ose</w:t>
      </w:r>
      <w:proofErr w:type="spellEnd"/>
      <w:r>
        <w:t xml:space="preserve"> </w:t>
      </w:r>
      <w:proofErr w:type="spellStart"/>
      <w:r>
        <w:t>tëpricë</w:t>
      </w:r>
      <w:proofErr w:type="spellEnd"/>
      <w:r>
        <w:t xml:space="preserve"> </w:t>
      </w:r>
      <w:proofErr w:type="spellStart"/>
      <w:r>
        <w:t>kreditore</w:t>
      </w:r>
      <w:proofErr w:type="spellEnd"/>
      <w:r>
        <w:t xml:space="preserve">) </w:t>
      </w:r>
      <w:proofErr w:type="spellStart"/>
      <w:r w:rsidRPr="00953BB0">
        <w:t>duhet</w:t>
      </w:r>
      <w:proofErr w:type="spellEnd"/>
      <w:r w:rsidRPr="00953BB0">
        <w:t xml:space="preserve"> </w:t>
      </w:r>
      <w:proofErr w:type="spellStart"/>
      <w:r w:rsidRPr="00953BB0">
        <w:t>të</w:t>
      </w:r>
      <w:proofErr w:type="spellEnd"/>
      <w:r w:rsidRPr="00953BB0">
        <w:t xml:space="preserve"> </w:t>
      </w:r>
      <w:proofErr w:type="spellStart"/>
      <w:r w:rsidRPr="00953BB0">
        <w:t>provohet</w:t>
      </w:r>
      <w:proofErr w:type="spellEnd"/>
      <w:r w:rsidRPr="00953BB0">
        <w:t xml:space="preserve"> se </w:t>
      </w:r>
      <w:proofErr w:type="spellStart"/>
      <w:r w:rsidRPr="00953BB0">
        <w:t>në</w:t>
      </w:r>
      <w:proofErr w:type="spellEnd"/>
      <w:r w:rsidRPr="00953BB0">
        <w:t xml:space="preserve"> </w:t>
      </w:r>
      <w:proofErr w:type="spellStart"/>
      <w:r w:rsidRPr="00953BB0">
        <w:t>të</w:t>
      </w:r>
      <w:proofErr w:type="spellEnd"/>
      <w:r w:rsidRPr="00953BB0">
        <w:t xml:space="preserve"> </w:t>
      </w:r>
      <w:proofErr w:type="spellStart"/>
      <w:r w:rsidRPr="00953BB0">
        <w:t>njëjtën</w:t>
      </w:r>
      <w:proofErr w:type="spellEnd"/>
      <w:r w:rsidRPr="00953BB0">
        <w:t xml:space="preserve"> </w:t>
      </w:r>
      <w:proofErr w:type="spellStart"/>
      <w:r w:rsidRPr="00953BB0">
        <w:t>kohë</w:t>
      </w:r>
      <w:proofErr w:type="spellEnd"/>
      <w:r w:rsidRPr="00953BB0">
        <w:t xml:space="preserve"> me </w:t>
      </w:r>
      <w:proofErr w:type="spellStart"/>
      <w:r w:rsidRPr="00953BB0">
        <w:t>ankimin</w:t>
      </w:r>
      <w:proofErr w:type="spellEnd"/>
      <w:r w:rsidRPr="00953BB0">
        <w:t xml:space="preserve"> </w:t>
      </w:r>
      <w:proofErr w:type="spellStart"/>
      <w:r w:rsidRPr="00953BB0">
        <w:t>është</w:t>
      </w:r>
      <w:proofErr w:type="spellEnd"/>
      <w:r w:rsidRPr="00953BB0">
        <w:t xml:space="preserve"> </w:t>
      </w:r>
      <w:proofErr w:type="spellStart"/>
      <w:r w:rsidRPr="00953BB0">
        <w:t>paraqitur</w:t>
      </w:r>
      <w:proofErr w:type="spellEnd"/>
      <w:r w:rsidRPr="00A95D93">
        <w:t xml:space="preserve"> </w:t>
      </w:r>
      <w:proofErr w:type="spellStart"/>
      <w:r w:rsidRPr="00A95D93">
        <w:t>një</w:t>
      </w:r>
      <w:proofErr w:type="spellEnd"/>
      <w:r w:rsidRPr="00A95D93">
        <w:t xml:space="preserve"> </w:t>
      </w:r>
      <w:proofErr w:type="spellStart"/>
      <w:r w:rsidRPr="00A95D93">
        <w:t>kërkesë</w:t>
      </w:r>
      <w:proofErr w:type="spellEnd"/>
      <w:r w:rsidRPr="00A95D93">
        <w:t xml:space="preserve"> </w:t>
      </w:r>
      <w:proofErr w:type="spellStart"/>
      <w:r w:rsidRPr="00A95D93">
        <w:t>për</w:t>
      </w:r>
      <w:proofErr w:type="spellEnd"/>
      <w:r w:rsidRPr="00A95D93">
        <w:t xml:space="preserve"> </w:t>
      </w:r>
      <w:proofErr w:type="spellStart"/>
      <w:r w:rsidRPr="00A95D93">
        <w:t>kompensim</w:t>
      </w:r>
      <w:proofErr w:type="spellEnd"/>
      <w:r w:rsidRPr="00A95D93">
        <w:t xml:space="preserve"> </w:t>
      </w:r>
      <w:proofErr w:type="spellStart"/>
      <w:r w:rsidRPr="00A95D93">
        <w:t>detyrimi</w:t>
      </w:r>
      <w:proofErr w:type="spellEnd"/>
      <w:r w:rsidRPr="00A95D93">
        <w:t xml:space="preserve"> </w:t>
      </w:r>
      <w:proofErr w:type="spellStart"/>
      <w:r w:rsidRPr="00A95D93">
        <w:t>nëpërmjet</w:t>
      </w:r>
      <w:proofErr w:type="spellEnd"/>
      <w:r w:rsidRPr="00A95D93">
        <w:t xml:space="preserve"> </w:t>
      </w:r>
      <w:proofErr w:type="spellStart"/>
      <w:r w:rsidRPr="00A95D93">
        <w:t>të</w:t>
      </w:r>
      <w:proofErr w:type="spellEnd"/>
      <w:r w:rsidRPr="00A95D93">
        <w:t xml:space="preserve"> </w:t>
      </w:r>
      <w:proofErr w:type="spellStart"/>
      <w:r w:rsidRPr="00A95D93">
        <w:t>cilës</w:t>
      </w:r>
      <w:proofErr w:type="spellEnd"/>
      <w:r w:rsidRPr="00A95D93">
        <w:t xml:space="preserve"> </w:t>
      </w:r>
      <w:proofErr w:type="spellStart"/>
      <w:r w:rsidRPr="00A95D93">
        <w:t>të</w:t>
      </w:r>
      <w:proofErr w:type="spellEnd"/>
      <w:r w:rsidRPr="00A95D93">
        <w:t xml:space="preserve"> </w:t>
      </w:r>
      <w:proofErr w:type="spellStart"/>
      <w:r w:rsidRPr="00A95D93">
        <w:t>j</w:t>
      </w:r>
      <w:r>
        <w:t>e</w:t>
      </w:r>
      <w:r w:rsidRPr="00A95D93">
        <w:t>të</w:t>
      </w:r>
      <w:proofErr w:type="spellEnd"/>
      <w:r w:rsidRPr="00A95D93">
        <w:t xml:space="preserve"> </w:t>
      </w:r>
      <w:proofErr w:type="spellStart"/>
      <w:r w:rsidRPr="00A95D93">
        <w:t>argumentuar</w:t>
      </w:r>
      <w:proofErr w:type="spellEnd"/>
      <w:r w:rsidRPr="00A95D93">
        <w:t xml:space="preserve"> </w:t>
      </w:r>
      <w:proofErr w:type="spellStart"/>
      <w:r w:rsidRPr="00A95D93">
        <w:t>kompesimi</w:t>
      </w:r>
      <w:proofErr w:type="spellEnd"/>
      <w:r w:rsidRPr="00A95D93">
        <w:t xml:space="preserve"> i </w:t>
      </w:r>
      <w:proofErr w:type="spellStart"/>
      <w:r w:rsidRPr="00A95D93">
        <w:t>detyrimit</w:t>
      </w:r>
      <w:proofErr w:type="spellEnd"/>
      <w:r w:rsidRPr="00A95D93">
        <w:t xml:space="preserve"> </w:t>
      </w:r>
      <w:proofErr w:type="spellStart"/>
      <w:r w:rsidRPr="00A95D93">
        <w:t>qe</w:t>
      </w:r>
      <w:proofErr w:type="spellEnd"/>
      <w:r w:rsidRPr="00A95D93">
        <w:t xml:space="preserve"> </w:t>
      </w:r>
      <w:proofErr w:type="spellStart"/>
      <w:r w:rsidRPr="00A95D93">
        <w:t>ankimohet</w:t>
      </w:r>
      <w:proofErr w:type="spellEnd"/>
      <w:r w:rsidRPr="00A95D93">
        <w:t xml:space="preserve"> me </w:t>
      </w:r>
      <w:proofErr w:type="spellStart"/>
      <w:r w:rsidRPr="00A95D93">
        <w:t>tepricën</w:t>
      </w:r>
      <w:proofErr w:type="spellEnd"/>
      <w:r w:rsidRPr="00A95D93">
        <w:t xml:space="preserve"> </w:t>
      </w:r>
      <w:proofErr w:type="spellStart"/>
      <w:r w:rsidRPr="00A95D93">
        <w:t>kreditore</w:t>
      </w:r>
      <w:proofErr w:type="spellEnd"/>
      <w:r w:rsidRPr="00A95D93">
        <w:t xml:space="preserve"> </w:t>
      </w:r>
      <w:proofErr w:type="spellStart"/>
      <w:r w:rsidRPr="00A95D93">
        <w:t>dhe</w:t>
      </w:r>
      <w:proofErr w:type="spellEnd"/>
      <w:r w:rsidRPr="00A95D93">
        <w:t xml:space="preserve"> </w:t>
      </w:r>
      <w:proofErr w:type="spellStart"/>
      <w:r w:rsidRPr="00A95D93">
        <w:t>konfirmimin</w:t>
      </w:r>
      <w:proofErr w:type="spellEnd"/>
      <w:r w:rsidRPr="00A95D93">
        <w:t xml:space="preserve"> e </w:t>
      </w:r>
      <w:proofErr w:type="spellStart"/>
      <w:r w:rsidRPr="00A95D93">
        <w:t>Drejtorise</w:t>
      </w:r>
      <w:proofErr w:type="spellEnd"/>
      <w:r w:rsidRPr="00A95D93">
        <w:t xml:space="preserve"> </w:t>
      </w:r>
      <w:proofErr w:type="spellStart"/>
      <w:r w:rsidRPr="00A95D93">
        <w:t>Rajonale</w:t>
      </w:r>
      <w:proofErr w:type="spellEnd"/>
      <w:r w:rsidRPr="00A95D93">
        <w:t xml:space="preserve"> </w:t>
      </w:r>
      <w:proofErr w:type="spellStart"/>
      <w:r w:rsidRPr="00A95D93">
        <w:t>Tatimore</w:t>
      </w:r>
      <w:proofErr w:type="spellEnd"/>
      <w:r w:rsidRPr="00A95D93">
        <w:t>.</w:t>
      </w:r>
      <w:r>
        <w:rPr>
          <w:b/>
        </w:rPr>
        <w:t xml:space="preserve"> </w:t>
      </w:r>
      <w:proofErr w:type="spellStart"/>
      <w:r w:rsidRPr="00947514">
        <w:t>Bashk</w:t>
      </w:r>
      <w:r>
        <w:t>ë</w:t>
      </w:r>
      <w:r w:rsidRPr="00947514">
        <w:t>lidhur</w:t>
      </w:r>
      <w:proofErr w:type="spellEnd"/>
      <w:r w:rsidRPr="00947514">
        <w:t xml:space="preserve"> </w:t>
      </w:r>
      <w:proofErr w:type="spellStart"/>
      <w:r w:rsidRPr="00947514">
        <w:t>ankimit</w:t>
      </w:r>
      <w:proofErr w:type="spellEnd"/>
      <w:r w:rsidRPr="00947514">
        <w:t xml:space="preserve"> </w:t>
      </w:r>
      <w:proofErr w:type="spellStart"/>
      <w:r w:rsidRPr="00947514">
        <w:t>nuk</w:t>
      </w:r>
      <w:proofErr w:type="spellEnd"/>
      <w:r w:rsidRPr="00947514">
        <w:t xml:space="preserve"> </w:t>
      </w:r>
      <w:proofErr w:type="spellStart"/>
      <w:r w:rsidRPr="00947514">
        <w:t>rezulton</w:t>
      </w:r>
      <w:proofErr w:type="spellEnd"/>
      <w:r w:rsidRPr="00947514">
        <w:t xml:space="preserve"> </w:t>
      </w:r>
      <w:proofErr w:type="spellStart"/>
      <w:r w:rsidRPr="00947514">
        <w:t>t</w:t>
      </w:r>
      <w:r>
        <w:t>ë</w:t>
      </w:r>
      <w:proofErr w:type="spellEnd"/>
      <w:r w:rsidRPr="00947514">
        <w:t xml:space="preserve"> </w:t>
      </w:r>
      <w:proofErr w:type="spellStart"/>
      <w:r w:rsidRPr="00947514">
        <w:t>jet</w:t>
      </w:r>
      <w:r>
        <w:t>ë</w:t>
      </w:r>
      <w:proofErr w:type="spellEnd"/>
      <w:r w:rsidRPr="00947514">
        <w:t xml:space="preserve"> </w:t>
      </w:r>
      <w:proofErr w:type="spellStart"/>
      <w:r w:rsidRPr="00947514">
        <w:t>paraqitur</w:t>
      </w:r>
      <w:proofErr w:type="spellEnd"/>
      <w:r w:rsidRPr="00947514">
        <w:t xml:space="preserve"> </w:t>
      </w:r>
      <w:r>
        <w:t xml:space="preserve">as </w:t>
      </w:r>
      <w:proofErr w:type="spellStart"/>
      <w:r w:rsidRPr="00947514">
        <w:t>nj</w:t>
      </w:r>
      <w:r>
        <w:t>ë</w:t>
      </w:r>
      <w:proofErr w:type="spellEnd"/>
      <w:r w:rsidRPr="00947514">
        <w:t xml:space="preserve"> </w:t>
      </w:r>
      <w:proofErr w:type="spellStart"/>
      <w:r w:rsidRPr="00947514">
        <w:t>dokumentacion</w:t>
      </w:r>
      <w:proofErr w:type="spellEnd"/>
      <w:r w:rsidRPr="00947514">
        <w:t xml:space="preserve"> i </w:t>
      </w:r>
      <w:proofErr w:type="spellStart"/>
      <w:r w:rsidRPr="00947514">
        <w:t>till</w:t>
      </w:r>
      <w:r>
        <w:t>ë</w:t>
      </w:r>
      <w:proofErr w:type="spellEnd"/>
      <w:r w:rsidRPr="00947514">
        <w:t>.</w:t>
      </w:r>
    </w:p>
    <w:p w:rsidR="002479B5" w:rsidRDefault="002479B5" w:rsidP="002479B5">
      <w:pPr>
        <w:pStyle w:val="Header"/>
        <w:tabs>
          <w:tab w:val="left" w:pos="720"/>
        </w:tabs>
        <w:spacing w:line="276" w:lineRule="auto"/>
        <w:jc w:val="both"/>
        <w:rPr>
          <w:lang w:val="it-IT"/>
        </w:rPr>
      </w:pPr>
    </w:p>
    <w:p w:rsidR="00AA2A5E" w:rsidRDefault="00AA2A5E" w:rsidP="002479B5">
      <w:pPr>
        <w:pStyle w:val="Header"/>
        <w:tabs>
          <w:tab w:val="left" w:pos="720"/>
        </w:tabs>
        <w:spacing w:line="276" w:lineRule="auto"/>
        <w:jc w:val="both"/>
        <w:rPr>
          <w:b/>
          <w:lang w:val="it-IT"/>
        </w:rPr>
      </w:pPr>
      <w:r>
        <w:rPr>
          <w:lang w:val="it-IT"/>
        </w:rPr>
        <w:t xml:space="preserve">Në pikën 107.3.1 të Udhëzimit në zbatim të ligjit, është përcaktuar se: </w:t>
      </w:r>
      <w:r w:rsidRPr="004E306D">
        <w:rPr>
          <w:i/>
          <w:lang w:val="it-IT"/>
        </w:rPr>
        <w:t>“</w:t>
      </w:r>
      <w:proofErr w:type="spellStart"/>
      <w:r w:rsidRPr="004E306D">
        <w:rPr>
          <w:i/>
          <w:color w:val="000000"/>
        </w:rPr>
        <w:t>Në</w:t>
      </w:r>
      <w:proofErr w:type="spellEnd"/>
      <w:r w:rsidRPr="004E306D">
        <w:rPr>
          <w:i/>
          <w:color w:val="000000"/>
        </w:rPr>
        <w:t xml:space="preserve"> </w:t>
      </w:r>
      <w:proofErr w:type="spellStart"/>
      <w:r w:rsidRPr="004E306D">
        <w:rPr>
          <w:i/>
          <w:color w:val="000000"/>
        </w:rPr>
        <w:t>qoftë</w:t>
      </w:r>
      <w:proofErr w:type="spellEnd"/>
      <w:r w:rsidRPr="004E306D">
        <w:rPr>
          <w:i/>
          <w:color w:val="000000"/>
        </w:rPr>
        <w:t xml:space="preserve"> se </w:t>
      </w:r>
      <w:proofErr w:type="spellStart"/>
      <w:r w:rsidRPr="004E306D">
        <w:rPr>
          <w:i/>
          <w:color w:val="000000"/>
        </w:rPr>
        <w:t>tatimpaguesi</w:t>
      </w:r>
      <w:proofErr w:type="spellEnd"/>
      <w:r w:rsidRPr="004E306D">
        <w:rPr>
          <w:i/>
          <w:color w:val="000000"/>
        </w:rPr>
        <w:t xml:space="preserve"> </w:t>
      </w:r>
      <w:proofErr w:type="spellStart"/>
      <w:r w:rsidRPr="004E306D">
        <w:rPr>
          <w:i/>
          <w:color w:val="000000"/>
        </w:rPr>
        <w:t>nuk</w:t>
      </w:r>
      <w:proofErr w:type="spellEnd"/>
      <w:r w:rsidRPr="004E306D">
        <w:rPr>
          <w:i/>
          <w:color w:val="000000"/>
        </w:rPr>
        <w:t xml:space="preserve"> </w:t>
      </w:r>
      <w:proofErr w:type="spellStart"/>
      <w:r w:rsidRPr="004E306D">
        <w:rPr>
          <w:i/>
          <w:color w:val="000000"/>
        </w:rPr>
        <w:t>paguan</w:t>
      </w:r>
      <w:proofErr w:type="spellEnd"/>
      <w:r w:rsidRPr="004E306D">
        <w:rPr>
          <w:i/>
          <w:color w:val="000000"/>
        </w:rPr>
        <w:t xml:space="preserve"> </w:t>
      </w:r>
      <w:proofErr w:type="spellStart"/>
      <w:r w:rsidRPr="004E306D">
        <w:rPr>
          <w:i/>
          <w:color w:val="000000"/>
        </w:rPr>
        <w:t>shumën</w:t>
      </w:r>
      <w:proofErr w:type="spellEnd"/>
      <w:r w:rsidRPr="004E306D">
        <w:rPr>
          <w:i/>
          <w:color w:val="000000"/>
        </w:rPr>
        <w:t xml:space="preserve"> e </w:t>
      </w:r>
      <w:proofErr w:type="spellStart"/>
      <w:r w:rsidRPr="004E306D">
        <w:rPr>
          <w:i/>
          <w:color w:val="000000"/>
        </w:rPr>
        <w:t>caktuar</w:t>
      </w:r>
      <w:proofErr w:type="spellEnd"/>
      <w:r w:rsidRPr="004E306D">
        <w:rPr>
          <w:i/>
          <w:color w:val="000000"/>
        </w:rPr>
        <w:t xml:space="preserve"> </w:t>
      </w:r>
      <w:proofErr w:type="spellStart"/>
      <w:r w:rsidRPr="004E306D">
        <w:rPr>
          <w:i/>
          <w:color w:val="000000"/>
        </w:rPr>
        <w:t>para</w:t>
      </w:r>
      <w:proofErr w:type="spellEnd"/>
      <w:r w:rsidRPr="004E306D">
        <w:rPr>
          <w:i/>
          <w:color w:val="000000"/>
        </w:rPr>
        <w:t xml:space="preserve"> </w:t>
      </w:r>
      <w:proofErr w:type="spellStart"/>
      <w:r w:rsidRPr="004E306D">
        <w:rPr>
          <w:i/>
          <w:color w:val="000000"/>
        </w:rPr>
        <w:t>skadimit</w:t>
      </w:r>
      <w:proofErr w:type="spellEnd"/>
      <w:r w:rsidRPr="004E306D">
        <w:rPr>
          <w:i/>
          <w:color w:val="000000"/>
        </w:rPr>
        <w:t xml:space="preserve"> </w:t>
      </w:r>
      <w:proofErr w:type="spellStart"/>
      <w:r w:rsidRPr="004E306D">
        <w:rPr>
          <w:i/>
          <w:color w:val="000000"/>
        </w:rPr>
        <w:t>të</w:t>
      </w:r>
      <w:proofErr w:type="spellEnd"/>
      <w:r w:rsidRPr="004E306D">
        <w:rPr>
          <w:i/>
          <w:color w:val="000000"/>
        </w:rPr>
        <w:t xml:space="preserve"> </w:t>
      </w:r>
      <w:proofErr w:type="spellStart"/>
      <w:r w:rsidRPr="004E306D">
        <w:rPr>
          <w:i/>
          <w:color w:val="000000"/>
        </w:rPr>
        <w:t>afatit</w:t>
      </w:r>
      <w:proofErr w:type="spellEnd"/>
      <w:r w:rsidRPr="004E306D">
        <w:rPr>
          <w:i/>
          <w:color w:val="000000"/>
        </w:rPr>
        <w:t xml:space="preserve"> </w:t>
      </w:r>
      <w:proofErr w:type="spellStart"/>
      <w:r w:rsidRPr="004E306D">
        <w:rPr>
          <w:i/>
          <w:color w:val="000000"/>
        </w:rPr>
        <w:t>të</w:t>
      </w:r>
      <w:proofErr w:type="spellEnd"/>
      <w:r w:rsidRPr="004E306D">
        <w:rPr>
          <w:i/>
          <w:color w:val="000000"/>
        </w:rPr>
        <w:t xml:space="preserve"> </w:t>
      </w:r>
      <w:proofErr w:type="spellStart"/>
      <w:r w:rsidRPr="004E306D">
        <w:rPr>
          <w:i/>
          <w:color w:val="000000"/>
        </w:rPr>
        <w:t>ankimit</w:t>
      </w:r>
      <w:proofErr w:type="spellEnd"/>
      <w:r w:rsidRPr="004E306D">
        <w:rPr>
          <w:i/>
          <w:color w:val="000000"/>
        </w:rPr>
        <w:t xml:space="preserve">, </w:t>
      </w:r>
      <w:proofErr w:type="spellStart"/>
      <w:r w:rsidRPr="004E306D">
        <w:rPr>
          <w:i/>
          <w:color w:val="000000"/>
        </w:rPr>
        <w:t>ose</w:t>
      </w:r>
      <w:proofErr w:type="spellEnd"/>
      <w:r w:rsidRPr="004E306D">
        <w:rPr>
          <w:i/>
          <w:color w:val="000000"/>
        </w:rPr>
        <w:t xml:space="preserve"> </w:t>
      </w:r>
      <w:proofErr w:type="spellStart"/>
      <w:r w:rsidRPr="004E306D">
        <w:rPr>
          <w:i/>
          <w:color w:val="000000"/>
        </w:rPr>
        <w:t>nuk</w:t>
      </w:r>
      <w:proofErr w:type="spellEnd"/>
      <w:r w:rsidRPr="004E306D">
        <w:rPr>
          <w:i/>
          <w:color w:val="000000"/>
        </w:rPr>
        <w:t xml:space="preserve"> </w:t>
      </w:r>
      <w:proofErr w:type="spellStart"/>
      <w:r w:rsidRPr="004E306D">
        <w:rPr>
          <w:i/>
          <w:color w:val="000000"/>
        </w:rPr>
        <w:t>vendos</w:t>
      </w:r>
      <w:proofErr w:type="spellEnd"/>
      <w:r w:rsidRPr="004E306D">
        <w:rPr>
          <w:i/>
          <w:color w:val="000000"/>
        </w:rPr>
        <w:t xml:space="preserve"> </w:t>
      </w:r>
      <w:proofErr w:type="spellStart"/>
      <w:r w:rsidRPr="004E306D">
        <w:rPr>
          <w:i/>
          <w:color w:val="000000"/>
        </w:rPr>
        <w:t>garancinë</w:t>
      </w:r>
      <w:proofErr w:type="spellEnd"/>
      <w:r w:rsidRPr="004E306D">
        <w:rPr>
          <w:i/>
          <w:color w:val="000000"/>
        </w:rPr>
        <w:t xml:space="preserve"> </w:t>
      </w:r>
      <w:proofErr w:type="spellStart"/>
      <w:r w:rsidRPr="004E306D">
        <w:rPr>
          <w:i/>
          <w:color w:val="000000"/>
        </w:rPr>
        <w:t>bankare</w:t>
      </w:r>
      <w:proofErr w:type="spellEnd"/>
      <w:r w:rsidRPr="004E306D">
        <w:rPr>
          <w:i/>
          <w:color w:val="000000"/>
        </w:rPr>
        <w:t xml:space="preserve">, </w:t>
      </w:r>
      <w:proofErr w:type="spellStart"/>
      <w:r w:rsidRPr="004E306D">
        <w:rPr>
          <w:i/>
          <w:color w:val="000000"/>
        </w:rPr>
        <w:t>ankimi</w:t>
      </w:r>
      <w:proofErr w:type="spellEnd"/>
      <w:r w:rsidRPr="004E306D">
        <w:rPr>
          <w:i/>
          <w:color w:val="000000"/>
        </w:rPr>
        <w:t xml:space="preserve"> </w:t>
      </w:r>
      <w:proofErr w:type="spellStart"/>
      <w:r w:rsidRPr="004E306D">
        <w:rPr>
          <w:i/>
          <w:color w:val="000000"/>
        </w:rPr>
        <w:t>konsiderohe</w:t>
      </w:r>
      <w:r>
        <w:rPr>
          <w:i/>
          <w:color w:val="000000"/>
        </w:rPr>
        <w:t>t</w:t>
      </w:r>
      <w:proofErr w:type="spellEnd"/>
      <w:r>
        <w:rPr>
          <w:i/>
          <w:color w:val="000000"/>
        </w:rPr>
        <w:t xml:space="preserve"> i </w:t>
      </w:r>
      <w:proofErr w:type="spellStart"/>
      <w:r>
        <w:rPr>
          <w:i/>
          <w:color w:val="000000"/>
        </w:rPr>
        <w:t>papranueshëm</w:t>
      </w:r>
      <w:proofErr w:type="spellEnd"/>
      <w:r>
        <w:rPr>
          <w:i/>
          <w:color w:val="000000"/>
        </w:rPr>
        <w:t xml:space="preserve"> </w:t>
      </w:r>
      <w:proofErr w:type="spellStart"/>
      <w:r>
        <w:rPr>
          <w:i/>
          <w:color w:val="000000"/>
        </w:rPr>
        <w:t>dhe</w:t>
      </w:r>
      <w:proofErr w:type="spellEnd"/>
      <w:r>
        <w:rPr>
          <w:i/>
          <w:color w:val="000000"/>
        </w:rPr>
        <w:t xml:space="preserve"> </w:t>
      </w:r>
      <w:proofErr w:type="spellStart"/>
      <w:r>
        <w:rPr>
          <w:i/>
          <w:color w:val="000000"/>
        </w:rPr>
        <w:t>refuzohet</w:t>
      </w:r>
      <w:proofErr w:type="spellEnd"/>
      <w:r>
        <w:rPr>
          <w:i/>
          <w:color w:val="000000"/>
        </w:rPr>
        <w:t>....</w:t>
      </w:r>
      <w:r w:rsidRPr="004E306D">
        <w:rPr>
          <w:i/>
          <w:color w:val="000000"/>
        </w:rPr>
        <w:t xml:space="preserve"> </w:t>
      </w:r>
      <w:proofErr w:type="spellStart"/>
      <w:r w:rsidRPr="004E306D">
        <w:rPr>
          <w:i/>
          <w:color w:val="000000"/>
        </w:rPr>
        <w:t>Drejtoria</w:t>
      </w:r>
      <w:proofErr w:type="spellEnd"/>
      <w:r w:rsidRPr="004E306D">
        <w:rPr>
          <w:i/>
          <w:color w:val="000000"/>
        </w:rPr>
        <w:t xml:space="preserve"> e </w:t>
      </w:r>
      <w:proofErr w:type="spellStart"/>
      <w:r w:rsidRPr="004E306D">
        <w:rPr>
          <w:i/>
          <w:color w:val="000000"/>
        </w:rPr>
        <w:t>Apelimit</w:t>
      </w:r>
      <w:proofErr w:type="spellEnd"/>
      <w:r w:rsidRPr="004E306D">
        <w:rPr>
          <w:i/>
          <w:color w:val="000000"/>
        </w:rPr>
        <w:t xml:space="preserve"> </w:t>
      </w:r>
      <w:proofErr w:type="spellStart"/>
      <w:r w:rsidRPr="004E306D">
        <w:rPr>
          <w:i/>
          <w:color w:val="000000"/>
        </w:rPr>
        <w:t>Tatimor</w:t>
      </w:r>
      <w:proofErr w:type="spellEnd"/>
      <w:r w:rsidRPr="004E306D">
        <w:rPr>
          <w:i/>
          <w:color w:val="000000"/>
        </w:rPr>
        <w:t xml:space="preserve"> </w:t>
      </w:r>
      <w:proofErr w:type="spellStart"/>
      <w:r w:rsidRPr="004E306D">
        <w:rPr>
          <w:i/>
          <w:color w:val="000000"/>
        </w:rPr>
        <w:t>nuk</w:t>
      </w:r>
      <w:proofErr w:type="spellEnd"/>
      <w:r w:rsidRPr="004E306D">
        <w:rPr>
          <w:i/>
          <w:color w:val="000000"/>
        </w:rPr>
        <w:t xml:space="preserve"> </w:t>
      </w:r>
      <w:proofErr w:type="spellStart"/>
      <w:r w:rsidRPr="004E306D">
        <w:rPr>
          <w:i/>
          <w:color w:val="000000"/>
        </w:rPr>
        <w:t>është</w:t>
      </w:r>
      <w:proofErr w:type="spellEnd"/>
      <w:r w:rsidRPr="004E306D">
        <w:rPr>
          <w:i/>
          <w:color w:val="000000"/>
        </w:rPr>
        <w:t xml:space="preserve"> e </w:t>
      </w:r>
      <w:proofErr w:type="spellStart"/>
      <w:r w:rsidRPr="004E306D">
        <w:rPr>
          <w:i/>
          <w:color w:val="000000"/>
        </w:rPr>
        <w:t>detyruar</w:t>
      </w:r>
      <w:proofErr w:type="spellEnd"/>
      <w:r w:rsidRPr="004E306D">
        <w:rPr>
          <w:i/>
          <w:color w:val="000000"/>
        </w:rPr>
        <w:t xml:space="preserve"> </w:t>
      </w:r>
      <w:proofErr w:type="spellStart"/>
      <w:r w:rsidRPr="004E306D">
        <w:rPr>
          <w:i/>
          <w:color w:val="000000"/>
        </w:rPr>
        <w:t>që</w:t>
      </w:r>
      <w:proofErr w:type="spellEnd"/>
      <w:r w:rsidRPr="004E306D">
        <w:rPr>
          <w:i/>
          <w:color w:val="000000"/>
        </w:rPr>
        <w:t xml:space="preserve"> </w:t>
      </w:r>
      <w:proofErr w:type="spellStart"/>
      <w:r w:rsidRPr="004E306D">
        <w:rPr>
          <w:i/>
          <w:color w:val="000000"/>
        </w:rPr>
        <w:t>para</w:t>
      </w:r>
      <w:proofErr w:type="spellEnd"/>
      <w:r w:rsidRPr="004E306D">
        <w:rPr>
          <w:i/>
          <w:color w:val="000000"/>
        </w:rPr>
        <w:t xml:space="preserve"> </w:t>
      </w:r>
      <w:proofErr w:type="spellStart"/>
      <w:r w:rsidRPr="004E306D">
        <w:rPr>
          <w:i/>
          <w:color w:val="000000"/>
        </w:rPr>
        <w:t>refuzimit</w:t>
      </w:r>
      <w:proofErr w:type="spellEnd"/>
      <w:r w:rsidRPr="004E306D">
        <w:rPr>
          <w:i/>
          <w:color w:val="000000"/>
        </w:rPr>
        <w:t xml:space="preserve"> </w:t>
      </w:r>
      <w:proofErr w:type="spellStart"/>
      <w:r w:rsidRPr="004E306D">
        <w:rPr>
          <w:i/>
          <w:color w:val="000000"/>
        </w:rPr>
        <w:t>të</w:t>
      </w:r>
      <w:proofErr w:type="spellEnd"/>
      <w:r w:rsidRPr="004E306D">
        <w:rPr>
          <w:i/>
          <w:color w:val="000000"/>
        </w:rPr>
        <w:t xml:space="preserve"> </w:t>
      </w:r>
      <w:proofErr w:type="spellStart"/>
      <w:r w:rsidRPr="004E306D">
        <w:rPr>
          <w:i/>
          <w:color w:val="000000"/>
        </w:rPr>
        <w:t>apelimit</w:t>
      </w:r>
      <w:proofErr w:type="spellEnd"/>
      <w:r w:rsidRPr="004E306D">
        <w:rPr>
          <w:i/>
          <w:color w:val="000000"/>
        </w:rPr>
        <w:t xml:space="preserve">, ta </w:t>
      </w:r>
      <w:proofErr w:type="spellStart"/>
      <w:r w:rsidRPr="004E306D">
        <w:rPr>
          <w:i/>
          <w:color w:val="000000"/>
        </w:rPr>
        <w:t>informojë</w:t>
      </w:r>
      <w:proofErr w:type="spellEnd"/>
      <w:r w:rsidRPr="004E306D">
        <w:rPr>
          <w:i/>
          <w:color w:val="000000"/>
        </w:rPr>
        <w:t xml:space="preserve"> </w:t>
      </w:r>
      <w:proofErr w:type="spellStart"/>
      <w:r w:rsidRPr="004E306D">
        <w:rPr>
          <w:i/>
          <w:color w:val="000000"/>
        </w:rPr>
        <w:t>tatimpaguesin</w:t>
      </w:r>
      <w:proofErr w:type="spellEnd"/>
      <w:r w:rsidRPr="004E306D">
        <w:rPr>
          <w:i/>
          <w:color w:val="000000"/>
        </w:rPr>
        <w:t xml:space="preserve"> </w:t>
      </w:r>
      <w:proofErr w:type="spellStart"/>
      <w:r w:rsidRPr="004E306D">
        <w:rPr>
          <w:i/>
          <w:color w:val="000000"/>
        </w:rPr>
        <w:t>që</w:t>
      </w:r>
      <w:proofErr w:type="spellEnd"/>
      <w:r w:rsidRPr="004E306D">
        <w:rPr>
          <w:i/>
          <w:color w:val="000000"/>
        </w:rPr>
        <w:t xml:space="preserve"> </w:t>
      </w:r>
      <w:proofErr w:type="spellStart"/>
      <w:r w:rsidRPr="004E306D">
        <w:rPr>
          <w:i/>
          <w:color w:val="000000"/>
        </w:rPr>
        <w:t>ankimi</w:t>
      </w:r>
      <w:proofErr w:type="spellEnd"/>
      <w:r w:rsidRPr="004E306D">
        <w:rPr>
          <w:i/>
          <w:color w:val="000000"/>
        </w:rPr>
        <w:t xml:space="preserve"> i </w:t>
      </w:r>
      <w:proofErr w:type="spellStart"/>
      <w:r w:rsidRPr="004E306D">
        <w:rPr>
          <w:i/>
          <w:color w:val="000000"/>
        </w:rPr>
        <w:t>tij</w:t>
      </w:r>
      <w:proofErr w:type="spellEnd"/>
      <w:r w:rsidRPr="004E306D">
        <w:rPr>
          <w:i/>
          <w:color w:val="000000"/>
        </w:rPr>
        <w:t xml:space="preserve"> </w:t>
      </w:r>
      <w:proofErr w:type="spellStart"/>
      <w:r w:rsidRPr="004E306D">
        <w:rPr>
          <w:i/>
          <w:color w:val="000000"/>
        </w:rPr>
        <w:t>është</w:t>
      </w:r>
      <w:proofErr w:type="spellEnd"/>
      <w:r w:rsidRPr="004E306D">
        <w:rPr>
          <w:i/>
          <w:color w:val="000000"/>
        </w:rPr>
        <w:t xml:space="preserve"> i </w:t>
      </w:r>
      <w:proofErr w:type="spellStart"/>
      <w:r w:rsidRPr="004E306D">
        <w:rPr>
          <w:i/>
          <w:color w:val="000000"/>
        </w:rPr>
        <w:t>papranueshëm</w:t>
      </w:r>
      <w:proofErr w:type="spellEnd"/>
      <w:r w:rsidRPr="004E306D">
        <w:rPr>
          <w:i/>
          <w:color w:val="000000"/>
        </w:rPr>
        <w:t>.</w:t>
      </w:r>
      <w:r w:rsidRPr="004E306D">
        <w:rPr>
          <w:color w:val="000000"/>
        </w:rPr>
        <w:t>"</w:t>
      </w:r>
    </w:p>
    <w:p w:rsidR="00AA2A5E" w:rsidRDefault="00AA2A5E" w:rsidP="002479B5">
      <w:pPr>
        <w:pStyle w:val="BodyText"/>
        <w:spacing w:line="276" w:lineRule="auto"/>
        <w:rPr>
          <w:bCs/>
          <w:lang w:val="it-IT"/>
        </w:rPr>
      </w:pPr>
    </w:p>
    <w:p w:rsidR="00AA2A5E" w:rsidRDefault="00AA2A5E" w:rsidP="002479B5">
      <w:pPr>
        <w:pStyle w:val="BodyText"/>
        <w:spacing w:line="276" w:lineRule="auto"/>
        <w:rPr>
          <w:bCs/>
        </w:rPr>
      </w:pPr>
      <w:r>
        <w:rPr>
          <w:b/>
          <w:bCs/>
        </w:rPr>
        <w:t xml:space="preserve">Sa me </w:t>
      </w:r>
      <w:proofErr w:type="spellStart"/>
      <w:r>
        <w:rPr>
          <w:b/>
          <w:bCs/>
        </w:rPr>
        <w:t>sipër</w:t>
      </w:r>
      <w:proofErr w:type="spellEnd"/>
      <w:r>
        <w:rPr>
          <w:b/>
          <w:bCs/>
        </w:rPr>
        <w:t xml:space="preserve">, </w:t>
      </w:r>
      <w:proofErr w:type="spellStart"/>
      <w:r>
        <w:rPr>
          <w:b/>
          <w:bCs/>
        </w:rPr>
        <w:t>Drejtoria</w:t>
      </w:r>
      <w:proofErr w:type="spellEnd"/>
      <w:r>
        <w:rPr>
          <w:b/>
          <w:bCs/>
        </w:rPr>
        <w:t xml:space="preserve"> e </w:t>
      </w:r>
      <w:proofErr w:type="spellStart"/>
      <w:r>
        <w:rPr>
          <w:b/>
          <w:bCs/>
        </w:rPr>
        <w:t>Apelimit</w:t>
      </w:r>
      <w:proofErr w:type="spellEnd"/>
      <w:r>
        <w:rPr>
          <w:b/>
          <w:bCs/>
        </w:rPr>
        <w:t xml:space="preserve"> </w:t>
      </w:r>
      <w:proofErr w:type="spellStart"/>
      <w:r>
        <w:rPr>
          <w:b/>
          <w:bCs/>
        </w:rPr>
        <w:t>Tatimor</w:t>
      </w:r>
      <w:proofErr w:type="spellEnd"/>
      <w:r>
        <w:rPr>
          <w:b/>
          <w:bCs/>
        </w:rPr>
        <w:t xml:space="preserve"> </w:t>
      </w:r>
      <w:proofErr w:type="spellStart"/>
      <w:r>
        <w:rPr>
          <w:bCs/>
        </w:rPr>
        <w:t>bazuar</w:t>
      </w:r>
      <w:proofErr w:type="spellEnd"/>
      <w:r>
        <w:rPr>
          <w:bCs/>
        </w:rPr>
        <w:t xml:space="preserve"> </w:t>
      </w:r>
      <w:proofErr w:type="spellStart"/>
      <w:r>
        <w:rPr>
          <w:bCs/>
        </w:rPr>
        <w:t>në</w:t>
      </w:r>
      <w:proofErr w:type="spellEnd"/>
      <w:r>
        <w:rPr>
          <w:bCs/>
        </w:rPr>
        <w:t xml:space="preserve"> </w:t>
      </w:r>
      <w:proofErr w:type="spellStart"/>
      <w:r>
        <w:rPr>
          <w:bCs/>
        </w:rPr>
        <w:t>Ligjin</w:t>
      </w:r>
      <w:proofErr w:type="spellEnd"/>
      <w:r>
        <w:rPr>
          <w:bCs/>
          <w:szCs w:val="28"/>
        </w:rPr>
        <w:t xml:space="preserve"> Nr.9920, </w:t>
      </w:r>
      <w:proofErr w:type="spellStart"/>
      <w:r>
        <w:rPr>
          <w:bCs/>
          <w:szCs w:val="28"/>
        </w:rPr>
        <w:t>datë</w:t>
      </w:r>
      <w:proofErr w:type="spellEnd"/>
      <w:r>
        <w:rPr>
          <w:bCs/>
          <w:szCs w:val="28"/>
        </w:rPr>
        <w:t xml:space="preserve"> 19.5.2008</w:t>
      </w:r>
      <w:r>
        <w:rPr>
          <w:bCs/>
        </w:rPr>
        <w:t xml:space="preserve"> “</w:t>
      </w:r>
      <w:proofErr w:type="spellStart"/>
      <w:r>
        <w:rPr>
          <w:bCs/>
        </w:rPr>
        <w:t>Për</w:t>
      </w:r>
      <w:proofErr w:type="spellEnd"/>
      <w:r>
        <w:rPr>
          <w:bCs/>
        </w:rPr>
        <w:t xml:space="preserve"> </w:t>
      </w:r>
      <w:proofErr w:type="spellStart"/>
      <w:r>
        <w:rPr>
          <w:bCs/>
        </w:rPr>
        <w:t>Proçedurat</w:t>
      </w:r>
      <w:proofErr w:type="spellEnd"/>
      <w:r>
        <w:rPr>
          <w:bCs/>
        </w:rPr>
        <w:t xml:space="preserve"> </w:t>
      </w:r>
      <w:proofErr w:type="spellStart"/>
      <w:r>
        <w:rPr>
          <w:bCs/>
        </w:rPr>
        <w:t>Tatimore</w:t>
      </w:r>
      <w:proofErr w:type="spellEnd"/>
      <w:r>
        <w:rPr>
          <w:bCs/>
        </w:rPr>
        <w:t xml:space="preserve"> ne </w:t>
      </w:r>
      <w:proofErr w:type="spellStart"/>
      <w:r>
        <w:rPr>
          <w:bCs/>
        </w:rPr>
        <w:t>R.Sh-</w:t>
      </w:r>
      <w:proofErr w:type="gramStart"/>
      <w:r>
        <w:rPr>
          <w:bCs/>
        </w:rPr>
        <w:t>së</w:t>
      </w:r>
      <w:proofErr w:type="spellEnd"/>
      <w:r>
        <w:rPr>
          <w:bCs/>
        </w:rPr>
        <w:t xml:space="preserve"> ”</w:t>
      </w:r>
      <w:proofErr w:type="gramEnd"/>
      <w:r>
        <w:rPr>
          <w:bCs/>
        </w:rPr>
        <w:t xml:space="preserve">, i </w:t>
      </w:r>
      <w:proofErr w:type="spellStart"/>
      <w:r>
        <w:rPr>
          <w:bCs/>
        </w:rPr>
        <w:t>ndryshuar</w:t>
      </w:r>
      <w:proofErr w:type="spellEnd"/>
      <w:r>
        <w:rPr>
          <w:bCs/>
        </w:rPr>
        <w:t xml:space="preserve">, </w:t>
      </w:r>
      <w:proofErr w:type="spellStart"/>
      <w:r>
        <w:rPr>
          <w:bCs/>
        </w:rPr>
        <w:t>nenet</w:t>
      </w:r>
      <w:proofErr w:type="spellEnd"/>
      <w:r>
        <w:rPr>
          <w:bCs/>
        </w:rPr>
        <w:t xml:space="preserve"> 106, 107, 108 </w:t>
      </w:r>
      <w:proofErr w:type="spellStart"/>
      <w:r>
        <w:rPr>
          <w:bCs/>
        </w:rPr>
        <w:t>dhe</w:t>
      </w:r>
      <w:proofErr w:type="spellEnd"/>
      <w:r>
        <w:rPr>
          <w:bCs/>
        </w:rPr>
        <w:t xml:space="preserve"> </w:t>
      </w:r>
      <w:r>
        <w:rPr>
          <w:lang w:val="it-IT"/>
        </w:rPr>
        <w:t>Udhëzimin Nr.24, datë 02.09.2008 (i ndryshuar),  në zbatim të tij,</w:t>
      </w:r>
      <w:r>
        <w:rPr>
          <w:bCs/>
        </w:rPr>
        <w:t xml:space="preserve"> </w:t>
      </w:r>
      <w:proofErr w:type="spellStart"/>
      <w:r>
        <w:rPr>
          <w:bCs/>
        </w:rPr>
        <w:t>pikat</w:t>
      </w:r>
      <w:proofErr w:type="spellEnd"/>
      <w:r>
        <w:rPr>
          <w:bCs/>
        </w:rPr>
        <w:t xml:space="preserve"> 107dhe 108.3.3/a,</w:t>
      </w:r>
    </w:p>
    <w:p w:rsidR="00AA2A5E" w:rsidRDefault="00AA2A5E" w:rsidP="002479B5">
      <w:pPr>
        <w:pStyle w:val="BodyText"/>
        <w:spacing w:line="276" w:lineRule="auto"/>
        <w:rPr>
          <w:bCs/>
        </w:rPr>
      </w:pPr>
    </w:p>
    <w:p w:rsidR="00AA2A5E" w:rsidRDefault="00AA2A5E" w:rsidP="002479B5">
      <w:pPr>
        <w:pStyle w:val="Header"/>
        <w:tabs>
          <w:tab w:val="left" w:pos="720"/>
        </w:tabs>
        <w:spacing w:line="276" w:lineRule="auto"/>
        <w:jc w:val="center"/>
        <w:rPr>
          <w:b/>
          <w:u w:val="double"/>
          <w:lang w:val="sq-AL"/>
        </w:rPr>
      </w:pPr>
      <w:r w:rsidRPr="008F1DE7">
        <w:rPr>
          <w:b/>
          <w:u w:val="double"/>
          <w:lang w:val="sq-AL"/>
        </w:rPr>
        <w:t>V  E  N  D  O  S  I :</w:t>
      </w:r>
    </w:p>
    <w:p w:rsidR="00EB6274" w:rsidRDefault="00EB6274" w:rsidP="002479B5">
      <w:pPr>
        <w:pStyle w:val="Header"/>
        <w:tabs>
          <w:tab w:val="left" w:pos="720"/>
        </w:tabs>
        <w:spacing w:line="276" w:lineRule="auto"/>
        <w:jc w:val="center"/>
        <w:rPr>
          <w:b/>
          <w:u w:val="double"/>
          <w:lang w:val="sq-AL"/>
        </w:rPr>
      </w:pPr>
    </w:p>
    <w:p w:rsidR="00AA2A5E" w:rsidRPr="00EC0017" w:rsidRDefault="00AA2A5E" w:rsidP="002479B5">
      <w:pPr>
        <w:numPr>
          <w:ilvl w:val="0"/>
          <w:numId w:val="8"/>
        </w:numPr>
        <w:spacing w:line="276" w:lineRule="auto"/>
        <w:jc w:val="both"/>
        <w:rPr>
          <w:color w:val="000000"/>
        </w:rPr>
      </w:pPr>
      <w:r w:rsidRPr="00EC0017">
        <w:rPr>
          <w:lang w:val="sq-AL"/>
        </w:rPr>
        <w:t xml:space="preserve">Refuzimin e ankimit, </w:t>
      </w:r>
      <w:r w:rsidRPr="00EC0017">
        <w:t xml:space="preserve">me </w:t>
      </w:r>
      <w:proofErr w:type="spellStart"/>
      <w:r w:rsidRPr="00EC0017">
        <w:t>objekt</w:t>
      </w:r>
      <w:proofErr w:type="spellEnd"/>
      <w:r w:rsidRPr="00EC0017">
        <w:t xml:space="preserve"> </w:t>
      </w:r>
      <w:proofErr w:type="spellStart"/>
      <w:r w:rsidR="00EC0017" w:rsidRPr="00EC0017">
        <w:rPr>
          <w:bCs/>
        </w:rPr>
        <w:t>aktin</w:t>
      </w:r>
      <w:proofErr w:type="spellEnd"/>
      <w:r w:rsidR="00EC0017" w:rsidRPr="00EC0017">
        <w:rPr>
          <w:bCs/>
        </w:rPr>
        <w:t xml:space="preserve"> </w:t>
      </w:r>
      <w:proofErr w:type="spellStart"/>
      <w:r w:rsidR="00EC0017" w:rsidRPr="00EC0017">
        <w:rPr>
          <w:bCs/>
        </w:rPr>
        <w:t>administrativ</w:t>
      </w:r>
      <w:proofErr w:type="spellEnd"/>
      <w:r w:rsidR="00EC0017" w:rsidRPr="00EC0017">
        <w:rPr>
          <w:bCs/>
        </w:rPr>
        <w:t xml:space="preserve"> </w:t>
      </w:r>
      <w:proofErr w:type="spellStart"/>
      <w:r w:rsidR="00EC0017" w:rsidRPr="00EC0017">
        <w:rPr>
          <w:bCs/>
        </w:rPr>
        <w:t>Njoftim</w:t>
      </w:r>
      <w:proofErr w:type="spellEnd"/>
      <w:r w:rsidR="00EC0017" w:rsidRPr="00EC0017">
        <w:rPr>
          <w:bCs/>
        </w:rPr>
        <w:t xml:space="preserve"> </w:t>
      </w:r>
      <w:proofErr w:type="spellStart"/>
      <w:r w:rsidR="00EC0017" w:rsidRPr="00EC0017">
        <w:rPr>
          <w:bCs/>
        </w:rPr>
        <w:t>Vlerësimi</w:t>
      </w:r>
      <w:proofErr w:type="spellEnd"/>
      <w:r w:rsidR="00EC0017" w:rsidRPr="00EC0017">
        <w:rPr>
          <w:bCs/>
        </w:rPr>
        <w:t xml:space="preserve"> </w:t>
      </w:r>
      <w:proofErr w:type="spellStart"/>
      <w:r w:rsidR="00EC0017" w:rsidRPr="00EC0017">
        <w:rPr>
          <w:bCs/>
        </w:rPr>
        <w:t>për</w:t>
      </w:r>
      <w:proofErr w:type="spellEnd"/>
      <w:r w:rsidR="00EC0017" w:rsidRPr="00EC0017">
        <w:rPr>
          <w:bCs/>
        </w:rPr>
        <w:t xml:space="preserve"> </w:t>
      </w:r>
      <w:proofErr w:type="spellStart"/>
      <w:r w:rsidR="00EC0017" w:rsidRPr="00EC0017">
        <w:rPr>
          <w:bCs/>
        </w:rPr>
        <w:t>Detyrimet</w:t>
      </w:r>
      <w:proofErr w:type="spellEnd"/>
      <w:r w:rsidR="00EC0017" w:rsidRPr="00EC0017">
        <w:rPr>
          <w:bCs/>
        </w:rPr>
        <w:t xml:space="preserve"> </w:t>
      </w:r>
      <w:proofErr w:type="spellStart"/>
      <w:r w:rsidR="00EC0017" w:rsidRPr="00EC0017">
        <w:rPr>
          <w:bCs/>
        </w:rPr>
        <w:t>Tatimore</w:t>
      </w:r>
      <w:proofErr w:type="spellEnd"/>
      <w:r w:rsidR="00EC0017" w:rsidRPr="00EC0017">
        <w:rPr>
          <w:bCs/>
        </w:rPr>
        <w:t xml:space="preserve"> </w:t>
      </w:r>
      <w:proofErr w:type="spellStart"/>
      <w:r w:rsidRPr="00EC0017">
        <w:t>pasi</w:t>
      </w:r>
      <w:proofErr w:type="spellEnd"/>
      <w:r w:rsidRPr="00EC0017">
        <w:t xml:space="preserve"> </w:t>
      </w:r>
      <w:proofErr w:type="spellStart"/>
      <w:r w:rsidRPr="00EC0017">
        <w:t>nuk</w:t>
      </w:r>
      <w:proofErr w:type="spellEnd"/>
      <w:r w:rsidRPr="00EC0017">
        <w:t xml:space="preserve"> </w:t>
      </w:r>
      <w:proofErr w:type="spellStart"/>
      <w:r w:rsidRPr="00EC0017">
        <w:t>janë</w:t>
      </w:r>
      <w:proofErr w:type="spellEnd"/>
      <w:r w:rsidRPr="00EC0017">
        <w:t xml:space="preserve"> </w:t>
      </w:r>
      <w:proofErr w:type="spellStart"/>
      <w:r w:rsidRPr="00EC0017">
        <w:t>përmbushur</w:t>
      </w:r>
      <w:proofErr w:type="spellEnd"/>
      <w:r w:rsidRPr="00EC0017">
        <w:t xml:space="preserve"> </w:t>
      </w:r>
      <w:proofErr w:type="spellStart"/>
      <w:r w:rsidRPr="00EC0017">
        <w:t>kërkesat</w:t>
      </w:r>
      <w:proofErr w:type="spellEnd"/>
      <w:r w:rsidRPr="00EC0017">
        <w:t xml:space="preserve"> </w:t>
      </w:r>
      <w:proofErr w:type="spellStart"/>
      <w:r w:rsidRPr="00EC0017">
        <w:t>dhe</w:t>
      </w:r>
      <w:proofErr w:type="spellEnd"/>
      <w:r w:rsidRPr="00EC0017">
        <w:t xml:space="preserve"> </w:t>
      </w:r>
      <w:proofErr w:type="spellStart"/>
      <w:r w:rsidRPr="00EC0017">
        <w:t>proçedurat</w:t>
      </w:r>
      <w:proofErr w:type="spellEnd"/>
      <w:r w:rsidRPr="00EC0017">
        <w:t xml:space="preserve"> e </w:t>
      </w:r>
      <w:proofErr w:type="spellStart"/>
      <w:r w:rsidRPr="00EC0017">
        <w:t>përcaktuara</w:t>
      </w:r>
      <w:proofErr w:type="spellEnd"/>
      <w:r w:rsidRPr="00EC0017">
        <w:t xml:space="preserve"> </w:t>
      </w:r>
      <w:proofErr w:type="spellStart"/>
      <w:r w:rsidRPr="00EC0017">
        <w:t>në</w:t>
      </w:r>
      <w:proofErr w:type="spellEnd"/>
      <w:r w:rsidRPr="00EC0017">
        <w:t xml:space="preserve"> </w:t>
      </w:r>
      <w:proofErr w:type="spellStart"/>
      <w:r w:rsidRPr="00EC0017">
        <w:t>nenin</w:t>
      </w:r>
      <w:proofErr w:type="spellEnd"/>
      <w:r w:rsidRPr="00EC0017">
        <w:t xml:space="preserve"> 107 </w:t>
      </w:r>
      <w:proofErr w:type="spellStart"/>
      <w:r w:rsidRPr="00EC0017">
        <w:t>të</w:t>
      </w:r>
      <w:proofErr w:type="spellEnd"/>
      <w:r w:rsidRPr="00EC0017">
        <w:t xml:space="preserve"> </w:t>
      </w:r>
      <w:proofErr w:type="spellStart"/>
      <w:r w:rsidRPr="00EC0017">
        <w:rPr>
          <w:bCs/>
        </w:rPr>
        <w:t>Ligjit</w:t>
      </w:r>
      <w:proofErr w:type="spellEnd"/>
      <w:r w:rsidRPr="00EC0017">
        <w:rPr>
          <w:bCs/>
          <w:szCs w:val="28"/>
        </w:rPr>
        <w:t xml:space="preserve"> Nr.9920, </w:t>
      </w:r>
      <w:proofErr w:type="spellStart"/>
      <w:r w:rsidRPr="00EC0017">
        <w:rPr>
          <w:bCs/>
          <w:szCs w:val="28"/>
        </w:rPr>
        <w:t>datë</w:t>
      </w:r>
      <w:proofErr w:type="spellEnd"/>
      <w:r w:rsidRPr="00EC0017">
        <w:rPr>
          <w:bCs/>
          <w:szCs w:val="28"/>
        </w:rPr>
        <w:t xml:space="preserve"> 19.5.2008</w:t>
      </w:r>
      <w:r w:rsidRPr="00EC0017">
        <w:rPr>
          <w:bCs/>
        </w:rPr>
        <w:t xml:space="preserve"> “</w:t>
      </w:r>
      <w:proofErr w:type="spellStart"/>
      <w:r w:rsidRPr="00EC0017">
        <w:rPr>
          <w:bCs/>
        </w:rPr>
        <w:t>Për</w:t>
      </w:r>
      <w:proofErr w:type="spellEnd"/>
      <w:r w:rsidRPr="00EC0017">
        <w:rPr>
          <w:bCs/>
        </w:rPr>
        <w:t xml:space="preserve"> </w:t>
      </w:r>
      <w:proofErr w:type="spellStart"/>
      <w:r w:rsidRPr="00EC0017">
        <w:rPr>
          <w:bCs/>
        </w:rPr>
        <w:t>Proçedurat</w:t>
      </w:r>
      <w:proofErr w:type="spellEnd"/>
      <w:r w:rsidRPr="00EC0017">
        <w:rPr>
          <w:bCs/>
        </w:rPr>
        <w:t xml:space="preserve"> </w:t>
      </w:r>
      <w:proofErr w:type="spellStart"/>
      <w:r w:rsidRPr="00EC0017">
        <w:rPr>
          <w:bCs/>
        </w:rPr>
        <w:t>Tatimore</w:t>
      </w:r>
      <w:proofErr w:type="spellEnd"/>
      <w:r w:rsidRPr="00EC0017">
        <w:rPr>
          <w:bCs/>
        </w:rPr>
        <w:t xml:space="preserve"> ne </w:t>
      </w:r>
      <w:proofErr w:type="spellStart"/>
      <w:r w:rsidRPr="00EC0017">
        <w:rPr>
          <w:bCs/>
        </w:rPr>
        <w:t>R.Sh-së</w:t>
      </w:r>
      <w:proofErr w:type="spellEnd"/>
      <w:r w:rsidRPr="00EC0017">
        <w:rPr>
          <w:bCs/>
        </w:rPr>
        <w:t xml:space="preserve"> ”, i </w:t>
      </w:r>
      <w:proofErr w:type="spellStart"/>
      <w:r w:rsidRPr="00EC0017">
        <w:rPr>
          <w:bCs/>
        </w:rPr>
        <w:t>ndryshuar</w:t>
      </w:r>
      <w:proofErr w:type="spellEnd"/>
      <w:r w:rsidRPr="00EC0017">
        <w:rPr>
          <w:bCs/>
        </w:rPr>
        <w:t xml:space="preserve">, </w:t>
      </w:r>
      <w:proofErr w:type="spellStart"/>
      <w:r w:rsidRPr="00EC0017">
        <w:rPr>
          <w:bCs/>
        </w:rPr>
        <w:t>në</w:t>
      </w:r>
      <w:proofErr w:type="spellEnd"/>
      <w:r w:rsidRPr="00EC0017">
        <w:rPr>
          <w:bCs/>
        </w:rPr>
        <w:t xml:space="preserve"> </w:t>
      </w:r>
      <w:proofErr w:type="spellStart"/>
      <w:r w:rsidRPr="00EC0017">
        <w:rPr>
          <w:bCs/>
        </w:rPr>
        <w:t>lidhje</w:t>
      </w:r>
      <w:proofErr w:type="spellEnd"/>
      <w:r w:rsidRPr="00EC0017">
        <w:rPr>
          <w:bCs/>
        </w:rPr>
        <w:t xml:space="preserve"> me </w:t>
      </w:r>
      <w:proofErr w:type="spellStart"/>
      <w:r w:rsidRPr="00EC0017">
        <w:rPr>
          <w:bCs/>
        </w:rPr>
        <w:t>përmbushjen</w:t>
      </w:r>
      <w:proofErr w:type="spellEnd"/>
      <w:r w:rsidRPr="00EC0017">
        <w:rPr>
          <w:bCs/>
        </w:rPr>
        <w:t xml:space="preserve"> e </w:t>
      </w:r>
      <w:proofErr w:type="spellStart"/>
      <w:r w:rsidRPr="00EC0017">
        <w:rPr>
          <w:bCs/>
        </w:rPr>
        <w:t>detyrimit</w:t>
      </w:r>
      <w:proofErr w:type="spellEnd"/>
      <w:r w:rsidRPr="00EC0017">
        <w:rPr>
          <w:bCs/>
        </w:rPr>
        <w:t xml:space="preserve"> </w:t>
      </w:r>
      <w:proofErr w:type="spellStart"/>
      <w:r w:rsidRPr="00EC0017">
        <w:rPr>
          <w:bCs/>
        </w:rPr>
        <w:t>për</w:t>
      </w:r>
      <w:proofErr w:type="spellEnd"/>
      <w:r w:rsidRPr="00EC0017">
        <w:rPr>
          <w:bCs/>
        </w:rPr>
        <w:t xml:space="preserve"> </w:t>
      </w:r>
      <w:proofErr w:type="spellStart"/>
      <w:r w:rsidRPr="00EC0017">
        <w:rPr>
          <w:bCs/>
        </w:rPr>
        <w:t>pagesë</w:t>
      </w:r>
      <w:proofErr w:type="spellEnd"/>
      <w:r w:rsidRPr="00EC0017">
        <w:rPr>
          <w:color w:val="000000"/>
        </w:rPr>
        <w:t xml:space="preserve">, </w:t>
      </w:r>
      <w:proofErr w:type="spellStart"/>
      <w:r w:rsidRPr="00EC0017">
        <w:rPr>
          <w:color w:val="000000"/>
        </w:rPr>
        <w:t>të</w:t>
      </w:r>
      <w:proofErr w:type="spellEnd"/>
      <w:r w:rsidRPr="00EC0017">
        <w:rPr>
          <w:color w:val="000000"/>
        </w:rPr>
        <w:t xml:space="preserve"> </w:t>
      </w:r>
      <w:proofErr w:type="spellStart"/>
      <w:r w:rsidRPr="00EC0017">
        <w:rPr>
          <w:color w:val="000000"/>
        </w:rPr>
        <w:t>shumës</w:t>
      </w:r>
      <w:proofErr w:type="spellEnd"/>
      <w:r w:rsidRPr="00EC0017">
        <w:rPr>
          <w:color w:val="000000"/>
        </w:rPr>
        <w:t xml:space="preserve"> </w:t>
      </w:r>
      <w:proofErr w:type="spellStart"/>
      <w:r w:rsidRPr="00EC0017">
        <w:rPr>
          <w:color w:val="000000"/>
        </w:rPr>
        <w:t>së</w:t>
      </w:r>
      <w:proofErr w:type="spellEnd"/>
      <w:r w:rsidRPr="00EC0017">
        <w:rPr>
          <w:color w:val="000000"/>
        </w:rPr>
        <w:t xml:space="preserve"> </w:t>
      </w:r>
      <w:proofErr w:type="spellStart"/>
      <w:r w:rsidRPr="00EC0017">
        <w:rPr>
          <w:color w:val="000000"/>
        </w:rPr>
        <w:t>caktuar</w:t>
      </w:r>
      <w:proofErr w:type="spellEnd"/>
      <w:r w:rsidRPr="00EC0017">
        <w:rPr>
          <w:color w:val="000000"/>
        </w:rPr>
        <w:t xml:space="preserve">, </w:t>
      </w:r>
      <w:proofErr w:type="spellStart"/>
      <w:r w:rsidRPr="00EC0017">
        <w:rPr>
          <w:color w:val="000000"/>
        </w:rPr>
        <w:t>para</w:t>
      </w:r>
      <w:proofErr w:type="spellEnd"/>
      <w:r w:rsidRPr="00EC0017">
        <w:rPr>
          <w:color w:val="000000"/>
        </w:rPr>
        <w:t xml:space="preserve"> </w:t>
      </w:r>
      <w:proofErr w:type="spellStart"/>
      <w:r w:rsidRPr="00EC0017">
        <w:rPr>
          <w:color w:val="000000"/>
        </w:rPr>
        <w:t>skadimit</w:t>
      </w:r>
      <w:proofErr w:type="spellEnd"/>
      <w:r w:rsidRPr="00EC0017">
        <w:rPr>
          <w:color w:val="000000"/>
        </w:rPr>
        <w:t xml:space="preserve"> </w:t>
      </w:r>
      <w:proofErr w:type="spellStart"/>
      <w:r w:rsidRPr="00EC0017">
        <w:rPr>
          <w:color w:val="000000"/>
        </w:rPr>
        <w:t>të</w:t>
      </w:r>
      <w:proofErr w:type="spellEnd"/>
      <w:r w:rsidRPr="00EC0017">
        <w:rPr>
          <w:color w:val="000000"/>
        </w:rPr>
        <w:t xml:space="preserve"> </w:t>
      </w:r>
      <w:proofErr w:type="spellStart"/>
      <w:r w:rsidRPr="00EC0017">
        <w:rPr>
          <w:color w:val="000000"/>
        </w:rPr>
        <w:t>afatit</w:t>
      </w:r>
      <w:proofErr w:type="spellEnd"/>
      <w:r w:rsidRPr="00EC0017">
        <w:rPr>
          <w:color w:val="000000"/>
        </w:rPr>
        <w:t xml:space="preserve"> </w:t>
      </w:r>
      <w:proofErr w:type="spellStart"/>
      <w:r w:rsidRPr="00EC0017">
        <w:rPr>
          <w:color w:val="000000"/>
        </w:rPr>
        <w:t>të</w:t>
      </w:r>
      <w:proofErr w:type="spellEnd"/>
      <w:r w:rsidRPr="00EC0017">
        <w:rPr>
          <w:color w:val="000000"/>
        </w:rPr>
        <w:t xml:space="preserve"> </w:t>
      </w:r>
      <w:proofErr w:type="spellStart"/>
      <w:r w:rsidRPr="00EC0017">
        <w:rPr>
          <w:color w:val="000000"/>
        </w:rPr>
        <w:t>ankimit</w:t>
      </w:r>
      <w:proofErr w:type="spellEnd"/>
      <w:r w:rsidRPr="00EC0017">
        <w:rPr>
          <w:color w:val="000000"/>
        </w:rPr>
        <w:t>.</w:t>
      </w:r>
    </w:p>
    <w:p w:rsidR="00EC0017" w:rsidRDefault="00EC0017" w:rsidP="002479B5">
      <w:pPr>
        <w:pStyle w:val="Header"/>
        <w:tabs>
          <w:tab w:val="left" w:pos="720"/>
        </w:tabs>
        <w:spacing w:line="276" w:lineRule="auto"/>
        <w:jc w:val="both"/>
        <w:rPr>
          <w:bCs/>
        </w:rPr>
      </w:pPr>
    </w:p>
    <w:p w:rsidR="009A273C" w:rsidRDefault="009A273C" w:rsidP="002479B5">
      <w:pPr>
        <w:pStyle w:val="Header"/>
        <w:tabs>
          <w:tab w:val="left" w:pos="720"/>
        </w:tabs>
        <w:spacing w:line="276" w:lineRule="auto"/>
        <w:jc w:val="both"/>
      </w:pPr>
      <w:proofErr w:type="spellStart"/>
      <w:r w:rsidRPr="00A90858">
        <w:rPr>
          <w:bCs/>
        </w:rPr>
        <w:t>Në</w:t>
      </w:r>
      <w:proofErr w:type="spellEnd"/>
      <w:r w:rsidRPr="00A90858">
        <w:rPr>
          <w:bCs/>
        </w:rPr>
        <w:t xml:space="preserve"> </w:t>
      </w:r>
      <w:proofErr w:type="spellStart"/>
      <w:r w:rsidRPr="00A90858">
        <w:rPr>
          <w:bCs/>
        </w:rPr>
        <w:t>zbatim</w:t>
      </w:r>
      <w:proofErr w:type="spellEnd"/>
      <w:r w:rsidRPr="00A90858">
        <w:rPr>
          <w:bCs/>
        </w:rPr>
        <w:t xml:space="preserve"> </w:t>
      </w:r>
      <w:proofErr w:type="spellStart"/>
      <w:r w:rsidRPr="00A90858">
        <w:rPr>
          <w:bCs/>
        </w:rPr>
        <w:t>të</w:t>
      </w:r>
      <w:proofErr w:type="spellEnd"/>
      <w:r w:rsidRPr="00A90858">
        <w:rPr>
          <w:bCs/>
        </w:rPr>
        <w:t xml:space="preserve"> </w:t>
      </w:r>
      <w:proofErr w:type="spellStart"/>
      <w:r w:rsidRPr="00A90858">
        <w:rPr>
          <w:bCs/>
        </w:rPr>
        <w:t>nenit</w:t>
      </w:r>
      <w:proofErr w:type="spellEnd"/>
      <w:r w:rsidRPr="00A90858">
        <w:rPr>
          <w:bCs/>
        </w:rPr>
        <w:t xml:space="preserve"> 109</w:t>
      </w:r>
      <w:r>
        <w:rPr>
          <w:bCs/>
        </w:rPr>
        <w:t xml:space="preserve"> </w:t>
      </w:r>
      <w:proofErr w:type="spellStart"/>
      <w:r>
        <w:rPr>
          <w:bCs/>
        </w:rPr>
        <w:t>pika</w:t>
      </w:r>
      <w:proofErr w:type="spellEnd"/>
      <w:r>
        <w:rPr>
          <w:bCs/>
        </w:rPr>
        <w:t xml:space="preserve"> 2.,</w:t>
      </w:r>
      <w:r w:rsidRPr="00A90858">
        <w:rPr>
          <w:bCs/>
        </w:rPr>
        <w:t xml:space="preserve"> </w:t>
      </w:r>
      <w:proofErr w:type="spellStart"/>
      <w:r w:rsidRPr="00A90858">
        <w:rPr>
          <w:bCs/>
        </w:rPr>
        <w:t>të</w:t>
      </w:r>
      <w:proofErr w:type="spellEnd"/>
      <w:r w:rsidRPr="00A90858">
        <w:rPr>
          <w:bCs/>
        </w:rPr>
        <w:t xml:space="preserve"> </w:t>
      </w:r>
      <w:proofErr w:type="spellStart"/>
      <w:r w:rsidRPr="00A90858">
        <w:t>Ligjit</w:t>
      </w:r>
      <w:proofErr w:type="spellEnd"/>
      <w:r w:rsidRPr="00A90858">
        <w:t xml:space="preserve"> Nr.9920 </w:t>
      </w:r>
      <w:proofErr w:type="spellStart"/>
      <w:r w:rsidRPr="00A90858">
        <w:t>datë</w:t>
      </w:r>
      <w:proofErr w:type="spellEnd"/>
      <w:r w:rsidRPr="00A90858">
        <w:t xml:space="preserve"> 19.05.2008, “</w:t>
      </w:r>
      <w:proofErr w:type="spellStart"/>
      <w:r>
        <w:t>Për</w:t>
      </w:r>
      <w:proofErr w:type="spellEnd"/>
      <w:r>
        <w:t xml:space="preserve"> </w:t>
      </w:r>
      <w:proofErr w:type="spellStart"/>
      <w:r w:rsidRPr="00A90858">
        <w:t>Procedurat</w:t>
      </w:r>
      <w:proofErr w:type="spellEnd"/>
      <w:r w:rsidRPr="00A90858">
        <w:t xml:space="preserve"> </w:t>
      </w:r>
      <w:proofErr w:type="spellStart"/>
      <w:r w:rsidRPr="00A90858">
        <w:t>Tatimore</w:t>
      </w:r>
      <w:proofErr w:type="spellEnd"/>
      <w:r w:rsidRPr="00A90858">
        <w:t xml:space="preserve"> </w:t>
      </w:r>
      <w:proofErr w:type="spellStart"/>
      <w:r w:rsidRPr="00A90858">
        <w:t>në</w:t>
      </w:r>
      <w:proofErr w:type="spellEnd"/>
      <w:r w:rsidRPr="00A90858">
        <w:t xml:space="preserve"> </w:t>
      </w:r>
      <w:proofErr w:type="spellStart"/>
      <w:r w:rsidRPr="00A90858">
        <w:t>R.Sh</w:t>
      </w:r>
      <w:proofErr w:type="spellEnd"/>
      <w:r w:rsidRPr="00A90858">
        <w:t>”</w:t>
      </w:r>
      <w:r>
        <w:t xml:space="preserve">, i </w:t>
      </w:r>
      <w:proofErr w:type="spellStart"/>
      <w:r>
        <w:t>ndryshuar</w:t>
      </w:r>
      <w:proofErr w:type="spellEnd"/>
      <w:r>
        <w:t>,</w:t>
      </w:r>
      <w:r w:rsidRPr="00A90858">
        <w:t xml:space="preserve"> </w:t>
      </w:r>
      <w:proofErr w:type="spellStart"/>
      <w:r>
        <w:t>tatimpaguesi</w:t>
      </w:r>
      <w:proofErr w:type="spellEnd"/>
      <w:r>
        <w:t xml:space="preserve"> </w:t>
      </w:r>
      <w:proofErr w:type="spellStart"/>
      <w:r>
        <w:t>mund</w:t>
      </w:r>
      <w:proofErr w:type="spellEnd"/>
      <w:r>
        <w:t xml:space="preserve"> ta </w:t>
      </w:r>
      <w:proofErr w:type="spellStart"/>
      <w:r>
        <w:t>kundërshtojë</w:t>
      </w:r>
      <w:proofErr w:type="spellEnd"/>
      <w:r>
        <w:t xml:space="preserve"> </w:t>
      </w:r>
      <w:proofErr w:type="spellStart"/>
      <w:r>
        <w:t>vendimin</w:t>
      </w:r>
      <w:proofErr w:type="spellEnd"/>
      <w:r>
        <w:t xml:space="preserve"> e </w:t>
      </w:r>
      <w:proofErr w:type="spellStart"/>
      <w:r>
        <w:t>Drejtorisë</w:t>
      </w:r>
      <w:proofErr w:type="spellEnd"/>
      <w:r>
        <w:t xml:space="preserve"> </w:t>
      </w:r>
      <w:proofErr w:type="spellStart"/>
      <w:r>
        <w:t>së</w:t>
      </w:r>
      <w:proofErr w:type="spellEnd"/>
      <w:r>
        <w:t xml:space="preserve"> </w:t>
      </w:r>
      <w:proofErr w:type="spellStart"/>
      <w:r>
        <w:t>Apelimit</w:t>
      </w:r>
      <w:proofErr w:type="spellEnd"/>
      <w:r>
        <w:t xml:space="preserve"> </w:t>
      </w:r>
      <w:proofErr w:type="spellStart"/>
      <w:r>
        <w:t>Tatimor</w:t>
      </w:r>
      <w:proofErr w:type="spellEnd"/>
      <w:r>
        <w:t xml:space="preserve"> </w:t>
      </w:r>
      <w:proofErr w:type="spellStart"/>
      <w:r>
        <w:t>në</w:t>
      </w:r>
      <w:proofErr w:type="spellEnd"/>
      <w:r>
        <w:t xml:space="preserve"> </w:t>
      </w:r>
      <w:proofErr w:type="spellStart"/>
      <w:r>
        <w:t>gjykatë</w:t>
      </w:r>
      <w:proofErr w:type="spellEnd"/>
      <w:r>
        <w:t xml:space="preserve">, </w:t>
      </w:r>
      <w:proofErr w:type="spellStart"/>
      <w:r>
        <w:t>brënda</w:t>
      </w:r>
      <w:proofErr w:type="spellEnd"/>
      <w:r>
        <w:t xml:space="preserve"> 30 </w:t>
      </w:r>
      <w:proofErr w:type="spellStart"/>
      <w:r>
        <w:t>ditëve</w:t>
      </w:r>
      <w:proofErr w:type="spellEnd"/>
      <w:r>
        <w:t xml:space="preserve"> </w:t>
      </w:r>
      <w:proofErr w:type="spellStart"/>
      <w:r>
        <w:t>kalendarike</w:t>
      </w:r>
      <w:proofErr w:type="spellEnd"/>
      <w:r>
        <w:t xml:space="preserve"> </w:t>
      </w:r>
      <w:proofErr w:type="spellStart"/>
      <w:r>
        <w:t>nga</w:t>
      </w:r>
      <w:proofErr w:type="spellEnd"/>
      <w:r>
        <w:t xml:space="preserve"> data e </w:t>
      </w:r>
      <w:proofErr w:type="spellStart"/>
      <w:r>
        <w:t>marrjes</w:t>
      </w:r>
      <w:proofErr w:type="spellEnd"/>
      <w:r>
        <w:t xml:space="preserve"> </w:t>
      </w:r>
      <w:proofErr w:type="spellStart"/>
      <w:r>
        <w:t>dijeni</w:t>
      </w:r>
      <w:proofErr w:type="spellEnd"/>
      <w:r>
        <w:t xml:space="preserve"> </w:t>
      </w:r>
      <w:proofErr w:type="spellStart"/>
      <w:r>
        <w:t>për</w:t>
      </w:r>
      <w:proofErr w:type="spellEnd"/>
      <w:r>
        <w:t xml:space="preserve"> </w:t>
      </w:r>
      <w:proofErr w:type="spellStart"/>
      <w:r>
        <w:t>këtë</w:t>
      </w:r>
      <w:proofErr w:type="spellEnd"/>
      <w:r>
        <w:t xml:space="preserve"> </w:t>
      </w:r>
      <w:proofErr w:type="spellStart"/>
      <w:r>
        <w:t>vendim</w:t>
      </w:r>
      <w:proofErr w:type="spellEnd"/>
      <w:r>
        <w:t>.</w:t>
      </w:r>
    </w:p>
    <w:p w:rsidR="002479B5" w:rsidRDefault="002479B5" w:rsidP="002479B5">
      <w:pPr>
        <w:pStyle w:val="Header"/>
        <w:tabs>
          <w:tab w:val="left" w:pos="720"/>
        </w:tabs>
        <w:spacing w:line="276" w:lineRule="auto"/>
        <w:jc w:val="both"/>
      </w:pPr>
    </w:p>
    <w:p w:rsidR="009A273C" w:rsidRDefault="00FB2455" w:rsidP="002479B5">
      <w:pPr>
        <w:spacing w:line="276" w:lineRule="auto"/>
        <w:ind w:left="3600" w:firstLine="720"/>
        <w:jc w:val="both"/>
        <w:rPr>
          <w:b/>
          <w:bCs/>
        </w:rPr>
      </w:pPr>
      <w:r>
        <w:rPr>
          <w:b/>
          <w:bCs/>
        </w:rPr>
        <w:t xml:space="preserve">       </w:t>
      </w:r>
      <w:r w:rsidR="009A273C" w:rsidRPr="00FB2455">
        <w:rPr>
          <w:b/>
          <w:bCs/>
        </w:rPr>
        <w:t>DREJTOR I</w:t>
      </w:r>
      <w:r w:rsidR="003323EE" w:rsidRPr="00FB2455">
        <w:rPr>
          <w:b/>
          <w:bCs/>
        </w:rPr>
        <w:t xml:space="preserve"> </w:t>
      </w:r>
      <w:r w:rsidR="009A273C" w:rsidRPr="00FB2455">
        <w:rPr>
          <w:b/>
          <w:bCs/>
        </w:rPr>
        <w:t>APELIMI</w:t>
      </w:r>
      <w:r w:rsidR="003323EE" w:rsidRPr="00FB2455">
        <w:rPr>
          <w:b/>
          <w:bCs/>
        </w:rPr>
        <w:t>T</w:t>
      </w:r>
      <w:r w:rsidR="009A273C" w:rsidRPr="00FB2455">
        <w:rPr>
          <w:b/>
          <w:bCs/>
        </w:rPr>
        <w:t xml:space="preserve"> TATIMOR</w:t>
      </w:r>
    </w:p>
    <w:p w:rsidR="00EB6274" w:rsidRPr="00FB2455" w:rsidRDefault="00EB6274" w:rsidP="002479B5">
      <w:pPr>
        <w:spacing w:line="276" w:lineRule="auto"/>
        <w:ind w:left="3600" w:firstLine="720"/>
        <w:jc w:val="both"/>
        <w:rPr>
          <w:b/>
          <w:bCs/>
        </w:rPr>
      </w:pPr>
    </w:p>
    <w:p w:rsidR="00D74BAE" w:rsidRPr="00EB6274" w:rsidRDefault="004804EC" w:rsidP="002479B5">
      <w:pPr>
        <w:spacing w:line="276" w:lineRule="auto"/>
        <w:ind w:left="4320" w:firstLine="720"/>
        <w:jc w:val="both"/>
        <w:rPr>
          <w:b/>
          <w:bCs/>
          <w:sz w:val="28"/>
          <w:szCs w:val="28"/>
        </w:rPr>
      </w:pPr>
      <w:r>
        <w:rPr>
          <w:b/>
          <w:bCs/>
        </w:rPr>
        <w:t xml:space="preserve"> </w:t>
      </w:r>
      <w:r w:rsidR="003323EE" w:rsidRPr="00FB2455">
        <w:rPr>
          <w:b/>
          <w:bCs/>
        </w:rPr>
        <w:t xml:space="preserve">      </w:t>
      </w:r>
      <w:r w:rsidR="00EB6274">
        <w:rPr>
          <w:b/>
          <w:bCs/>
        </w:rPr>
        <w:t xml:space="preserve">    </w:t>
      </w:r>
      <w:r w:rsidR="00EC0017" w:rsidRPr="00EB6274">
        <w:rPr>
          <w:b/>
          <w:bCs/>
          <w:szCs w:val="28"/>
        </w:rPr>
        <w:t>Mimoza Kalia</w:t>
      </w:r>
    </w:p>
    <w:sectPr w:rsidR="00D74BAE" w:rsidRPr="00EB6274">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EE" w:rsidRDefault="008A15EE" w:rsidP="00360998">
      <w:r>
        <w:separator/>
      </w:r>
    </w:p>
  </w:endnote>
  <w:endnote w:type="continuationSeparator" w:id="0">
    <w:p w:rsidR="008A15EE" w:rsidRDefault="008A15EE" w:rsidP="0036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79" w:rsidRPr="00B01EC7" w:rsidRDefault="00DD1979" w:rsidP="00360998">
    <w:pPr>
      <w:pBdr>
        <w:top w:val="single" w:sz="4" w:space="1" w:color="auto"/>
      </w:pBdr>
      <w:rPr>
        <w:lang w:val="it-IT"/>
      </w:rPr>
    </w:pPr>
    <w:r w:rsidRPr="00B01EC7">
      <w:rPr>
        <w:lang w:val="it-IT"/>
      </w:rPr>
      <w:t>Bulevardi “Dëshmorët e Kombit”, Nr. 3</w:t>
    </w:r>
    <w:r w:rsidR="002479B5">
      <w:rPr>
        <w:lang w:val="it-IT"/>
      </w:rPr>
      <w:t xml:space="preserve">                 </w:t>
    </w:r>
    <w:hyperlink r:id="rId1" w:history="1">
      <w:r w:rsidR="002479B5" w:rsidRPr="00EC4E95">
        <w:rPr>
          <w:rStyle w:val="Hyperlink"/>
          <w:lang w:val="it-IT"/>
        </w:rPr>
        <w:t>www.financa.gov.al</w:t>
      </w:r>
    </w:hyperlink>
    <w:r w:rsidR="002479B5">
      <w:rPr>
        <w:lang w:val="it-IT"/>
      </w:rPr>
      <w:t>, info @financa.gov.al</w:t>
    </w:r>
  </w:p>
  <w:p w:rsidR="00DD1979" w:rsidRDefault="00DD1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EE" w:rsidRDefault="008A15EE" w:rsidP="00360998">
      <w:r>
        <w:separator/>
      </w:r>
    </w:p>
  </w:footnote>
  <w:footnote w:type="continuationSeparator" w:id="0">
    <w:p w:rsidR="008A15EE" w:rsidRDefault="008A15EE" w:rsidP="00360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1158"/>
    <w:multiLevelType w:val="hybridMultilevel"/>
    <w:tmpl w:val="0F1CFF2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16736994"/>
    <w:multiLevelType w:val="hybridMultilevel"/>
    <w:tmpl w:val="61627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3645BB"/>
    <w:multiLevelType w:val="hybridMultilevel"/>
    <w:tmpl w:val="9724A93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232321E2"/>
    <w:multiLevelType w:val="hybridMultilevel"/>
    <w:tmpl w:val="09B24F4A"/>
    <w:lvl w:ilvl="0" w:tplc="0409000B">
      <w:start w:val="1"/>
      <w:numFmt w:val="bullet"/>
      <w:lvlText w:val=""/>
      <w:lvlJc w:val="left"/>
      <w:pPr>
        <w:tabs>
          <w:tab w:val="num" w:pos="4456"/>
        </w:tabs>
        <w:ind w:left="4456" w:hanging="360"/>
      </w:pPr>
      <w:rPr>
        <w:rFonts w:ascii="Wingdings" w:hAnsi="Wingdings" w:hint="default"/>
      </w:rPr>
    </w:lvl>
    <w:lvl w:ilvl="1" w:tplc="04090003" w:tentative="1">
      <w:start w:val="1"/>
      <w:numFmt w:val="bullet"/>
      <w:lvlText w:val="o"/>
      <w:lvlJc w:val="left"/>
      <w:pPr>
        <w:tabs>
          <w:tab w:val="num" w:pos="5176"/>
        </w:tabs>
        <w:ind w:left="5176" w:hanging="360"/>
      </w:pPr>
      <w:rPr>
        <w:rFonts w:ascii="Courier New" w:hAnsi="Courier New" w:cs="Courier New" w:hint="default"/>
      </w:rPr>
    </w:lvl>
    <w:lvl w:ilvl="2" w:tplc="04090005" w:tentative="1">
      <w:start w:val="1"/>
      <w:numFmt w:val="bullet"/>
      <w:lvlText w:val=""/>
      <w:lvlJc w:val="left"/>
      <w:pPr>
        <w:tabs>
          <w:tab w:val="num" w:pos="5896"/>
        </w:tabs>
        <w:ind w:left="5896" w:hanging="360"/>
      </w:pPr>
      <w:rPr>
        <w:rFonts w:ascii="Wingdings" w:hAnsi="Wingdings" w:hint="default"/>
      </w:rPr>
    </w:lvl>
    <w:lvl w:ilvl="3" w:tplc="04090001" w:tentative="1">
      <w:start w:val="1"/>
      <w:numFmt w:val="bullet"/>
      <w:lvlText w:val=""/>
      <w:lvlJc w:val="left"/>
      <w:pPr>
        <w:tabs>
          <w:tab w:val="num" w:pos="6616"/>
        </w:tabs>
        <w:ind w:left="6616" w:hanging="360"/>
      </w:pPr>
      <w:rPr>
        <w:rFonts w:ascii="Symbol" w:hAnsi="Symbol" w:hint="default"/>
      </w:rPr>
    </w:lvl>
    <w:lvl w:ilvl="4" w:tplc="04090003" w:tentative="1">
      <w:start w:val="1"/>
      <w:numFmt w:val="bullet"/>
      <w:lvlText w:val="o"/>
      <w:lvlJc w:val="left"/>
      <w:pPr>
        <w:tabs>
          <w:tab w:val="num" w:pos="7336"/>
        </w:tabs>
        <w:ind w:left="7336" w:hanging="360"/>
      </w:pPr>
      <w:rPr>
        <w:rFonts w:ascii="Courier New" w:hAnsi="Courier New" w:cs="Courier New" w:hint="default"/>
      </w:rPr>
    </w:lvl>
    <w:lvl w:ilvl="5" w:tplc="04090005" w:tentative="1">
      <w:start w:val="1"/>
      <w:numFmt w:val="bullet"/>
      <w:lvlText w:val=""/>
      <w:lvlJc w:val="left"/>
      <w:pPr>
        <w:tabs>
          <w:tab w:val="num" w:pos="8056"/>
        </w:tabs>
        <w:ind w:left="8056" w:hanging="360"/>
      </w:pPr>
      <w:rPr>
        <w:rFonts w:ascii="Wingdings" w:hAnsi="Wingdings" w:hint="default"/>
      </w:rPr>
    </w:lvl>
    <w:lvl w:ilvl="6" w:tplc="04090001" w:tentative="1">
      <w:start w:val="1"/>
      <w:numFmt w:val="bullet"/>
      <w:lvlText w:val=""/>
      <w:lvlJc w:val="left"/>
      <w:pPr>
        <w:tabs>
          <w:tab w:val="num" w:pos="8776"/>
        </w:tabs>
        <w:ind w:left="8776" w:hanging="360"/>
      </w:pPr>
      <w:rPr>
        <w:rFonts w:ascii="Symbol" w:hAnsi="Symbol" w:hint="default"/>
      </w:rPr>
    </w:lvl>
    <w:lvl w:ilvl="7" w:tplc="04090003" w:tentative="1">
      <w:start w:val="1"/>
      <w:numFmt w:val="bullet"/>
      <w:lvlText w:val="o"/>
      <w:lvlJc w:val="left"/>
      <w:pPr>
        <w:tabs>
          <w:tab w:val="num" w:pos="9496"/>
        </w:tabs>
        <w:ind w:left="9496" w:hanging="360"/>
      </w:pPr>
      <w:rPr>
        <w:rFonts w:ascii="Courier New" w:hAnsi="Courier New" w:cs="Courier New" w:hint="default"/>
      </w:rPr>
    </w:lvl>
    <w:lvl w:ilvl="8" w:tplc="04090005" w:tentative="1">
      <w:start w:val="1"/>
      <w:numFmt w:val="bullet"/>
      <w:lvlText w:val=""/>
      <w:lvlJc w:val="left"/>
      <w:pPr>
        <w:tabs>
          <w:tab w:val="num" w:pos="10216"/>
        </w:tabs>
        <w:ind w:left="10216" w:hanging="360"/>
      </w:pPr>
      <w:rPr>
        <w:rFonts w:ascii="Wingdings" w:hAnsi="Wingdings" w:hint="default"/>
      </w:rPr>
    </w:lvl>
  </w:abstractNum>
  <w:abstractNum w:abstractNumId="4">
    <w:nsid w:val="2E262B49"/>
    <w:multiLevelType w:val="hybridMultilevel"/>
    <w:tmpl w:val="79A660F2"/>
    <w:lvl w:ilvl="0" w:tplc="0409000B">
      <w:start w:val="1"/>
      <w:numFmt w:val="bullet"/>
      <w:lvlText w:val=""/>
      <w:lvlJc w:val="left"/>
      <w:pPr>
        <w:tabs>
          <w:tab w:val="num" w:pos="720"/>
        </w:tabs>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7E443AA"/>
    <w:multiLevelType w:val="hybridMultilevel"/>
    <w:tmpl w:val="2C448C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8AC158E"/>
    <w:multiLevelType w:val="hybridMultilevel"/>
    <w:tmpl w:val="6C12576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51A74B2"/>
    <w:multiLevelType w:val="hybridMultilevel"/>
    <w:tmpl w:val="D0E09DB0"/>
    <w:lvl w:ilvl="0" w:tplc="0409000B">
      <w:start w:val="1"/>
      <w:numFmt w:val="bullet"/>
      <w:lvlText w:val=""/>
      <w:lvlJc w:val="left"/>
      <w:pPr>
        <w:tabs>
          <w:tab w:val="num" w:pos="630"/>
        </w:tabs>
        <w:ind w:left="63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F8"/>
    <w:rsid w:val="000224AE"/>
    <w:rsid w:val="00075A9A"/>
    <w:rsid w:val="00076330"/>
    <w:rsid w:val="000918F3"/>
    <w:rsid w:val="000A25B9"/>
    <w:rsid w:val="000B2644"/>
    <w:rsid w:val="000E0618"/>
    <w:rsid w:val="000F393A"/>
    <w:rsid w:val="00117C14"/>
    <w:rsid w:val="00123F37"/>
    <w:rsid w:val="001519A6"/>
    <w:rsid w:val="001628C0"/>
    <w:rsid w:val="0019734D"/>
    <w:rsid w:val="001C1A0F"/>
    <w:rsid w:val="001C6A8E"/>
    <w:rsid w:val="001D76BE"/>
    <w:rsid w:val="001F05E8"/>
    <w:rsid w:val="00231E68"/>
    <w:rsid w:val="002373B1"/>
    <w:rsid w:val="002479B5"/>
    <w:rsid w:val="00252F35"/>
    <w:rsid w:val="0025775B"/>
    <w:rsid w:val="00257C66"/>
    <w:rsid w:val="00261ADE"/>
    <w:rsid w:val="00282A9D"/>
    <w:rsid w:val="002B490F"/>
    <w:rsid w:val="003323EE"/>
    <w:rsid w:val="0034071D"/>
    <w:rsid w:val="003463B4"/>
    <w:rsid w:val="00360998"/>
    <w:rsid w:val="003B016D"/>
    <w:rsid w:val="003C608A"/>
    <w:rsid w:val="003D3AF3"/>
    <w:rsid w:val="003E5E22"/>
    <w:rsid w:val="003F0CAF"/>
    <w:rsid w:val="00411CE6"/>
    <w:rsid w:val="00463574"/>
    <w:rsid w:val="004677F9"/>
    <w:rsid w:val="004804EC"/>
    <w:rsid w:val="00492A83"/>
    <w:rsid w:val="004C501C"/>
    <w:rsid w:val="004D5E8C"/>
    <w:rsid w:val="00507798"/>
    <w:rsid w:val="00512EDB"/>
    <w:rsid w:val="00542C54"/>
    <w:rsid w:val="00547B84"/>
    <w:rsid w:val="00587E6D"/>
    <w:rsid w:val="005E048A"/>
    <w:rsid w:val="005E4C07"/>
    <w:rsid w:val="005E5A67"/>
    <w:rsid w:val="005F0414"/>
    <w:rsid w:val="00660213"/>
    <w:rsid w:val="006702AF"/>
    <w:rsid w:val="006E5C2E"/>
    <w:rsid w:val="006F1016"/>
    <w:rsid w:val="00714A69"/>
    <w:rsid w:val="00731B0B"/>
    <w:rsid w:val="007338C9"/>
    <w:rsid w:val="007447B2"/>
    <w:rsid w:val="00765897"/>
    <w:rsid w:val="007930DF"/>
    <w:rsid w:val="007A6B53"/>
    <w:rsid w:val="007B0100"/>
    <w:rsid w:val="007D332C"/>
    <w:rsid w:val="00807260"/>
    <w:rsid w:val="00821967"/>
    <w:rsid w:val="00847CFA"/>
    <w:rsid w:val="008A15EE"/>
    <w:rsid w:val="008A1E84"/>
    <w:rsid w:val="008A5565"/>
    <w:rsid w:val="008B2C9B"/>
    <w:rsid w:val="00910B51"/>
    <w:rsid w:val="009154D4"/>
    <w:rsid w:val="009419BC"/>
    <w:rsid w:val="009A273C"/>
    <w:rsid w:val="00A40074"/>
    <w:rsid w:val="00A66B24"/>
    <w:rsid w:val="00A731AD"/>
    <w:rsid w:val="00AA2A5E"/>
    <w:rsid w:val="00AC1EFD"/>
    <w:rsid w:val="00AD6FCA"/>
    <w:rsid w:val="00B01984"/>
    <w:rsid w:val="00B04C99"/>
    <w:rsid w:val="00B13CDA"/>
    <w:rsid w:val="00B4764C"/>
    <w:rsid w:val="00B51C07"/>
    <w:rsid w:val="00B542DA"/>
    <w:rsid w:val="00B724DE"/>
    <w:rsid w:val="00B739F4"/>
    <w:rsid w:val="00BA21F7"/>
    <w:rsid w:val="00BC3745"/>
    <w:rsid w:val="00BD7127"/>
    <w:rsid w:val="00BF371D"/>
    <w:rsid w:val="00C326B9"/>
    <w:rsid w:val="00C32C69"/>
    <w:rsid w:val="00C92C87"/>
    <w:rsid w:val="00C966C1"/>
    <w:rsid w:val="00CB1DCB"/>
    <w:rsid w:val="00D06F44"/>
    <w:rsid w:val="00D3399B"/>
    <w:rsid w:val="00D74BAE"/>
    <w:rsid w:val="00DA31A8"/>
    <w:rsid w:val="00DD1979"/>
    <w:rsid w:val="00DE5012"/>
    <w:rsid w:val="00DF04F8"/>
    <w:rsid w:val="00E03B91"/>
    <w:rsid w:val="00E06351"/>
    <w:rsid w:val="00E41696"/>
    <w:rsid w:val="00E4378E"/>
    <w:rsid w:val="00E502BD"/>
    <w:rsid w:val="00E50D79"/>
    <w:rsid w:val="00EB6274"/>
    <w:rsid w:val="00EC0017"/>
    <w:rsid w:val="00EF1870"/>
    <w:rsid w:val="00F3721E"/>
    <w:rsid w:val="00F61828"/>
    <w:rsid w:val="00F6272F"/>
    <w:rsid w:val="00F93CF4"/>
    <w:rsid w:val="00FA1221"/>
    <w:rsid w:val="00FB2455"/>
    <w:rsid w:val="00FD3FD0"/>
    <w:rsid w:val="00FD4EF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7F9"/>
    <w:pPr>
      <w:spacing w:after="0" w:line="240" w:lineRule="auto"/>
    </w:pPr>
    <w:rPr>
      <w:rFonts w:ascii="Times New Roman" w:eastAsia="Batang" w:hAnsi="Times New Roman" w:cs="Times New Roman"/>
      <w:sz w:val="24"/>
      <w:szCs w:val="24"/>
      <w:lang w:val="en-GB"/>
    </w:rPr>
  </w:style>
  <w:style w:type="paragraph" w:styleId="Heading9">
    <w:name w:val="heading 9"/>
    <w:basedOn w:val="Normal"/>
    <w:next w:val="Normal"/>
    <w:link w:val="Heading9Char"/>
    <w:unhideWhenUsed/>
    <w:qFormat/>
    <w:rsid w:val="004677F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4677F9"/>
    <w:rPr>
      <w:rFonts w:asciiTheme="majorHAnsi" w:eastAsiaTheme="majorEastAsia" w:hAnsiTheme="majorHAnsi" w:cstheme="majorBidi"/>
      <w:i/>
      <w:iCs/>
      <w:color w:val="404040" w:themeColor="text1" w:themeTint="BF"/>
      <w:sz w:val="20"/>
      <w:szCs w:val="20"/>
      <w:lang w:val="en-GB"/>
    </w:rPr>
  </w:style>
  <w:style w:type="paragraph" w:styleId="Header">
    <w:name w:val="header"/>
    <w:aliases w:val=" Char,Char,Intestazione.int,Header1"/>
    <w:basedOn w:val="Normal"/>
    <w:link w:val="HeaderChar"/>
    <w:uiPriority w:val="99"/>
    <w:rsid w:val="004677F9"/>
    <w:pPr>
      <w:tabs>
        <w:tab w:val="center" w:pos="4153"/>
        <w:tab w:val="right" w:pos="8306"/>
      </w:tabs>
    </w:pPr>
  </w:style>
  <w:style w:type="character" w:customStyle="1" w:styleId="HeaderChar">
    <w:name w:val="Header Char"/>
    <w:aliases w:val=" Char Char,Char Char,Intestazione.int Char,Header1 Char"/>
    <w:basedOn w:val="DefaultParagraphFont"/>
    <w:link w:val="Header"/>
    <w:uiPriority w:val="99"/>
    <w:rsid w:val="004677F9"/>
    <w:rPr>
      <w:rFonts w:ascii="Times New Roman" w:eastAsia="Batang" w:hAnsi="Times New Roman" w:cs="Times New Roman"/>
      <w:sz w:val="24"/>
      <w:szCs w:val="24"/>
      <w:lang w:val="en-GB"/>
    </w:rPr>
  </w:style>
  <w:style w:type="paragraph" w:styleId="Subtitle">
    <w:name w:val="Subtitle"/>
    <w:basedOn w:val="Normal"/>
    <w:link w:val="SubtitleChar"/>
    <w:qFormat/>
    <w:rsid w:val="004677F9"/>
    <w:pPr>
      <w:jc w:val="center"/>
    </w:pPr>
    <w:rPr>
      <w:rFonts w:eastAsia="Times New Roman"/>
      <w:b/>
      <w:bCs/>
      <w:lang w:val="it-IT"/>
    </w:rPr>
  </w:style>
  <w:style w:type="character" w:customStyle="1" w:styleId="SubtitleChar">
    <w:name w:val="Subtitle Char"/>
    <w:basedOn w:val="DefaultParagraphFont"/>
    <w:link w:val="Subtitle"/>
    <w:rsid w:val="004677F9"/>
    <w:rPr>
      <w:rFonts w:ascii="Times New Roman" w:eastAsia="Times New Roman" w:hAnsi="Times New Roman" w:cs="Times New Roman"/>
      <w:b/>
      <w:bCs/>
      <w:sz w:val="24"/>
      <w:szCs w:val="24"/>
      <w:lang w:val="it-IT"/>
    </w:rPr>
  </w:style>
  <w:style w:type="paragraph" w:styleId="Footer">
    <w:name w:val="footer"/>
    <w:basedOn w:val="Normal"/>
    <w:link w:val="FooterChar"/>
    <w:uiPriority w:val="99"/>
    <w:unhideWhenUsed/>
    <w:rsid w:val="00360998"/>
    <w:pPr>
      <w:tabs>
        <w:tab w:val="center" w:pos="4513"/>
        <w:tab w:val="right" w:pos="9026"/>
      </w:tabs>
    </w:pPr>
  </w:style>
  <w:style w:type="character" w:customStyle="1" w:styleId="FooterChar">
    <w:name w:val="Footer Char"/>
    <w:basedOn w:val="DefaultParagraphFont"/>
    <w:link w:val="Footer"/>
    <w:uiPriority w:val="99"/>
    <w:rsid w:val="00360998"/>
    <w:rPr>
      <w:rFonts w:ascii="Times New Roman" w:eastAsia="Batang" w:hAnsi="Times New Roman" w:cs="Times New Roman"/>
      <w:sz w:val="24"/>
      <w:szCs w:val="24"/>
      <w:lang w:val="en-GB"/>
    </w:rPr>
  </w:style>
  <w:style w:type="paragraph" w:styleId="ListParagraph">
    <w:name w:val="List Paragraph"/>
    <w:basedOn w:val="Normal"/>
    <w:uiPriority w:val="34"/>
    <w:qFormat/>
    <w:rsid w:val="001F05E8"/>
    <w:pPr>
      <w:ind w:left="720"/>
      <w:contextualSpacing/>
    </w:pPr>
  </w:style>
  <w:style w:type="table" w:styleId="TableGrid">
    <w:name w:val="Table Grid"/>
    <w:basedOn w:val="TableNormal"/>
    <w:uiPriority w:val="59"/>
    <w:rsid w:val="008A5565"/>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A5565"/>
  </w:style>
  <w:style w:type="paragraph" w:styleId="BodyText">
    <w:name w:val="Body Text"/>
    <w:basedOn w:val="Normal"/>
    <w:link w:val="BodyTextChar"/>
    <w:rsid w:val="00C966C1"/>
    <w:pPr>
      <w:jc w:val="both"/>
    </w:pPr>
    <w:rPr>
      <w:rFonts w:eastAsia="MS Mincho"/>
    </w:rPr>
  </w:style>
  <w:style w:type="character" w:customStyle="1" w:styleId="BodyTextChar">
    <w:name w:val="Body Text Char"/>
    <w:basedOn w:val="DefaultParagraphFont"/>
    <w:link w:val="BodyText"/>
    <w:rsid w:val="00C966C1"/>
    <w:rPr>
      <w:rFonts w:ascii="Times New Roman" w:eastAsia="MS Mincho" w:hAnsi="Times New Roman" w:cs="Times New Roman"/>
      <w:sz w:val="24"/>
      <w:szCs w:val="24"/>
      <w:lang w:val="en-GB"/>
    </w:rPr>
  </w:style>
  <w:style w:type="paragraph" w:customStyle="1" w:styleId="Default">
    <w:name w:val="Default"/>
    <w:rsid w:val="00AA2A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0E0618"/>
    <w:rPr>
      <w:rFonts w:ascii="Tahoma" w:hAnsi="Tahoma" w:cs="Tahoma"/>
      <w:sz w:val="16"/>
      <w:szCs w:val="16"/>
    </w:rPr>
  </w:style>
  <w:style w:type="character" w:customStyle="1" w:styleId="BalloonTextChar">
    <w:name w:val="Balloon Text Char"/>
    <w:basedOn w:val="DefaultParagraphFont"/>
    <w:link w:val="BalloonText"/>
    <w:uiPriority w:val="99"/>
    <w:semiHidden/>
    <w:rsid w:val="000E0618"/>
    <w:rPr>
      <w:rFonts w:ascii="Tahoma" w:eastAsia="Batang" w:hAnsi="Tahoma" w:cs="Tahoma"/>
      <w:sz w:val="16"/>
      <w:szCs w:val="16"/>
      <w:lang w:val="en-GB"/>
    </w:rPr>
  </w:style>
  <w:style w:type="character" w:styleId="Hyperlink">
    <w:name w:val="Hyperlink"/>
    <w:basedOn w:val="DefaultParagraphFont"/>
    <w:uiPriority w:val="99"/>
    <w:unhideWhenUsed/>
    <w:rsid w:val="002479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7F9"/>
    <w:pPr>
      <w:spacing w:after="0" w:line="240" w:lineRule="auto"/>
    </w:pPr>
    <w:rPr>
      <w:rFonts w:ascii="Times New Roman" w:eastAsia="Batang" w:hAnsi="Times New Roman" w:cs="Times New Roman"/>
      <w:sz w:val="24"/>
      <w:szCs w:val="24"/>
      <w:lang w:val="en-GB"/>
    </w:rPr>
  </w:style>
  <w:style w:type="paragraph" w:styleId="Heading9">
    <w:name w:val="heading 9"/>
    <w:basedOn w:val="Normal"/>
    <w:next w:val="Normal"/>
    <w:link w:val="Heading9Char"/>
    <w:unhideWhenUsed/>
    <w:qFormat/>
    <w:rsid w:val="004677F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4677F9"/>
    <w:rPr>
      <w:rFonts w:asciiTheme="majorHAnsi" w:eastAsiaTheme="majorEastAsia" w:hAnsiTheme="majorHAnsi" w:cstheme="majorBidi"/>
      <w:i/>
      <w:iCs/>
      <w:color w:val="404040" w:themeColor="text1" w:themeTint="BF"/>
      <w:sz w:val="20"/>
      <w:szCs w:val="20"/>
      <w:lang w:val="en-GB"/>
    </w:rPr>
  </w:style>
  <w:style w:type="paragraph" w:styleId="Header">
    <w:name w:val="header"/>
    <w:aliases w:val=" Char,Char,Intestazione.int,Header1"/>
    <w:basedOn w:val="Normal"/>
    <w:link w:val="HeaderChar"/>
    <w:uiPriority w:val="99"/>
    <w:rsid w:val="004677F9"/>
    <w:pPr>
      <w:tabs>
        <w:tab w:val="center" w:pos="4153"/>
        <w:tab w:val="right" w:pos="8306"/>
      </w:tabs>
    </w:pPr>
  </w:style>
  <w:style w:type="character" w:customStyle="1" w:styleId="HeaderChar">
    <w:name w:val="Header Char"/>
    <w:aliases w:val=" Char Char,Char Char,Intestazione.int Char,Header1 Char"/>
    <w:basedOn w:val="DefaultParagraphFont"/>
    <w:link w:val="Header"/>
    <w:uiPriority w:val="99"/>
    <w:rsid w:val="004677F9"/>
    <w:rPr>
      <w:rFonts w:ascii="Times New Roman" w:eastAsia="Batang" w:hAnsi="Times New Roman" w:cs="Times New Roman"/>
      <w:sz w:val="24"/>
      <w:szCs w:val="24"/>
      <w:lang w:val="en-GB"/>
    </w:rPr>
  </w:style>
  <w:style w:type="paragraph" w:styleId="Subtitle">
    <w:name w:val="Subtitle"/>
    <w:basedOn w:val="Normal"/>
    <w:link w:val="SubtitleChar"/>
    <w:qFormat/>
    <w:rsid w:val="004677F9"/>
    <w:pPr>
      <w:jc w:val="center"/>
    </w:pPr>
    <w:rPr>
      <w:rFonts w:eastAsia="Times New Roman"/>
      <w:b/>
      <w:bCs/>
      <w:lang w:val="it-IT"/>
    </w:rPr>
  </w:style>
  <w:style w:type="character" w:customStyle="1" w:styleId="SubtitleChar">
    <w:name w:val="Subtitle Char"/>
    <w:basedOn w:val="DefaultParagraphFont"/>
    <w:link w:val="Subtitle"/>
    <w:rsid w:val="004677F9"/>
    <w:rPr>
      <w:rFonts w:ascii="Times New Roman" w:eastAsia="Times New Roman" w:hAnsi="Times New Roman" w:cs="Times New Roman"/>
      <w:b/>
      <w:bCs/>
      <w:sz w:val="24"/>
      <w:szCs w:val="24"/>
      <w:lang w:val="it-IT"/>
    </w:rPr>
  </w:style>
  <w:style w:type="paragraph" w:styleId="Footer">
    <w:name w:val="footer"/>
    <w:basedOn w:val="Normal"/>
    <w:link w:val="FooterChar"/>
    <w:uiPriority w:val="99"/>
    <w:unhideWhenUsed/>
    <w:rsid w:val="00360998"/>
    <w:pPr>
      <w:tabs>
        <w:tab w:val="center" w:pos="4513"/>
        <w:tab w:val="right" w:pos="9026"/>
      </w:tabs>
    </w:pPr>
  </w:style>
  <w:style w:type="character" w:customStyle="1" w:styleId="FooterChar">
    <w:name w:val="Footer Char"/>
    <w:basedOn w:val="DefaultParagraphFont"/>
    <w:link w:val="Footer"/>
    <w:uiPriority w:val="99"/>
    <w:rsid w:val="00360998"/>
    <w:rPr>
      <w:rFonts w:ascii="Times New Roman" w:eastAsia="Batang" w:hAnsi="Times New Roman" w:cs="Times New Roman"/>
      <w:sz w:val="24"/>
      <w:szCs w:val="24"/>
      <w:lang w:val="en-GB"/>
    </w:rPr>
  </w:style>
  <w:style w:type="paragraph" w:styleId="ListParagraph">
    <w:name w:val="List Paragraph"/>
    <w:basedOn w:val="Normal"/>
    <w:uiPriority w:val="34"/>
    <w:qFormat/>
    <w:rsid w:val="001F05E8"/>
    <w:pPr>
      <w:ind w:left="720"/>
      <w:contextualSpacing/>
    </w:pPr>
  </w:style>
  <w:style w:type="table" w:styleId="TableGrid">
    <w:name w:val="Table Grid"/>
    <w:basedOn w:val="TableNormal"/>
    <w:uiPriority w:val="59"/>
    <w:rsid w:val="008A5565"/>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A5565"/>
  </w:style>
  <w:style w:type="paragraph" w:styleId="BodyText">
    <w:name w:val="Body Text"/>
    <w:basedOn w:val="Normal"/>
    <w:link w:val="BodyTextChar"/>
    <w:rsid w:val="00C966C1"/>
    <w:pPr>
      <w:jc w:val="both"/>
    </w:pPr>
    <w:rPr>
      <w:rFonts w:eastAsia="MS Mincho"/>
    </w:rPr>
  </w:style>
  <w:style w:type="character" w:customStyle="1" w:styleId="BodyTextChar">
    <w:name w:val="Body Text Char"/>
    <w:basedOn w:val="DefaultParagraphFont"/>
    <w:link w:val="BodyText"/>
    <w:rsid w:val="00C966C1"/>
    <w:rPr>
      <w:rFonts w:ascii="Times New Roman" w:eastAsia="MS Mincho" w:hAnsi="Times New Roman" w:cs="Times New Roman"/>
      <w:sz w:val="24"/>
      <w:szCs w:val="24"/>
      <w:lang w:val="en-GB"/>
    </w:rPr>
  </w:style>
  <w:style w:type="paragraph" w:customStyle="1" w:styleId="Default">
    <w:name w:val="Default"/>
    <w:rsid w:val="00AA2A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0E0618"/>
    <w:rPr>
      <w:rFonts w:ascii="Tahoma" w:hAnsi="Tahoma" w:cs="Tahoma"/>
      <w:sz w:val="16"/>
      <w:szCs w:val="16"/>
    </w:rPr>
  </w:style>
  <w:style w:type="character" w:customStyle="1" w:styleId="BalloonTextChar">
    <w:name w:val="Balloon Text Char"/>
    <w:basedOn w:val="DefaultParagraphFont"/>
    <w:link w:val="BalloonText"/>
    <w:uiPriority w:val="99"/>
    <w:semiHidden/>
    <w:rsid w:val="000E0618"/>
    <w:rPr>
      <w:rFonts w:ascii="Tahoma" w:eastAsia="Batang" w:hAnsi="Tahoma" w:cs="Tahoma"/>
      <w:sz w:val="16"/>
      <w:szCs w:val="16"/>
      <w:lang w:val="en-GB"/>
    </w:rPr>
  </w:style>
  <w:style w:type="character" w:styleId="Hyperlink">
    <w:name w:val="Hyperlink"/>
    <w:basedOn w:val="DefaultParagraphFont"/>
    <w:uiPriority w:val="99"/>
    <w:unhideWhenUsed/>
    <w:rsid w:val="002479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rajmonda selimaj</dc:creator>
  <cp:keywords/>
  <dc:description/>
  <cp:lastModifiedBy>julvit shazivari</cp:lastModifiedBy>
  <cp:revision>207</cp:revision>
  <cp:lastPrinted>2017-06-29T13:51:00Z</cp:lastPrinted>
  <dcterms:created xsi:type="dcterms:W3CDTF">2017-04-18T09:20:00Z</dcterms:created>
  <dcterms:modified xsi:type="dcterms:W3CDTF">2017-10-16T07:43:00Z</dcterms:modified>
</cp:coreProperties>
</file>