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46C" w:rsidRPr="00A9446C" w:rsidRDefault="00A9446C" w:rsidP="00A9446C">
      <w:pPr>
        <w:widowControl w:val="0"/>
        <w:spacing w:after="0"/>
        <w:jc w:val="center"/>
        <w:rPr>
          <w:rFonts w:ascii="Times New Roman" w:hAnsi="Times New Roman" w:cs="Times New Roman"/>
          <w:b/>
          <w:sz w:val="24"/>
          <w:szCs w:val="24"/>
          <w:lang w:val="sq-AL"/>
        </w:rPr>
      </w:pPr>
      <w:r w:rsidRPr="00A9446C">
        <w:rPr>
          <w:rFonts w:ascii="Times New Roman" w:hAnsi="Times New Roman" w:cs="Times New Roman"/>
          <w:sz w:val="24"/>
          <w:szCs w:val="24"/>
          <w:lang w:val="sq-AL" w:eastAsia="sq-AL"/>
        </w:rPr>
        <w:drawing>
          <wp:anchor distT="0" distB="0" distL="114300" distR="114300" simplePos="0" relativeHeight="251659264" behindDoc="0" locked="0" layoutInCell="1" allowOverlap="1" wp14:anchorId="724CA19F" wp14:editId="00E1535E">
            <wp:simplePos x="0" y="0"/>
            <wp:positionH relativeFrom="margin">
              <wp:posOffset>-370840</wp:posOffset>
            </wp:positionH>
            <wp:positionV relativeFrom="paragraph">
              <wp:posOffset>-621665</wp:posOffset>
            </wp:positionV>
            <wp:extent cx="6587490" cy="863600"/>
            <wp:effectExtent l="0" t="0" r="3810" b="0"/>
            <wp:wrapTopAndBottom/>
            <wp:docPr id="2"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9"/>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446C">
        <w:rPr>
          <w:rFonts w:ascii="Times New Roman" w:hAnsi="Times New Roman" w:cs="Times New Roman"/>
          <w:b/>
          <w:sz w:val="24"/>
          <w:szCs w:val="24"/>
          <w:lang w:val="sq-AL"/>
        </w:rPr>
        <w:t>MINISTRIA E FINANCAVE</w:t>
      </w:r>
    </w:p>
    <w:p w:rsidR="00A9446C" w:rsidRPr="00A9446C" w:rsidRDefault="00A9446C" w:rsidP="00A9446C">
      <w:pPr>
        <w:widowControl w:val="0"/>
        <w:spacing w:after="0"/>
        <w:jc w:val="center"/>
        <w:rPr>
          <w:rFonts w:ascii="Times New Roman" w:hAnsi="Times New Roman" w:cs="Times New Roman"/>
          <w:b/>
          <w:sz w:val="24"/>
          <w:szCs w:val="24"/>
          <w:lang w:val="sq-AL"/>
        </w:rPr>
      </w:pPr>
      <w:r w:rsidRPr="00A9446C">
        <w:rPr>
          <w:rFonts w:ascii="Times New Roman" w:hAnsi="Times New Roman" w:cs="Times New Roman"/>
          <w:b/>
          <w:sz w:val="24"/>
          <w:szCs w:val="24"/>
          <w:lang w:val="sq-AL"/>
        </w:rPr>
        <w:t>DHE EKONOMISË</w:t>
      </w:r>
    </w:p>
    <w:p w:rsidR="00A9446C" w:rsidRPr="00A9446C" w:rsidRDefault="00A9446C" w:rsidP="00A9446C">
      <w:pPr>
        <w:widowControl w:val="0"/>
        <w:spacing w:after="0"/>
        <w:jc w:val="center"/>
        <w:rPr>
          <w:rFonts w:ascii="Times New Roman" w:hAnsi="Times New Roman" w:cs="Times New Roman"/>
          <w:b/>
          <w:sz w:val="28"/>
          <w:szCs w:val="24"/>
          <w:lang w:val="sq-AL"/>
        </w:rPr>
      </w:pPr>
      <w:r w:rsidRPr="00A9446C">
        <w:rPr>
          <w:rFonts w:ascii="Times New Roman" w:hAnsi="Times New Roman" w:cs="Times New Roman"/>
          <w:b/>
          <w:sz w:val="24"/>
          <w:szCs w:val="24"/>
          <w:lang w:val="sq-AL"/>
        </w:rPr>
        <w:t>DREJTORIA E APELIMIT TATIMOR</w:t>
      </w:r>
    </w:p>
    <w:p w:rsidR="00A9446C" w:rsidRPr="00A9446C" w:rsidRDefault="00A9446C" w:rsidP="00A9446C">
      <w:pPr>
        <w:widowControl w:val="0"/>
        <w:spacing w:after="0"/>
        <w:jc w:val="center"/>
        <w:rPr>
          <w:rFonts w:ascii="Times New Roman" w:hAnsi="Times New Roman" w:cs="Times New Roman"/>
          <w:b/>
          <w:sz w:val="24"/>
          <w:szCs w:val="24"/>
          <w:lang w:val="sq-AL"/>
        </w:rPr>
      </w:pPr>
    </w:p>
    <w:p w:rsidR="00A9446C" w:rsidRPr="00A9446C" w:rsidRDefault="00A9446C" w:rsidP="00A9446C">
      <w:pPr>
        <w:widowControl w:val="0"/>
        <w:spacing w:after="0"/>
        <w:jc w:val="center"/>
        <w:rPr>
          <w:rFonts w:ascii="Times New Roman" w:hAnsi="Times New Roman" w:cs="Times New Roman"/>
          <w:b/>
          <w:sz w:val="24"/>
          <w:szCs w:val="24"/>
          <w:lang w:val="sq-AL"/>
        </w:rPr>
      </w:pPr>
    </w:p>
    <w:p w:rsidR="00A9446C" w:rsidRPr="00A9446C" w:rsidRDefault="00A9446C" w:rsidP="00A9446C">
      <w:pPr>
        <w:widowControl w:val="0"/>
        <w:spacing w:after="0"/>
        <w:jc w:val="both"/>
        <w:rPr>
          <w:rFonts w:ascii="Times New Roman" w:hAnsi="Times New Roman" w:cs="Times New Roman"/>
          <w:sz w:val="24"/>
          <w:szCs w:val="24"/>
          <w:lang w:val="sq-AL"/>
        </w:rPr>
      </w:pPr>
      <w:r w:rsidRPr="00A9446C">
        <w:rPr>
          <w:rFonts w:ascii="Times New Roman" w:hAnsi="Times New Roman" w:cs="Times New Roman"/>
          <w:sz w:val="24"/>
          <w:szCs w:val="24"/>
          <w:lang w:val="sq-AL"/>
        </w:rPr>
        <w:t>Nr._________prot.</w:t>
      </w:r>
      <w:r w:rsidRPr="00A9446C">
        <w:rPr>
          <w:rFonts w:ascii="Times New Roman" w:hAnsi="Times New Roman" w:cs="Times New Roman"/>
          <w:sz w:val="24"/>
          <w:szCs w:val="24"/>
          <w:lang w:val="sq-AL"/>
        </w:rPr>
        <w:tab/>
      </w:r>
      <w:r w:rsidRPr="00A9446C">
        <w:rPr>
          <w:rFonts w:ascii="Times New Roman" w:hAnsi="Times New Roman" w:cs="Times New Roman"/>
          <w:sz w:val="24"/>
          <w:szCs w:val="24"/>
          <w:lang w:val="sq-AL"/>
        </w:rPr>
        <w:tab/>
      </w:r>
      <w:r w:rsidRPr="00A9446C">
        <w:rPr>
          <w:rFonts w:ascii="Times New Roman" w:hAnsi="Times New Roman" w:cs="Times New Roman"/>
          <w:sz w:val="24"/>
          <w:szCs w:val="24"/>
          <w:lang w:val="sq-AL"/>
        </w:rPr>
        <w:tab/>
      </w:r>
      <w:r w:rsidRPr="00A9446C">
        <w:rPr>
          <w:rFonts w:ascii="Times New Roman" w:hAnsi="Times New Roman" w:cs="Times New Roman"/>
          <w:sz w:val="24"/>
          <w:szCs w:val="24"/>
          <w:lang w:val="sq-AL"/>
        </w:rPr>
        <w:tab/>
      </w:r>
      <w:r w:rsidRPr="00A9446C">
        <w:rPr>
          <w:rFonts w:ascii="Times New Roman" w:hAnsi="Times New Roman" w:cs="Times New Roman"/>
          <w:sz w:val="24"/>
          <w:szCs w:val="24"/>
          <w:lang w:val="sq-AL"/>
        </w:rPr>
        <w:tab/>
      </w:r>
      <w:r w:rsidRPr="00A9446C">
        <w:rPr>
          <w:rFonts w:ascii="Times New Roman" w:hAnsi="Times New Roman" w:cs="Times New Roman"/>
          <w:sz w:val="24"/>
          <w:szCs w:val="24"/>
          <w:lang w:val="sq-AL"/>
        </w:rPr>
        <w:tab/>
        <w:t xml:space="preserve">    </w:t>
      </w:r>
      <w:r w:rsidRPr="00A9446C">
        <w:rPr>
          <w:rFonts w:ascii="Times New Roman" w:hAnsi="Times New Roman" w:cs="Times New Roman"/>
          <w:sz w:val="24"/>
          <w:szCs w:val="24"/>
          <w:lang w:val="sq-AL"/>
        </w:rPr>
        <w:t xml:space="preserve">         </w:t>
      </w:r>
      <w:r w:rsidRPr="00A9446C">
        <w:rPr>
          <w:rFonts w:ascii="Times New Roman" w:hAnsi="Times New Roman" w:cs="Times New Roman"/>
          <w:sz w:val="24"/>
          <w:szCs w:val="24"/>
          <w:lang w:val="sq-AL"/>
        </w:rPr>
        <w:t xml:space="preserve">Tiranë, më___.___.2017 </w:t>
      </w:r>
    </w:p>
    <w:p w:rsidR="00D94A48" w:rsidRPr="00A9446C" w:rsidRDefault="00D45628" w:rsidP="00A9446C">
      <w:pPr>
        <w:spacing w:after="0"/>
        <w:ind w:left="6480" w:firstLine="720"/>
        <w:rPr>
          <w:rFonts w:ascii="Times New Roman" w:eastAsia="SimSun" w:hAnsi="Times New Roman" w:cs="Times New Roman"/>
          <w:i/>
          <w:sz w:val="24"/>
          <w:szCs w:val="24"/>
          <w:lang w:val="sq-AL" w:eastAsia="zh-CN"/>
        </w:rPr>
      </w:pPr>
      <w:r w:rsidRPr="00A9446C">
        <w:rPr>
          <w:rFonts w:ascii="Times New Roman" w:eastAsia="SimSun" w:hAnsi="Times New Roman" w:cs="Times New Roman"/>
          <w:sz w:val="24"/>
          <w:szCs w:val="24"/>
          <w:u w:val="single"/>
          <w:lang w:val="sq-AL" w:eastAsia="zh-CN"/>
        </w:rPr>
        <w:t xml:space="preserve"> </w:t>
      </w:r>
    </w:p>
    <w:p w:rsidR="00BE330D" w:rsidRPr="00A9446C" w:rsidRDefault="00BE330D" w:rsidP="00A9446C">
      <w:pPr>
        <w:spacing w:after="0"/>
        <w:ind w:left="2880" w:firstLine="720"/>
        <w:jc w:val="both"/>
        <w:rPr>
          <w:rFonts w:ascii="Times New Roman" w:eastAsia="SimSun" w:hAnsi="Times New Roman" w:cs="Times New Roman"/>
          <w:b/>
          <w:sz w:val="24"/>
          <w:szCs w:val="24"/>
          <w:u w:val="single"/>
          <w:lang w:val="sq-AL" w:eastAsia="zh-CN"/>
        </w:rPr>
      </w:pPr>
      <w:r w:rsidRPr="00A9446C">
        <w:rPr>
          <w:rFonts w:ascii="Times New Roman" w:eastAsia="SimSun" w:hAnsi="Times New Roman" w:cs="Times New Roman"/>
          <w:b/>
          <w:sz w:val="24"/>
          <w:szCs w:val="24"/>
          <w:u w:val="single"/>
          <w:lang w:val="sq-AL" w:eastAsia="zh-CN"/>
        </w:rPr>
        <w:t>V E N D I M</w:t>
      </w:r>
    </w:p>
    <w:p w:rsidR="00AF2C7E" w:rsidRPr="00A9446C" w:rsidRDefault="00AF2C7E" w:rsidP="00A9446C">
      <w:pPr>
        <w:spacing w:after="0"/>
        <w:rPr>
          <w:rFonts w:ascii="Times New Roman" w:eastAsia="SimSun" w:hAnsi="Times New Roman" w:cs="Times New Roman"/>
          <w:b/>
          <w:sz w:val="24"/>
          <w:szCs w:val="24"/>
          <w:lang w:val="sq-AL" w:eastAsia="zh-CN"/>
        </w:rPr>
      </w:pPr>
    </w:p>
    <w:p w:rsidR="00D45628" w:rsidRPr="00A9446C" w:rsidRDefault="00BE330D" w:rsidP="00A9446C">
      <w:pPr>
        <w:spacing w:after="0"/>
        <w:rPr>
          <w:rFonts w:ascii="Times New Roman" w:eastAsia="SimSun" w:hAnsi="Times New Roman" w:cs="Times New Roman"/>
          <w:sz w:val="24"/>
          <w:szCs w:val="24"/>
          <w:lang w:val="sq-AL" w:eastAsia="zh-CN"/>
        </w:rPr>
      </w:pPr>
      <w:r w:rsidRPr="00A9446C">
        <w:rPr>
          <w:rFonts w:ascii="Times New Roman" w:eastAsia="SimSun" w:hAnsi="Times New Roman" w:cs="Times New Roman"/>
          <w:b/>
          <w:sz w:val="24"/>
          <w:szCs w:val="24"/>
          <w:lang w:val="sq-AL" w:eastAsia="zh-CN"/>
        </w:rPr>
        <w:t>Ankimuesi</w:t>
      </w:r>
      <w:r w:rsidRPr="00A9446C">
        <w:rPr>
          <w:rFonts w:ascii="Times New Roman" w:eastAsia="SimSun" w:hAnsi="Times New Roman" w:cs="Times New Roman"/>
          <w:sz w:val="24"/>
          <w:szCs w:val="24"/>
          <w:lang w:val="sq-AL" w:eastAsia="zh-CN"/>
        </w:rPr>
        <w:t xml:space="preserve">: </w:t>
      </w:r>
      <w:r w:rsidRPr="00A9446C">
        <w:rPr>
          <w:rFonts w:ascii="Times New Roman" w:eastAsia="SimSun" w:hAnsi="Times New Roman" w:cs="Times New Roman"/>
          <w:sz w:val="24"/>
          <w:szCs w:val="24"/>
          <w:lang w:val="sq-AL" w:eastAsia="zh-CN"/>
        </w:rPr>
        <w:tab/>
      </w:r>
      <w:r w:rsidR="00E7525C" w:rsidRPr="00A9446C">
        <w:rPr>
          <w:rFonts w:ascii="Times New Roman" w:eastAsia="SimSun" w:hAnsi="Times New Roman" w:cs="Times New Roman"/>
          <w:sz w:val="24"/>
          <w:szCs w:val="24"/>
          <w:lang w:val="sq-AL" w:eastAsia="zh-CN"/>
        </w:rPr>
        <w:t xml:space="preserve"> Tatimpaguesi </w:t>
      </w:r>
      <w:r w:rsidR="00AF2C7E" w:rsidRPr="00A9446C">
        <w:rPr>
          <w:rFonts w:ascii="Times New Roman" w:eastAsia="SimSun" w:hAnsi="Times New Roman" w:cs="Times New Roman"/>
          <w:sz w:val="24"/>
          <w:szCs w:val="24"/>
          <w:lang w:val="sq-AL" w:eastAsia="zh-CN"/>
        </w:rPr>
        <w:t>__________________</w:t>
      </w:r>
    </w:p>
    <w:p w:rsidR="00D45628" w:rsidRPr="00A9446C" w:rsidRDefault="00D45628" w:rsidP="00A9446C">
      <w:pPr>
        <w:spacing w:after="0"/>
        <w:rPr>
          <w:rFonts w:ascii="Times New Roman" w:eastAsia="SimSun" w:hAnsi="Times New Roman" w:cs="Times New Roman"/>
          <w:sz w:val="24"/>
          <w:szCs w:val="24"/>
          <w:lang w:val="sq-AL" w:eastAsia="zh-CN"/>
        </w:rPr>
      </w:pPr>
      <w:r w:rsidRPr="00A9446C">
        <w:rPr>
          <w:rFonts w:ascii="Times New Roman" w:eastAsia="SimSun" w:hAnsi="Times New Roman" w:cs="Times New Roman"/>
          <w:sz w:val="24"/>
          <w:szCs w:val="24"/>
          <w:lang w:val="sq-AL" w:eastAsia="zh-CN"/>
        </w:rPr>
        <w:tab/>
      </w:r>
      <w:r w:rsidRPr="00A9446C">
        <w:rPr>
          <w:rFonts w:ascii="Times New Roman" w:eastAsia="SimSun" w:hAnsi="Times New Roman" w:cs="Times New Roman"/>
          <w:sz w:val="24"/>
          <w:szCs w:val="24"/>
          <w:lang w:val="sq-AL" w:eastAsia="zh-CN"/>
        </w:rPr>
        <w:tab/>
      </w:r>
      <w:r w:rsidR="00A9446C" w:rsidRPr="00A9446C">
        <w:rPr>
          <w:rFonts w:ascii="Times New Roman" w:eastAsia="SimSun" w:hAnsi="Times New Roman" w:cs="Times New Roman"/>
          <w:sz w:val="24"/>
          <w:szCs w:val="24"/>
          <w:lang w:val="sq-AL" w:eastAsia="zh-CN"/>
        </w:rPr>
        <w:t xml:space="preserve"> </w:t>
      </w:r>
      <w:r w:rsidRPr="00A9446C">
        <w:rPr>
          <w:rFonts w:ascii="Times New Roman" w:eastAsia="SimSun" w:hAnsi="Times New Roman" w:cs="Times New Roman"/>
          <w:sz w:val="24"/>
          <w:szCs w:val="24"/>
          <w:lang w:val="sq-AL" w:eastAsia="zh-CN"/>
        </w:rPr>
        <w:t xml:space="preserve">NIPT: </w:t>
      </w:r>
      <w:r w:rsidR="00AF2C7E" w:rsidRPr="00A9446C">
        <w:rPr>
          <w:rFonts w:ascii="Times New Roman" w:eastAsia="SimSun" w:hAnsi="Times New Roman" w:cs="Times New Roman"/>
          <w:sz w:val="24"/>
          <w:szCs w:val="24"/>
          <w:lang w:val="sq-AL" w:eastAsia="zh-CN"/>
        </w:rPr>
        <w:t>________________________</w:t>
      </w:r>
    </w:p>
    <w:p w:rsidR="00D94A48" w:rsidRPr="00A9446C" w:rsidRDefault="00D94A48" w:rsidP="00A9446C">
      <w:pPr>
        <w:spacing w:after="0"/>
        <w:rPr>
          <w:rFonts w:ascii="Times New Roman" w:eastAsia="SimSun" w:hAnsi="Times New Roman" w:cs="Times New Roman"/>
          <w:b/>
          <w:sz w:val="24"/>
          <w:szCs w:val="24"/>
          <w:lang w:val="sq-AL" w:eastAsia="zh-CN"/>
        </w:rPr>
      </w:pPr>
    </w:p>
    <w:p w:rsidR="008C6DB1" w:rsidRPr="00A9446C" w:rsidRDefault="00BE330D" w:rsidP="00A9446C">
      <w:pPr>
        <w:spacing w:after="0"/>
        <w:rPr>
          <w:rFonts w:ascii="Times New Roman" w:eastAsia="SimSun" w:hAnsi="Times New Roman" w:cs="Times New Roman"/>
          <w:b/>
          <w:sz w:val="24"/>
          <w:szCs w:val="24"/>
          <w:lang w:val="sq-AL" w:eastAsia="zh-CN"/>
        </w:rPr>
      </w:pPr>
      <w:r w:rsidRPr="00A9446C">
        <w:rPr>
          <w:rFonts w:ascii="Times New Roman" w:eastAsia="SimSun" w:hAnsi="Times New Roman" w:cs="Times New Roman"/>
          <w:b/>
          <w:sz w:val="24"/>
          <w:szCs w:val="24"/>
          <w:lang w:val="sq-AL" w:eastAsia="zh-CN"/>
        </w:rPr>
        <w:t>Objekti</w:t>
      </w:r>
      <w:r w:rsidR="0034681A" w:rsidRPr="00A9446C">
        <w:rPr>
          <w:rFonts w:ascii="Times New Roman" w:eastAsia="SimSun" w:hAnsi="Times New Roman" w:cs="Times New Roman"/>
          <w:sz w:val="24"/>
          <w:szCs w:val="24"/>
          <w:lang w:val="sq-AL" w:eastAsia="zh-CN"/>
        </w:rPr>
        <w:t xml:space="preserve">: </w:t>
      </w:r>
      <w:r w:rsidR="00AF635D" w:rsidRPr="00A9446C">
        <w:rPr>
          <w:rFonts w:ascii="Times New Roman" w:eastAsia="SimSun" w:hAnsi="Times New Roman" w:cs="Times New Roman"/>
          <w:b/>
          <w:sz w:val="24"/>
          <w:szCs w:val="24"/>
          <w:lang w:val="sq-AL" w:eastAsia="zh-CN"/>
        </w:rPr>
        <w:t>K</w:t>
      </w:r>
      <w:r w:rsidR="00955334" w:rsidRPr="00A9446C">
        <w:rPr>
          <w:rFonts w:ascii="Times New Roman" w:eastAsia="SimSun" w:hAnsi="Times New Roman" w:cs="Times New Roman"/>
          <w:b/>
          <w:sz w:val="24"/>
          <w:szCs w:val="24"/>
          <w:lang w:val="sq-AL" w:eastAsia="zh-CN"/>
        </w:rPr>
        <w:t>ë</w:t>
      </w:r>
      <w:r w:rsidR="00AF635D" w:rsidRPr="00A9446C">
        <w:rPr>
          <w:rFonts w:ascii="Times New Roman" w:eastAsia="SimSun" w:hAnsi="Times New Roman" w:cs="Times New Roman"/>
          <w:b/>
          <w:sz w:val="24"/>
          <w:szCs w:val="24"/>
          <w:lang w:val="sq-AL" w:eastAsia="zh-CN"/>
        </w:rPr>
        <w:t>rkes</w:t>
      </w:r>
      <w:r w:rsidR="00955334" w:rsidRPr="00A9446C">
        <w:rPr>
          <w:rFonts w:ascii="Times New Roman" w:eastAsia="SimSun" w:hAnsi="Times New Roman" w:cs="Times New Roman"/>
          <w:b/>
          <w:sz w:val="24"/>
          <w:szCs w:val="24"/>
          <w:lang w:val="sq-AL" w:eastAsia="zh-CN"/>
        </w:rPr>
        <w:t>ë</w:t>
      </w:r>
      <w:r w:rsidR="00AF635D" w:rsidRPr="00A9446C">
        <w:rPr>
          <w:rFonts w:ascii="Times New Roman" w:eastAsia="SimSun" w:hAnsi="Times New Roman" w:cs="Times New Roman"/>
          <w:b/>
          <w:sz w:val="24"/>
          <w:szCs w:val="24"/>
          <w:lang w:val="sq-AL" w:eastAsia="zh-CN"/>
        </w:rPr>
        <w:t xml:space="preserve"> p</w:t>
      </w:r>
      <w:r w:rsidR="00955334" w:rsidRPr="00A9446C">
        <w:rPr>
          <w:rFonts w:ascii="Times New Roman" w:eastAsia="SimSun" w:hAnsi="Times New Roman" w:cs="Times New Roman"/>
          <w:b/>
          <w:sz w:val="24"/>
          <w:szCs w:val="24"/>
          <w:lang w:val="sq-AL" w:eastAsia="zh-CN"/>
        </w:rPr>
        <w:t>ë</w:t>
      </w:r>
      <w:r w:rsidR="00AF635D" w:rsidRPr="00A9446C">
        <w:rPr>
          <w:rFonts w:ascii="Times New Roman" w:eastAsia="SimSun" w:hAnsi="Times New Roman" w:cs="Times New Roman"/>
          <w:b/>
          <w:sz w:val="24"/>
          <w:szCs w:val="24"/>
          <w:lang w:val="sq-AL" w:eastAsia="zh-CN"/>
        </w:rPr>
        <w:t>r apelim t</w:t>
      </w:r>
      <w:r w:rsidR="00955334" w:rsidRPr="00A9446C">
        <w:rPr>
          <w:rFonts w:ascii="Times New Roman" w:eastAsia="SimSun" w:hAnsi="Times New Roman" w:cs="Times New Roman"/>
          <w:b/>
          <w:sz w:val="24"/>
          <w:szCs w:val="24"/>
          <w:lang w:val="sq-AL" w:eastAsia="zh-CN"/>
        </w:rPr>
        <w:t>ë</w:t>
      </w:r>
      <w:r w:rsidR="00AF635D" w:rsidRPr="00A9446C">
        <w:rPr>
          <w:rFonts w:ascii="Times New Roman" w:eastAsia="SimSun" w:hAnsi="Times New Roman" w:cs="Times New Roman"/>
          <w:b/>
          <w:sz w:val="24"/>
          <w:szCs w:val="24"/>
          <w:lang w:val="sq-AL" w:eastAsia="zh-CN"/>
        </w:rPr>
        <w:t xml:space="preserve"> </w:t>
      </w:r>
      <w:r w:rsidR="00D45628" w:rsidRPr="00A9446C">
        <w:rPr>
          <w:rFonts w:ascii="Times New Roman" w:eastAsia="SimSun" w:hAnsi="Times New Roman" w:cs="Times New Roman"/>
          <w:b/>
          <w:sz w:val="24"/>
          <w:szCs w:val="24"/>
          <w:lang w:val="sq-AL" w:eastAsia="zh-CN"/>
        </w:rPr>
        <w:t>Proces Verbal Gjobe.</w:t>
      </w:r>
    </w:p>
    <w:p w:rsidR="0008539D" w:rsidRPr="00A9446C" w:rsidRDefault="0008539D" w:rsidP="00A9446C">
      <w:pPr>
        <w:spacing w:after="0"/>
        <w:jc w:val="both"/>
        <w:rPr>
          <w:rFonts w:ascii="Times New Roman" w:eastAsia="SimSun" w:hAnsi="Times New Roman" w:cs="Times New Roman"/>
          <w:sz w:val="24"/>
          <w:szCs w:val="24"/>
          <w:lang w:val="sq-AL" w:eastAsia="zh-CN"/>
        </w:rPr>
      </w:pPr>
    </w:p>
    <w:p w:rsidR="00D45628" w:rsidRPr="00A9446C" w:rsidRDefault="0034681A" w:rsidP="00A9446C">
      <w:pPr>
        <w:spacing w:after="0"/>
        <w:jc w:val="both"/>
        <w:rPr>
          <w:rFonts w:ascii="Times New Roman" w:eastAsia="SimSun" w:hAnsi="Times New Roman" w:cs="Times New Roman"/>
          <w:sz w:val="24"/>
          <w:szCs w:val="24"/>
          <w:lang w:val="sq-AL" w:eastAsia="zh-CN"/>
        </w:rPr>
      </w:pPr>
      <w:r w:rsidRPr="00A9446C">
        <w:rPr>
          <w:rFonts w:ascii="Times New Roman" w:hAnsi="Times New Roman" w:cs="Times New Roman"/>
          <w:bCs/>
          <w:sz w:val="24"/>
          <w:szCs w:val="24"/>
          <w:lang w:val="sq-AL"/>
        </w:rPr>
        <w:t xml:space="preserve">Në zbatim të Ligjit Nr.9920 datë 19.05.2008, “Për Proçedurat Tatimore në Republikën e Shqiperisë”, </w:t>
      </w:r>
      <w:r w:rsidRPr="00A9446C">
        <w:rPr>
          <w:rFonts w:ascii="Times New Roman" w:hAnsi="Times New Roman" w:cs="Times New Roman"/>
          <w:bCs/>
          <w:i/>
          <w:sz w:val="24"/>
          <w:szCs w:val="24"/>
          <w:lang w:val="sq-AL"/>
        </w:rPr>
        <w:t>(ndryshuar)</w:t>
      </w:r>
      <w:r w:rsidRPr="00A9446C">
        <w:rPr>
          <w:rStyle w:val="apple-style-span"/>
          <w:rFonts w:ascii="Times New Roman" w:hAnsi="Times New Roman" w:cs="Times New Roman"/>
          <w:bCs/>
          <w:i/>
          <w:sz w:val="24"/>
          <w:szCs w:val="24"/>
          <w:lang w:val="sq-AL"/>
        </w:rPr>
        <w:t>,</w:t>
      </w:r>
      <w:r w:rsidRPr="00A9446C">
        <w:rPr>
          <w:rStyle w:val="apple-style-span"/>
          <w:rFonts w:ascii="Times New Roman" w:hAnsi="Times New Roman" w:cs="Times New Roman"/>
          <w:bCs/>
          <w:sz w:val="24"/>
          <w:szCs w:val="24"/>
          <w:lang w:val="sq-AL"/>
        </w:rPr>
        <w:t xml:space="preserve"> </w:t>
      </w:r>
      <w:r w:rsidRPr="00A9446C">
        <w:rPr>
          <w:rFonts w:ascii="Times New Roman" w:hAnsi="Times New Roman" w:cs="Times New Roman"/>
          <w:bCs/>
          <w:sz w:val="24"/>
          <w:szCs w:val="24"/>
          <w:lang w:val="sq-AL"/>
        </w:rPr>
        <w:t>Kreu XIII Ankimimi Administrativ Tatimor, nenet 106, 107, 108, 109 dhe Udhëzimit të Ministrit të Financave Nr 24, datë 02.09.20</w:t>
      </w:r>
      <w:bookmarkStart w:id="0" w:name="_GoBack"/>
      <w:bookmarkEnd w:id="0"/>
      <w:r w:rsidRPr="00A9446C">
        <w:rPr>
          <w:rFonts w:ascii="Times New Roman" w:hAnsi="Times New Roman" w:cs="Times New Roman"/>
          <w:bCs/>
          <w:sz w:val="24"/>
          <w:szCs w:val="24"/>
          <w:lang w:val="sq-AL"/>
        </w:rPr>
        <w:t xml:space="preserve">08, </w:t>
      </w:r>
      <w:r w:rsidRPr="00A9446C">
        <w:rPr>
          <w:rFonts w:ascii="Times New Roman" w:hAnsi="Times New Roman" w:cs="Times New Roman"/>
          <w:bCs/>
          <w:i/>
          <w:sz w:val="24"/>
          <w:szCs w:val="24"/>
          <w:lang w:val="sq-AL"/>
        </w:rPr>
        <w:t>(ndryshuar)</w:t>
      </w:r>
      <w:r w:rsidRPr="00A9446C">
        <w:rPr>
          <w:rFonts w:ascii="Times New Roman" w:eastAsia="Times New Roman" w:hAnsi="Times New Roman" w:cs="Times New Roman"/>
          <w:bCs/>
          <w:i/>
          <w:sz w:val="24"/>
          <w:szCs w:val="24"/>
          <w:lang w:val="sq-AL"/>
        </w:rPr>
        <w:t>,</w:t>
      </w:r>
      <w:r w:rsidRPr="00A9446C">
        <w:rPr>
          <w:rFonts w:ascii="Times New Roman" w:eastAsia="Times New Roman" w:hAnsi="Times New Roman" w:cs="Times New Roman"/>
          <w:bCs/>
          <w:sz w:val="24"/>
          <w:szCs w:val="24"/>
          <w:lang w:val="sq-AL"/>
        </w:rPr>
        <w:t xml:space="preserve"> </w:t>
      </w:r>
      <w:r w:rsidRPr="00A9446C">
        <w:rPr>
          <w:rFonts w:ascii="Times New Roman" w:hAnsi="Times New Roman" w:cs="Times New Roman"/>
          <w:bCs/>
          <w:sz w:val="24"/>
          <w:szCs w:val="24"/>
          <w:lang w:val="sq-AL"/>
        </w:rPr>
        <w:t>në zbatim të tij</w:t>
      </w:r>
      <w:r w:rsidR="00E7525C" w:rsidRPr="00A9446C">
        <w:rPr>
          <w:rFonts w:ascii="Times New Roman" w:hAnsi="Times New Roman" w:cs="Times New Roman"/>
          <w:bCs/>
          <w:sz w:val="24"/>
          <w:szCs w:val="24"/>
          <w:lang w:val="sq-AL"/>
        </w:rPr>
        <w:t xml:space="preserve">, </w:t>
      </w:r>
      <w:r w:rsidRPr="00A9446C">
        <w:rPr>
          <w:rFonts w:ascii="Times New Roman" w:hAnsi="Times New Roman" w:cs="Times New Roman"/>
          <w:bCs/>
          <w:sz w:val="24"/>
          <w:szCs w:val="24"/>
          <w:lang w:val="sq-AL"/>
        </w:rPr>
        <w:t>është depozituar kër</w:t>
      </w:r>
      <w:r w:rsidR="00EF3B17" w:rsidRPr="00A9446C">
        <w:rPr>
          <w:rFonts w:ascii="Times New Roman" w:hAnsi="Times New Roman" w:cs="Times New Roman"/>
          <w:bCs/>
          <w:sz w:val="24"/>
          <w:szCs w:val="24"/>
          <w:lang w:val="sq-AL"/>
        </w:rPr>
        <w:t>kesa për apelim, protokolluar</w:t>
      </w:r>
      <w:r w:rsidRPr="00A9446C">
        <w:rPr>
          <w:rFonts w:ascii="Times New Roman" w:hAnsi="Times New Roman" w:cs="Times New Roman"/>
          <w:bCs/>
          <w:sz w:val="24"/>
          <w:szCs w:val="24"/>
          <w:lang w:val="sq-AL"/>
        </w:rPr>
        <w:t xml:space="preserve"> </w:t>
      </w:r>
      <w:r w:rsidR="00EF3B17" w:rsidRPr="00A9446C">
        <w:rPr>
          <w:rFonts w:ascii="Times New Roman" w:hAnsi="Times New Roman" w:cs="Times New Roman"/>
          <w:bCs/>
          <w:sz w:val="24"/>
          <w:szCs w:val="24"/>
          <w:lang w:val="sq-AL"/>
        </w:rPr>
        <w:t>n</w:t>
      </w:r>
      <w:r w:rsidR="00385DF7" w:rsidRPr="00A9446C">
        <w:rPr>
          <w:rFonts w:ascii="Times New Roman" w:hAnsi="Times New Roman" w:cs="Times New Roman"/>
          <w:bCs/>
          <w:sz w:val="24"/>
          <w:szCs w:val="24"/>
          <w:lang w:val="sq-AL"/>
        </w:rPr>
        <w:t>ë</w:t>
      </w:r>
      <w:r w:rsidR="00EF3B17" w:rsidRPr="00A9446C">
        <w:rPr>
          <w:rFonts w:ascii="Times New Roman" w:hAnsi="Times New Roman" w:cs="Times New Roman"/>
          <w:bCs/>
          <w:sz w:val="24"/>
          <w:szCs w:val="24"/>
          <w:lang w:val="sq-AL"/>
        </w:rPr>
        <w:t xml:space="preserve"> </w:t>
      </w:r>
      <w:r w:rsidR="00EF3B17" w:rsidRPr="00A9446C">
        <w:rPr>
          <w:rFonts w:ascii="Times New Roman" w:hAnsi="Times New Roman" w:cs="Times New Roman"/>
          <w:sz w:val="24"/>
          <w:szCs w:val="24"/>
          <w:lang w:val="sq-AL"/>
        </w:rPr>
        <w:t>Drejtorinë e Apelimit Tatimor pranë Ministrisë së Financave</w:t>
      </w:r>
      <w:r w:rsidR="00D94A48" w:rsidRPr="00A9446C">
        <w:rPr>
          <w:rFonts w:ascii="Times New Roman" w:hAnsi="Times New Roman" w:cs="Times New Roman"/>
          <w:bCs/>
          <w:sz w:val="24"/>
          <w:szCs w:val="24"/>
          <w:lang w:val="sq-AL"/>
        </w:rPr>
        <w:t xml:space="preserve">, </w:t>
      </w:r>
      <w:r w:rsidRPr="00A9446C">
        <w:rPr>
          <w:rFonts w:ascii="Times New Roman" w:hAnsi="Times New Roman" w:cs="Times New Roman"/>
          <w:sz w:val="24"/>
          <w:szCs w:val="24"/>
          <w:lang w:val="sq-AL"/>
        </w:rPr>
        <w:t xml:space="preserve">me Objekt: </w:t>
      </w:r>
      <w:r w:rsidR="00D45628" w:rsidRPr="00A9446C">
        <w:rPr>
          <w:rFonts w:ascii="Times New Roman" w:eastAsia="SimSun" w:hAnsi="Times New Roman" w:cs="Times New Roman"/>
          <w:sz w:val="24"/>
          <w:szCs w:val="24"/>
          <w:lang w:val="sq-AL" w:eastAsia="zh-CN"/>
        </w:rPr>
        <w:t>Kërkesë pë</w:t>
      </w:r>
      <w:r w:rsidR="00AF2C7E" w:rsidRPr="00A9446C">
        <w:rPr>
          <w:rFonts w:ascii="Times New Roman" w:eastAsia="SimSun" w:hAnsi="Times New Roman" w:cs="Times New Roman"/>
          <w:sz w:val="24"/>
          <w:szCs w:val="24"/>
          <w:lang w:val="sq-AL" w:eastAsia="zh-CN"/>
        </w:rPr>
        <w:t>r apelim të Proces Verbal Gjobe.</w:t>
      </w:r>
    </w:p>
    <w:p w:rsidR="00AF2C7E" w:rsidRPr="00A9446C" w:rsidRDefault="00AF2C7E" w:rsidP="00A9446C">
      <w:pPr>
        <w:spacing w:after="0"/>
        <w:jc w:val="both"/>
        <w:rPr>
          <w:rFonts w:ascii="Times New Roman" w:eastAsia="SimSun" w:hAnsi="Times New Roman" w:cs="Times New Roman"/>
          <w:sz w:val="24"/>
          <w:szCs w:val="24"/>
          <w:lang w:val="sq-AL" w:eastAsia="zh-CN"/>
        </w:rPr>
      </w:pPr>
    </w:p>
    <w:p w:rsidR="00D45628" w:rsidRPr="00A9446C" w:rsidRDefault="00D45628" w:rsidP="00A9446C">
      <w:pPr>
        <w:spacing w:after="0"/>
        <w:jc w:val="both"/>
        <w:rPr>
          <w:rFonts w:ascii="Times New Roman" w:eastAsia="MS Mincho" w:hAnsi="Times New Roman" w:cs="Times New Roman"/>
          <w:sz w:val="24"/>
          <w:szCs w:val="24"/>
          <w:lang w:val="sq-AL"/>
        </w:rPr>
      </w:pPr>
      <w:r w:rsidRPr="00A9446C">
        <w:rPr>
          <w:rFonts w:ascii="Times New Roman" w:eastAsia="MS Mincho" w:hAnsi="Times New Roman" w:cs="Times New Roman"/>
          <w:sz w:val="24"/>
          <w:szCs w:val="24"/>
          <w:lang w:val="sq-AL"/>
        </w:rPr>
        <w:t>N</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 xml:space="preserve"> p</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rmbajtje t</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 xml:space="preserve"> ankimit tatimpaguesi ankimon detyrimin p</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r gjob</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 xml:space="preserve"> n</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 xml:space="preserve"> shum</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n 50.000 lek</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 xml:space="preserve"> p</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r mosl</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shim kuponi tatimor, sipas Proces Verbal Gjobe dat</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 xml:space="preserve"> 26.12.2016 dhe Akt-Konstatimit dat</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 xml:space="preserve"> 26.12.2016. Bashk</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lidhur ankimit nuk rezulton t</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 xml:space="preserve"> jet</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 xml:space="preserve"> paraqitur akti administrativ Njoftim Vler</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simi p</w:t>
      </w:r>
      <w:r w:rsidR="001A7731" w:rsidRPr="00A9446C">
        <w:rPr>
          <w:rFonts w:ascii="Times New Roman" w:eastAsia="MS Mincho" w:hAnsi="Times New Roman" w:cs="Times New Roman"/>
          <w:sz w:val="24"/>
          <w:szCs w:val="24"/>
          <w:lang w:val="sq-AL"/>
        </w:rPr>
        <w:t>ë</w:t>
      </w:r>
      <w:r w:rsidRPr="00A9446C">
        <w:rPr>
          <w:rFonts w:ascii="Times New Roman" w:eastAsia="MS Mincho" w:hAnsi="Times New Roman" w:cs="Times New Roman"/>
          <w:sz w:val="24"/>
          <w:szCs w:val="24"/>
          <w:lang w:val="sq-AL"/>
        </w:rPr>
        <w:t xml:space="preserve">r detyrimet tatimore. </w:t>
      </w:r>
    </w:p>
    <w:p w:rsidR="00AF2C7E" w:rsidRPr="00A9446C" w:rsidRDefault="00AF2C7E" w:rsidP="00A9446C">
      <w:pPr>
        <w:spacing w:after="0"/>
        <w:jc w:val="both"/>
        <w:rPr>
          <w:rFonts w:ascii="Times New Roman" w:eastAsia="MS Mincho" w:hAnsi="Times New Roman" w:cs="Times New Roman"/>
          <w:bCs/>
          <w:sz w:val="24"/>
          <w:szCs w:val="24"/>
          <w:lang w:val="sq-AL"/>
        </w:rPr>
      </w:pPr>
    </w:p>
    <w:p w:rsidR="00674E7A" w:rsidRPr="00A9446C" w:rsidRDefault="00674E7A" w:rsidP="00A9446C">
      <w:pPr>
        <w:spacing w:after="0"/>
        <w:jc w:val="both"/>
        <w:rPr>
          <w:rFonts w:ascii="Times New Roman" w:eastAsia="MS Mincho" w:hAnsi="Times New Roman" w:cs="Times New Roman"/>
          <w:bCs/>
          <w:sz w:val="24"/>
          <w:szCs w:val="24"/>
          <w:lang w:val="sq-AL"/>
        </w:rPr>
      </w:pPr>
      <w:r w:rsidRPr="00A9446C">
        <w:rPr>
          <w:rFonts w:ascii="Times New Roman" w:eastAsia="MS Mincho" w:hAnsi="Times New Roman" w:cs="Times New Roman"/>
          <w:bCs/>
          <w:sz w:val="24"/>
          <w:szCs w:val="24"/>
          <w:lang w:val="sq-AL"/>
        </w:rPr>
        <w:t>Lidhur mangësitë e konstatuara, DAT ka kërkuar plotësi</w:t>
      </w:r>
      <w:r w:rsidR="004E0ACD" w:rsidRPr="00A9446C">
        <w:rPr>
          <w:rFonts w:ascii="Times New Roman" w:eastAsia="MS Mincho" w:hAnsi="Times New Roman" w:cs="Times New Roman"/>
          <w:bCs/>
          <w:sz w:val="24"/>
          <w:szCs w:val="24"/>
          <w:lang w:val="sq-AL"/>
        </w:rPr>
        <w:t>min e ankimit me dokumentacion. Tatimpaguesi nuk ka plot</w:t>
      </w:r>
      <w:r w:rsidR="001A7731" w:rsidRPr="00A9446C">
        <w:rPr>
          <w:rFonts w:ascii="Times New Roman" w:eastAsia="MS Mincho" w:hAnsi="Times New Roman" w:cs="Times New Roman"/>
          <w:bCs/>
          <w:sz w:val="24"/>
          <w:szCs w:val="24"/>
          <w:lang w:val="sq-AL"/>
        </w:rPr>
        <w:t>ë</w:t>
      </w:r>
      <w:r w:rsidR="004E0ACD" w:rsidRPr="00A9446C">
        <w:rPr>
          <w:rFonts w:ascii="Times New Roman" w:eastAsia="MS Mincho" w:hAnsi="Times New Roman" w:cs="Times New Roman"/>
          <w:bCs/>
          <w:sz w:val="24"/>
          <w:szCs w:val="24"/>
          <w:lang w:val="sq-AL"/>
        </w:rPr>
        <w:t>suar ankimin me dokumentacionin e munguar.</w:t>
      </w:r>
    </w:p>
    <w:p w:rsidR="00EF3B17" w:rsidRPr="00A9446C" w:rsidRDefault="00EF3B17" w:rsidP="00A9446C">
      <w:pPr>
        <w:spacing w:after="0"/>
        <w:jc w:val="both"/>
        <w:rPr>
          <w:rFonts w:ascii="Times New Roman" w:eastAsia="SimSun" w:hAnsi="Times New Roman" w:cs="Times New Roman"/>
          <w:sz w:val="24"/>
          <w:szCs w:val="24"/>
          <w:lang w:val="sq-AL" w:eastAsia="zh-CN"/>
        </w:rPr>
      </w:pPr>
    </w:p>
    <w:p w:rsidR="00D45628" w:rsidRPr="00A9446C" w:rsidRDefault="001A7731" w:rsidP="00A9446C">
      <w:pPr>
        <w:tabs>
          <w:tab w:val="left" w:pos="1260"/>
        </w:tabs>
        <w:spacing w:after="0"/>
        <w:jc w:val="both"/>
        <w:rPr>
          <w:rFonts w:ascii="Times New Roman" w:eastAsia="Batang" w:hAnsi="Times New Roman" w:cs="Times New Roman"/>
          <w:bCs/>
          <w:sz w:val="24"/>
          <w:szCs w:val="24"/>
          <w:lang w:val="sq-AL"/>
        </w:rPr>
      </w:pPr>
      <w:r w:rsidRPr="00A9446C">
        <w:rPr>
          <w:rFonts w:ascii="Times New Roman" w:eastAsia="Batang" w:hAnsi="Times New Roman" w:cs="Times New Roman"/>
          <w:bCs/>
          <w:sz w:val="24"/>
          <w:szCs w:val="24"/>
          <w:lang w:val="sq-AL"/>
        </w:rPr>
        <w:t xml:space="preserve">Referuar objektit dhe përmbajtjes së ankimit fillimisht bëjmë me dije se Drejtoria e Apelimit Tatimor është organi që shqyrton vlefshmërinë dhe ligjshmërinë e akteve administrative të administratës tatimore, por objekti i veprimtarisë së kësaj drejtorie është i kufizuar sipas nenit 106 të Ligjit nr. 9920, datë 19.05.2008 “Për Procedurat Tatimore në RSH”, i ndryshuar dhe Udhëzimit nr. 24, datë 02.09.2008, nxjerrë në zbatim të tij. </w:t>
      </w:r>
    </w:p>
    <w:p w:rsidR="001A7731" w:rsidRPr="00A9446C" w:rsidRDefault="001A7731" w:rsidP="00A9446C">
      <w:pPr>
        <w:tabs>
          <w:tab w:val="left" w:pos="1260"/>
        </w:tabs>
        <w:spacing w:after="0"/>
        <w:jc w:val="both"/>
        <w:rPr>
          <w:rFonts w:ascii="Times New Roman" w:eastAsia="Batang" w:hAnsi="Times New Roman" w:cs="Times New Roman"/>
          <w:bCs/>
          <w:sz w:val="24"/>
          <w:szCs w:val="24"/>
          <w:lang w:val="sq-AL"/>
        </w:rPr>
      </w:pPr>
    </w:p>
    <w:p w:rsidR="00D45628" w:rsidRPr="00A9446C" w:rsidRDefault="00D45628" w:rsidP="00A9446C">
      <w:pPr>
        <w:tabs>
          <w:tab w:val="left" w:pos="1260"/>
        </w:tabs>
        <w:spacing w:after="0"/>
        <w:jc w:val="both"/>
        <w:rPr>
          <w:rFonts w:ascii="Times New Roman" w:eastAsia="MS Mincho" w:hAnsi="Times New Roman" w:cs="Times New Roman"/>
          <w:bCs/>
          <w:sz w:val="24"/>
          <w:szCs w:val="24"/>
          <w:lang w:val="sq-AL"/>
        </w:rPr>
      </w:pPr>
      <w:r w:rsidRPr="00A9446C">
        <w:rPr>
          <w:rFonts w:ascii="Times New Roman" w:eastAsia="MS Mincho" w:hAnsi="Times New Roman" w:cs="Times New Roman"/>
          <w:bCs/>
          <w:sz w:val="24"/>
          <w:szCs w:val="24"/>
          <w:lang w:val="sq-AL"/>
        </w:rPr>
        <w:t>Udhëzimi nr. 24, datë 02.09.2008 “Për Procedurat Tatimore në RSH”, paragrafi 106.1.2 përcakton shembuj të akteve administrative që mund të bëhen objekt ankimi pranë DAT, ku citojmë:</w:t>
      </w:r>
    </w:p>
    <w:p w:rsidR="00D45628" w:rsidRPr="00A9446C" w:rsidRDefault="00D45628" w:rsidP="00A9446C">
      <w:pPr>
        <w:tabs>
          <w:tab w:val="left" w:pos="1260"/>
        </w:tabs>
        <w:spacing w:after="0"/>
        <w:jc w:val="both"/>
        <w:rPr>
          <w:rFonts w:ascii="Times New Roman" w:eastAsia="MS Mincho" w:hAnsi="Times New Roman" w:cs="Times New Roman"/>
          <w:bCs/>
          <w:i/>
          <w:sz w:val="24"/>
          <w:szCs w:val="24"/>
          <w:lang w:val="sq-AL"/>
        </w:rPr>
      </w:pPr>
      <w:r w:rsidRPr="00A9446C">
        <w:rPr>
          <w:rFonts w:ascii="Times New Roman" w:eastAsia="MS Mincho" w:hAnsi="Times New Roman" w:cs="Times New Roman"/>
          <w:bCs/>
          <w:i/>
          <w:sz w:val="24"/>
          <w:szCs w:val="24"/>
          <w:lang w:val="sq-AL"/>
        </w:rPr>
        <w:t>“a) çdo njoftim vlerësimi (për shembull një vlerësim tatimor i nxjerrë pas një kontrolli tatimor (neni 84(5) e Ligjit);</w:t>
      </w:r>
    </w:p>
    <w:p w:rsidR="00D45628" w:rsidRPr="00A9446C" w:rsidRDefault="00D45628" w:rsidP="00A9446C">
      <w:pPr>
        <w:tabs>
          <w:tab w:val="left" w:pos="1260"/>
        </w:tabs>
        <w:spacing w:after="0"/>
        <w:jc w:val="both"/>
        <w:rPr>
          <w:rFonts w:ascii="Times New Roman" w:eastAsia="MS Mincho" w:hAnsi="Times New Roman" w:cs="Times New Roman"/>
          <w:bCs/>
          <w:i/>
          <w:sz w:val="24"/>
          <w:szCs w:val="24"/>
          <w:lang w:val="sq-AL"/>
        </w:rPr>
      </w:pPr>
      <w:r w:rsidRPr="00A9446C">
        <w:rPr>
          <w:rFonts w:ascii="Times New Roman" w:eastAsia="MS Mincho" w:hAnsi="Times New Roman" w:cs="Times New Roman"/>
          <w:bCs/>
          <w:i/>
          <w:sz w:val="24"/>
          <w:szCs w:val="24"/>
          <w:lang w:val="sq-AL"/>
        </w:rPr>
        <w:t>b) çdo akt tjetër administrativ që ndikon detyrimin tatimor të tatimpaguesit përfshirë kërkesën për kompensim (kur, për një tatim ose disa lloje tatimesh, tatimpaguesi ka një detyrim por gjithashtu gëzon edhe të drejtën e kreditimit ose rimbursimit,</w:t>
      </w:r>
    </w:p>
    <w:p w:rsidR="00D45628" w:rsidRPr="00A9446C" w:rsidRDefault="00D45628" w:rsidP="00A9446C">
      <w:pPr>
        <w:tabs>
          <w:tab w:val="left" w:pos="1260"/>
        </w:tabs>
        <w:spacing w:after="0"/>
        <w:jc w:val="both"/>
        <w:rPr>
          <w:rFonts w:ascii="Times New Roman" w:eastAsia="MS Mincho" w:hAnsi="Times New Roman" w:cs="Times New Roman"/>
          <w:bCs/>
          <w:i/>
          <w:sz w:val="24"/>
          <w:szCs w:val="24"/>
          <w:lang w:val="sq-AL"/>
        </w:rPr>
      </w:pPr>
      <w:r w:rsidRPr="00A9446C">
        <w:rPr>
          <w:rFonts w:ascii="Times New Roman" w:eastAsia="MS Mincho" w:hAnsi="Times New Roman" w:cs="Times New Roman"/>
          <w:bCs/>
          <w:i/>
          <w:sz w:val="24"/>
          <w:szCs w:val="24"/>
          <w:lang w:val="sq-AL"/>
        </w:rPr>
        <w:lastRenderedPageBreak/>
        <w:t>c) çdo akt që ndikon kërkesën e tij për rimbursim,</w:t>
      </w:r>
    </w:p>
    <w:p w:rsidR="00D45628" w:rsidRPr="00A9446C" w:rsidRDefault="00D45628" w:rsidP="00A9446C">
      <w:pPr>
        <w:tabs>
          <w:tab w:val="left" w:pos="1260"/>
        </w:tabs>
        <w:spacing w:after="0"/>
        <w:jc w:val="both"/>
        <w:rPr>
          <w:rFonts w:ascii="Times New Roman" w:eastAsia="MS Mincho" w:hAnsi="Times New Roman" w:cs="Times New Roman"/>
          <w:bCs/>
          <w:i/>
          <w:sz w:val="24"/>
          <w:szCs w:val="24"/>
          <w:lang w:val="sq-AL"/>
        </w:rPr>
      </w:pPr>
      <w:r w:rsidRPr="00A9446C">
        <w:rPr>
          <w:rFonts w:ascii="Times New Roman" w:eastAsia="MS Mincho" w:hAnsi="Times New Roman" w:cs="Times New Roman"/>
          <w:bCs/>
          <w:i/>
          <w:sz w:val="24"/>
          <w:szCs w:val="24"/>
          <w:lang w:val="sq-AL"/>
        </w:rPr>
        <w:t>ç) çdo akt që ndikon kërkesën e tij për lehtësim tatimor,</w:t>
      </w:r>
    </w:p>
    <w:p w:rsidR="00D45628" w:rsidRPr="00A9446C" w:rsidRDefault="00D45628" w:rsidP="00A9446C">
      <w:pPr>
        <w:tabs>
          <w:tab w:val="left" w:pos="1260"/>
        </w:tabs>
        <w:spacing w:after="0"/>
        <w:jc w:val="both"/>
        <w:rPr>
          <w:rFonts w:ascii="Times New Roman" w:eastAsia="MS Mincho" w:hAnsi="Times New Roman" w:cs="Times New Roman"/>
          <w:bCs/>
          <w:i/>
          <w:sz w:val="24"/>
          <w:szCs w:val="24"/>
          <w:lang w:val="sq-AL"/>
        </w:rPr>
      </w:pPr>
      <w:r w:rsidRPr="00A9446C">
        <w:rPr>
          <w:rFonts w:ascii="Times New Roman" w:eastAsia="MS Mincho" w:hAnsi="Times New Roman" w:cs="Times New Roman"/>
          <w:bCs/>
          <w:i/>
          <w:sz w:val="24"/>
          <w:szCs w:val="24"/>
          <w:lang w:val="sq-AL"/>
        </w:rPr>
        <w:t>d) gabimet në llogaritjen e përqindjes së kamatëvonesës (neni 76 (4) e Ligjit), dh) vendosjen ose gabimet në llogaritjen e shumave dhe llojeve të gjobave”</w:t>
      </w:r>
    </w:p>
    <w:p w:rsidR="00D45628" w:rsidRDefault="00D45628" w:rsidP="00A9446C">
      <w:pPr>
        <w:tabs>
          <w:tab w:val="left" w:pos="1260"/>
        </w:tabs>
        <w:spacing w:after="0"/>
        <w:jc w:val="both"/>
        <w:rPr>
          <w:rFonts w:ascii="Times New Roman" w:eastAsia="MS Mincho" w:hAnsi="Times New Roman" w:cs="Times New Roman"/>
          <w:bCs/>
          <w:sz w:val="24"/>
          <w:szCs w:val="24"/>
          <w:lang w:val="sq-AL"/>
        </w:rPr>
      </w:pPr>
    </w:p>
    <w:p w:rsidR="00A9446C" w:rsidRDefault="00A9446C" w:rsidP="00A9446C">
      <w:pPr>
        <w:tabs>
          <w:tab w:val="left" w:pos="1260"/>
        </w:tabs>
        <w:spacing w:after="0"/>
        <w:jc w:val="both"/>
        <w:rPr>
          <w:rFonts w:ascii="Times New Roman" w:eastAsia="MS Mincho" w:hAnsi="Times New Roman" w:cs="Times New Roman"/>
          <w:bCs/>
          <w:sz w:val="24"/>
          <w:szCs w:val="24"/>
          <w:lang w:val="sq-AL"/>
        </w:rPr>
      </w:pPr>
      <w:r>
        <w:rPr>
          <w:rFonts w:ascii="Times New Roman" w:eastAsia="MS Mincho" w:hAnsi="Times New Roman" w:cs="Times New Roman"/>
          <w:bCs/>
          <w:sz w:val="24"/>
          <w:szCs w:val="24"/>
          <w:lang w:val="sq-AL"/>
        </w:rPr>
        <w:t>Deri në nxjerrjen e vendimit, tatimpaguesi nuk ka plotësuar ankimin me aktin administrativ, njoftim vlerësimin ku janë paraqitur detyrimet tatimore të ankimuara.</w:t>
      </w:r>
    </w:p>
    <w:p w:rsidR="00A9446C" w:rsidRPr="00A9446C" w:rsidRDefault="00A9446C" w:rsidP="00A9446C">
      <w:pPr>
        <w:tabs>
          <w:tab w:val="left" w:pos="1260"/>
        </w:tabs>
        <w:spacing w:after="0"/>
        <w:jc w:val="both"/>
        <w:rPr>
          <w:rFonts w:ascii="Times New Roman" w:eastAsia="MS Mincho" w:hAnsi="Times New Roman" w:cs="Times New Roman"/>
          <w:bCs/>
          <w:sz w:val="24"/>
          <w:szCs w:val="24"/>
          <w:lang w:val="sq-AL"/>
        </w:rPr>
      </w:pPr>
    </w:p>
    <w:p w:rsidR="001A7731" w:rsidRPr="00A9446C" w:rsidRDefault="00D45628" w:rsidP="00A9446C">
      <w:pPr>
        <w:tabs>
          <w:tab w:val="left" w:pos="1260"/>
        </w:tabs>
        <w:spacing w:after="0"/>
        <w:jc w:val="both"/>
        <w:rPr>
          <w:rFonts w:ascii="Times New Roman" w:eastAsia="MS Mincho" w:hAnsi="Times New Roman" w:cs="Times New Roman"/>
          <w:sz w:val="24"/>
          <w:szCs w:val="24"/>
          <w:lang w:val="sq-AL"/>
        </w:rPr>
      </w:pPr>
      <w:r w:rsidRPr="00A9446C">
        <w:rPr>
          <w:rFonts w:ascii="Times New Roman" w:eastAsia="MS Mincho" w:hAnsi="Times New Roman" w:cs="Times New Roman"/>
          <w:bCs/>
          <w:sz w:val="24"/>
          <w:szCs w:val="24"/>
          <w:lang w:val="sq-AL"/>
        </w:rPr>
        <w:t>Referuar nenit 106 të Ligjit 9920, procedura e ankimit përcakton se ankimi bëhet ndaj aktit administrativ që prodhon detyrimet tatimore dhe jo drejtpërdrejt ndaj detyrimeve tatimore. Kjo është arsyeja që përherë ankimi duhet të shoqërohet me aktin administrativ q</w:t>
      </w:r>
      <w:r w:rsidR="00E12DED" w:rsidRPr="00A9446C">
        <w:rPr>
          <w:rFonts w:ascii="Times New Roman" w:eastAsia="MS Mincho" w:hAnsi="Times New Roman" w:cs="Times New Roman"/>
          <w:bCs/>
          <w:sz w:val="24"/>
          <w:szCs w:val="24"/>
          <w:lang w:val="sq-AL"/>
        </w:rPr>
        <w:t>ë ka krijuar detyrimet tatimore, për rrjedhojë në mungesë të aktit administrativ, DAT nuk mund te shqyrtojë por do të refuzojë ankimin.</w:t>
      </w:r>
      <w:r w:rsidRPr="00A9446C">
        <w:rPr>
          <w:rFonts w:ascii="Times New Roman" w:eastAsia="MS Mincho" w:hAnsi="Times New Roman" w:cs="Times New Roman"/>
          <w:bCs/>
          <w:sz w:val="24"/>
          <w:szCs w:val="24"/>
          <w:lang w:val="sq-AL"/>
        </w:rPr>
        <w:t xml:space="preserve"> </w:t>
      </w:r>
      <w:r w:rsidR="001A7731" w:rsidRPr="00A9446C">
        <w:rPr>
          <w:rFonts w:ascii="Times New Roman" w:eastAsia="Batang" w:hAnsi="Times New Roman" w:cs="Times New Roman"/>
          <w:bCs/>
          <w:sz w:val="24"/>
          <w:szCs w:val="24"/>
          <w:lang w:val="sq-AL"/>
        </w:rPr>
        <w:t>Drejtoria e Apelimit Tatimor sjell në vëmendje të ankimuesit se nëse nuk është njoftuar më parë me akt administrativ Njoftim Vlerësimi për detyrimet tatimore, me marrjen e njoftim vlerësimit të plotësuar me të gjithë elementët e kërkuar, këtij të fundit i lind e drejta e ankimit pranë saj, duke plotësuar njëkohësisht dhe kushtet e përcaktuara në nenin 106 dhe 107 të ligjit 9920/ i ndryshuar.</w:t>
      </w:r>
    </w:p>
    <w:p w:rsidR="001A7731" w:rsidRPr="00A9446C" w:rsidRDefault="001A7731" w:rsidP="00A9446C">
      <w:pPr>
        <w:tabs>
          <w:tab w:val="left" w:pos="720"/>
          <w:tab w:val="center" w:pos="4153"/>
          <w:tab w:val="right" w:pos="8306"/>
        </w:tabs>
        <w:spacing w:after="0"/>
        <w:jc w:val="both"/>
        <w:rPr>
          <w:rFonts w:ascii="Times New Roman" w:eastAsia="Batang" w:hAnsi="Times New Roman" w:cs="Times New Roman"/>
          <w:bCs/>
          <w:sz w:val="24"/>
          <w:szCs w:val="24"/>
          <w:lang w:val="sq-AL"/>
        </w:rPr>
      </w:pPr>
    </w:p>
    <w:p w:rsidR="001A7731" w:rsidRPr="00A9446C" w:rsidRDefault="001A7731" w:rsidP="00A9446C">
      <w:pPr>
        <w:tabs>
          <w:tab w:val="left" w:pos="720"/>
          <w:tab w:val="center" w:pos="4153"/>
          <w:tab w:val="right" w:pos="8306"/>
        </w:tabs>
        <w:spacing w:after="0"/>
        <w:jc w:val="both"/>
        <w:rPr>
          <w:rFonts w:ascii="Times New Roman" w:eastAsia="Batang" w:hAnsi="Times New Roman" w:cs="Times New Roman"/>
          <w:sz w:val="24"/>
          <w:szCs w:val="24"/>
          <w:lang w:val="sq-AL"/>
        </w:rPr>
      </w:pPr>
      <w:r w:rsidRPr="00A9446C">
        <w:rPr>
          <w:rFonts w:ascii="Times New Roman" w:eastAsia="Batang" w:hAnsi="Times New Roman" w:cs="Times New Roman"/>
          <w:bCs/>
          <w:sz w:val="24"/>
          <w:szCs w:val="24"/>
          <w:lang w:val="sq-AL"/>
        </w:rPr>
        <w:t>Sa më sipër</w:t>
      </w:r>
      <w:r w:rsidRPr="00A9446C">
        <w:rPr>
          <w:rFonts w:ascii="Times New Roman" w:eastAsia="Batang" w:hAnsi="Times New Roman" w:cs="Times New Roman"/>
          <w:b/>
          <w:sz w:val="24"/>
          <w:szCs w:val="24"/>
          <w:lang w:val="sq-AL"/>
        </w:rPr>
        <w:t>,</w:t>
      </w:r>
      <w:r w:rsidRPr="00A9446C">
        <w:rPr>
          <w:rFonts w:ascii="Times New Roman" w:eastAsia="Batang" w:hAnsi="Times New Roman" w:cs="Times New Roman"/>
          <w:sz w:val="24"/>
          <w:szCs w:val="24"/>
          <w:lang w:val="sq-AL"/>
        </w:rPr>
        <w:t xml:space="preserve"> Drejtoria e Apelimit Tatimor, në zbatim të nenit 108, pika 3 të Ligjit Nr.9920 datë 19.05.2008, “Për Procedurat Tatimore në R.SH” dhe pikës 108.3.3 gërma (a), të Udhëzimit të Ministrisë së Financave nr.24 datë 02.09.2008, i nxjerrë në zbatim të këtij ligji, </w:t>
      </w:r>
    </w:p>
    <w:p w:rsidR="001A7731" w:rsidRPr="00A9446C" w:rsidRDefault="001A7731" w:rsidP="00A9446C">
      <w:pPr>
        <w:tabs>
          <w:tab w:val="left" w:pos="720"/>
          <w:tab w:val="center" w:pos="4153"/>
          <w:tab w:val="right" w:pos="8306"/>
        </w:tabs>
        <w:spacing w:after="0"/>
        <w:jc w:val="both"/>
        <w:rPr>
          <w:rFonts w:ascii="Times New Roman" w:eastAsia="Batang" w:hAnsi="Times New Roman" w:cs="Times New Roman"/>
          <w:sz w:val="24"/>
          <w:szCs w:val="24"/>
          <w:lang w:val="sq-AL"/>
        </w:rPr>
      </w:pPr>
    </w:p>
    <w:p w:rsidR="001A7731" w:rsidRPr="00A9446C" w:rsidRDefault="001A7731" w:rsidP="00A9446C">
      <w:pPr>
        <w:numPr>
          <w:ilvl w:val="0"/>
          <w:numId w:val="8"/>
        </w:numPr>
        <w:spacing w:after="0"/>
        <w:contextualSpacing/>
        <w:rPr>
          <w:rFonts w:ascii="Times New Roman" w:eastAsia="Batang" w:hAnsi="Times New Roman" w:cs="Times New Roman"/>
          <w:b/>
          <w:sz w:val="24"/>
          <w:szCs w:val="24"/>
          <w:u w:val="single"/>
          <w:lang w:val="sq-AL"/>
        </w:rPr>
      </w:pPr>
      <w:r w:rsidRPr="00A9446C">
        <w:rPr>
          <w:rFonts w:ascii="Times New Roman" w:eastAsia="Batang" w:hAnsi="Times New Roman" w:cs="Times New Roman"/>
          <w:b/>
          <w:sz w:val="24"/>
          <w:szCs w:val="24"/>
          <w:u w:val="single"/>
          <w:lang w:val="sq-AL"/>
        </w:rPr>
        <w:t>V E N D O S I :</w:t>
      </w:r>
    </w:p>
    <w:p w:rsidR="001A7731" w:rsidRPr="00A9446C" w:rsidRDefault="001A7731" w:rsidP="00A9446C">
      <w:pPr>
        <w:spacing w:after="0"/>
        <w:ind w:left="4456"/>
        <w:contextualSpacing/>
        <w:rPr>
          <w:rFonts w:ascii="Times New Roman" w:eastAsia="Batang" w:hAnsi="Times New Roman" w:cs="Times New Roman"/>
          <w:b/>
          <w:sz w:val="24"/>
          <w:szCs w:val="24"/>
          <w:u w:val="single"/>
          <w:lang w:val="sq-AL"/>
        </w:rPr>
      </w:pPr>
    </w:p>
    <w:p w:rsidR="001A7731" w:rsidRPr="00A9446C" w:rsidRDefault="001A7731" w:rsidP="00A9446C">
      <w:pPr>
        <w:numPr>
          <w:ilvl w:val="0"/>
          <w:numId w:val="9"/>
        </w:numPr>
        <w:tabs>
          <w:tab w:val="left" w:pos="720"/>
        </w:tabs>
        <w:spacing w:after="0"/>
        <w:jc w:val="both"/>
        <w:rPr>
          <w:rFonts w:ascii="Times New Roman" w:eastAsia="Batang" w:hAnsi="Times New Roman" w:cs="Times New Roman"/>
          <w:sz w:val="24"/>
          <w:szCs w:val="24"/>
          <w:lang w:val="sq-AL"/>
        </w:rPr>
      </w:pPr>
      <w:r w:rsidRPr="00A9446C">
        <w:rPr>
          <w:rFonts w:ascii="Times New Roman" w:eastAsia="Batang" w:hAnsi="Times New Roman" w:cs="Times New Roman"/>
          <w:sz w:val="24"/>
          <w:szCs w:val="24"/>
          <w:lang w:val="sq-AL"/>
        </w:rPr>
        <w:t xml:space="preserve">Refuzimin e ankimit ndaj detyrimit për gjobë në shumën 50.000 lekë, sipas </w:t>
      </w:r>
      <w:r w:rsidRPr="00A9446C">
        <w:rPr>
          <w:rFonts w:ascii="Times New Roman" w:eastAsia="SimSun" w:hAnsi="Times New Roman" w:cs="Times New Roman"/>
          <w:sz w:val="24"/>
          <w:szCs w:val="24"/>
          <w:lang w:val="sq-AL" w:eastAsia="zh-CN"/>
        </w:rPr>
        <w:t>Proces Verbal Gjobe datë 26.12.2016,</w:t>
      </w:r>
      <w:r w:rsidRPr="00A9446C">
        <w:rPr>
          <w:rFonts w:ascii="Times New Roman" w:eastAsia="Batang" w:hAnsi="Times New Roman" w:cs="Times New Roman"/>
          <w:sz w:val="24"/>
          <w:szCs w:val="24"/>
          <w:lang w:val="sq-AL"/>
        </w:rPr>
        <w:t xml:space="preserve"> pasi nuk është paraqitur akt administrativ Njoftim Vlerësimi për detyrimet tatimore, nëpërmjet të cilit të jenë njoftuar detyrimet e ankimuara.</w:t>
      </w:r>
    </w:p>
    <w:p w:rsidR="00732941" w:rsidRPr="00A9446C" w:rsidRDefault="00732941" w:rsidP="00A9446C">
      <w:pPr>
        <w:pStyle w:val="Header"/>
        <w:tabs>
          <w:tab w:val="left" w:pos="720"/>
        </w:tabs>
        <w:spacing w:line="276" w:lineRule="auto"/>
        <w:jc w:val="both"/>
        <w:rPr>
          <w:rFonts w:ascii="Times New Roman" w:hAnsi="Times New Roman" w:cs="Times New Roman"/>
          <w:sz w:val="24"/>
          <w:szCs w:val="24"/>
          <w:lang w:val="sq-AL"/>
        </w:rPr>
      </w:pPr>
    </w:p>
    <w:p w:rsidR="00EA49BA" w:rsidRPr="00A9446C" w:rsidRDefault="00EA49BA" w:rsidP="00A9446C">
      <w:pPr>
        <w:tabs>
          <w:tab w:val="left" w:pos="1260"/>
        </w:tabs>
        <w:spacing w:after="0"/>
        <w:jc w:val="both"/>
        <w:rPr>
          <w:rFonts w:ascii="Times New Roman" w:eastAsia="SimSun" w:hAnsi="Times New Roman" w:cs="Times New Roman"/>
          <w:sz w:val="24"/>
          <w:szCs w:val="24"/>
          <w:lang w:val="sq-AL" w:eastAsia="zh-CN"/>
        </w:rPr>
      </w:pPr>
      <w:r w:rsidRPr="00A9446C">
        <w:rPr>
          <w:rFonts w:ascii="Times New Roman" w:eastAsia="SimSun" w:hAnsi="Times New Roman" w:cs="Times New Roman"/>
          <w:sz w:val="24"/>
          <w:szCs w:val="24"/>
          <w:lang w:val="sq-AL" w:eastAsia="zh-CN"/>
        </w:rPr>
        <w:t xml:space="preserve">Në zbatim të </w:t>
      </w:r>
      <w:r w:rsidR="00C93554" w:rsidRPr="00A9446C">
        <w:rPr>
          <w:rFonts w:ascii="Times New Roman" w:eastAsia="SimSun" w:hAnsi="Times New Roman" w:cs="Times New Roman"/>
          <w:sz w:val="24"/>
          <w:szCs w:val="24"/>
          <w:lang w:val="sq-AL" w:eastAsia="zh-CN"/>
        </w:rPr>
        <w:t>pik</w:t>
      </w:r>
      <w:r w:rsidR="00B31ECA" w:rsidRPr="00A9446C">
        <w:rPr>
          <w:rFonts w:ascii="Times New Roman" w:eastAsia="SimSun" w:hAnsi="Times New Roman" w:cs="Times New Roman"/>
          <w:sz w:val="24"/>
          <w:szCs w:val="24"/>
          <w:lang w:val="sq-AL" w:eastAsia="zh-CN"/>
        </w:rPr>
        <w:t>ë</w:t>
      </w:r>
      <w:r w:rsidR="00C93554" w:rsidRPr="00A9446C">
        <w:rPr>
          <w:rFonts w:ascii="Times New Roman" w:eastAsia="SimSun" w:hAnsi="Times New Roman" w:cs="Times New Roman"/>
          <w:sz w:val="24"/>
          <w:szCs w:val="24"/>
          <w:lang w:val="sq-AL" w:eastAsia="zh-CN"/>
        </w:rPr>
        <w:t>s 2 t</w:t>
      </w:r>
      <w:r w:rsidR="00B31ECA" w:rsidRPr="00A9446C">
        <w:rPr>
          <w:rFonts w:ascii="Times New Roman" w:eastAsia="SimSun" w:hAnsi="Times New Roman" w:cs="Times New Roman"/>
          <w:sz w:val="24"/>
          <w:szCs w:val="24"/>
          <w:lang w:val="sq-AL" w:eastAsia="zh-CN"/>
        </w:rPr>
        <w:t>ë</w:t>
      </w:r>
      <w:r w:rsidR="00C93554" w:rsidRPr="00A9446C">
        <w:rPr>
          <w:rFonts w:ascii="Times New Roman" w:eastAsia="SimSun" w:hAnsi="Times New Roman" w:cs="Times New Roman"/>
          <w:sz w:val="24"/>
          <w:szCs w:val="24"/>
          <w:lang w:val="sq-AL" w:eastAsia="zh-CN"/>
        </w:rPr>
        <w:t xml:space="preserve"> </w:t>
      </w:r>
      <w:r w:rsidRPr="00A9446C">
        <w:rPr>
          <w:rFonts w:ascii="Times New Roman" w:eastAsia="SimSun" w:hAnsi="Times New Roman" w:cs="Times New Roman"/>
          <w:sz w:val="24"/>
          <w:szCs w:val="24"/>
          <w:lang w:val="sq-AL" w:eastAsia="zh-CN"/>
        </w:rPr>
        <w:t>nenit 109</w:t>
      </w:r>
      <w:r w:rsidR="00C93554" w:rsidRPr="00A9446C">
        <w:rPr>
          <w:rFonts w:ascii="Times New Roman" w:eastAsia="SimSun" w:hAnsi="Times New Roman" w:cs="Times New Roman"/>
          <w:sz w:val="24"/>
          <w:szCs w:val="24"/>
          <w:lang w:val="sq-AL" w:eastAsia="zh-CN"/>
        </w:rPr>
        <w:t xml:space="preserve"> </w:t>
      </w:r>
      <w:r w:rsidRPr="00A9446C">
        <w:rPr>
          <w:rFonts w:ascii="Times New Roman" w:eastAsia="SimSun" w:hAnsi="Times New Roman" w:cs="Times New Roman"/>
          <w:sz w:val="24"/>
          <w:szCs w:val="24"/>
          <w:lang w:val="sq-AL" w:eastAsia="zh-CN"/>
        </w:rPr>
        <w:t xml:space="preserve">të Ligjit </w:t>
      </w:r>
      <w:r w:rsidR="00C93554" w:rsidRPr="00A9446C">
        <w:rPr>
          <w:rFonts w:ascii="Times New Roman" w:eastAsia="SimSun" w:hAnsi="Times New Roman" w:cs="Times New Roman"/>
          <w:sz w:val="24"/>
          <w:szCs w:val="24"/>
          <w:lang w:val="sq-AL" w:eastAsia="zh-CN"/>
        </w:rPr>
        <w:t>n</w:t>
      </w:r>
      <w:r w:rsidRPr="00A9446C">
        <w:rPr>
          <w:rFonts w:ascii="Times New Roman" w:eastAsia="SimSun" w:hAnsi="Times New Roman" w:cs="Times New Roman"/>
          <w:sz w:val="24"/>
          <w:szCs w:val="24"/>
          <w:lang w:val="sq-AL" w:eastAsia="zh-CN"/>
        </w:rPr>
        <w:t>r.</w:t>
      </w:r>
      <w:r w:rsidR="00C93554" w:rsidRPr="00A9446C">
        <w:rPr>
          <w:rFonts w:ascii="Times New Roman" w:eastAsia="SimSun" w:hAnsi="Times New Roman" w:cs="Times New Roman"/>
          <w:sz w:val="24"/>
          <w:szCs w:val="24"/>
          <w:lang w:val="sq-AL" w:eastAsia="zh-CN"/>
        </w:rPr>
        <w:t xml:space="preserve"> </w:t>
      </w:r>
      <w:r w:rsidRPr="00A9446C">
        <w:rPr>
          <w:rFonts w:ascii="Times New Roman" w:eastAsia="SimSun" w:hAnsi="Times New Roman" w:cs="Times New Roman"/>
          <w:sz w:val="24"/>
          <w:szCs w:val="24"/>
          <w:lang w:val="sq-AL" w:eastAsia="zh-CN"/>
        </w:rPr>
        <w:t>9920 datë 19.05.2008, “</w:t>
      </w:r>
      <w:r w:rsidR="00C93554" w:rsidRPr="00A9446C">
        <w:rPr>
          <w:rFonts w:ascii="Times New Roman" w:eastAsia="SimSun" w:hAnsi="Times New Roman" w:cs="Times New Roman"/>
          <w:sz w:val="24"/>
          <w:szCs w:val="24"/>
          <w:lang w:val="sq-AL" w:eastAsia="zh-CN"/>
        </w:rPr>
        <w:t>P</w:t>
      </w:r>
      <w:r w:rsidR="00B31ECA" w:rsidRPr="00A9446C">
        <w:rPr>
          <w:rFonts w:ascii="Times New Roman" w:eastAsia="SimSun" w:hAnsi="Times New Roman" w:cs="Times New Roman"/>
          <w:sz w:val="24"/>
          <w:szCs w:val="24"/>
          <w:lang w:val="sq-AL" w:eastAsia="zh-CN"/>
        </w:rPr>
        <w:t>ë</w:t>
      </w:r>
      <w:r w:rsidR="00C93554" w:rsidRPr="00A9446C">
        <w:rPr>
          <w:rFonts w:ascii="Times New Roman" w:eastAsia="SimSun" w:hAnsi="Times New Roman" w:cs="Times New Roman"/>
          <w:sz w:val="24"/>
          <w:szCs w:val="24"/>
          <w:lang w:val="sq-AL" w:eastAsia="zh-CN"/>
        </w:rPr>
        <w:t xml:space="preserve">r </w:t>
      </w:r>
      <w:r w:rsidRPr="00A9446C">
        <w:rPr>
          <w:rFonts w:ascii="Times New Roman" w:eastAsia="SimSun" w:hAnsi="Times New Roman" w:cs="Times New Roman"/>
          <w:sz w:val="24"/>
          <w:szCs w:val="24"/>
          <w:lang w:val="sq-AL" w:eastAsia="zh-CN"/>
        </w:rPr>
        <w:t>Procedurat Tatimore në R.Sh”</w:t>
      </w:r>
      <w:r w:rsidR="00C93554" w:rsidRPr="00A9446C">
        <w:rPr>
          <w:rFonts w:ascii="Times New Roman" w:eastAsia="SimSun" w:hAnsi="Times New Roman" w:cs="Times New Roman"/>
          <w:sz w:val="24"/>
          <w:szCs w:val="24"/>
          <w:lang w:val="sq-AL" w:eastAsia="zh-CN"/>
        </w:rPr>
        <w:t>,</w:t>
      </w:r>
      <w:r w:rsidRPr="00A9446C">
        <w:rPr>
          <w:rFonts w:ascii="Times New Roman" w:eastAsia="SimSun" w:hAnsi="Times New Roman" w:cs="Times New Roman"/>
          <w:sz w:val="24"/>
          <w:szCs w:val="24"/>
          <w:lang w:val="sq-AL" w:eastAsia="zh-CN"/>
        </w:rPr>
        <w:t xml:space="preserve"> </w:t>
      </w:r>
      <w:r w:rsidR="00C93554" w:rsidRPr="00A9446C">
        <w:rPr>
          <w:rFonts w:ascii="Times New Roman" w:eastAsia="SimSun" w:hAnsi="Times New Roman" w:cs="Times New Roman"/>
          <w:sz w:val="24"/>
          <w:szCs w:val="24"/>
          <w:lang w:val="sq-AL" w:eastAsia="zh-CN"/>
        </w:rPr>
        <w:t>tatimpaguesi mund ta kundërshtojë vendimin e Drejtorisë së Apelimit Tatimor në gjykatë</w:t>
      </w:r>
      <w:r w:rsidR="00BD1282" w:rsidRPr="00A9446C">
        <w:rPr>
          <w:rFonts w:ascii="Times New Roman" w:eastAsia="SimSun" w:hAnsi="Times New Roman" w:cs="Times New Roman"/>
          <w:sz w:val="24"/>
          <w:szCs w:val="24"/>
          <w:lang w:val="sq-AL" w:eastAsia="zh-CN"/>
        </w:rPr>
        <w:t>n administrative</w:t>
      </w:r>
      <w:r w:rsidR="00C93554" w:rsidRPr="00A9446C">
        <w:rPr>
          <w:rFonts w:ascii="Times New Roman" w:eastAsia="SimSun" w:hAnsi="Times New Roman" w:cs="Times New Roman"/>
          <w:sz w:val="24"/>
          <w:szCs w:val="24"/>
          <w:lang w:val="sq-AL" w:eastAsia="zh-CN"/>
        </w:rPr>
        <w:t xml:space="preserve">, brenda 30 ditëve kalendarike nga data e marrjes dijeni për këtë vendim. </w:t>
      </w:r>
    </w:p>
    <w:p w:rsidR="00EF251A" w:rsidRPr="00A9446C" w:rsidRDefault="00EF251A" w:rsidP="00A9446C">
      <w:pPr>
        <w:tabs>
          <w:tab w:val="left" w:pos="1260"/>
        </w:tabs>
        <w:spacing w:after="0"/>
        <w:jc w:val="both"/>
        <w:rPr>
          <w:rFonts w:ascii="Times New Roman" w:eastAsia="SimSun" w:hAnsi="Times New Roman" w:cs="Times New Roman"/>
          <w:sz w:val="24"/>
          <w:szCs w:val="24"/>
          <w:lang w:val="sq-AL" w:eastAsia="zh-CN"/>
        </w:rPr>
      </w:pPr>
    </w:p>
    <w:p w:rsidR="00AF2C7E" w:rsidRPr="00A9446C" w:rsidRDefault="00AF2C7E" w:rsidP="00A9446C">
      <w:pPr>
        <w:tabs>
          <w:tab w:val="left" w:pos="1260"/>
        </w:tabs>
        <w:spacing w:after="0"/>
        <w:jc w:val="both"/>
        <w:rPr>
          <w:rFonts w:ascii="Times New Roman" w:eastAsia="SimSun" w:hAnsi="Times New Roman" w:cs="Times New Roman"/>
          <w:sz w:val="24"/>
          <w:szCs w:val="24"/>
          <w:lang w:val="sq-AL" w:eastAsia="zh-CN"/>
        </w:rPr>
      </w:pPr>
    </w:p>
    <w:p w:rsidR="00AF2C7E" w:rsidRPr="00A9446C" w:rsidRDefault="00AF2C7E" w:rsidP="00A9446C">
      <w:pPr>
        <w:tabs>
          <w:tab w:val="left" w:pos="1260"/>
        </w:tabs>
        <w:spacing w:after="0"/>
        <w:jc w:val="both"/>
        <w:rPr>
          <w:rFonts w:ascii="Times New Roman" w:eastAsia="SimSun" w:hAnsi="Times New Roman" w:cs="Times New Roman"/>
          <w:sz w:val="24"/>
          <w:szCs w:val="24"/>
          <w:lang w:val="sq-AL" w:eastAsia="zh-CN"/>
        </w:rPr>
      </w:pPr>
    </w:p>
    <w:p w:rsidR="00EA49BA" w:rsidRPr="00A9446C" w:rsidRDefault="00EA49BA" w:rsidP="00A9446C">
      <w:pPr>
        <w:spacing w:after="0"/>
        <w:jc w:val="both"/>
        <w:rPr>
          <w:rFonts w:ascii="Times New Roman" w:eastAsia="SimSun" w:hAnsi="Times New Roman" w:cs="Times New Roman"/>
          <w:b/>
          <w:smallCaps/>
          <w:sz w:val="24"/>
          <w:szCs w:val="24"/>
          <w:lang w:val="sq-AL" w:eastAsia="zh-CN"/>
        </w:rPr>
      </w:pPr>
      <w:r w:rsidRPr="00A9446C">
        <w:rPr>
          <w:rFonts w:ascii="Times New Roman" w:eastAsia="SimSun" w:hAnsi="Times New Roman" w:cs="Times New Roman"/>
          <w:b/>
          <w:sz w:val="24"/>
          <w:szCs w:val="24"/>
          <w:lang w:val="sq-AL" w:eastAsia="zh-CN"/>
        </w:rPr>
        <w:t xml:space="preserve">     </w:t>
      </w:r>
      <w:r w:rsidR="008A3629" w:rsidRPr="00A9446C">
        <w:rPr>
          <w:rFonts w:ascii="Times New Roman" w:eastAsia="SimSun" w:hAnsi="Times New Roman" w:cs="Times New Roman"/>
          <w:b/>
          <w:sz w:val="24"/>
          <w:szCs w:val="24"/>
          <w:lang w:val="sq-AL" w:eastAsia="zh-CN"/>
        </w:rPr>
        <w:tab/>
      </w:r>
      <w:r w:rsidR="008A3629" w:rsidRPr="00A9446C">
        <w:rPr>
          <w:rFonts w:ascii="Times New Roman" w:eastAsia="SimSun" w:hAnsi="Times New Roman" w:cs="Times New Roman"/>
          <w:b/>
          <w:sz w:val="24"/>
          <w:szCs w:val="24"/>
          <w:lang w:val="sq-AL" w:eastAsia="zh-CN"/>
        </w:rPr>
        <w:tab/>
      </w:r>
      <w:r w:rsidR="008A3629" w:rsidRPr="00A9446C">
        <w:rPr>
          <w:rFonts w:ascii="Times New Roman" w:eastAsia="SimSun" w:hAnsi="Times New Roman" w:cs="Times New Roman"/>
          <w:b/>
          <w:sz w:val="24"/>
          <w:szCs w:val="24"/>
          <w:lang w:val="sq-AL" w:eastAsia="zh-CN"/>
        </w:rPr>
        <w:tab/>
      </w:r>
      <w:r w:rsidR="008A3629" w:rsidRPr="00A9446C">
        <w:rPr>
          <w:rFonts w:ascii="Times New Roman" w:eastAsia="SimSun" w:hAnsi="Times New Roman" w:cs="Times New Roman"/>
          <w:b/>
          <w:sz w:val="24"/>
          <w:szCs w:val="24"/>
          <w:lang w:val="sq-AL" w:eastAsia="zh-CN"/>
        </w:rPr>
        <w:tab/>
      </w:r>
      <w:r w:rsidR="008A3629" w:rsidRPr="00A9446C">
        <w:rPr>
          <w:rFonts w:ascii="Times New Roman" w:eastAsia="SimSun" w:hAnsi="Times New Roman" w:cs="Times New Roman"/>
          <w:b/>
          <w:sz w:val="24"/>
          <w:szCs w:val="24"/>
          <w:lang w:val="sq-AL" w:eastAsia="zh-CN"/>
        </w:rPr>
        <w:tab/>
      </w:r>
      <w:r w:rsidR="008A3629" w:rsidRPr="00A9446C">
        <w:rPr>
          <w:rFonts w:ascii="Times New Roman" w:eastAsia="SimSun" w:hAnsi="Times New Roman" w:cs="Times New Roman"/>
          <w:b/>
          <w:sz w:val="24"/>
          <w:szCs w:val="24"/>
          <w:lang w:val="sq-AL" w:eastAsia="zh-CN"/>
        </w:rPr>
        <w:tab/>
      </w:r>
      <w:r w:rsidR="00E071E3" w:rsidRPr="00A9446C">
        <w:rPr>
          <w:rFonts w:ascii="Times New Roman" w:eastAsia="SimSun" w:hAnsi="Times New Roman" w:cs="Times New Roman"/>
          <w:b/>
          <w:sz w:val="24"/>
          <w:szCs w:val="24"/>
          <w:lang w:val="sq-AL" w:eastAsia="zh-CN"/>
        </w:rPr>
        <w:t xml:space="preserve">        </w:t>
      </w:r>
      <w:r w:rsidR="00B519AB" w:rsidRPr="00A9446C">
        <w:rPr>
          <w:rFonts w:ascii="Times New Roman" w:eastAsia="SimSun" w:hAnsi="Times New Roman" w:cs="Times New Roman"/>
          <w:b/>
          <w:sz w:val="24"/>
          <w:szCs w:val="24"/>
          <w:lang w:val="sq-AL" w:eastAsia="zh-CN"/>
        </w:rPr>
        <w:t xml:space="preserve">     </w:t>
      </w:r>
      <w:r w:rsidR="000B66F3" w:rsidRPr="00A9446C">
        <w:rPr>
          <w:rFonts w:ascii="Times New Roman" w:eastAsia="SimSun" w:hAnsi="Times New Roman" w:cs="Times New Roman"/>
          <w:b/>
          <w:sz w:val="24"/>
          <w:szCs w:val="24"/>
          <w:lang w:val="sq-AL" w:eastAsia="zh-CN"/>
        </w:rPr>
        <w:t>D</w:t>
      </w:r>
      <w:r w:rsidR="000B66F3" w:rsidRPr="00A9446C">
        <w:rPr>
          <w:rFonts w:ascii="Times New Roman" w:eastAsia="SimSun" w:hAnsi="Times New Roman" w:cs="Times New Roman"/>
          <w:b/>
          <w:smallCaps/>
          <w:sz w:val="24"/>
          <w:szCs w:val="24"/>
          <w:lang w:val="sq-AL" w:eastAsia="zh-CN"/>
        </w:rPr>
        <w:t>REJTOR I APELIMIT TATIMOR</w:t>
      </w:r>
    </w:p>
    <w:p w:rsidR="00EA49BA" w:rsidRPr="00A9446C" w:rsidRDefault="00EA49BA" w:rsidP="00A9446C">
      <w:pPr>
        <w:spacing w:after="0"/>
        <w:jc w:val="both"/>
        <w:rPr>
          <w:rFonts w:ascii="Times New Roman" w:eastAsia="SimSun" w:hAnsi="Times New Roman" w:cs="Times New Roman"/>
          <w:b/>
          <w:sz w:val="24"/>
          <w:szCs w:val="24"/>
          <w:lang w:val="sq-AL" w:eastAsia="zh-CN"/>
        </w:rPr>
      </w:pPr>
    </w:p>
    <w:p w:rsidR="00DC57A1" w:rsidRPr="00A9446C" w:rsidRDefault="000B66F3" w:rsidP="00A9446C">
      <w:pPr>
        <w:rPr>
          <w:rFonts w:ascii="Times New Roman" w:hAnsi="Times New Roman" w:cs="Times New Roman"/>
          <w:b/>
          <w:sz w:val="28"/>
          <w:szCs w:val="28"/>
          <w:lang w:val="sq-AL" w:eastAsia="zh-CN"/>
        </w:rPr>
      </w:pPr>
      <w:r w:rsidRPr="00A9446C">
        <w:rPr>
          <w:b/>
          <w:lang w:val="sq-AL" w:eastAsia="zh-CN"/>
        </w:rPr>
        <w:t xml:space="preserve">                                                                                            </w:t>
      </w:r>
      <w:r w:rsidR="00EB7F90" w:rsidRPr="00A9446C">
        <w:rPr>
          <w:b/>
          <w:lang w:val="sq-AL" w:eastAsia="zh-CN"/>
        </w:rPr>
        <w:tab/>
      </w:r>
      <w:r w:rsidR="00EB7F90" w:rsidRPr="00A9446C">
        <w:rPr>
          <w:b/>
          <w:lang w:val="sq-AL" w:eastAsia="zh-CN"/>
        </w:rPr>
        <w:tab/>
        <w:t xml:space="preserve">   </w:t>
      </w:r>
      <w:r w:rsidR="00EB7F90" w:rsidRPr="00A9446C">
        <w:rPr>
          <w:rFonts w:ascii="Times New Roman" w:hAnsi="Times New Roman" w:cs="Times New Roman"/>
          <w:b/>
          <w:sz w:val="28"/>
          <w:szCs w:val="28"/>
          <w:lang w:val="sq-AL" w:eastAsia="zh-CN"/>
        </w:rPr>
        <w:t>Mimoza Kalia</w:t>
      </w:r>
    </w:p>
    <w:sectPr w:rsidR="00DC57A1" w:rsidRPr="00A9446C" w:rsidSect="0030223E">
      <w:footerReference w:type="default" r:id="rId10"/>
      <w:pgSz w:w="11907" w:h="16839" w:code="9"/>
      <w:pgMar w:top="1627" w:right="1017" w:bottom="1260" w:left="1530" w:header="720" w:footer="2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A4F" w:rsidRDefault="00B73A4F" w:rsidP="003B2EEB">
      <w:pPr>
        <w:spacing w:after="0" w:line="240" w:lineRule="auto"/>
      </w:pPr>
      <w:r>
        <w:separator/>
      </w:r>
    </w:p>
  </w:endnote>
  <w:endnote w:type="continuationSeparator" w:id="0">
    <w:p w:rsidR="00B73A4F" w:rsidRDefault="00B73A4F" w:rsidP="003B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44E" w:rsidRPr="00B01EC7" w:rsidRDefault="008E544E" w:rsidP="00B05699">
    <w:pPr>
      <w:pBdr>
        <w:top w:val="single" w:sz="4" w:space="1" w:color="auto"/>
      </w:pBdr>
      <w:rPr>
        <w:rFonts w:ascii="Times New Roman" w:hAnsi="Times New Roman" w:cs="Times New Roman"/>
        <w:lang w:val="it-IT"/>
      </w:rPr>
    </w:pPr>
    <w:r w:rsidRPr="00B01EC7">
      <w:rPr>
        <w:rFonts w:ascii="Times New Roman" w:hAnsi="Times New Roman" w:cs="Times New Roman"/>
        <w:lang w:val="it-IT"/>
      </w:rPr>
      <w:t xml:space="preserve">Bulevardi “Dëshmorët e Kombit”, </w:t>
    </w:r>
    <w:r w:rsidR="00125438">
      <w:rPr>
        <w:rFonts w:ascii="Times New Roman" w:hAnsi="Times New Roman" w:cs="Times New Roman"/>
        <w:lang w:val="it-IT"/>
      </w:rPr>
      <w:t xml:space="preserve"> Nr.3</w:t>
    </w:r>
    <w:r w:rsidR="00AF2C7E">
      <w:rPr>
        <w:rFonts w:ascii="Times New Roman" w:hAnsi="Times New Roman" w:cs="Times New Roman"/>
        <w:lang w:val="it-IT"/>
      </w:rPr>
      <w:t xml:space="preserve">                           </w:t>
    </w:r>
    <w:hyperlink r:id="rId1" w:history="1">
      <w:r w:rsidR="00AF2C7E" w:rsidRPr="00E65C86">
        <w:rPr>
          <w:rStyle w:val="Hyperlink"/>
          <w:rFonts w:ascii="Times New Roman" w:hAnsi="Times New Roman" w:cs="Times New Roman"/>
          <w:lang w:val="it-IT"/>
        </w:rPr>
        <w:t>www.financa.gov.al</w:t>
      </w:r>
    </w:hyperlink>
    <w:r w:rsidR="00AF2C7E">
      <w:rPr>
        <w:rFonts w:ascii="Times New Roman" w:hAnsi="Times New Roman" w:cs="Times New Roman"/>
        <w:lang w:val="it-IT"/>
      </w:rPr>
      <w:t>, info@financa.gov.al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A4F" w:rsidRDefault="00B73A4F" w:rsidP="003B2EEB">
      <w:pPr>
        <w:spacing w:after="0" w:line="240" w:lineRule="auto"/>
      </w:pPr>
      <w:r>
        <w:separator/>
      </w:r>
    </w:p>
  </w:footnote>
  <w:footnote w:type="continuationSeparator" w:id="0">
    <w:p w:rsidR="00B73A4F" w:rsidRDefault="00B73A4F" w:rsidP="003B2E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36994"/>
    <w:multiLevelType w:val="hybridMultilevel"/>
    <w:tmpl w:val="61627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AA974AF"/>
    <w:multiLevelType w:val="hybridMultilevel"/>
    <w:tmpl w:val="437C7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321E2"/>
    <w:multiLevelType w:val="hybridMultilevel"/>
    <w:tmpl w:val="09B24F4A"/>
    <w:lvl w:ilvl="0" w:tplc="0409000B">
      <w:start w:val="1"/>
      <w:numFmt w:val="bullet"/>
      <w:lvlText w:val=""/>
      <w:lvlJc w:val="left"/>
      <w:pPr>
        <w:tabs>
          <w:tab w:val="num" w:pos="4456"/>
        </w:tabs>
        <w:ind w:left="4456" w:hanging="360"/>
      </w:pPr>
      <w:rPr>
        <w:rFonts w:ascii="Wingdings" w:hAnsi="Wingdings" w:hint="default"/>
      </w:rPr>
    </w:lvl>
    <w:lvl w:ilvl="1" w:tplc="04090003" w:tentative="1">
      <w:start w:val="1"/>
      <w:numFmt w:val="bullet"/>
      <w:lvlText w:val="o"/>
      <w:lvlJc w:val="left"/>
      <w:pPr>
        <w:tabs>
          <w:tab w:val="num" w:pos="5176"/>
        </w:tabs>
        <w:ind w:left="5176" w:hanging="360"/>
      </w:pPr>
      <w:rPr>
        <w:rFonts w:ascii="Courier New" w:hAnsi="Courier New" w:cs="Courier New" w:hint="default"/>
      </w:rPr>
    </w:lvl>
    <w:lvl w:ilvl="2" w:tplc="04090005" w:tentative="1">
      <w:start w:val="1"/>
      <w:numFmt w:val="bullet"/>
      <w:lvlText w:val=""/>
      <w:lvlJc w:val="left"/>
      <w:pPr>
        <w:tabs>
          <w:tab w:val="num" w:pos="5896"/>
        </w:tabs>
        <w:ind w:left="5896" w:hanging="360"/>
      </w:pPr>
      <w:rPr>
        <w:rFonts w:ascii="Wingdings" w:hAnsi="Wingdings" w:hint="default"/>
      </w:rPr>
    </w:lvl>
    <w:lvl w:ilvl="3" w:tplc="04090001" w:tentative="1">
      <w:start w:val="1"/>
      <w:numFmt w:val="bullet"/>
      <w:lvlText w:val=""/>
      <w:lvlJc w:val="left"/>
      <w:pPr>
        <w:tabs>
          <w:tab w:val="num" w:pos="6616"/>
        </w:tabs>
        <w:ind w:left="6616" w:hanging="360"/>
      </w:pPr>
      <w:rPr>
        <w:rFonts w:ascii="Symbol" w:hAnsi="Symbol" w:hint="default"/>
      </w:rPr>
    </w:lvl>
    <w:lvl w:ilvl="4" w:tplc="04090003" w:tentative="1">
      <w:start w:val="1"/>
      <w:numFmt w:val="bullet"/>
      <w:lvlText w:val="o"/>
      <w:lvlJc w:val="left"/>
      <w:pPr>
        <w:tabs>
          <w:tab w:val="num" w:pos="7336"/>
        </w:tabs>
        <w:ind w:left="7336" w:hanging="360"/>
      </w:pPr>
      <w:rPr>
        <w:rFonts w:ascii="Courier New" w:hAnsi="Courier New" w:cs="Courier New" w:hint="default"/>
      </w:rPr>
    </w:lvl>
    <w:lvl w:ilvl="5" w:tplc="04090005" w:tentative="1">
      <w:start w:val="1"/>
      <w:numFmt w:val="bullet"/>
      <w:lvlText w:val=""/>
      <w:lvlJc w:val="left"/>
      <w:pPr>
        <w:tabs>
          <w:tab w:val="num" w:pos="8056"/>
        </w:tabs>
        <w:ind w:left="8056" w:hanging="360"/>
      </w:pPr>
      <w:rPr>
        <w:rFonts w:ascii="Wingdings" w:hAnsi="Wingdings" w:hint="default"/>
      </w:rPr>
    </w:lvl>
    <w:lvl w:ilvl="6" w:tplc="04090001" w:tentative="1">
      <w:start w:val="1"/>
      <w:numFmt w:val="bullet"/>
      <w:lvlText w:val=""/>
      <w:lvlJc w:val="left"/>
      <w:pPr>
        <w:tabs>
          <w:tab w:val="num" w:pos="8776"/>
        </w:tabs>
        <w:ind w:left="8776" w:hanging="360"/>
      </w:pPr>
      <w:rPr>
        <w:rFonts w:ascii="Symbol" w:hAnsi="Symbol" w:hint="default"/>
      </w:rPr>
    </w:lvl>
    <w:lvl w:ilvl="7" w:tplc="04090003" w:tentative="1">
      <w:start w:val="1"/>
      <w:numFmt w:val="bullet"/>
      <w:lvlText w:val="o"/>
      <w:lvlJc w:val="left"/>
      <w:pPr>
        <w:tabs>
          <w:tab w:val="num" w:pos="9496"/>
        </w:tabs>
        <w:ind w:left="9496" w:hanging="360"/>
      </w:pPr>
      <w:rPr>
        <w:rFonts w:ascii="Courier New" w:hAnsi="Courier New" w:cs="Courier New" w:hint="default"/>
      </w:rPr>
    </w:lvl>
    <w:lvl w:ilvl="8" w:tplc="04090005" w:tentative="1">
      <w:start w:val="1"/>
      <w:numFmt w:val="bullet"/>
      <w:lvlText w:val=""/>
      <w:lvlJc w:val="left"/>
      <w:pPr>
        <w:tabs>
          <w:tab w:val="num" w:pos="10216"/>
        </w:tabs>
        <w:ind w:left="10216" w:hanging="360"/>
      </w:pPr>
      <w:rPr>
        <w:rFonts w:ascii="Wingdings" w:hAnsi="Wingdings" w:hint="default"/>
      </w:rPr>
    </w:lvl>
  </w:abstractNum>
  <w:abstractNum w:abstractNumId="3">
    <w:nsid w:val="2E262B49"/>
    <w:multiLevelType w:val="hybridMultilevel"/>
    <w:tmpl w:val="79A660F2"/>
    <w:lvl w:ilvl="0" w:tplc="0409000B">
      <w:start w:val="1"/>
      <w:numFmt w:val="bullet"/>
      <w:lvlText w:val=""/>
      <w:lvlJc w:val="left"/>
      <w:pPr>
        <w:tabs>
          <w:tab w:val="num" w:pos="720"/>
        </w:tabs>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AD0023B"/>
    <w:multiLevelType w:val="hybridMultilevel"/>
    <w:tmpl w:val="8418F3CE"/>
    <w:lvl w:ilvl="0" w:tplc="662AB67E">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D258E2"/>
    <w:multiLevelType w:val="hybridMultilevel"/>
    <w:tmpl w:val="42D2C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C1C53"/>
    <w:multiLevelType w:val="hybridMultilevel"/>
    <w:tmpl w:val="22F8DA16"/>
    <w:lvl w:ilvl="0" w:tplc="35D8FA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A94299"/>
    <w:multiLevelType w:val="hybridMultilevel"/>
    <w:tmpl w:val="6D6E95CA"/>
    <w:lvl w:ilvl="0" w:tplc="7F36DCF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1D2EBE"/>
    <w:multiLevelType w:val="hybridMultilevel"/>
    <w:tmpl w:val="00AAE8A8"/>
    <w:lvl w:ilvl="0" w:tplc="2FF2B6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1"/>
  </w:num>
  <w:num w:numId="5">
    <w:abstractNumId w:val="0"/>
  </w:num>
  <w:num w:numId="6">
    <w:abstractNumId w:val="5"/>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AC"/>
    <w:rsid w:val="00010409"/>
    <w:rsid w:val="00011ABB"/>
    <w:rsid w:val="000128CC"/>
    <w:rsid w:val="00014D0B"/>
    <w:rsid w:val="00020E4B"/>
    <w:rsid w:val="00021588"/>
    <w:rsid w:val="000221CA"/>
    <w:rsid w:val="00025559"/>
    <w:rsid w:val="000261E3"/>
    <w:rsid w:val="00030277"/>
    <w:rsid w:val="000303A2"/>
    <w:rsid w:val="00035690"/>
    <w:rsid w:val="00042B4C"/>
    <w:rsid w:val="00054A2D"/>
    <w:rsid w:val="000611A5"/>
    <w:rsid w:val="00064E06"/>
    <w:rsid w:val="000805B6"/>
    <w:rsid w:val="0008539D"/>
    <w:rsid w:val="00087935"/>
    <w:rsid w:val="000906DC"/>
    <w:rsid w:val="00091799"/>
    <w:rsid w:val="00094E17"/>
    <w:rsid w:val="00095315"/>
    <w:rsid w:val="000A7373"/>
    <w:rsid w:val="000A7DDF"/>
    <w:rsid w:val="000B66F3"/>
    <w:rsid w:val="000B758E"/>
    <w:rsid w:val="000C4B96"/>
    <w:rsid w:val="000D09B4"/>
    <w:rsid w:val="000D0B67"/>
    <w:rsid w:val="000D44DC"/>
    <w:rsid w:val="000D62A8"/>
    <w:rsid w:val="000E32D9"/>
    <w:rsid w:val="000E3312"/>
    <w:rsid w:val="000F491A"/>
    <w:rsid w:val="000F6D2F"/>
    <w:rsid w:val="000F7C8E"/>
    <w:rsid w:val="001016A9"/>
    <w:rsid w:val="00103D3B"/>
    <w:rsid w:val="0011278C"/>
    <w:rsid w:val="00120134"/>
    <w:rsid w:val="00125438"/>
    <w:rsid w:val="001327EF"/>
    <w:rsid w:val="001330DD"/>
    <w:rsid w:val="00143703"/>
    <w:rsid w:val="00143EF4"/>
    <w:rsid w:val="001441F7"/>
    <w:rsid w:val="0014596D"/>
    <w:rsid w:val="00151239"/>
    <w:rsid w:val="0015467D"/>
    <w:rsid w:val="0015562C"/>
    <w:rsid w:val="00163006"/>
    <w:rsid w:val="00174903"/>
    <w:rsid w:val="001751FE"/>
    <w:rsid w:val="00180E2C"/>
    <w:rsid w:val="001949AE"/>
    <w:rsid w:val="00195541"/>
    <w:rsid w:val="001A2674"/>
    <w:rsid w:val="001A6C7D"/>
    <w:rsid w:val="001A7731"/>
    <w:rsid w:val="001B0C0C"/>
    <w:rsid w:val="001B4B5A"/>
    <w:rsid w:val="001C4EBF"/>
    <w:rsid w:val="001C5D34"/>
    <w:rsid w:val="001D1422"/>
    <w:rsid w:val="001D16CF"/>
    <w:rsid w:val="001E2D7B"/>
    <w:rsid w:val="001F20C2"/>
    <w:rsid w:val="002001A2"/>
    <w:rsid w:val="0020149B"/>
    <w:rsid w:val="00225E8D"/>
    <w:rsid w:val="00231482"/>
    <w:rsid w:val="00234D48"/>
    <w:rsid w:val="00237103"/>
    <w:rsid w:val="00241406"/>
    <w:rsid w:val="0025629A"/>
    <w:rsid w:val="00262182"/>
    <w:rsid w:val="002631E6"/>
    <w:rsid w:val="00264A7F"/>
    <w:rsid w:val="00265544"/>
    <w:rsid w:val="0027246D"/>
    <w:rsid w:val="00275468"/>
    <w:rsid w:val="002803E3"/>
    <w:rsid w:val="00283646"/>
    <w:rsid w:val="00287853"/>
    <w:rsid w:val="0029098A"/>
    <w:rsid w:val="00295446"/>
    <w:rsid w:val="00297644"/>
    <w:rsid w:val="002B587C"/>
    <w:rsid w:val="002C38CC"/>
    <w:rsid w:val="002D04B7"/>
    <w:rsid w:val="002D3518"/>
    <w:rsid w:val="002D38FD"/>
    <w:rsid w:val="002E291D"/>
    <w:rsid w:val="002E2990"/>
    <w:rsid w:val="002F1B86"/>
    <w:rsid w:val="002F29D1"/>
    <w:rsid w:val="0030223E"/>
    <w:rsid w:val="0030700D"/>
    <w:rsid w:val="00310C14"/>
    <w:rsid w:val="00313C40"/>
    <w:rsid w:val="0032399F"/>
    <w:rsid w:val="003253E6"/>
    <w:rsid w:val="00326FF9"/>
    <w:rsid w:val="00327240"/>
    <w:rsid w:val="00340245"/>
    <w:rsid w:val="00342C28"/>
    <w:rsid w:val="00344044"/>
    <w:rsid w:val="00346300"/>
    <w:rsid w:val="0034681A"/>
    <w:rsid w:val="003531FC"/>
    <w:rsid w:val="00353BA6"/>
    <w:rsid w:val="00362A82"/>
    <w:rsid w:val="00363FBF"/>
    <w:rsid w:val="00376DF3"/>
    <w:rsid w:val="00381C07"/>
    <w:rsid w:val="003850D4"/>
    <w:rsid w:val="00385DF7"/>
    <w:rsid w:val="00386D74"/>
    <w:rsid w:val="00386DC1"/>
    <w:rsid w:val="00387E38"/>
    <w:rsid w:val="00391A53"/>
    <w:rsid w:val="0039453E"/>
    <w:rsid w:val="003963C8"/>
    <w:rsid w:val="003A0C17"/>
    <w:rsid w:val="003A1809"/>
    <w:rsid w:val="003A28E4"/>
    <w:rsid w:val="003A4306"/>
    <w:rsid w:val="003B1A68"/>
    <w:rsid w:val="003B2EEB"/>
    <w:rsid w:val="003B6DAE"/>
    <w:rsid w:val="003C1734"/>
    <w:rsid w:val="003D19CB"/>
    <w:rsid w:val="003E12B0"/>
    <w:rsid w:val="003E50EE"/>
    <w:rsid w:val="003E55A6"/>
    <w:rsid w:val="003E59D2"/>
    <w:rsid w:val="003E6035"/>
    <w:rsid w:val="003E7FD2"/>
    <w:rsid w:val="003F19E2"/>
    <w:rsid w:val="003F3519"/>
    <w:rsid w:val="003F5F5E"/>
    <w:rsid w:val="003F659E"/>
    <w:rsid w:val="00402D91"/>
    <w:rsid w:val="004035F7"/>
    <w:rsid w:val="00403D90"/>
    <w:rsid w:val="00416CEF"/>
    <w:rsid w:val="00426C57"/>
    <w:rsid w:val="00431E6F"/>
    <w:rsid w:val="00434587"/>
    <w:rsid w:val="00437745"/>
    <w:rsid w:val="004406EE"/>
    <w:rsid w:val="00447C14"/>
    <w:rsid w:val="00474DF8"/>
    <w:rsid w:val="0047563C"/>
    <w:rsid w:val="004840BD"/>
    <w:rsid w:val="00493B4C"/>
    <w:rsid w:val="00497614"/>
    <w:rsid w:val="004A2E1E"/>
    <w:rsid w:val="004A62BB"/>
    <w:rsid w:val="004A7FEF"/>
    <w:rsid w:val="004B2E36"/>
    <w:rsid w:val="004B2F32"/>
    <w:rsid w:val="004B3E97"/>
    <w:rsid w:val="004B6F40"/>
    <w:rsid w:val="004C31CB"/>
    <w:rsid w:val="004E05D4"/>
    <w:rsid w:val="004E0ACD"/>
    <w:rsid w:val="004E2894"/>
    <w:rsid w:val="004E4775"/>
    <w:rsid w:val="004F57BA"/>
    <w:rsid w:val="00503E92"/>
    <w:rsid w:val="005118EE"/>
    <w:rsid w:val="005204D3"/>
    <w:rsid w:val="0052067E"/>
    <w:rsid w:val="005459E3"/>
    <w:rsid w:val="00545E92"/>
    <w:rsid w:val="00552DF3"/>
    <w:rsid w:val="005535B6"/>
    <w:rsid w:val="00562C42"/>
    <w:rsid w:val="00563E91"/>
    <w:rsid w:val="00572897"/>
    <w:rsid w:val="00585AF5"/>
    <w:rsid w:val="0058628F"/>
    <w:rsid w:val="00590F92"/>
    <w:rsid w:val="00591297"/>
    <w:rsid w:val="00592DE5"/>
    <w:rsid w:val="0059359F"/>
    <w:rsid w:val="00596222"/>
    <w:rsid w:val="005B1786"/>
    <w:rsid w:val="005B49DC"/>
    <w:rsid w:val="005B7D1C"/>
    <w:rsid w:val="005C20AC"/>
    <w:rsid w:val="005D1BED"/>
    <w:rsid w:val="005E1C14"/>
    <w:rsid w:val="005E51CC"/>
    <w:rsid w:val="005F3405"/>
    <w:rsid w:val="005F541D"/>
    <w:rsid w:val="006015BA"/>
    <w:rsid w:val="00612587"/>
    <w:rsid w:val="006225FA"/>
    <w:rsid w:val="00626985"/>
    <w:rsid w:val="00627317"/>
    <w:rsid w:val="00637FC4"/>
    <w:rsid w:val="006450B9"/>
    <w:rsid w:val="00647482"/>
    <w:rsid w:val="0065416A"/>
    <w:rsid w:val="00664A0F"/>
    <w:rsid w:val="00670FF5"/>
    <w:rsid w:val="00671A80"/>
    <w:rsid w:val="00672245"/>
    <w:rsid w:val="00674E7A"/>
    <w:rsid w:val="0067594D"/>
    <w:rsid w:val="00682CAF"/>
    <w:rsid w:val="006863BC"/>
    <w:rsid w:val="00691122"/>
    <w:rsid w:val="00694737"/>
    <w:rsid w:val="0069620B"/>
    <w:rsid w:val="00696C3B"/>
    <w:rsid w:val="006B0ED8"/>
    <w:rsid w:val="006B1780"/>
    <w:rsid w:val="006B362D"/>
    <w:rsid w:val="006B4591"/>
    <w:rsid w:val="006B64AD"/>
    <w:rsid w:val="006B7E5E"/>
    <w:rsid w:val="006D02BB"/>
    <w:rsid w:val="006D0434"/>
    <w:rsid w:val="006D59E3"/>
    <w:rsid w:val="006D6354"/>
    <w:rsid w:val="006F06D3"/>
    <w:rsid w:val="006F106C"/>
    <w:rsid w:val="006F27C5"/>
    <w:rsid w:val="00703030"/>
    <w:rsid w:val="00703D6A"/>
    <w:rsid w:val="00717EA3"/>
    <w:rsid w:val="0072538B"/>
    <w:rsid w:val="00732941"/>
    <w:rsid w:val="00746B32"/>
    <w:rsid w:val="00756D32"/>
    <w:rsid w:val="00761FA1"/>
    <w:rsid w:val="00770AA5"/>
    <w:rsid w:val="007748AC"/>
    <w:rsid w:val="00775114"/>
    <w:rsid w:val="007763F5"/>
    <w:rsid w:val="00781E1A"/>
    <w:rsid w:val="0079026A"/>
    <w:rsid w:val="007916CE"/>
    <w:rsid w:val="00792496"/>
    <w:rsid w:val="00793AB7"/>
    <w:rsid w:val="00794308"/>
    <w:rsid w:val="007A369F"/>
    <w:rsid w:val="007B7056"/>
    <w:rsid w:val="007C1CFE"/>
    <w:rsid w:val="007C7558"/>
    <w:rsid w:val="007E7312"/>
    <w:rsid w:val="007E7CF7"/>
    <w:rsid w:val="007F0598"/>
    <w:rsid w:val="007F4E23"/>
    <w:rsid w:val="007F5F39"/>
    <w:rsid w:val="007F6351"/>
    <w:rsid w:val="007F6C7F"/>
    <w:rsid w:val="00803700"/>
    <w:rsid w:val="00805D25"/>
    <w:rsid w:val="008075A1"/>
    <w:rsid w:val="008123F8"/>
    <w:rsid w:val="00814CA0"/>
    <w:rsid w:val="00821BA4"/>
    <w:rsid w:val="0082523A"/>
    <w:rsid w:val="00841BFF"/>
    <w:rsid w:val="0084357F"/>
    <w:rsid w:val="0085337B"/>
    <w:rsid w:val="00861713"/>
    <w:rsid w:val="00867BDF"/>
    <w:rsid w:val="00870320"/>
    <w:rsid w:val="008724F7"/>
    <w:rsid w:val="00873041"/>
    <w:rsid w:val="008764F0"/>
    <w:rsid w:val="008802CC"/>
    <w:rsid w:val="00882938"/>
    <w:rsid w:val="00883113"/>
    <w:rsid w:val="0088402C"/>
    <w:rsid w:val="00893B1F"/>
    <w:rsid w:val="008960C3"/>
    <w:rsid w:val="008A125F"/>
    <w:rsid w:val="008A3629"/>
    <w:rsid w:val="008A5076"/>
    <w:rsid w:val="008B4042"/>
    <w:rsid w:val="008B40C7"/>
    <w:rsid w:val="008B57B6"/>
    <w:rsid w:val="008C037A"/>
    <w:rsid w:val="008C47FE"/>
    <w:rsid w:val="008C51F8"/>
    <w:rsid w:val="008C6DB1"/>
    <w:rsid w:val="008D04D0"/>
    <w:rsid w:val="008E544E"/>
    <w:rsid w:val="008F1A85"/>
    <w:rsid w:val="008F6BE3"/>
    <w:rsid w:val="00905A6C"/>
    <w:rsid w:val="009103AB"/>
    <w:rsid w:val="00915F40"/>
    <w:rsid w:val="009164E9"/>
    <w:rsid w:val="009223CF"/>
    <w:rsid w:val="009258AC"/>
    <w:rsid w:val="00940E4B"/>
    <w:rsid w:val="00950E68"/>
    <w:rsid w:val="0095339F"/>
    <w:rsid w:val="00955334"/>
    <w:rsid w:val="009566FF"/>
    <w:rsid w:val="009649DC"/>
    <w:rsid w:val="00966954"/>
    <w:rsid w:val="009806E7"/>
    <w:rsid w:val="009826C6"/>
    <w:rsid w:val="00991A86"/>
    <w:rsid w:val="00996BF4"/>
    <w:rsid w:val="00997340"/>
    <w:rsid w:val="009A11F6"/>
    <w:rsid w:val="009A2C4B"/>
    <w:rsid w:val="009A3A0F"/>
    <w:rsid w:val="009A585A"/>
    <w:rsid w:val="009B1762"/>
    <w:rsid w:val="009B2292"/>
    <w:rsid w:val="009B2D54"/>
    <w:rsid w:val="009C0DAE"/>
    <w:rsid w:val="009C7E9A"/>
    <w:rsid w:val="009D5438"/>
    <w:rsid w:val="009E127C"/>
    <w:rsid w:val="009E67E5"/>
    <w:rsid w:val="009F068D"/>
    <w:rsid w:val="00A10343"/>
    <w:rsid w:val="00A1769D"/>
    <w:rsid w:val="00A245C6"/>
    <w:rsid w:val="00A24BFD"/>
    <w:rsid w:val="00A36FDB"/>
    <w:rsid w:val="00A40D7E"/>
    <w:rsid w:val="00A46B5D"/>
    <w:rsid w:val="00A5413F"/>
    <w:rsid w:val="00A55A16"/>
    <w:rsid w:val="00A6137A"/>
    <w:rsid w:val="00A6274C"/>
    <w:rsid w:val="00A64B48"/>
    <w:rsid w:val="00A73A05"/>
    <w:rsid w:val="00A74077"/>
    <w:rsid w:val="00A7533F"/>
    <w:rsid w:val="00A76284"/>
    <w:rsid w:val="00A76335"/>
    <w:rsid w:val="00A82C45"/>
    <w:rsid w:val="00A843B8"/>
    <w:rsid w:val="00A8614D"/>
    <w:rsid w:val="00A9446C"/>
    <w:rsid w:val="00A9598E"/>
    <w:rsid w:val="00AA1BAD"/>
    <w:rsid w:val="00AA27BA"/>
    <w:rsid w:val="00AA5CAC"/>
    <w:rsid w:val="00AA6C82"/>
    <w:rsid w:val="00AA6FCF"/>
    <w:rsid w:val="00AB405A"/>
    <w:rsid w:val="00AC4518"/>
    <w:rsid w:val="00AD2308"/>
    <w:rsid w:val="00AD34CB"/>
    <w:rsid w:val="00AD57A0"/>
    <w:rsid w:val="00AE41E4"/>
    <w:rsid w:val="00AF2C7E"/>
    <w:rsid w:val="00AF5B44"/>
    <w:rsid w:val="00AF635D"/>
    <w:rsid w:val="00B013C3"/>
    <w:rsid w:val="00B01EC7"/>
    <w:rsid w:val="00B03B72"/>
    <w:rsid w:val="00B04939"/>
    <w:rsid w:val="00B05699"/>
    <w:rsid w:val="00B11413"/>
    <w:rsid w:val="00B1344A"/>
    <w:rsid w:val="00B26BCF"/>
    <w:rsid w:val="00B31ECA"/>
    <w:rsid w:val="00B35964"/>
    <w:rsid w:val="00B36AFD"/>
    <w:rsid w:val="00B37860"/>
    <w:rsid w:val="00B4133E"/>
    <w:rsid w:val="00B4685B"/>
    <w:rsid w:val="00B519AB"/>
    <w:rsid w:val="00B53469"/>
    <w:rsid w:val="00B73A4F"/>
    <w:rsid w:val="00B748C8"/>
    <w:rsid w:val="00B7582A"/>
    <w:rsid w:val="00B7655B"/>
    <w:rsid w:val="00B807EB"/>
    <w:rsid w:val="00B807FD"/>
    <w:rsid w:val="00B81D88"/>
    <w:rsid w:val="00B91DB0"/>
    <w:rsid w:val="00BA0E01"/>
    <w:rsid w:val="00BB0B56"/>
    <w:rsid w:val="00BC1FEE"/>
    <w:rsid w:val="00BC2AA4"/>
    <w:rsid w:val="00BC4D97"/>
    <w:rsid w:val="00BC6A2A"/>
    <w:rsid w:val="00BD0720"/>
    <w:rsid w:val="00BD1282"/>
    <w:rsid w:val="00BD2CCD"/>
    <w:rsid w:val="00BD7F19"/>
    <w:rsid w:val="00BE232F"/>
    <w:rsid w:val="00BE330D"/>
    <w:rsid w:val="00BF230D"/>
    <w:rsid w:val="00BF6803"/>
    <w:rsid w:val="00C0701A"/>
    <w:rsid w:val="00C15DBE"/>
    <w:rsid w:val="00C23F0F"/>
    <w:rsid w:val="00C25923"/>
    <w:rsid w:val="00C305EE"/>
    <w:rsid w:val="00C30AC9"/>
    <w:rsid w:val="00C32C2E"/>
    <w:rsid w:val="00C333AD"/>
    <w:rsid w:val="00C3674F"/>
    <w:rsid w:val="00C44DC5"/>
    <w:rsid w:val="00C45182"/>
    <w:rsid w:val="00C5122D"/>
    <w:rsid w:val="00C63AE1"/>
    <w:rsid w:val="00C63D66"/>
    <w:rsid w:val="00C66A98"/>
    <w:rsid w:val="00C66AB8"/>
    <w:rsid w:val="00C74575"/>
    <w:rsid w:val="00C7501C"/>
    <w:rsid w:val="00C75A08"/>
    <w:rsid w:val="00C7607F"/>
    <w:rsid w:val="00C80983"/>
    <w:rsid w:val="00C812AA"/>
    <w:rsid w:val="00C8452F"/>
    <w:rsid w:val="00C862CA"/>
    <w:rsid w:val="00C878A8"/>
    <w:rsid w:val="00C93554"/>
    <w:rsid w:val="00C96171"/>
    <w:rsid w:val="00C96849"/>
    <w:rsid w:val="00CB0260"/>
    <w:rsid w:val="00CB112D"/>
    <w:rsid w:val="00CB1BBC"/>
    <w:rsid w:val="00CB2F34"/>
    <w:rsid w:val="00CB7067"/>
    <w:rsid w:val="00CC29A0"/>
    <w:rsid w:val="00CC6044"/>
    <w:rsid w:val="00CD457E"/>
    <w:rsid w:val="00CD7C76"/>
    <w:rsid w:val="00CF4BFB"/>
    <w:rsid w:val="00D07848"/>
    <w:rsid w:val="00D1151F"/>
    <w:rsid w:val="00D13E64"/>
    <w:rsid w:val="00D14CDE"/>
    <w:rsid w:val="00D167F0"/>
    <w:rsid w:val="00D22028"/>
    <w:rsid w:val="00D22384"/>
    <w:rsid w:val="00D25281"/>
    <w:rsid w:val="00D26EFC"/>
    <w:rsid w:val="00D27343"/>
    <w:rsid w:val="00D315D0"/>
    <w:rsid w:val="00D34689"/>
    <w:rsid w:val="00D362D0"/>
    <w:rsid w:val="00D44A47"/>
    <w:rsid w:val="00D45628"/>
    <w:rsid w:val="00D47992"/>
    <w:rsid w:val="00D50A33"/>
    <w:rsid w:val="00D546CE"/>
    <w:rsid w:val="00D645B1"/>
    <w:rsid w:val="00D70EFF"/>
    <w:rsid w:val="00D92A7D"/>
    <w:rsid w:val="00D94A48"/>
    <w:rsid w:val="00D96013"/>
    <w:rsid w:val="00D964E8"/>
    <w:rsid w:val="00D96BB9"/>
    <w:rsid w:val="00DA03DB"/>
    <w:rsid w:val="00DA245E"/>
    <w:rsid w:val="00DA7B7C"/>
    <w:rsid w:val="00DB1B46"/>
    <w:rsid w:val="00DB20DA"/>
    <w:rsid w:val="00DC1312"/>
    <w:rsid w:val="00DC5326"/>
    <w:rsid w:val="00DC57A1"/>
    <w:rsid w:val="00DD1774"/>
    <w:rsid w:val="00DD19CC"/>
    <w:rsid w:val="00DD5D1A"/>
    <w:rsid w:val="00DE0B1E"/>
    <w:rsid w:val="00DE1430"/>
    <w:rsid w:val="00DE2F54"/>
    <w:rsid w:val="00DE3E2A"/>
    <w:rsid w:val="00DE7C3D"/>
    <w:rsid w:val="00E0262F"/>
    <w:rsid w:val="00E02A54"/>
    <w:rsid w:val="00E05A2E"/>
    <w:rsid w:val="00E069E5"/>
    <w:rsid w:val="00E071E3"/>
    <w:rsid w:val="00E10615"/>
    <w:rsid w:val="00E12DED"/>
    <w:rsid w:val="00E13EFC"/>
    <w:rsid w:val="00E14E46"/>
    <w:rsid w:val="00E21C09"/>
    <w:rsid w:val="00E21E71"/>
    <w:rsid w:val="00E22C77"/>
    <w:rsid w:val="00E23F78"/>
    <w:rsid w:val="00E2521A"/>
    <w:rsid w:val="00E30ECD"/>
    <w:rsid w:val="00E31DE8"/>
    <w:rsid w:val="00E31E9E"/>
    <w:rsid w:val="00E34427"/>
    <w:rsid w:val="00E40FA0"/>
    <w:rsid w:val="00E45D7F"/>
    <w:rsid w:val="00E463E0"/>
    <w:rsid w:val="00E52CFA"/>
    <w:rsid w:val="00E56B42"/>
    <w:rsid w:val="00E62006"/>
    <w:rsid w:val="00E654F4"/>
    <w:rsid w:val="00E70355"/>
    <w:rsid w:val="00E71A87"/>
    <w:rsid w:val="00E7525C"/>
    <w:rsid w:val="00E7782A"/>
    <w:rsid w:val="00E85F25"/>
    <w:rsid w:val="00E9010D"/>
    <w:rsid w:val="00E91913"/>
    <w:rsid w:val="00E94E26"/>
    <w:rsid w:val="00EA1867"/>
    <w:rsid w:val="00EA2B73"/>
    <w:rsid w:val="00EA3282"/>
    <w:rsid w:val="00EA49BA"/>
    <w:rsid w:val="00EA7927"/>
    <w:rsid w:val="00EB2BC8"/>
    <w:rsid w:val="00EB34D0"/>
    <w:rsid w:val="00EB7F90"/>
    <w:rsid w:val="00ED1C12"/>
    <w:rsid w:val="00ED3FB3"/>
    <w:rsid w:val="00EE2FBC"/>
    <w:rsid w:val="00EE5655"/>
    <w:rsid w:val="00EE7BAC"/>
    <w:rsid w:val="00EF251A"/>
    <w:rsid w:val="00EF2ED8"/>
    <w:rsid w:val="00EF3B17"/>
    <w:rsid w:val="00F00211"/>
    <w:rsid w:val="00F11A38"/>
    <w:rsid w:val="00F1745E"/>
    <w:rsid w:val="00F21220"/>
    <w:rsid w:val="00F270E5"/>
    <w:rsid w:val="00F34F83"/>
    <w:rsid w:val="00F37B4C"/>
    <w:rsid w:val="00F40E48"/>
    <w:rsid w:val="00F46BC7"/>
    <w:rsid w:val="00F75188"/>
    <w:rsid w:val="00F76AC7"/>
    <w:rsid w:val="00F90143"/>
    <w:rsid w:val="00F902A1"/>
    <w:rsid w:val="00FA578D"/>
    <w:rsid w:val="00FB10C6"/>
    <w:rsid w:val="00FB2D92"/>
    <w:rsid w:val="00FC00E2"/>
    <w:rsid w:val="00FC2689"/>
    <w:rsid w:val="00FC6B80"/>
    <w:rsid w:val="00FD1AA9"/>
    <w:rsid w:val="00FD341F"/>
    <w:rsid w:val="00FF0417"/>
    <w:rsid w:val="00FF381E"/>
    <w:rsid w:val="00FF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3C"/>
    <w:pPr>
      <w:ind w:left="720"/>
      <w:contextualSpacing/>
    </w:pPr>
  </w:style>
  <w:style w:type="paragraph" w:customStyle="1" w:styleId="Default">
    <w:name w:val="Default"/>
    <w:rsid w:val="006225FA"/>
    <w:pPr>
      <w:autoSpaceDE w:val="0"/>
      <w:autoSpaceDN w:val="0"/>
      <w:adjustRightInd w:val="0"/>
      <w:spacing w:after="0" w:line="240" w:lineRule="auto"/>
    </w:pPr>
    <w:rPr>
      <w:rFonts w:ascii="Arial" w:hAnsi="Arial" w:cs="Arial"/>
      <w:color w:val="000000"/>
      <w:sz w:val="24"/>
      <w:szCs w:val="24"/>
    </w:rPr>
  </w:style>
  <w:style w:type="paragraph" w:styleId="Header">
    <w:name w:val="header"/>
    <w:aliases w:val=" Char,Char,Intestazione.int,Header1"/>
    <w:basedOn w:val="Normal"/>
    <w:link w:val="HeaderChar"/>
    <w:unhideWhenUsed/>
    <w:rsid w:val="003B2EEB"/>
    <w:pPr>
      <w:tabs>
        <w:tab w:val="center" w:pos="4680"/>
        <w:tab w:val="right" w:pos="9360"/>
      </w:tabs>
      <w:spacing w:after="0" w:line="240" w:lineRule="auto"/>
    </w:pPr>
  </w:style>
  <w:style w:type="character" w:customStyle="1" w:styleId="HeaderChar">
    <w:name w:val="Header Char"/>
    <w:aliases w:val=" Char Char,Char Char,Intestazione.int Char,Header1 Char"/>
    <w:basedOn w:val="DefaultParagraphFont"/>
    <w:link w:val="Header"/>
    <w:rsid w:val="003B2EEB"/>
  </w:style>
  <w:style w:type="paragraph" w:styleId="Footer">
    <w:name w:val="footer"/>
    <w:basedOn w:val="Normal"/>
    <w:link w:val="FooterChar"/>
    <w:uiPriority w:val="99"/>
    <w:unhideWhenUsed/>
    <w:rsid w:val="003B2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EEB"/>
  </w:style>
  <w:style w:type="paragraph" w:styleId="BalloonText">
    <w:name w:val="Balloon Text"/>
    <w:basedOn w:val="Normal"/>
    <w:link w:val="BalloonTextChar"/>
    <w:uiPriority w:val="99"/>
    <w:semiHidden/>
    <w:unhideWhenUsed/>
    <w:rsid w:val="00D13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64"/>
    <w:rPr>
      <w:rFonts w:ascii="Tahoma" w:hAnsi="Tahoma" w:cs="Tahoma"/>
      <w:sz w:val="16"/>
      <w:szCs w:val="16"/>
    </w:rPr>
  </w:style>
  <w:style w:type="table" w:styleId="TableGrid">
    <w:name w:val="Table Grid"/>
    <w:basedOn w:val="TableNormal"/>
    <w:uiPriority w:val="59"/>
    <w:rsid w:val="00EA4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34681A"/>
  </w:style>
  <w:style w:type="paragraph" w:styleId="BodyText">
    <w:name w:val="Body Text"/>
    <w:basedOn w:val="Normal"/>
    <w:link w:val="BodyTextChar"/>
    <w:rsid w:val="00DE7C3D"/>
    <w:pPr>
      <w:spacing w:after="0" w:line="240" w:lineRule="auto"/>
      <w:jc w:val="both"/>
    </w:pPr>
    <w:rPr>
      <w:rFonts w:ascii="Times New Roman" w:eastAsia="MS Mincho" w:hAnsi="Times New Roman" w:cs="Times New Roman"/>
      <w:sz w:val="24"/>
      <w:szCs w:val="24"/>
      <w:lang w:val="en-GB"/>
    </w:rPr>
  </w:style>
  <w:style w:type="character" w:customStyle="1" w:styleId="BodyTextChar">
    <w:name w:val="Body Text Char"/>
    <w:basedOn w:val="DefaultParagraphFont"/>
    <w:link w:val="BodyText"/>
    <w:rsid w:val="00DE7C3D"/>
    <w:rPr>
      <w:rFonts w:ascii="Times New Roman" w:eastAsia="MS Mincho" w:hAnsi="Times New Roman" w:cs="Times New Roman"/>
      <w:sz w:val="24"/>
      <w:szCs w:val="24"/>
      <w:lang w:val="en-GB"/>
    </w:rPr>
  </w:style>
  <w:style w:type="paragraph" w:styleId="NoSpacing">
    <w:name w:val="No Spacing"/>
    <w:uiPriority w:val="1"/>
    <w:qFormat/>
    <w:rsid w:val="00287853"/>
    <w:pPr>
      <w:spacing w:after="0" w:line="240" w:lineRule="auto"/>
    </w:pPr>
  </w:style>
  <w:style w:type="character" w:styleId="Hyperlink">
    <w:name w:val="Hyperlink"/>
    <w:basedOn w:val="DefaultParagraphFont"/>
    <w:uiPriority w:val="99"/>
    <w:unhideWhenUsed/>
    <w:rsid w:val="00AF2C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3C"/>
    <w:pPr>
      <w:ind w:left="720"/>
      <w:contextualSpacing/>
    </w:pPr>
  </w:style>
  <w:style w:type="paragraph" w:customStyle="1" w:styleId="Default">
    <w:name w:val="Default"/>
    <w:rsid w:val="006225FA"/>
    <w:pPr>
      <w:autoSpaceDE w:val="0"/>
      <w:autoSpaceDN w:val="0"/>
      <w:adjustRightInd w:val="0"/>
      <w:spacing w:after="0" w:line="240" w:lineRule="auto"/>
    </w:pPr>
    <w:rPr>
      <w:rFonts w:ascii="Arial" w:hAnsi="Arial" w:cs="Arial"/>
      <w:color w:val="000000"/>
      <w:sz w:val="24"/>
      <w:szCs w:val="24"/>
    </w:rPr>
  </w:style>
  <w:style w:type="paragraph" w:styleId="Header">
    <w:name w:val="header"/>
    <w:aliases w:val=" Char,Char,Intestazione.int,Header1"/>
    <w:basedOn w:val="Normal"/>
    <w:link w:val="HeaderChar"/>
    <w:unhideWhenUsed/>
    <w:rsid w:val="003B2EEB"/>
    <w:pPr>
      <w:tabs>
        <w:tab w:val="center" w:pos="4680"/>
        <w:tab w:val="right" w:pos="9360"/>
      </w:tabs>
      <w:spacing w:after="0" w:line="240" w:lineRule="auto"/>
    </w:pPr>
  </w:style>
  <w:style w:type="character" w:customStyle="1" w:styleId="HeaderChar">
    <w:name w:val="Header Char"/>
    <w:aliases w:val=" Char Char,Char Char,Intestazione.int Char,Header1 Char"/>
    <w:basedOn w:val="DefaultParagraphFont"/>
    <w:link w:val="Header"/>
    <w:rsid w:val="003B2EEB"/>
  </w:style>
  <w:style w:type="paragraph" w:styleId="Footer">
    <w:name w:val="footer"/>
    <w:basedOn w:val="Normal"/>
    <w:link w:val="FooterChar"/>
    <w:uiPriority w:val="99"/>
    <w:unhideWhenUsed/>
    <w:rsid w:val="003B2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EEB"/>
  </w:style>
  <w:style w:type="paragraph" w:styleId="BalloonText">
    <w:name w:val="Balloon Text"/>
    <w:basedOn w:val="Normal"/>
    <w:link w:val="BalloonTextChar"/>
    <w:uiPriority w:val="99"/>
    <w:semiHidden/>
    <w:unhideWhenUsed/>
    <w:rsid w:val="00D13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64"/>
    <w:rPr>
      <w:rFonts w:ascii="Tahoma" w:hAnsi="Tahoma" w:cs="Tahoma"/>
      <w:sz w:val="16"/>
      <w:szCs w:val="16"/>
    </w:rPr>
  </w:style>
  <w:style w:type="table" w:styleId="TableGrid">
    <w:name w:val="Table Grid"/>
    <w:basedOn w:val="TableNormal"/>
    <w:uiPriority w:val="59"/>
    <w:rsid w:val="00EA4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34681A"/>
  </w:style>
  <w:style w:type="paragraph" w:styleId="BodyText">
    <w:name w:val="Body Text"/>
    <w:basedOn w:val="Normal"/>
    <w:link w:val="BodyTextChar"/>
    <w:rsid w:val="00DE7C3D"/>
    <w:pPr>
      <w:spacing w:after="0" w:line="240" w:lineRule="auto"/>
      <w:jc w:val="both"/>
    </w:pPr>
    <w:rPr>
      <w:rFonts w:ascii="Times New Roman" w:eastAsia="MS Mincho" w:hAnsi="Times New Roman" w:cs="Times New Roman"/>
      <w:sz w:val="24"/>
      <w:szCs w:val="24"/>
      <w:lang w:val="en-GB"/>
    </w:rPr>
  </w:style>
  <w:style w:type="character" w:customStyle="1" w:styleId="BodyTextChar">
    <w:name w:val="Body Text Char"/>
    <w:basedOn w:val="DefaultParagraphFont"/>
    <w:link w:val="BodyText"/>
    <w:rsid w:val="00DE7C3D"/>
    <w:rPr>
      <w:rFonts w:ascii="Times New Roman" w:eastAsia="MS Mincho" w:hAnsi="Times New Roman" w:cs="Times New Roman"/>
      <w:sz w:val="24"/>
      <w:szCs w:val="24"/>
      <w:lang w:val="en-GB"/>
    </w:rPr>
  </w:style>
  <w:style w:type="paragraph" w:styleId="NoSpacing">
    <w:name w:val="No Spacing"/>
    <w:uiPriority w:val="1"/>
    <w:qFormat/>
    <w:rsid w:val="00287853"/>
    <w:pPr>
      <w:spacing w:after="0" w:line="240" w:lineRule="auto"/>
    </w:pPr>
  </w:style>
  <w:style w:type="character" w:styleId="Hyperlink">
    <w:name w:val="Hyperlink"/>
    <w:basedOn w:val="DefaultParagraphFont"/>
    <w:uiPriority w:val="99"/>
    <w:unhideWhenUsed/>
    <w:rsid w:val="00AF2C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7322">
      <w:bodyDiv w:val="1"/>
      <w:marLeft w:val="0"/>
      <w:marRight w:val="0"/>
      <w:marTop w:val="0"/>
      <w:marBottom w:val="0"/>
      <w:divBdr>
        <w:top w:val="none" w:sz="0" w:space="0" w:color="auto"/>
        <w:left w:val="none" w:sz="0" w:space="0" w:color="auto"/>
        <w:bottom w:val="none" w:sz="0" w:space="0" w:color="auto"/>
        <w:right w:val="none" w:sz="0" w:space="0" w:color="auto"/>
      </w:divBdr>
      <w:divsChild>
        <w:div w:id="557975428">
          <w:marLeft w:val="0"/>
          <w:marRight w:val="0"/>
          <w:marTop w:val="0"/>
          <w:marBottom w:val="0"/>
          <w:divBdr>
            <w:top w:val="none" w:sz="0" w:space="0" w:color="auto"/>
            <w:left w:val="none" w:sz="0" w:space="0" w:color="auto"/>
            <w:bottom w:val="none" w:sz="0" w:space="0" w:color="auto"/>
            <w:right w:val="none" w:sz="0" w:space="0" w:color="auto"/>
          </w:divBdr>
        </w:div>
        <w:div w:id="1297299020">
          <w:marLeft w:val="0"/>
          <w:marRight w:val="0"/>
          <w:marTop w:val="0"/>
          <w:marBottom w:val="0"/>
          <w:divBdr>
            <w:top w:val="none" w:sz="0" w:space="0" w:color="auto"/>
            <w:left w:val="none" w:sz="0" w:space="0" w:color="auto"/>
            <w:bottom w:val="none" w:sz="0" w:space="0" w:color="auto"/>
            <w:right w:val="none" w:sz="0" w:space="0" w:color="auto"/>
          </w:divBdr>
        </w:div>
      </w:divsChild>
    </w:div>
    <w:div w:id="458652596">
      <w:bodyDiv w:val="1"/>
      <w:marLeft w:val="0"/>
      <w:marRight w:val="0"/>
      <w:marTop w:val="0"/>
      <w:marBottom w:val="0"/>
      <w:divBdr>
        <w:top w:val="none" w:sz="0" w:space="0" w:color="auto"/>
        <w:left w:val="none" w:sz="0" w:space="0" w:color="auto"/>
        <w:bottom w:val="none" w:sz="0" w:space="0" w:color="auto"/>
        <w:right w:val="none" w:sz="0" w:space="0" w:color="auto"/>
      </w:divBdr>
    </w:div>
    <w:div w:id="891771441">
      <w:bodyDiv w:val="1"/>
      <w:marLeft w:val="0"/>
      <w:marRight w:val="0"/>
      <w:marTop w:val="0"/>
      <w:marBottom w:val="0"/>
      <w:divBdr>
        <w:top w:val="none" w:sz="0" w:space="0" w:color="auto"/>
        <w:left w:val="none" w:sz="0" w:space="0" w:color="auto"/>
        <w:bottom w:val="none" w:sz="0" w:space="0" w:color="auto"/>
        <w:right w:val="none" w:sz="0" w:space="0" w:color="auto"/>
      </w:divBdr>
      <w:divsChild>
        <w:div w:id="1133451084">
          <w:marLeft w:val="0"/>
          <w:marRight w:val="0"/>
          <w:marTop w:val="0"/>
          <w:marBottom w:val="0"/>
          <w:divBdr>
            <w:top w:val="none" w:sz="0" w:space="0" w:color="auto"/>
            <w:left w:val="none" w:sz="0" w:space="0" w:color="auto"/>
            <w:bottom w:val="none" w:sz="0" w:space="0" w:color="auto"/>
            <w:right w:val="none" w:sz="0" w:space="0" w:color="auto"/>
          </w:divBdr>
        </w:div>
        <w:div w:id="1217157247">
          <w:marLeft w:val="0"/>
          <w:marRight w:val="0"/>
          <w:marTop w:val="0"/>
          <w:marBottom w:val="0"/>
          <w:divBdr>
            <w:top w:val="none" w:sz="0" w:space="0" w:color="auto"/>
            <w:left w:val="none" w:sz="0" w:space="0" w:color="auto"/>
            <w:bottom w:val="none" w:sz="0" w:space="0" w:color="auto"/>
            <w:right w:val="none" w:sz="0" w:space="0" w:color="auto"/>
          </w:divBdr>
        </w:div>
        <w:div w:id="538008357">
          <w:marLeft w:val="0"/>
          <w:marRight w:val="0"/>
          <w:marTop w:val="0"/>
          <w:marBottom w:val="0"/>
          <w:divBdr>
            <w:top w:val="none" w:sz="0" w:space="0" w:color="auto"/>
            <w:left w:val="none" w:sz="0" w:space="0" w:color="auto"/>
            <w:bottom w:val="none" w:sz="0" w:space="0" w:color="auto"/>
            <w:right w:val="none" w:sz="0" w:space="0" w:color="auto"/>
          </w:divBdr>
        </w:div>
        <w:div w:id="783889203">
          <w:marLeft w:val="0"/>
          <w:marRight w:val="0"/>
          <w:marTop w:val="0"/>
          <w:marBottom w:val="0"/>
          <w:divBdr>
            <w:top w:val="none" w:sz="0" w:space="0" w:color="auto"/>
            <w:left w:val="none" w:sz="0" w:space="0" w:color="auto"/>
            <w:bottom w:val="none" w:sz="0" w:space="0" w:color="auto"/>
            <w:right w:val="none" w:sz="0" w:space="0" w:color="auto"/>
          </w:divBdr>
        </w:div>
      </w:divsChild>
    </w:div>
    <w:div w:id="902984991">
      <w:bodyDiv w:val="1"/>
      <w:marLeft w:val="0"/>
      <w:marRight w:val="0"/>
      <w:marTop w:val="0"/>
      <w:marBottom w:val="0"/>
      <w:divBdr>
        <w:top w:val="none" w:sz="0" w:space="0" w:color="auto"/>
        <w:left w:val="none" w:sz="0" w:space="0" w:color="auto"/>
        <w:bottom w:val="none" w:sz="0" w:space="0" w:color="auto"/>
        <w:right w:val="none" w:sz="0" w:space="0" w:color="auto"/>
      </w:divBdr>
      <w:divsChild>
        <w:div w:id="1958952397">
          <w:marLeft w:val="0"/>
          <w:marRight w:val="0"/>
          <w:marTop w:val="0"/>
          <w:marBottom w:val="0"/>
          <w:divBdr>
            <w:top w:val="none" w:sz="0" w:space="0" w:color="auto"/>
            <w:left w:val="none" w:sz="0" w:space="0" w:color="auto"/>
            <w:bottom w:val="none" w:sz="0" w:space="0" w:color="auto"/>
            <w:right w:val="none" w:sz="0" w:space="0" w:color="auto"/>
          </w:divBdr>
        </w:div>
        <w:div w:id="1774324208">
          <w:marLeft w:val="0"/>
          <w:marRight w:val="0"/>
          <w:marTop w:val="0"/>
          <w:marBottom w:val="0"/>
          <w:divBdr>
            <w:top w:val="none" w:sz="0" w:space="0" w:color="auto"/>
            <w:left w:val="none" w:sz="0" w:space="0" w:color="auto"/>
            <w:bottom w:val="none" w:sz="0" w:space="0" w:color="auto"/>
            <w:right w:val="none" w:sz="0" w:space="0" w:color="auto"/>
          </w:divBdr>
        </w:div>
        <w:div w:id="1335766718">
          <w:marLeft w:val="0"/>
          <w:marRight w:val="0"/>
          <w:marTop w:val="0"/>
          <w:marBottom w:val="0"/>
          <w:divBdr>
            <w:top w:val="none" w:sz="0" w:space="0" w:color="auto"/>
            <w:left w:val="none" w:sz="0" w:space="0" w:color="auto"/>
            <w:bottom w:val="none" w:sz="0" w:space="0" w:color="auto"/>
            <w:right w:val="none" w:sz="0" w:space="0" w:color="auto"/>
          </w:divBdr>
        </w:div>
      </w:divsChild>
    </w:div>
    <w:div w:id="1103304434">
      <w:bodyDiv w:val="1"/>
      <w:marLeft w:val="0"/>
      <w:marRight w:val="0"/>
      <w:marTop w:val="0"/>
      <w:marBottom w:val="0"/>
      <w:divBdr>
        <w:top w:val="none" w:sz="0" w:space="0" w:color="auto"/>
        <w:left w:val="none" w:sz="0" w:space="0" w:color="auto"/>
        <w:bottom w:val="none" w:sz="0" w:space="0" w:color="auto"/>
        <w:right w:val="none" w:sz="0" w:space="0" w:color="auto"/>
      </w:divBdr>
      <w:divsChild>
        <w:div w:id="1490096762">
          <w:marLeft w:val="0"/>
          <w:marRight w:val="0"/>
          <w:marTop w:val="0"/>
          <w:marBottom w:val="0"/>
          <w:divBdr>
            <w:top w:val="none" w:sz="0" w:space="0" w:color="auto"/>
            <w:left w:val="none" w:sz="0" w:space="0" w:color="auto"/>
            <w:bottom w:val="none" w:sz="0" w:space="0" w:color="auto"/>
            <w:right w:val="none" w:sz="0" w:space="0" w:color="auto"/>
          </w:divBdr>
        </w:div>
        <w:div w:id="1727995898">
          <w:marLeft w:val="0"/>
          <w:marRight w:val="0"/>
          <w:marTop w:val="0"/>
          <w:marBottom w:val="0"/>
          <w:divBdr>
            <w:top w:val="none" w:sz="0" w:space="0" w:color="auto"/>
            <w:left w:val="none" w:sz="0" w:space="0" w:color="auto"/>
            <w:bottom w:val="none" w:sz="0" w:space="0" w:color="auto"/>
            <w:right w:val="none" w:sz="0" w:space="0" w:color="auto"/>
          </w:divBdr>
        </w:div>
        <w:div w:id="1211380831">
          <w:marLeft w:val="0"/>
          <w:marRight w:val="0"/>
          <w:marTop w:val="0"/>
          <w:marBottom w:val="0"/>
          <w:divBdr>
            <w:top w:val="none" w:sz="0" w:space="0" w:color="auto"/>
            <w:left w:val="none" w:sz="0" w:space="0" w:color="auto"/>
            <w:bottom w:val="none" w:sz="0" w:space="0" w:color="auto"/>
            <w:right w:val="none" w:sz="0" w:space="0" w:color="auto"/>
          </w:divBdr>
        </w:div>
      </w:divsChild>
    </w:div>
    <w:div w:id="1152796611">
      <w:bodyDiv w:val="1"/>
      <w:marLeft w:val="0"/>
      <w:marRight w:val="0"/>
      <w:marTop w:val="0"/>
      <w:marBottom w:val="0"/>
      <w:divBdr>
        <w:top w:val="none" w:sz="0" w:space="0" w:color="auto"/>
        <w:left w:val="none" w:sz="0" w:space="0" w:color="auto"/>
        <w:bottom w:val="none" w:sz="0" w:space="0" w:color="auto"/>
        <w:right w:val="none" w:sz="0" w:space="0" w:color="auto"/>
      </w:divBdr>
      <w:divsChild>
        <w:div w:id="340669540">
          <w:marLeft w:val="0"/>
          <w:marRight w:val="0"/>
          <w:marTop w:val="0"/>
          <w:marBottom w:val="0"/>
          <w:divBdr>
            <w:top w:val="none" w:sz="0" w:space="0" w:color="auto"/>
            <w:left w:val="none" w:sz="0" w:space="0" w:color="auto"/>
            <w:bottom w:val="none" w:sz="0" w:space="0" w:color="auto"/>
            <w:right w:val="none" w:sz="0" w:space="0" w:color="auto"/>
          </w:divBdr>
        </w:div>
        <w:div w:id="207187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9D7F-8070-4C3A-B7FC-C304A59C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liljana mamadhaj</dc:creator>
  <cp:lastModifiedBy>julvit shazivari</cp:lastModifiedBy>
  <cp:revision>83</cp:revision>
  <cp:lastPrinted>2017-07-26T16:50:00Z</cp:lastPrinted>
  <dcterms:created xsi:type="dcterms:W3CDTF">2017-04-25T07:48:00Z</dcterms:created>
  <dcterms:modified xsi:type="dcterms:W3CDTF">2017-10-16T07:32:00Z</dcterms:modified>
</cp:coreProperties>
</file>