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D7444" w:rsidRPr="000F3C01" w:rsidTr="00870A11">
        <w:tc>
          <w:tcPr>
            <w:tcW w:w="4788" w:type="dxa"/>
          </w:tcPr>
          <w:p w:rsidR="005E0819" w:rsidRDefault="00C307E4" w:rsidP="008D74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D7444" w:rsidRPr="005E08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E08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D7444" w:rsidRPr="005E08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BDA" w:rsidRPr="005E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1800" cy="408552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17" cy="413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D7444" w:rsidRPr="005E08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7444" w:rsidRPr="005E0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R A F T                                                                                                </w:t>
            </w:r>
          </w:p>
          <w:p w:rsidR="005E0819" w:rsidRDefault="005E0819" w:rsidP="008D74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444" w:rsidRPr="005E0819" w:rsidRDefault="008D7444" w:rsidP="008D74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19">
              <w:rPr>
                <w:rFonts w:ascii="Times New Roman" w:hAnsi="Times New Roman" w:cs="Times New Roman"/>
                <w:b/>
                <w:sz w:val="24"/>
                <w:szCs w:val="24"/>
              </w:rPr>
              <w:t>L A W</w:t>
            </w:r>
          </w:p>
          <w:p w:rsidR="008D7444" w:rsidRPr="005E0819" w:rsidRDefault="008D7444" w:rsidP="008D744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19">
              <w:rPr>
                <w:rFonts w:ascii="Times New Roman" w:hAnsi="Times New Roman" w:cs="Times New Roman"/>
                <w:b/>
                <w:sz w:val="24"/>
                <w:szCs w:val="24"/>
              </w:rPr>
              <w:t>No. ------ date-------------</w:t>
            </w:r>
          </w:p>
          <w:p w:rsidR="008D7444" w:rsidRPr="005E0819" w:rsidRDefault="008D7444" w:rsidP="008D744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FOR A CHANGE IN THE LAW NO. </w:t>
            </w:r>
            <w:r w:rsidRPr="005E08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9920,</w:t>
            </w:r>
            <w:r w:rsidRPr="005E081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  DATE </w:t>
            </w:r>
            <w:r w:rsidRPr="005E08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19.5.2008</w:t>
            </w:r>
            <w:r w:rsidRPr="005E081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 "ON TAX PROCEDURES IN THE REPUBLIC OF ALBANIA"</w:t>
            </w:r>
          </w:p>
          <w:p w:rsidR="008D7444" w:rsidRPr="005E0819" w:rsidRDefault="008D7444" w:rsidP="008D74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Subsequent to Articles 78, 81 section 1 and Article 83 section 1 of the Constitution, with the proposal of the Council of Ministers,</w:t>
            </w:r>
          </w:p>
          <w:p w:rsidR="008D7444" w:rsidRPr="005E0819" w:rsidRDefault="008D7444" w:rsidP="008D744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4"/>
                <w:szCs w:val="24"/>
              </w:rPr>
              <w:t>THE ASSEMBLY OF THE REPUBLIC OF ALBANIA</w:t>
            </w:r>
          </w:p>
          <w:p w:rsidR="008D7444" w:rsidRPr="005E0819" w:rsidRDefault="008D7444" w:rsidP="008D744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z w:val="24"/>
                <w:szCs w:val="24"/>
              </w:rPr>
              <w:t>DECIDED:</w:t>
            </w:r>
          </w:p>
          <w:p w:rsidR="008D7444" w:rsidRPr="005E0819" w:rsidRDefault="008D7444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88" w:type="dxa"/>
          </w:tcPr>
          <w:p w:rsidR="008D7444" w:rsidRPr="005E0819" w:rsidRDefault="005E0819" w:rsidP="00433BDA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                  </w:t>
            </w:r>
            <w:r w:rsidR="00433BDA"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     </w:t>
            </w:r>
            <w:r w:rsidR="00433BDA" w:rsidRPr="005E081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31673" cy="408432"/>
                  <wp:effectExtent l="19050" t="0" r="647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17" cy="413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</w:t>
            </w:r>
            <w:r w:rsidR="00D756E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8D7444"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 R</w:t>
            </w:r>
            <w:r w:rsidR="00DD1D5F"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="008D7444"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O J E K T</w:t>
            </w:r>
          </w:p>
          <w:p w:rsidR="008D7444" w:rsidRPr="005E0819" w:rsidRDefault="00433BDA" w:rsidP="008D74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 xml:space="preserve">                                     </w:t>
            </w: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L I G J</w:t>
            </w: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Nr.____ datë _____</w:t>
            </w: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PER NJE NDRYSHIM NE LIGJIN NR.9920, DATE 19.05.2008 “PER PROCEDURAT TATIMORE NE REPUBLIKEN E SHQIPERISE”</w:t>
            </w: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8D7444" w:rsidRPr="005E0819" w:rsidRDefault="008D7444" w:rsidP="008D7444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Në mbështetje të neneve 78, 81 pika 1 dhe 83 pika 1 të Kushtetutës, me propozim të Këshillit të Ministrave,</w:t>
            </w:r>
          </w:p>
          <w:p w:rsidR="008D7444" w:rsidRPr="005E0819" w:rsidRDefault="008D7444" w:rsidP="008D7444">
            <w:pPr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KUVENDI I REPUBLIKES SE SHQIPERISE</w:t>
            </w: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8D7444" w:rsidRPr="005E0819" w:rsidRDefault="008D7444" w:rsidP="008D74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VENDOSI:</w:t>
            </w:r>
          </w:p>
          <w:p w:rsidR="008D7444" w:rsidRPr="005E0819" w:rsidRDefault="008D7444" w:rsidP="00D3759F">
            <w:pPr>
              <w:shd w:val="clear" w:color="auto" w:fill="FFFFFF"/>
              <w:spacing w:before="24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</w:p>
        </w:tc>
      </w:tr>
      <w:tr w:rsidR="00870A11" w:rsidRPr="000F3C01" w:rsidTr="00870A11">
        <w:tc>
          <w:tcPr>
            <w:tcW w:w="4788" w:type="dxa"/>
          </w:tcPr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it-IT"/>
              </w:rPr>
            </w:pPr>
          </w:p>
          <w:p w:rsidR="000461E5" w:rsidRDefault="000461E5" w:rsidP="000461E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Article 1</w:t>
            </w:r>
          </w:p>
          <w:p w:rsidR="000461E5" w:rsidRDefault="000461E5" w:rsidP="00CE2A1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0461E5" w:rsidRPr="000461E5" w:rsidRDefault="000461E5" w:rsidP="000461E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Subparagraph</w:t>
            </w: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“dh”</w:t>
            </w:r>
            <w:r w:rsidR="000F3C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of paragraph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of Article 71</w:t>
            </w:r>
            <w:r w:rsidR="000F3C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is revoked.</w:t>
            </w:r>
          </w:p>
          <w:p w:rsidR="000461E5" w:rsidRDefault="000461E5" w:rsidP="00CE2A1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D3759F" w:rsidRPr="005E0819" w:rsidRDefault="000461E5" w:rsidP="00B3141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Article 2</w:t>
            </w: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After Article 115, is added Article 115/1, as follows:</w:t>
            </w: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Article 115/1 </w:t>
            </w: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4D56FF" w:rsidRPr="005E0819" w:rsidRDefault="00D3759F" w:rsidP="00D3759F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Penalties related to transfer pricing</w:t>
            </w:r>
          </w:p>
          <w:p w:rsidR="004D56FF" w:rsidRPr="005E0819" w:rsidRDefault="004D56FF" w:rsidP="00274A0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70A11" w:rsidRPr="005E0819" w:rsidRDefault="00274A0C" w:rsidP="004807DE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 In the case of failure to submi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 time </w:t>
            </w:r>
            <w:r w:rsidR="00046A3C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“Annual c</w:t>
            </w:r>
            <w:r w:rsidR="00C307E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ontrolled transaction </w:t>
            </w:r>
            <w:r w:rsidR="009232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notice</w:t>
            </w:r>
            <w:r w:rsidR="00C307E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” 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 conformity with the related provisions of the Instruction of the Minister of Finance “On Transfer Pricing”, the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taxpayer shal</w:t>
            </w:r>
            <w:r w:rsidR="004D56F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 be punished with a fixed fine of 10.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000 ALL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for each month of delay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5653B2" w:rsidRPr="005E0819" w:rsidRDefault="005653B2" w:rsidP="004807DE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274A0C" w:rsidRPr="005E0819" w:rsidRDefault="00274A0C" w:rsidP="004807DE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2. 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9518A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case of </w:t>
            </w:r>
            <w:r w:rsidR="0016338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adjustment of tax dues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for transfer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pricing</w:t>
            </w:r>
            <w:r w:rsidR="0016338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purpose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under Article 36 of the Law no.8438, date 28.12.1998 “On Income Tax (amended)” taxpayers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are 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punished </w:t>
            </w:r>
            <w:r w:rsidR="00F00DF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in conformity with Article 114 “Failure to pay in due time the tax obligation or contribution” of the Law no.9920, date 19.05.2008 “On Tax Procedures in the Republic of Albania, amended”. </w:t>
            </w:r>
          </w:p>
          <w:p w:rsidR="00C663D4" w:rsidRPr="005E0819" w:rsidRDefault="00C663D4" w:rsidP="004807DE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4D56FF" w:rsidRPr="005E0819" w:rsidRDefault="004D56FF" w:rsidP="004807DE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3.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 case of adjustment of tax dues for transfer pricing purpose under Article 36 of the Law no.8438, date 28.12.1998 “On Income Tax</w:t>
            </w:r>
            <w:r w:rsidR="007C6BAC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7C6BAC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amended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” for the taxpayers which have filed and sent to the tax authorities the transfer pricing documentation as defined in </w:t>
            </w:r>
            <w:r w:rsidR="00C663D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Article 36/5 of the above-mentioned law and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the Instruction of the Minister of Finance “On Transfer Pricing”, those taxpayers are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required to pay only the additional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tax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obligation and interests</w:t>
            </w:r>
            <w:r w:rsidR="0016338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but no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</w:t>
            </w:r>
            <w:r w:rsidR="0016338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penalties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4D56FF" w:rsidRPr="005E0819" w:rsidRDefault="004D56FF" w:rsidP="0041688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0461E5" w:rsidRDefault="000461E5" w:rsidP="00CE2A10">
            <w:pPr>
              <w:shd w:val="clear" w:color="auto" w:fill="FFFFFF"/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lastRenderedPageBreak/>
              <w:t>Neni 1</w:t>
            </w:r>
          </w:p>
          <w:p w:rsidR="000461E5" w:rsidRPr="000461E5" w:rsidRDefault="000461E5" w:rsidP="000461E5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Gërma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“</w:t>
            </w: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dh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”</w:t>
            </w: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e </w:t>
            </w:r>
            <w:r w:rsidR="000F3C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paragrafit</w:t>
            </w: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t</w:t>
            </w:r>
            <w:r w:rsidRPr="00046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nenit 71</w:t>
            </w:r>
            <w:r w:rsidR="000F3C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shfuqizohet.</w:t>
            </w:r>
          </w:p>
          <w:p w:rsidR="004D56FF" w:rsidRPr="005E0819" w:rsidRDefault="000461E5" w:rsidP="00B3141B">
            <w:pPr>
              <w:shd w:val="clear" w:color="auto" w:fill="FFFFFF"/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>Neni 2</w:t>
            </w:r>
          </w:p>
          <w:p w:rsidR="00D3759F" w:rsidRPr="005E0819" w:rsidRDefault="00D3759F" w:rsidP="00870A11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Pas Nenit 115, shtohet Neni 115/1 me përmbajtjen që vijon: </w:t>
            </w:r>
          </w:p>
          <w:p w:rsidR="00D3759F" w:rsidRPr="005E0819" w:rsidRDefault="00D3759F" w:rsidP="00870A11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Neni 115/1</w:t>
            </w:r>
          </w:p>
          <w:p w:rsidR="00D3759F" w:rsidRPr="005E0819" w:rsidRDefault="00D3759F" w:rsidP="00870A11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>Dënime lidhur me transferimin e çmimit</w:t>
            </w:r>
          </w:p>
          <w:p w:rsidR="00870A11" w:rsidRPr="005E0819" w:rsidRDefault="00870A11" w:rsidP="00870A11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1. Në rast të 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mosparaqitjes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në kohë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të </w:t>
            </w:r>
            <w:r w:rsidR="005653B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“</w:t>
            </w:r>
            <w:r w:rsidR="009232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Noftimit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të</w:t>
            </w:r>
            <w:r w:rsidR="005653B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transaksione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ve vjetore të kontrolluara” në përputhje me dispozitat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përkatëse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</w:t>
            </w:r>
            <w:r w:rsidR="00B1121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të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Udhëzimit të Ministrit të Financave “Për Transferimin e Çmimit” </w:t>
            </w:r>
            <w:r w:rsidR="005653B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tatimpagues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i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dënohet me një gjobë fikse prej 10.000 lekë</w:t>
            </w:r>
            <w:r w:rsidR="009375B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, për çdo muaj vonesë. </w:t>
            </w:r>
          </w:p>
          <w:p w:rsidR="00F00DF2" w:rsidRPr="005E0819" w:rsidRDefault="00870A11" w:rsidP="00F00DF2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2. 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N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ë rast rregullimesh të </w:t>
            </w:r>
            <w:r w:rsidR="0016338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d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etyrimeve tatimore 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lastRenderedPageBreak/>
              <w:t>për efekt të transferimit të çmimit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në bazë të dispozitave të nenit 36 të Ligjit nr. 8438, date 28.12.1998 “Për Tatimin mbi të Ardhurat</w:t>
            </w:r>
            <w:r w:rsidR="00F00DF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,</w:t>
            </w:r>
            <w:r w:rsidR="00DD1D5F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i ndryshuar”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, </w:t>
            </w:r>
            <w:r w:rsidR="00E31E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tatimpaguesit dënohen </w:t>
            </w:r>
            <w:r w:rsidR="00F00DF2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sipas Nenit 114 “Mospagimi në afat i detyrimit tatimor apo kontributit” të Ligjit nr. 9920, datë 19.05.2008 “Për procedurat ne Republiken e Shqiperise, i ndryshuar”.</w:t>
            </w:r>
          </w:p>
          <w:p w:rsidR="00870A11" w:rsidRPr="005E0819" w:rsidRDefault="00F00DF2" w:rsidP="00C663D4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3.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Në rast rregullimesh të detyrimeve tatimore për efekt të transferimit të çmimit në bazë të dispozitave të nenit 36 të Ligjit nr. 8438, date 28.12.1998 “Për Tatimin mbi të Ardhurat</w:t>
            </w:r>
            <w:r w:rsidR="007C6BAC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,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ndryshuar”, 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ndaj </w:t>
            </w:r>
            <w:r w:rsidR="0041688A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tatimpagues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ve të cilët kanë plotesuar dhe kanë paraqitur në organet tatimore 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dokumentacionin e transferimit të çmimit</w:t>
            </w:r>
            <w:r w:rsidR="00C663D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 siç </w:t>
            </w:r>
            <w:r w:rsidR="009232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përcaktohet në Nenin 36/5 të li</w:t>
            </w:r>
            <w:r w:rsidR="00C663D4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gjit të sipër-përmendur dhe Udhëzimit të Ministrit të Financave  “Për Transferimin e Çmimit”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, 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 xml:space="preserve">këta tatimpagues janë të 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detyruar të paguaj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n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ë vetëm detyrimin shtesë dhe inter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e</w:t>
            </w:r>
            <w:r w:rsidR="00870A11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sat</w:t>
            </w:r>
            <w:r w:rsidR="00325B35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, por jo gjoba.</w:t>
            </w:r>
          </w:p>
        </w:tc>
      </w:tr>
      <w:tr w:rsidR="00D3759F" w:rsidRPr="005E0819" w:rsidTr="00870A11">
        <w:tc>
          <w:tcPr>
            <w:tcW w:w="4788" w:type="dxa"/>
          </w:tcPr>
          <w:p w:rsidR="00D3759F" w:rsidRDefault="00B3141B" w:rsidP="00A4334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>Article 3</w:t>
            </w:r>
          </w:p>
          <w:p w:rsidR="00A43349" w:rsidRPr="005E0819" w:rsidRDefault="00A43349" w:rsidP="00A4334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Entry into force</w:t>
            </w:r>
          </w:p>
          <w:p w:rsidR="00D3759F" w:rsidRPr="005E0819" w:rsidRDefault="00D3759F" w:rsidP="00D3759F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D3759F" w:rsidRPr="005E0819" w:rsidRDefault="00D3759F" w:rsidP="004807D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This Law enters into force on January 1, </w:t>
            </w:r>
            <w:r w:rsidR="004807D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</w:t>
            </w: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014</w:t>
            </w:r>
            <w:r w:rsidR="004807D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D3759F" w:rsidRDefault="00B3141B" w:rsidP="00A43349">
            <w:pPr>
              <w:shd w:val="clear" w:color="auto" w:fill="FFFFFF"/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>Neni 3</w:t>
            </w:r>
          </w:p>
          <w:p w:rsidR="00A43349" w:rsidRPr="005E0819" w:rsidRDefault="00A43349" w:rsidP="00A43349">
            <w:pPr>
              <w:shd w:val="clear" w:color="auto" w:fill="FFFFFF"/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>Hyrja n</w:t>
            </w:r>
            <w:r w:rsidRPr="00A43349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  <w:t xml:space="preserve"> fuqi</w:t>
            </w:r>
          </w:p>
          <w:p w:rsidR="00D3759F" w:rsidRDefault="00D3759F" w:rsidP="00D3759F">
            <w:pPr>
              <w:shd w:val="clear" w:color="auto" w:fill="FFFFFF"/>
              <w:spacing w:before="240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Ky Ligj hyn në fuqi më 1 Janar, 2014</w:t>
            </w:r>
            <w:r w:rsidR="004807DE" w:rsidRPr="005E08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q-AL"/>
              </w:rPr>
              <w:t>.</w:t>
            </w:r>
          </w:p>
          <w:p w:rsidR="003F4087" w:rsidRPr="005E0819" w:rsidRDefault="003F4087" w:rsidP="00D3759F">
            <w:pPr>
              <w:shd w:val="clear" w:color="auto" w:fill="FFFFFF"/>
              <w:spacing w:before="240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sq-AL"/>
              </w:rPr>
            </w:pPr>
          </w:p>
        </w:tc>
      </w:tr>
    </w:tbl>
    <w:p w:rsidR="00870A11" w:rsidRPr="005E0819" w:rsidRDefault="00870A11" w:rsidP="00870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</w:p>
    <w:p w:rsidR="00870A11" w:rsidRPr="005E0819" w:rsidRDefault="00870A11" w:rsidP="00870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</w:p>
    <w:p w:rsidR="00870A11" w:rsidRPr="005E0819" w:rsidRDefault="00870A11" w:rsidP="00870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q-AL"/>
        </w:rPr>
      </w:pPr>
    </w:p>
    <w:sectPr w:rsidR="00870A11" w:rsidRPr="005E0819" w:rsidSect="005C4F7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A2" w:rsidRDefault="000929A2" w:rsidP="00D756EE">
      <w:pPr>
        <w:spacing w:after="0" w:line="240" w:lineRule="auto"/>
      </w:pPr>
      <w:r>
        <w:separator/>
      </w:r>
    </w:p>
  </w:endnote>
  <w:endnote w:type="continuationSeparator" w:id="0">
    <w:p w:rsidR="000929A2" w:rsidRDefault="000929A2" w:rsidP="00D7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021"/>
      <w:docPartObj>
        <w:docPartGallery w:val="Page Numbers (Bottom of Page)"/>
        <w:docPartUnique/>
      </w:docPartObj>
    </w:sdtPr>
    <w:sdtContent>
      <w:p w:rsidR="00D756EE" w:rsidRDefault="00ED37F2">
        <w:pPr>
          <w:pStyle w:val="Footer"/>
          <w:jc w:val="right"/>
        </w:pPr>
        <w:fldSimple w:instr=" PAGE   \* MERGEFORMAT ">
          <w:r w:rsidR="000929A2">
            <w:rPr>
              <w:noProof/>
            </w:rPr>
            <w:t>1</w:t>
          </w:r>
        </w:fldSimple>
      </w:p>
    </w:sdtContent>
  </w:sdt>
  <w:p w:rsidR="00D756EE" w:rsidRDefault="00D75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A2" w:rsidRDefault="000929A2" w:rsidP="00D756EE">
      <w:pPr>
        <w:spacing w:after="0" w:line="240" w:lineRule="auto"/>
      </w:pPr>
      <w:r>
        <w:separator/>
      </w:r>
    </w:p>
  </w:footnote>
  <w:footnote w:type="continuationSeparator" w:id="0">
    <w:p w:rsidR="000929A2" w:rsidRDefault="000929A2" w:rsidP="00D7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5F03"/>
    <w:multiLevelType w:val="hybridMultilevel"/>
    <w:tmpl w:val="42D4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46064"/>
    <w:multiLevelType w:val="hybridMultilevel"/>
    <w:tmpl w:val="6AA6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0A11"/>
    <w:rsid w:val="00000EC7"/>
    <w:rsid w:val="000461E5"/>
    <w:rsid w:val="00046A3C"/>
    <w:rsid w:val="000929A2"/>
    <w:rsid w:val="000F3C01"/>
    <w:rsid w:val="00117567"/>
    <w:rsid w:val="00147938"/>
    <w:rsid w:val="00163385"/>
    <w:rsid w:val="0022157A"/>
    <w:rsid w:val="00244CE6"/>
    <w:rsid w:val="00274A0C"/>
    <w:rsid w:val="00304057"/>
    <w:rsid w:val="00325B35"/>
    <w:rsid w:val="003610B0"/>
    <w:rsid w:val="0037726B"/>
    <w:rsid w:val="003D1F7F"/>
    <w:rsid w:val="003F4087"/>
    <w:rsid w:val="00413491"/>
    <w:rsid w:val="0041688A"/>
    <w:rsid w:val="00433BDA"/>
    <w:rsid w:val="004807DE"/>
    <w:rsid w:val="004940B0"/>
    <w:rsid w:val="004D56FF"/>
    <w:rsid w:val="00516256"/>
    <w:rsid w:val="005653B2"/>
    <w:rsid w:val="005C4F75"/>
    <w:rsid w:val="005E0819"/>
    <w:rsid w:val="007C6BAC"/>
    <w:rsid w:val="0083701B"/>
    <w:rsid w:val="00870A11"/>
    <w:rsid w:val="008766A1"/>
    <w:rsid w:val="008D7444"/>
    <w:rsid w:val="00923212"/>
    <w:rsid w:val="009375BE"/>
    <w:rsid w:val="009518AE"/>
    <w:rsid w:val="00997E34"/>
    <w:rsid w:val="009E648B"/>
    <w:rsid w:val="00A43349"/>
    <w:rsid w:val="00B11214"/>
    <w:rsid w:val="00B3141B"/>
    <w:rsid w:val="00B35F0D"/>
    <w:rsid w:val="00B907A0"/>
    <w:rsid w:val="00BD4D6F"/>
    <w:rsid w:val="00C044D7"/>
    <w:rsid w:val="00C307E4"/>
    <w:rsid w:val="00C663D4"/>
    <w:rsid w:val="00C7513D"/>
    <w:rsid w:val="00C77913"/>
    <w:rsid w:val="00C83B27"/>
    <w:rsid w:val="00C90573"/>
    <w:rsid w:val="00CE2A10"/>
    <w:rsid w:val="00CF0A5E"/>
    <w:rsid w:val="00D27453"/>
    <w:rsid w:val="00D3759F"/>
    <w:rsid w:val="00D756EE"/>
    <w:rsid w:val="00DB20BD"/>
    <w:rsid w:val="00DD1D5F"/>
    <w:rsid w:val="00E31E8A"/>
    <w:rsid w:val="00E66E1B"/>
    <w:rsid w:val="00EB6DFD"/>
    <w:rsid w:val="00ED37F2"/>
    <w:rsid w:val="00F00DF2"/>
    <w:rsid w:val="00F7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0A11"/>
  </w:style>
  <w:style w:type="table" w:styleId="TableGrid">
    <w:name w:val="Table Grid"/>
    <w:basedOn w:val="TableNormal"/>
    <w:uiPriority w:val="59"/>
    <w:rsid w:val="00870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0A11"/>
    <w:pPr>
      <w:ind w:left="720"/>
      <w:contextualSpacing/>
    </w:pPr>
  </w:style>
  <w:style w:type="paragraph" w:styleId="NoSpacing">
    <w:name w:val="No Spacing"/>
    <w:uiPriority w:val="1"/>
    <w:qFormat/>
    <w:rsid w:val="008D74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5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6EE"/>
  </w:style>
  <w:style w:type="paragraph" w:styleId="Footer">
    <w:name w:val="footer"/>
    <w:basedOn w:val="Normal"/>
    <w:link w:val="FooterChar"/>
    <w:uiPriority w:val="99"/>
    <w:unhideWhenUsed/>
    <w:rsid w:val="00D75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</dc:creator>
  <cp:keywords/>
  <dc:description/>
  <cp:lastModifiedBy>Kazazi</cp:lastModifiedBy>
  <cp:revision>37</cp:revision>
  <dcterms:created xsi:type="dcterms:W3CDTF">2013-08-28T13:13:00Z</dcterms:created>
  <dcterms:modified xsi:type="dcterms:W3CDTF">2013-11-18T18:36:00Z</dcterms:modified>
</cp:coreProperties>
</file>