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79C7" w:rsidRDefault="002B79C7" w:rsidP="002B79C7">
      <w:pPr>
        <w:tabs>
          <w:tab w:val="center" w:pos="5954"/>
        </w:tabs>
        <w:spacing w:after="0"/>
        <w:ind w:right="-1"/>
        <w:jc w:val="center"/>
        <w:rPr>
          <w:rFonts w:ascii="Times New Roman" w:hAnsi="Times New Roman" w:cs="Times New Roman"/>
          <w:b/>
          <w:bCs/>
          <w:sz w:val="24"/>
          <w:szCs w:val="24"/>
          <w:lang w:val="it-IT"/>
        </w:rPr>
      </w:pPr>
      <w:r>
        <w:rPr>
          <w:rFonts w:ascii="Times New Roman" w:hAnsi="Times New Roman" w:cs="Times New Roman"/>
          <w:noProof/>
          <w:sz w:val="24"/>
          <w:szCs w:val="24"/>
        </w:rPr>
        <w:drawing>
          <wp:inline distT="0" distB="0" distL="0" distR="0">
            <wp:extent cx="319405" cy="457200"/>
            <wp:effectExtent l="19050" t="0" r="4445" b="0"/>
            <wp:docPr id="1" name="Picture 1" descr="stem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2"/>
                    <pic:cNvPicPr>
                      <a:picLocks noChangeAspect="1" noChangeArrowheads="1"/>
                    </pic:cNvPicPr>
                  </pic:nvPicPr>
                  <pic:blipFill>
                    <a:blip r:embed="rId7" cstate="print"/>
                    <a:srcRect/>
                    <a:stretch>
                      <a:fillRect/>
                    </a:stretch>
                  </pic:blipFill>
                  <pic:spPr bwMode="auto">
                    <a:xfrm>
                      <a:off x="0" y="0"/>
                      <a:ext cx="319405" cy="457200"/>
                    </a:xfrm>
                    <a:prstGeom prst="rect">
                      <a:avLst/>
                    </a:prstGeom>
                    <a:noFill/>
                    <a:ln w="9525">
                      <a:noFill/>
                      <a:miter lim="800000"/>
                      <a:headEnd/>
                      <a:tailEnd/>
                    </a:ln>
                  </pic:spPr>
                </pic:pic>
              </a:graphicData>
            </a:graphic>
          </wp:inline>
        </w:drawing>
      </w:r>
    </w:p>
    <w:p w:rsidR="002B79C7" w:rsidRPr="00EA7BE3" w:rsidRDefault="002B79C7" w:rsidP="002B79C7">
      <w:pPr>
        <w:tabs>
          <w:tab w:val="center" w:pos="5954"/>
        </w:tabs>
        <w:spacing w:after="0"/>
        <w:ind w:right="-1"/>
        <w:jc w:val="center"/>
        <w:rPr>
          <w:rFonts w:ascii="Times New Roman" w:hAnsi="Times New Roman" w:cs="Times New Roman"/>
          <w:b/>
          <w:bCs/>
          <w:sz w:val="24"/>
          <w:szCs w:val="24"/>
          <w:lang w:val="it-IT"/>
        </w:rPr>
      </w:pPr>
      <w:r w:rsidRPr="00EA7BE3">
        <w:rPr>
          <w:rFonts w:ascii="Times New Roman" w:hAnsi="Times New Roman" w:cs="Times New Roman"/>
          <w:b/>
          <w:bCs/>
          <w:sz w:val="24"/>
          <w:szCs w:val="24"/>
          <w:lang w:val="it-IT"/>
        </w:rPr>
        <w:t>REPUBLIKA E SHQIPËRISE</w:t>
      </w:r>
    </w:p>
    <w:p w:rsidR="002B79C7" w:rsidRPr="00EA7BE3" w:rsidRDefault="002B79C7" w:rsidP="002B79C7">
      <w:pPr>
        <w:pStyle w:val="Heading1"/>
        <w:spacing w:before="0" w:after="0"/>
        <w:jc w:val="center"/>
        <w:rPr>
          <w:rFonts w:ascii="Times New Roman" w:hAnsi="Times New Roman" w:cs="Times New Roman"/>
          <w:sz w:val="24"/>
          <w:szCs w:val="24"/>
        </w:rPr>
      </w:pPr>
      <w:r w:rsidRPr="00EA7BE3">
        <w:rPr>
          <w:rFonts w:ascii="Times New Roman" w:hAnsi="Times New Roman" w:cs="Times New Roman"/>
          <w:sz w:val="24"/>
          <w:szCs w:val="24"/>
        </w:rPr>
        <w:t>Ministria e Financave</w:t>
      </w:r>
    </w:p>
    <w:p w:rsidR="002B79C7" w:rsidRDefault="002B79C7" w:rsidP="002B79C7">
      <w:pPr>
        <w:pStyle w:val="Subtitle"/>
        <w:spacing w:before="0" w:after="0"/>
        <w:rPr>
          <w:rFonts w:ascii="Times New Roman" w:hAnsi="Times New Roman" w:cs="Times New Roman"/>
          <w:sz w:val="24"/>
          <w:szCs w:val="24"/>
        </w:rPr>
      </w:pPr>
      <w:r w:rsidRPr="00EA7BE3">
        <w:rPr>
          <w:rFonts w:ascii="Times New Roman" w:hAnsi="Times New Roman" w:cs="Times New Roman"/>
          <w:sz w:val="24"/>
          <w:szCs w:val="24"/>
        </w:rPr>
        <w:t>DREJTORIA E PËRGJITHSHME E POLITIKAVE</w:t>
      </w:r>
    </w:p>
    <w:p w:rsidR="002B79C7" w:rsidRPr="00EA7BE3" w:rsidRDefault="002B79C7" w:rsidP="002B79C7">
      <w:pPr>
        <w:pStyle w:val="Subtitle"/>
        <w:spacing w:before="0" w:after="0"/>
        <w:rPr>
          <w:rFonts w:ascii="Times New Roman" w:hAnsi="Times New Roman" w:cs="Times New Roman"/>
          <w:sz w:val="24"/>
          <w:szCs w:val="24"/>
        </w:rPr>
      </w:pPr>
      <w:r w:rsidRPr="00EA7BE3">
        <w:rPr>
          <w:rFonts w:ascii="Times New Roman" w:hAnsi="Times New Roman" w:cs="Times New Roman"/>
          <w:sz w:val="24"/>
          <w:szCs w:val="24"/>
        </w:rPr>
        <w:t>MAKROEKONOMIKE DHE FISKALE</w:t>
      </w:r>
    </w:p>
    <w:p w:rsidR="002B79C7" w:rsidRDefault="002B79C7" w:rsidP="002B79C7">
      <w:pPr>
        <w:tabs>
          <w:tab w:val="center" w:pos="5954"/>
        </w:tabs>
        <w:spacing w:after="0"/>
        <w:rPr>
          <w:rFonts w:ascii="Times New Roman" w:hAnsi="Times New Roman" w:cs="Times New Roman"/>
          <w:b/>
          <w:bCs/>
          <w:sz w:val="24"/>
          <w:szCs w:val="24"/>
          <w:lang w:val="pt-BR"/>
        </w:rPr>
      </w:pPr>
    </w:p>
    <w:p w:rsidR="002B79C7" w:rsidRDefault="002B79C7" w:rsidP="002B79C7">
      <w:pPr>
        <w:tabs>
          <w:tab w:val="center" w:pos="5954"/>
        </w:tabs>
        <w:spacing w:after="0"/>
        <w:rPr>
          <w:rFonts w:ascii="Times New Roman" w:hAnsi="Times New Roman" w:cs="Times New Roman"/>
          <w:b/>
          <w:bCs/>
          <w:sz w:val="24"/>
          <w:szCs w:val="24"/>
          <w:lang w:val="pt-BR"/>
        </w:rPr>
      </w:pPr>
      <w:r w:rsidRPr="00B86F0E">
        <w:rPr>
          <w:rFonts w:ascii="Times New Roman" w:hAnsi="Times New Roman" w:cs="Times New Roman"/>
          <w:b/>
          <w:bCs/>
          <w:sz w:val="24"/>
          <w:szCs w:val="24"/>
          <w:lang w:val="pt-BR"/>
        </w:rPr>
        <w:t>MEMO</w:t>
      </w:r>
    </w:p>
    <w:p w:rsidR="00DE4011" w:rsidRPr="00B86F0E" w:rsidRDefault="00DE4011" w:rsidP="002B79C7">
      <w:pPr>
        <w:tabs>
          <w:tab w:val="center" w:pos="5954"/>
        </w:tabs>
        <w:spacing w:after="0"/>
        <w:rPr>
          <w:rFonts w:ascii="Times New Roman" w:hAnsi="Times New Roman" w:cs="Times New Roman"/>
          <w:b/>
          <w:bCs/>
          <w:sz w:val="24"/>
          <w:szCs w:val="24"/>
          <w:lang w:val="pt-BR"/>
        </w:rPr>
      </w:pPr>
    </w:p>
    <w:p w:rsidR="00B86F0E" w:rsidRPr="00B86F0E" w:rsidRDefault="002B79C7" w:rsidP="00DE4011">
      <w:pPr>
        <w:spacing w:before="0" w:after="0"/>
        <w:rPr>
          <w:rFonts w:ascii="Times New Roman" w:hAnsi="Times New Roman" w:cs="Times New Roman"/>
          <w:b/>
          <w:sz w:val="24"/>
          <w:szCs w:val="24"/>
          <w:lang w:val="pt-BR"/>
        </w:rPr>
      </w:pPr>
      <w:r w:rsidRPr="00B86F0E">
        <w:rPr>
          <w:rFonts w:ascii="Times New Roman" w:hAnsi="Times New Roman" w:cs="Times New Roman"/>
          <w:b/>
          <w:bCs/>
          <w:sz w:val="24"/>
          <w:szCs w:val="24"/>
          <w:lang w:val="pt-BR"/>
        </w:rPr>
        <w:t>Drejtuar:</w:t>
      </w:r>
      <w:r w:rsidRPr="00B86F0E">
        <w:rPr>
          <w:rFonts w:ascii="Times New Roman" w:hAnsi="Times New Roman" w:cs="Times New Roman"/>
          <w:b/>
          <w:bCs/>
          <w:sz w:val="24"/>
          <w:szCs w:val="24"/>
          <w:lang w:val="pt-BR"/>
        </w:rPr>
        <w:tab/>
      </w:r>
      <w:r w:rsidR="00B86F0E" w:rsidRPr="00B86F0E">
        <w:rPr>
          <w:rFonts w:ascii="Times New Roman" w:hAnsi="Times New Roman" w:cs="Times New Roman"/>
          <w:b/>
          <w:bCs/>
          <w:sz w:val="24"/>
          <w:szCs w:val="24"/>
          <w:lang w:val="pt-BR"/>
        </w:rPr>
        <w:tab/>
      </w:r>
      <w:r w:rsidR="00816C05">
        <w:rPr>
          <w:rFonts w:ascii="Times New Roman" w:hAnsi="Times New Roman" w:cs="Times New Roman"/>
          <w:b/>
          <w:sz w:val="24"/>
          <w:szCs w:val="24"/>
          <w:lang w:val="pt-BR"/>
        </w:rPr>
        <w:t>SHT Z. Sali BERISHA</w:t>
      </w:r>
    </w:p>
    <w:p w:rsidR="00B86F0E" w:rsidRPr="00B86F0E" w:rsidRDefault="00B86F0E" w:rsidP="00DE4011">
      <w:pPr>
        <w:spacing w:before="0" w:after="0"/>
        <w:rPr>
          <w:rFonts w:ascii="Times New Roman" w:hAnsi="Times New Roman" w:cs="Times New Roman"/>
          <w:b/>
          <w:sz w:val="24"/>
          <w:szCs w:val="24"/>
          <w:lang w:val="pt-BR"/>
        </w:rPr>
      </w:pPr>
      <w:r w:rsidRPr="00B86F0E">
        <w:rPr>
          <w:rFonts w:ascii="Times New Roman" w:hAnsi="Times New Roman" w:cs="Times New Roman"/>
          <w:b/>
          <w:sz w:val="24"/>
          <w:szCs w:val="24"/>
          <w:lang w:val="pt-BR"/>
        </w:rPr>
        <w:tab/>
      </w:r>
      <w:r w:rsidRPr="00B86F0E">
        <w:rPr>
          <w:rFonts w:ascii="Times New Roman" w:hAnsi="Times New Roman" w:cs="Times New Roman"/>
          <w:b/>
          <w:sz w:val="24"/>
          <w:szCs w:val="24"/>
          <w:lang w:val="pt-BR"/>
        </w:rPr>
        <w:tab/>
      </w:r>
      <w:r w:rsidRPr="00B86F0E">
        <w:rPr>
          <w:rFonts w:ascii="Times New Roman" w:hAnsi="Times New Roman" w:cs="Times New Roman"/>
          <w:b/>
          <w:sz w:val="24"/>
          <w:szCs w:val="24"/>
          <w:lang w:val="pt-BR"/>
        </w:rPr>
        <w:tab/>
      </w:r>
      <w:r w:rsidR="00816C05">
        <w:rPr>
          <w:rFonts w:ascii="Times New Roman" w:hAnsi="Times New Roman" w:cs="Times New Roman"/>
          <w:b/>
          <w:sz w:val="24"/>
          <w:szCs w:val="24"/>
          <w:lang w:val="pt-BR"/>
        </w:rPr>
        <w:t>KRYE</w:t>
      </w:r>
      <w:r w:rsidR="00816C05" w:rsidRPr="00B86F0E">
        <w:rPr>
          <w:rFonts w:ascii="Times New Roman" w:hAnsi="Times New Roman" w:cs="Times New Roman"/>
          <w:b/>
          <w:sz w:val="24"/>
          <w:szCs w:val="24"/>
          <w:lang w:val="pt-BR"/>
        </w:rPr>
        <w:t xml:space="preserve">MINISTER </w:t>
      </w:r>
    </w:p>
    <w:p w:rsidR="00816C05" w:rsidRDefault="00B86F0E" w:rsidP="00816C05">
      <w:pPr>
        <w:spacing w:after="0"/>
        <w:ind w:left="2160" w:hanging="2160"/>
        <w:rPr>
          <w:rFonts w:ascii="Times New Roman" w:hAnsi="Times New Roman" w:cs="Times New Roman"/>
          <w:b/>
          <w:bCs/>
          <w:sz w:val="24"/>
          <w:szCs w:val="24"/>
          <w:lang w:val="pt-BR"/>
        </w:rPr>
      </w:pPr>
      <w:r w:rsidRPr="00B86F0E">
        <w:rPr>
          <w:rFonts w:ascii="Times New Roman" w:hAnsi="Times New Roman" w:cs="Times New Roman"/>
          <w:b/>
          <w:bCs/>
          <w:sz w:val="24"/>
          <w:szCs w:val="24"/>
          <w:lang w:val="pt-BR"/>
        </w:rPr>
        <w:t>Nga:</w:t>
      </w:r>
      <w:r w:rsidRPr="00B86F0E">
        <w:rPr>
          <w:rFonts w:ascii="Times New Roman" w:hAnsi="Times New Roman" w:cs="Times New Roman"/>
          <w:b/>
          <w:bCs/>
          <w:sz w:val="24"/>
          <w:szCs w:val="24"/>
          <w:lang w:val="pt-BR"/>
        </w:rPr>
        <w:tab/>
      </w:r>
      <w:r w:rsidR="00816C05">
        <w:rPr>
          <w:rFonts w:ascii="Times New Roman" w:hAnsi="Times New Roman" w:cs="Times New Roman"/>
          <w:b/>
          <w:bCs/>
          <w:sz w:val="24"/>
          <w:szCs w:val="24"/>
          <w:lang w:val="pt-BR"/>
        </w:rPr>
        <w:t xml:space="preserve">Z. </w:t>
      </w:r>
      <w:r w:rsidR="00B9628F">
        <w:rPr>
          <w:rFonts w:ascii="Times New Roman" w:hAnsi="Times New Roman" w:cs="Times New Roman"/>
          <w:b/>
          <w:bCs/>
          <w:sz w:val="24"/>
          <w:szCs w:val="24"/>
          <w:lang w:val="pt-BR"/>
        </w:rPr>
        <w:t>Dorian TELITI</w:t>
      </w:r>
    </w:p>
    <w:p w:rsidR="002B79C7" w:rsidRDefault="00B9628F" w:rsidP="00816C05">
      <w:pPr>
        <w:spacing w:before="0" w:after="0"/>
        <w:ind w:left="2160" w:hanging="2160"/>
        <w:rPr>
          <w:rFonts w:ascii="Times New Roman" w:hAnsi="Times New Roman" w:cs="Times New Roman"/>
          <w:b/>
          <w:bCs/>
          <w:sz w:val="24"/>
          <w:szCs w:val="24"/>
          <w:lang w:val="pt-BR"/>
        </w:rPr>
      </w:pPr>
      <w:r>
        <w:rPr>
          <w:rFonts w:ascii="Times New Roman" w:hAnsi="Times New Roman" w:cs="Times New Roman"/>
          <w:b/>
          <w:bCs/>
          <w:sz w:val="24"/>
          <w:szCs w:val="24"/>
          <w:lang w:val="pt-BR"/>
        </w:rPr>
        <w:tab/>
        <w:t>Sekretar i Pergjithshem</w:t>
      </w:r>
    </w:p>
    <w:p w:rsidR="002B79C7" w:rsidRPr="00B86F0E" w:rsidRDefault="002B79C7" w:rsidP="002B79C7">
      <w:pPr>
        <w:spacing w:after="0"/>
        <w:rPr>
          <w:rFonts w:ascii="Times New Roman" w:hAnsi="Times New Roman" w:cs="Times New Roman"/>
          <w:b/>
          <w:bCs/>
          <w:sz w:val="24"/>
          <w:szCs w:val="24"/>
          <w:lang w:val="it-IT"/>
        </w:rPr>
      </w:pPr>
      <w:r w:rsidRPr="00B86F0E">
        <w:rPr>
          <w:rFonts w:ascii="Times New Roman" w:hAnsi="Times New Roman" w:cs="Times New Roman"/>
          <w:b/>
          <w:bCs/>
          <w:sz w:val="24"/>
          <w:szCs w:val="24"/>
          <w:lang w:val="it-IT"/>
        </w:rPr>
        <w:t>Data:</w:t>
      </w:r>
      <w:r w:rsidRPr="00B86F0E">
        <w:rPr>
          <w:rFonts w:ascii="Times New Roman" w:hAnsi="Times New Roman" w:cs="Times New Roman"/>
          <w:b/>
          <w:bCs/>
          <w:sz w:val="24"/>
          <w:szCs w:val="24"/>
          <w:lang w:val="it-IT"/>
        </w:rPr>
        <w:tab/>
      </w:r>
      <w:r w:rsidRPr="00B86F0E">
        <w:rPr>
          <w:rFonts w:ascii="Times New Roman" w:hAnsi="Times New Roman" w:cs="Times New Roman"/>
          <w:b/>
          <w:bCs/>
          <w:sz w:val="24"/>
          <w:szCs w:val="24"/>
          <w:lang w:val="it-IT"/>
        </w:rPr>
        <w:tab/>
      </w:r>
      <w:r w:rsidRPr="00B86F0E">
        <w:rPr>
          <w:rFonts w:ascii="Times New Roman" w:hAnsi="Times New Roman" w:cs="Times New Roman"/>
          <w:b/>
          <w:bCs/>
          <w:sz w:val="24"/>
          <w:szCs w:val="24"/>
          <w:lang w:val="it-IT"/>
        </w:rPr>
        <w:tab/>
      </w:r>
      <w:r w:rsidR="008854FF">
        <w:rPr>
          <w:rFonts w:ascii="Times New Roman" w:hAnsi="Times New Roman" w:cs="Times New Roman"/>
          <w:b/>
          <w:bCs/>
          <w:sz w:val="24"/>
          <w:szCs w:val="24"/>
          <w:lang w:val="it-IT"/>
        </w:rPr>
        <w:t>1</w:t>
      </w:r>
      <w:r w:rsidR="00B9628F">
        <w:rPr>
          <w:rFonts w:ascii="Times New Roman" w:hAnsi="Times New Roman" w:cs="Times New Roman"/>
          <w:b/>
          <w:bCs/>
          <w:sz w:val="24"/>
          <w:szCs w:val="24"/>
          <w:lang w:val="it-IT"/>
        </w:rPr>
        <w:t>4</w:t>
      </w:r>
      <w:r w:rsidR="00DE4011">
        <w:rPr>
          <w:rFonts w:ascii="Times New Roman" w:hAnsi="Times New Roman" w:cs="Times New Roman"/>
          <w:b/>
          <w:bCs/>
          <w:sz w:val="24"/>
          <w:szCs w:val="24"/>
          <w:lang w:val="it-IT"/>
        </w:rPr>
        <w:t>.6.</w:t>
      </w:r>
      <w:r w:rsidR="00B86F0E" w:rsidRPr="00B86F0E">
        <w:rPr>
          <w:rFonts w:ascii="Times New Roman" w:hAnsi="Times New Roman" w:cs="Times New Roman"/>
          <w:b/>
          <w:bCs/>
          <w:sz w:val="24"/>
          <w:szCs w:val="24"/>
          <w:lang w:val="it-IT"/>
        </w:rPr>
        <w:t>2013</w:t>
      </w:r>
    </w:p>
    <w:p w:rsidR="002B79C7" w:rsidRPr="00B86F0E" w:rsidRDefault="002B79C7" w:rsidP="002B79C7">
      <w:pPr>
        <w:spacing w:after="0"/>
        <w:ind w:left="2160" w:hanging="2160"/>
        <w:rPr>
          <w:rFonts w:ascii="Times New Roman" w:hAnsi="Times New Roman" w:cs="Times New Roman"/>
          <w:b/>
          <w:bCs/>
          <w:sz w:val="24"/>
          <w:szCs w:val="24"/>
          <w:lang w:val="it-IT"/>
        </w:rPr>
      </w:pPr>
      <w:r w:rsidRPr="00B86F0E">
        <w:rPr>
          <w:rFonts w:ascii="Times New Roman" w:hAnsi="Times New Roman" w:cs="Times New Roman"/>
          <w:b/>
          <w:bCs/>
          <w:sz w:val="24"/>
          <w:szCs w:val="24"/>
          <w:lang w:val="it-IT"/>
        </w:rPr>
        <w:t>Subjekti:</w:t>
      </w:r>
      <w:r w:rsidRPr="00B86F0E">
        <w:rPr>
          <w:rFonts w:ascii="Times New Roman" w:hAnsi="Times New Roman" w:cs="Times New Roman"/>
          <w:b/>
          <w:bCs/>
          <w:sz w:val="24"/>
          <w:szCs w:val="24"/>
          <w:lang w:val="it-IT"/>
        </w:rPr>
        <w:tab/>
        <w:t xml:space="preserve">Ecuria e te ardhurave ne Buxhetin e Shtetit per 4 mujorin </w:t>
      </w:r>
      <w:r w:rsidR="00B86F0E" w:rsidRPr="00B86F0E">
        <w:rPr>
          <w:rFonts w:ascii="Times New Roman" w:hAnsi="Times New Roman" w:cs="Times New Roman"/>
          <w:b/>
          <w:bCs/>
          <w:sz w:val="24"/>
          <w:szCs w:val="24"/>
          <w:lang w:val="it-IT"/>
        </w:rPr>
        <w:t>2013</w:t>
      </w:r>
    </w:p>
    <w:p w:rsidR="00B86F0E" w:rsidRDefault="002B79C7" w:rsidP="00105F11">
      <w:pPr>
        <w:rPr>
          <w:rStyle w:val="MessageHeaderLabel"/>
          <w:rFonts w:ascii="Calibri" w:hAnsi="Calibri"/>
          <w:b/>
          <w:noProof/>
          <w:color w:val="000000"/>
          <w:spacing w:val="0"/>
          <w:sz w:val="24"/>
          <w:lang w:val="sq-AL"/>
        </w:rPr>
      </w:pPr>
      <w:r>
        <w:rPr>
          <w:rStyle w:val="MessageHeaderLabel"/>
          <w:rFonts w:ascii="Calibri" w:hAnsi="Calibri"/>
          <w:b/>
          <w:noProof/>
          <w:color w:val="000000"/>
          <w:spacing w:val="0"/>
          <w:sz w:val="24"/>
          <w:lang w:val="sq-AL"/>
        </w:rPr>
        <w:t>_____________________________________________________________________________</w:t>
      </w:r>
    </w:p>
    <w:p w:rsidR="00552D26" w:rsidRDefault="00816C05" w:rsidP="00B86F0E">
      <w:pPr>
        <w:pStyle w:val="Heading1"/>
        <w:ind w:left="432" w:hanging="432"/>
        <w:jc w:val="both"/>
        <w:rPr>
          <w:rStyle w:val="MessageHeaderLabel"/>
          <w:rFonts w:ascii="Calibri" w:hAnsi="Calibri" w:cs="Calibri"/>
          <w:i/>
          <w:caps w:val="0"/>
          <w:noProof/>
          <w:sz w:val="24"/>
          <w:szCs w:val="24"/>
          <w:lang w:val="sq-AL"/>
        </w:rPr>
      </w:pPr>
      <w:bookmarkStart w:id="0" w:name="_Toc353453833"/>
      <w:r w:rsidRPr="00816C05">
        <w:rPr>
          <w:rStyle w:val="MessageHeaderLabel"/>
          <w:rFonts w:ascii="Calibri" w:hAnsi="Calibri" w:cs="Calibri"/>
          <w:i/>
          <w:noProof/>
          <w:sz w:val="24"/>
          <w:szCs w:val="24"/>
          <w:lang w:val="sq-AL"/>
        </w:rPr>
        <w:t xml:space="preserve">Z. </w:t>
      </w:r>
      <w:r w:rsidRPr="00816C05">
        <w:rPr>
          <w:rStyle w:val="MessageHeaderLabel"/>
          <w:rFonts w:ascii="Calibri" w:hAnsi="Calibri" w:cs="Calibri"/>
          <w:i/>
          <w:caps w:val="0"/>
          <w:noProof/>
          <w:sz w:val="24"/>
          <w:szCs w:val="24"/>
          <w:lang w:val="sq-AL"/>
        </w:rPr>
        <w:t>Kryeminister</w:t>
      </w:r>
    </w:p>
    <w:p w:rsidR="00816C05" w:rsidRPr="00816C05" w:rsidRDefault="00816C05" w:rsidP="00816C05">
      <w:pPr>
        <w:rPr>
          <w:lang w:val="sq-AL"/>
        </w:rPr>
      </w:pPr>
      <w:r>
        <w:rPr>
          <w:lang w:val="sq-AL"/>
        </w:rPr>
        <w:t>Lutem gjeni ne vijim nje pasqyrim të ecurisë së të ardhurave në buxhet për katërmujorin e parë të vitit 2013.</w:t>
      </w:r>
    </w:p>
    <w:p w:rsidR="00B86F0E" w:rsidRPr="00841E98" w:rsidRDefault="00B86F0E" w:rsidP="00B86F0E">
      <w:pPr>
        <w:pStyle w:val="Heading1"/>
        <w:ind w:left="432" w:hanging="432"/>
        <w:jc w:val="both"/>
        <w:rPr>
          <w:rStyle w:val="MessageHeaderLabel"/>
          <w:rFonts w:ascii="Calibri" w:hAnsi="Calibri" w:cs="Times New Roman"/>
          <w:noProof/>
          <w:sz w:val="24"/>
          <w:szCs w:val="24"/>
          <w:lang w:val="sq-AL"/>
        </w:rPr>
      </w:pPr>
      <w:r w:rsidRPr="00841E98">
        <w:rPr>
          <w:rStyle w:val="MessageHeaderLabel"/>
          <w:rFonts w:ascii="Calibri" w:hAnsi="Calibri" w:cs="Calibri"/>
          <w:noProof/>
          <w:sz w:val="24"/>
          <w:szCs w:val="24"/>
          <w:lang w:val="sq-AL"/>
        </w:rPr>
        <w:t xml:space="preserve">TREGUESIT FISKALЁ PЁR PERIUDHЁN JANAR – </w:t>
      </w:r>
      <w:r>
        <w:rPr>
          <w:rStyle w:val="MessageHeaderLabel"/>
          <w:rFonts w:ascii="Calibri" w:hAnsi="Calibri" w:cs="Calibri"/>
          <w:noProof/>
          <w:sz w:val="24"/>
          <w:szCs w:val="24"/>
          <w:lang w:val="sq-AL"/>
        </w:rPr>
        <w:t>Prill</w:t>
      </w:r>
      <w:r w:rsidRPr="00841E98">
        <w:rPr>
          <w:rStyle w:val="MessageHeaderLabel"/>
          <w:rFonts w:ascii="Calibri" w:hAnsi="Calibri" w:cs="Calibri"/>
          <w:noProof/>
          <w:sz w:val="24"/>
          <w:szCs w:val="24"/>
          <w:lang w:val="sq-AL"/>
        </w:rPr>
        <w:t xml:space="preserve"> 201</w:t>
      </w:r>
      <w:bookmarkEnd w:id="0"/>
      <w:r>
        <w:rPr>
          <w:rStyle w:val="MessageHeaderLabel"/>
          <w:rFonts w:ascii="Calibri" w:hAnsi="Calibri" w:cs="Calibri"/>
          <w:noProof/>
          <w:sz w:val="24"/>
          <w:szCs w:val="24"/>
          <w:lang w:val="sq-AL"/>
        </w:rPr>
        <w:t>3</w:t>
      </w:r>
      <w:r w:rsidRPr="00841E98">
        <w:rPr>
          <w:rStyle w:val="MessageHeaderLabel"/>
          <w:rFonts w:ascii="Calibri" w:hAnsi="Calibri" w:cs="Calibri"/>
          <w:noProof/>
          <w:sz w:val="24"/>
          <w:szCs w:val="24"/>
          <w:lang w:val="sq-AL"/>
        </w:rPr>
        <w:t xml:space="preserve"> </w:t>
      </w:r>
      <w:r w:rsidR="005146E3">
        <w:rPr>
          <w:rStyle w:val="MessageHeaderLabel"/>
          <w:rFonts w:ascii="Calibri" w:hAnsi="Calibri" w:cs="Calibri"/>
          <w:noProof/>
          <w:sz w:val="24"/>
          <w:szCs w:val="24"/>
          <w:lang w:val="sq-AL"/>
        </w:rPr>
        <w:fldChar w:fldCharType="begin"/>
      </w:r>
      <w:r w:rsidRPr="00841E98">
        <w:rPr>
          <w:rFonts w:cs="Times New Roman"/>
          <w:noProof/>
          <w:lang w:val="sq-AL"/>
        </w:rPr>
        <w:instrText>tc "</w:instrText>
      </w:r>
      <w:bookmarkStart w:id="1" w:name="_Toc314487248"/>
      <w:r w:rsidRPr="00841E98">
        <w:rPr>
          <w:rStyle w:val="MessageHeaderLabel"/>
          <w:rFonts w:ascii="Calibri" w:hAnsi="Calibri" w:cs="Calibri"/>
          <w:noProof/>
          <w:sz w:val="24"/>
          <w:szCs w:val="24"/>
          <w:lang w:val="sq-AL"/>
        </w:rPr>
        <w:instrText>treguesit fiskale kryesorË pËr periudhËn janar-</w:instrText>
      </w:r>
      <w:bookmarkEnd w:id="1"/>
      <w:r w:rsidRPr="00841E98">
        <w:rPr>
          <w:rStyle w:val="MessageHeaderLabel"/>
          <w:rFonts w:ascii="Calibri" w:hAnsi="Calibri" w:cs="Calibri"/>
          <w:noProof/>
          <w:sz w:val="24"/>
          <w:szCs w:val="24"/>
          <w:lang w:val="sq-AL"/>
        </w:rPr>
        <w:instrText>tetor 2012</w:instrText>
      </w:r>
      <w:r w:rsidRPr="00841E98">
        <w:rPr>
          <w:rFonts w:cs="Times New Roman"/>
          <w:noProof/>
          <w:lang w:val="sq-AL"/>
        </w:rPr>
        <w:instrText>" \f C \l 0</w:instrText>
      </w:r>
      <w:r w:rsidRPr="00841E98">
        <w:rPr>
          <w:noProof/>
          <w:lang w:val="sq-AL"/>
        </w:rPr>
        <w:instrText>0000000001</w:instrText>
      </w:r>
      <w:r w:rsidR="005146E3">
        <w:rPr>
          <w:rStyle w:val="MessageHeaderLabel"/>
          <w:rFonts w:ascii="Calibri" w:hAnsi="Calibri" w:cs="Calibri"/>
          <w:noProof/>
          <w:sz w:val="24"/>
          <w:szCs w:val="24"/>
          <w:lang w:val="sq-AL"/>
        </w:rPr>
        <w:fldChar w:fldCharType="end"/>
      </w:r>
    </w:p>
    <w:p w:rsidR="00B86F0E" w:rsidRPr="004824B5" w:rsidRDefault="00B86F0E" w:rsidP="00B86F0E">
      <w:pPr>
        <w:rPr>
          <w:rFonts w:cs="Times New Roman"/>
          <w:highlight w:val="yellow"/>
          <w:lang w:val="sq-AL"/>
        </w:rPr>
      </w:pPr>
      <w:r w:rsidRPr="004478BE">
        <w:rPr>
          <w:noProof/>
          <w:lang w:val="it-IT"/>
        </w:rPr>
        <w:t>Të ardhurat e buxhetit të konsoliduar për periudhën</w:t>
      </w:r>
      <w:r>
        <w:rPr>
          <w:noProof/>
          <w:lang w:val="it-IT"/>
        </w:rPr>
        <w:t xml:space="preserve"> 4 </w:t>
      </w:r>
      <w:r w:rsidRPr="004478BE">
        <w:rPr>
          <w:noProof/>
          <w:lang w:val="it-IT"/>
        </w:rPr>
        <w:t xml:space="preserve">mujore arritën në </w:t>
      </w:r>
      <w:r>
        <w:rPr>
          <w:noProof/>
          <w:lang w:val="it-IT"/>
        </w:rPr>
        <w:t>106.7</w:t>
      </w:r>
      <w:r w:rsidRPr="004478BE">
        <w:rPr>
          <w:noProof/>
          <w:lang w:val="it-IT"/>
        </w:rPr>
        <w:t xml:space="preserve"> miliardë lekë, -</w:t>
      </w:r>
      <w:r>
        <w:rPr>
          <w:noProof/>
          <w:lang w:val="it-IT"/>
        </w:rPr>
        <w:t>1.3</w:t>
      </w:r>
      <w:r w:rsidRPr="004478BE">
        <w:rPr>
          <w:noProof/>
          <w:lang w:val="it-IT"/>
        </w:rPr>
        <w:t xml:space="preserve"> për</w:t>
      </w:r>
      <w:r>
        <w:rPr>
          <w:noProof/>
          <w:lang w:val="it-IT"/>
        </w:rPr>
        <w:t xml:space="preserve">qind më pak se </w:t>
      </w:r>
      <w:r w:rsidRPr="00476D66">
        <w:rPr>
          <w:noProof/>
          <w:lang w:val="it-IT"/>
        </w:rPr>
        <w:t>parashikimi për 4 mujorin e vitit 2013 dhe 0.3 përqind më shume se një vit më parë</w:t>
      </w:r>
      <w:r w:rsidRPr="00476D66">
        <w:rPr>
          <w:noProof/>
        </w:rPr>
        <w:t xml:space="preserve">. </w:t>
      </w:r>
      <w:r w:rsidRPr="00476D66">
        <w:rPr>
          <w:lang w:val="sq-AL"/>
        </w:rPr>
        <w:t xml:space="preserve">Shpenzimet e përgjithshme të buxhetit, në fund të muajit prill 2013 arritën në rreth 129.5 miliardë lekë nga rreth 127.2 miliardë lekë të parashikuara për këtë periudhë, duke u realizuar në rreth 108 përqind të parashikimit të periudhës ose me një realizim prej rreth 2.3 miliardë lekë me shume se parashikimi. </w:t>
      </w:r>
    </w:p>
    <w:p w:rsidR="00B86F0E" w:rsidRDefault="00B86F0E" w:rsidP="00B86F0E">
      <w:pPr>
        <w:pStyle w:val="Heading1"/>
        <w:jc w:val="both"/>
        <w:rPr>
          <w:rStyle w:val="MessageHeaderLabel"/>
          <w:rFonts w:ascii="Calibri" w:hAnsi="Calibri" w:cs="Calibri"/>
          <w:sz w:val="24"/>
          <w:szCs w:val="24"/>
        </w:rPr>
      </w:pPr>
      <w:bookmarkStart w:id="2" w:name="_Toc339363681"/>
      <w:bookmarkStart w:id="3" w:name="_Toc353453834"/>
    </w:p>
    <w:p w:rsidR="00B86F0E" w:rsidRPr="00476D66" w:rsidRDefault="00B86F0E" w:rsidP="00B86F0E">
      <w:pPr>
        <w:pStyle w:val="Heading1"/>
        <w:jc w:val="both"/>
        <w:rPr>
          <w:rStyle w:val="MessageHeaderLabel"/>
          <w:rFonts w:ascii="Calibri" w:hAnsi="Calibri" w:cs="Times New Roman"/>
          <w:b w:val="0"/>
          <w:bCs w:val="0"/>
          <w:sz w:val="24"/>
          <w:szCs w:val="24"/>
        </w:rPr>
      </w:pPr>
      <w:r w:rsidRPr="00476D66">
        <w:rPr>
          <w:rStyle w:val="MessageHeaderLabel"/>
          <w:rFonts w:ascii="Calibri" w:hAnsi="Calibri" w:cs="Calibri"/>
          <w:sz w:val="24"/>
          <w:szCs w:val="24"/>
        </w:rPr>
        <w:t>ANALIZA E TЁ ARDHURAVE PЁR PERIUDHЁN JANAR – PRILL  2013</w:t>
      </w:r>
      <w:bookmarkEnd w:id="2"/>
      <w:bookmarkEnd w:id="3"/>
    </w:p>
    <w:p w:rsidR="00B86F0E" w:rsidRPr="00B86F0E" w:rsidRDefault="00B86F0E" w:rsidP="00B86F0E">
      <w:pPr>
        <w:pStyle w:val="Heading2"/>
        <w:spacing w:before="120" w:after="120"/>
        <w:rPr>
          <w:rFonts w:ascii="Calibri" w:hAnsi="Calibri" w:cs="Calibri"/>
          <w:color w:val="auto"/>
          <w:sz w:val="24"/>
          <w:szCs w:val="24"/>
        </w:rPr>
      </w:pPr>
      <w:bookmarkStart w:id="4" w:name="_Toc339363682"/>
      <w:bookmarkStart w:id="5" w:name="_Toc353453835"/>
      <w:r w:rsidRPr="00B86F0E">
        <w:rPr>
          <w:rFonts w:ascii="Calibri" w:hAnsi="Calibri" w:cs="Calibri"/>
          <w:color w:val="auto"/>
          <w:sz w:val="24"/>
          <w:szCs w:val="24"/>
        </w:rPr>
        <w:t>Vështrim i përgjithshëm</w:t>
      </w:r>
      <w:bookmarkEnd w:id="4"/>
      <w:bookmarkEnd w:id="5"/>
      <w:r w:rsidR="005146E3" w:rsidRPr="00B86F0E">
        <w:rPr>
          <w:rFonts w:ascii="Calibri" w:hAnsi="Calibri" w:cs="Calibri"/>
          <w:color w:val="auto"/>
          <w:sz w:val="24"/>
          <w:szCs w:val="24"/>
        </w:rPr>
        <w:fldChar w:fldCharType="begin"/>
      </w:r>
      <w:r w:rsidRPr="00B86F0E">
        <w:rPr>
          <w:rFonts w:ascii="Calibri" w:hAnsi="Calibri" w:cs="Times New Roman"/>
          <w:color w:val="auto"/>
          <w:sz w:val="24"/>
          <w:szCs w:val="24"/>
        </w:rPr>
        <w:instrText>tc "</w:instrText>
      </w:r>
      <w:bookmarkStart w:id="6" w:name="_Toc314487250"/>
      <w:r w:rsidRPr="00B86F0E">
        <w:rPr>
          <w:rFonts w:ascii="Calibri" w:hAnsi="Calibri" w:cs="Calibri"/>
          <w:color w:val="auto"/>
          <w:sz w:val="24"/>
          <w:szCs w:val="24"/>
        </w:rPr>
        <w:instrText>Vështrim i përgjithshëm</w:instrText>
      </w:r>
      <w:bookmarkEnd w:id="6"/>
      <w:r w:rsidRPr="00B86F0E">
        <w:rPr>
          <w:rFonts w:ascii="Calibri" w:hAnsi="Calibri" w:cs="Calibri"/>
          <w:color w:val="auto"/>
          <w:sz w:val="24"/>
          <w:szCs w:val="24"/>
        </w:rPr>
        <w:instrText>" \f C \l 002</w:instrText>
      </w:r>
      <w:r w:rsidR="005146E3" w:rsidRPr="00B86F0E">
        <w:rPr>
          <w:rFonts w:ascii="Calibri" w:hAnsi="Calibri" w:cs="Calibri"/>
          <w:color w:val="auto"/>
          <w:sz w:val="24"/>
          <w:szCs w:val="24"/>
        </w:rPr>
        <w:fldChar w:fldCharType="end"/>
      </w:r>
      <w:r w:rsidRPr="00B86F0E">
        <w:rPr>
          <w:rFonts w:ascii="Calibri" w:hAnsi="Calibri" w:cs="Calibri"/>
          <w:color w:val="auto"/>
          <w:sz w:val="24"/>
          <w:szCs w:val="24"/>
        </w:rPr>
        <w:t xml:space="preserve"> </w:t>
      </w:r>
    </w:p>
    <w:p w:rsidR="00B86F0E" w:rsidRDefault="00B86F0E" w:rsidP="00B86F0E">
      <w:pPr>
        <w:rPr>
          <w:noProof/>
        </w:rPr>
      </w:pPr>
      <w:r w:rsidRPr="004478BE">
        <w:rPr>
          <w:noProof/>
          <w:lang w:val="it-IT"/>
        </w:rPr>
        <w:t>Të ardhurat e buxhetit të konsoliduar për periudhën</w:t>
      </w:r>
      <w:r>
        <w:rPr>
          <w:noProof/>
          <w:lang w:val="it-IT"/>
        </w:rPr>
        <w:t xml:space="preserve"> 4 </w:t>
      </w:r>
      <w:r w:rsidRPr="004478BE">
        <w:rPr>
          <w:noProof/>
          <w:lang w:val="it-IT"/>
        </w:rPr>
        <w:t xml:space="preserve">mujore arritën në </w:t>
      </w:r>
      <w:r>
        <w:rPr>
          <w:noProof/>
          <w:lang w:val="it-IT"/>
        </w:rPr>
        <w:t>106.7</w:t>
      </w:r>
      <w:r w:rsidRPr="004478BE">
        <w:rPr>
          <w:noProof/>
          <w:lang w:val="it-IT"/>
        </w:rPr>
        <w:t xml:space="preserve"> miliardë lekë, -</w:t>
      </w:r>
      <w:r>
        <w:rPr>
          <w:noProof/>
          <w:lang w:val="it-IT"/>
        </w:rPr>
        <w:t>1.3</w:t>
      </w:r>
      <w:r w:rsidRPr="004478BE">
        <w:rPr>
          <w:noProof/>
          <w:lang w:val="it-IT"/>
        </w:rPr>
        <w:t xml:space="preserve"> për</w:t>
      </w:r>
      <w:r>
        <w:rPr>
          <w:noProof/>
          <w:lang w:val="it-IT"/>
        </w:rPr>
        <w:t xml:space="preserve">qind më pak se </w:t>
      </w:r>
      <w:r w:rsidRPr="00476D66">
        <w:rPr>
          <w:noProof/>
          <w:lang w:val="it-IT"/>
        </w:rPr>
        <w:t>parashikimi për 4 mujorin e vitit 2013 dhe 0.3 përqind më shume se një vit më parë</w:t>
      </w:r>
      <w:r w:rsidRPr="00476D66">
        <w:rPr>
          <w:noProof/>
        </w:rPr>
        <w:t xml:space="preserve">. </w:t>
      </w:r>
    </w:p>
    <w:p w:rsidR="00B86F0E" w:rsidRPr="000920A5" w:rsidRDefault="00B86F0E" w:rsidP="00B86F0E">
      <w:pPr>
        <w:rPr>
          <w:rFonts w:cs="Times New Roman"/>
          <w:u w:val="single"/>
        </w:rPr>
      </w:pPr>
      <w:r w:rsidRPr="00476D66">
        <w:rPr>
          <w:noProof/>
          <w:lang w:val="es-ES_tradnl"/>
        </w:rPr>
        <w:t xml:space="preserve">Të ardhurat nga tatimet dhe doganat ishin në nivelin 69.5 miliardë lekë, ose rreth -5 miliardë lekë më pak nga rreth 74.6 miliardë lekë të planifikuara për periudhën, dhe -3.4 përqind më pak krahasuar me 4 mujorin e një viti më parë ose -2.5 miliarde leke ne vlere absolute; të ardhurat nga pushteti vendor arritën në 4.5 miliardë lekë nga 4.8 miliardë lekë të planifikuara për këtë periudhë (-6.7% më pak) dhe me rënie vjetore prej -10.9 përqind ose 0.55 miliard leke me pak; të ardhurat nga fondet speciale arritën 20.5 miliardë lekë nga rreth 20.7 </w:t>
      </w:r>
      <w:r w:rsidRPr="00476D66">
        <w:rPr>
          <w:noProof/>
          <w:lang w:val="es-ES_tradnl"/>
        </w:rPr>
        <w:lastRenderedPageBreak/>
        <w:t xml:space="preserve">miliardë lekë të planifikuara, me mosrealizim prej -0.8 përqind dhe me rritje vjetore 0.4 % ose 77 milione leke; të ardhurat nga ndihmat rezultojnë për periudhën 1.6 miliardë lekë nga rreth 1.8 miliardë lekë të një viti më parë; të ardhurat jo-tatimore kanë qenë për këtë periudhë 10.5 miliardë lekë nga 8 miliardë të një viti më parë, me rritje vjetore 30.6 përqind dhe realizim të planit prej 130 </w:t>
      </w:r>
      <w:r w:rsidRPr="000920A5">
        <w:rPr>
          <w:noProof/>
          <w:lang w:val="es-ES_tradnl"/>
        </w:rPr>
        <w:t>përqind</w:t>
      </w:r>
      <w:r w:rsidRPr="000920A5">
        <w:t xml:space="preserve">. </w:t>
      </w:r>
      <w:r w:rsidR="00AB16C0">
        <w:t xml:space="preserve">Kontributin me te ndjeshem per kete ecuri pozitive e kane te ardhurat nga transferimi i fitimit nga Banka e Shqiperise dhe Te ardhurat nga Institucionet Buxhetore. </w:t>
      </w:r>
    </w:p>
    <w:p w:rsidR="00B86F0E" w:rsidRPr="000920A5" w:rsidRDefault="00B86F0E" w:rsidP="00B86F0E">
      <w:pPr>
        <w:rPr>
          <w:rFonts w:cs="Times New Roman"/>
          <w:noProof/>
          <w:lang w:val="es-ES_tradnl"/>
        </w:rPr>
      </w:pPr>
      <w:r w:rsidRPr="000920A5">
        <w:rPr>
          <w:noProof/>
          <w:lang w:val="es-ES_tradnl"/>
        </w:rPr>
        <w:t>Tabela 1. Ecuria e te ardhurave sipas zerave, 2009-2013</w:t>
      </w:r>
    </w:p>
    <w:tbl>
      <w:tblPr>
        <w:tblW w:w="8496" w:type="dxa"/>
        <w:tblInd w:w="108" w:type="dxa"/>
        <w:tblLook w:val="04A0"/>
      </w:tblPr>
      <w:tblGrid>
        <w:gridCol w:w="4016"/>
        <w:gridCol w:w="896"/>
        <w:gridCol w:w="896"/>
        <w:gridCol w:w="896"/>
        <w:gridCol w:w="896"/>
        <w:gridCol w:w="896"/>
      </w:tblGrid>
      <w:tr w:rsidR="00B86F0E" w:rsidRPr="00476D66" w:rsidTr="005F3070">
        <w:trPr>
          <w:trHeight w:val="435"/>
        </w:trPr>
        <w:tc>
          <w:tcPr>
            <w:tcW w:w="4016" w:type="dxa"/>
            <w:tcBorders>
              <w:top w:val="single" w:sz="8" w:space="0" w:color="auto"/>
              <w:left w:val="nil"/>
              <w:bottom w:val="single" w:sz="8" w:space="0" w:color="auto"/>
              <w:right w:val="nil"/>
            </w:tcBorders>
            <w:shd w:val="clear" w:color="auto" w:fill="auto"/>
            <w:noWrap/>
            <w:vAlign w:val="center"/>
            <w:hideMark/>
          </w:tcPr>
          <w:p w:rsidR="00B86F0E" w:rsidRPr="00476D66" w:rsidRDefault="00B86F0E" w:rsidP="005F3070">
            <w:pPr>
              <w:spacing w:before="0" w:after="0"/>
              <w:jc w:val="center"/>
              <w:rPr>
                <w:rFonts w:ascii="Arial Narrow" w:eastAsia="Times New Roman" w:hAnsi="Arial Narrow" w:cs="Arial"/>
                <w:b/>
                <w:bCs/>
                <w:sz w:val="20"/>
                <w:szCs w:val="20"/>
              </w:rPr>
            </w:pPr>
            <w:r w:rsidRPr="00476D66">
              <w:rPr>
                <w:rFonts w:ascii="Arial Narrow" w:eastAsia="Times New Roman" w:hAnsi="Arial Narrow" w:cs="Arial"/>
                <w:b/>
                <w:bCs/>
                <w:sz w:val="20"/>
                <w:szCs w:val="20"/>
              </w:rPr>
              <w:t>E  M  E  R  T  I  M  I</w:t>
            </w:r>
          </w:p>
        </w:tc>
        <w:tc>
          <w:tcPr>
            <w:tcW w:w="896" w:type="dxa"/>
            <w:tcBorders>
              <w:top w:val="single" w:sz="8" w:space="0" w:color="auto"/>
              <w:left w:val="nil"/>
              <w:bottom w:val="single" w:sz="8" w:space="0" w:color="auto"/>
              <w:right w:val="nil"/>
            </w:tcBorders>
            <w:shd w:val="clear" w:color="auto" w:fill="auto"/>
            <w:noWrap/>
            <w:vAlign w:val="center"/>
            <w:hideMark/>
          </w:tcPr>
          <w:p w:rsidR="00B86F0E" w:rsidRPr="00476D66" w:rsidRDefault="00B86F0E" w:rsidP="005F3070">
            <w:pPr>
              <w:spacing w:before="0" w:after="0"/>
              <w:jc w:val="right"/>
              <w:rPr>
                <w:rFonts w:ascii="Arial Narrow" w:eastAsia="Times New Roman" w:hAnsi="Arial Narrow" w:cs="Arial"/>
                <w:b/>
                <w:bCs/>
                <w:sz w:val="20"/>
                <w:szCs w:val="20"/>
              </w:rPr>
            </w:pPr>
            <w:r w:rsidRPr="00476D66">
              <w:rPr>
                <w:rFonts w:ascii="Arial Narrow" w:eastAsia="Times New Roman" w:hAnsi="Arial Narrow" w:cs="Arial"/>
                <w:b/>
                <w:bCs/>
                <w:sz w:val="20"/>
                <w:szCs w:val="20"/>
              </w:rPr>
              <w:t>4M-2009</w:t>
            </w:r>
          </w:p>
        </w:tc>
        <w:tc>
          <w:tcPr>
            <w:tcW w:w="896" w:type="dxa"/>
            <w:tcBorders>
              <w:top w:val="single" w:sz="8" w:space="0" w:color="auto"/>
              <w:left w:val="nil"/>
              <w:bottom w:val="single" w:sz="8" w:space="0" w:color="auto"/>
              <w:right w:val="nil"/>
            </w:tcBorders>
            <w:shd w:val="clear" w:color="auto" w:fill="auto"/>
            <w:noWrap/>
            <w:vAlign w:val="center"/>
            <w:hideMark/>
          </w:tcPr>
          <w:p w:rsidR="00B86F0E" w:rsidRPr="00476D66" w:rsidRDefault="00B86F0E" w:rsidP="005F3070">
            <w:pPr>
              <w:spacing w:before="0" w:after="0"/>
              <w:jc w:val="right"/>
              <w:rPr>
                <w:rFonts w:ascii="Arial Narrow" w:eastAsia="Times New Roman" w:hAnsi="Arial Narrow" w:cs="Arial"/>
                <w:b/>
                <w:bCs/>
                <w:sz w:val="20"/>
                <w:szCs w:val="20"/>
              </w:rPr>
            </w:pPr>
            <w:r w:rsidRPr="00476D66">
              <w:rPr>
                <w:rFonts w:ascii="Arial Narrow" w:eastAsia="Times New Roman" w:hAnsi="Arial Narrow" w:cs="Arial"/>
                <w:b/>
                <w:bCs/>
                <w:sz w:val="20"/>
                <w:szCs w:val="20"/>
              </w:rPr>
              <w:t>4M-2010</w:t>
            </w:r>
          </w:p>
        </w:tc>
        <w:tc>
          <w:tcPr>
            <w:tcW w:w="896" w:type="dxa"/>
            <w:tcBorders>
              <w:top w:val="single" w:sz="8" w:space="0" w:color="auto"/>
              <w:left w:val="nil"/>
              <w:bottom w:val="single" w:sz="8" w:space="0" w:color="auto"/>
              <w:right w:val="nil"/>
            </w:tcBorders>
            <w:shd w:val="clear" w:color="auto" w:fill="auto"/>
            <w:noWrap/>
            <w:vAlign w:val="center"/>
            <w:hideMark/>
          </w:tcPr>
          <w:p w:rsidR="00B86F0E" w:rsidRPr="00476D66" w:rsidRDefault="00B86F0E" w:rsidP="005F3070">
            <w:pPr>
              <w:spacing w:before="0" w:after="0"/>
              <w:jc w:val="right"/>
              <w:rPr>
                <w:rFonts w:ascii="Arial Narrow" w:eastAsia="Times New Roman" w:hAnsi="Arial Narrow" w:cs="Arial"/>
                <w:b/>
                <w:bCs/>
                <w:sz w:val="20"/>
                <w:szCs w:val="20"/>
              </w:rPr>
            </w:pPr>
            <w:r w:rsidRPr="00476D66">
              <w:rPr>
                <w:rFonts w:ascii="Arial Narrow" w:eastAsia="Times New Roman" w:hAnsi="Arial Narrow" w:cs="Arial"/>
                <w:b/>
                <w:bCs/>
                <w:sz w:val="20"/>
                <w:szCs w:val="20"/>
              </w:rPr>
              <w:t>4M-2011</w:t>
            </w:r>
          </w:p>
        </w:tc>
        <w:tc>
          <w:tcPr>
            <w:tcW w:w="896" w:type="dxa"/>
            <w:tcBorders>
              <w:top w:val="single" w:sz="8" w:space="0" w:color="auto"/>
              <w:left w:val="nil"/>
              <w:bottom w:val="single" w:sz="8" w:space="0" w:color="auto"/>
              <w:right w:val="nil"/>
            </w:tcBorders>
            <w:shd w:val="clear" w:color="auto" w:fill="auto"/>
            <w:noWrap/>
            <w:vAlign w:val="center"/>
            <w:hideMark/>
          </w:tcPr>
          <w:p w:rsidR="00B86F0E" w:rsidRPr="00476D66" w:rsidRDefault="00B86F0E" w:rsidP="005F3070">
            <w:pPr>
              <w:spacing w:before="0" w:after="0"/>
              <w:jc w:val="right"/>
              <w:rPr>
                <w:rFonts w:ascii="Arial Narrow" w:eastAsia="Times New Roman" w:hAnsi="Arial Narrow" w:cs="Arial"/>
                <w:b/>
                <w:bCs/>
                <w:sz w:val="20"/>
                <w:szCs w:val="20"/>
              </w:rPr>
            </w:pPr>
            <w:r w:rsidRPr="00476D66">
              <w:rPr>
                <w:rFonts w:ascii="Arial Narrow" w:eastAsia="Times New Roman" w:hAnsi="Arial Narrow" w:cs="Arial"/>
                <w:b/>
                <w:bCs/>
                <w:sz w:val="20"/>
                <w:szCs w:val="20"/>
              </w:rPr>
              <w:t>4M-2012</w:t>
            </w:r>
          </w:p>
        </w:tc>
        <w:tc>
          <w:tcPr>
            <w:tcW w:w="896" w:type="dxa"/>
            <w:tcBorders>
              <w:top w:val="single" w:sz="8" w:space="0" w:color="auto"/>
              <w:left w:val="nil"/>
              <w:bottom w:val="single" w:sz="8" w:space="0" w:color="auto"/>
              <w:right w:val="nil"/>
            </w:tcBorders>
            <w:shd w:val="clear" w:color="auto" w:fill="auto"/>
            <w:noWrap/>
            <w:vAlign w:val="center"/>
            <w:hideMark/>
          </w:tcPr>
          <w:p w:rsidR="00B86F0E" w:rsidRPr="00476D66" w:rsidRDefault="00B86F0E" w:rsidP="005F3070">
            <w:pPr>
              <w:spacing w:before="0" w:after="0"/>
              <w:jc w:val="right"/>
              <w:rPr>
                <w:rFonts w:ascii="Arial Narrow" w:eastAsia="Times New Roman" w:hAnsi="Arial Narrow" w:cs="Arial"/>
                <w:b/>
                <w:bCs/>
                <w:sz w:val="20"/>
                <w:szCs w:val="20"/>
              </w:rPr>
            </w:pPr>
            <w:r w:rsidRPr="00476D66">
              <w:rPr>
                <w:rFonts w:ascii="Arial Narrow" w:eastAsia="Times New Roman" w:hAnsi="Arial Narrow" w:cs="Arial"/>
                <w:b/>
                <w:bCs/>
                <w:sz w:val="20"/>
                <w:szCs w:val="20"/>
              </w:rPr>
              <w:t>4M-2013</w:t>
            </w:r>
          </w:p>
        </w:tc>
      </w:tr>
      <w:tr w:rsidR="00B86F0E" w:rsidRPr="00476D66" w:rsidTr="005F3070">
        <w:trPr>
          <w:trHeight w:val="420"/>
        </w:trPr>
        <w:tc>
          <w:tcPr>
            <w:tcW w:w="4016" w:type="dxa"/>
            <w:tcBorders>
              <w:top w:val="nil"/>
              <w:left w:val="single" w:sz="4" w:space="0" w:color="C0C0C0"/>
              <w:bottom w:val="single" w:sz="4" w:space="0" w:color="C0C0C0"/>
              <w:right w:val="single" w:sz="4" w:space="0" w:color="C0C0C0"/>
            </w:tcBorders>
            <w:shd w:val="clear" w:color="auto" w:fill="auto"/>
            <w:noWrap/>
            <w:vAlign w:val="center"/>
            <w:hideMark/>
          </w:tcPr>
          <w:p w:rsidR="00B86F0E" w:rsidRPr="00476D66" w:rsidRDefault="00B86F0E" w:rsidP="005F3070">
            <w:pPr>
              <w:spacing w:before="0" w:after="0"/>
              <w:jc w:val="left"/>
              <w:rPr>
                <w:rFonts w:ascii="Arial Narrow" w:eastAsia="Times New Roman" w:hAnsi="Arial Narrow" w:cs="Arial"/>
                <w:b/>
                <w:bCs/>
                <w:sz w:val="20"/>
                <w:szCs w:val="20"/>
              </w:rPr>
            </w:pPr>
            <w:r w:rsidRPr="00476D66">
              <w:rPr>
                <w:rFonts w:ascii="Arial Narrow" w:eastAsia="Times New Roman" w:hAnsi="Arial Narrow" w:cs="Arial"/>
                <w:b/>
                <w:bCs/>
                <w:sz w:val="20"/>
                <w:szCs w:val="20"/>
              </w:rPr>
              <w:t>TOTALI TE ARDHURAVE</w:t>
            </w:r>
          </w:p>
        </w:tc>
        <w:tc>
          <w:tcPr>
            <w:tcW w:w="896" w:type="dxa"/>
            <w:tcBorders>
              <w:top w:val="nil"/>
              <w:left w:val="nil"/>
              <w:bottom w:val="single" w:sz="4" w:space="0" w:color="C0C0C0"/>
              <w:right w:val="single" w:sz="4" w:space="0" w:color="C0C0C0"/>
            </w:tcBorders>
            <w:shd w:val="clear" w:color="auto" w:fill="auto"/>
            <w:noWrap/>
            <w:vAlign w:val="center"/>
            <w:hideMark/>
          </w:tcPr>
          <w:p w:rsidR="00B86F0E" w:rsidRPr="00476D66" w:rsidRDefault="00B86F0E" w:rsidP="005F3070">
            <w:pPr>
              <w:spacing w:before="0" w:after="0"/>
              <w:jc w:val="right"/>
              <w:rPr>
                <w:rFonts w:ascii="Arial Narrow" w:eastAsia="Times New Roman" w:hAnsi="Arial Narrow" w:cs="Arial"/>
                <w:b/>
                <w:bCs/>
                <w:sz w:val="20"/>
                <w:szCs w:val="20"/>
              </w:rPr>
            </w:pPr>
            <w:r w:rsidRPr="00476D66">
              <w:rPr>
                <w:rFonts w:ascii="Arial Narrow" w:eastAsia="Times New Roman" w:hAnsi="Arial Narrow" w:cs="Arial"/>
                <w:b/>
                <w:bCs/>
                <w:sz w:val="20"/>
                <w:szCs w:val="20"/>
              </w:rPr>
              <w:t>95,352</w:t>
            </w:r>
          </w:p>
        </w:tc>
        <w:tc>
          <w:tcPr>
            <w:tcW w:w="896" w:type="dxa"/>
            <w:tcBorders>
              <w:top w:val="nil"/>
              <w:left w:val="nil"/>
              <w:bottom w:val="single" w:sz="4" w:space="0" w:color="C0C0C0"/>
              <w:right w:val="single" w:sz="4" w:space="0" w:color="C0C0C0"/>
            </w:tcBorders>
            <w:shd w:val="clear" w:color="auto" w:fill="auto"/>
            <w:noWrap/>
            <w:vAlign w:val="center"/>
            <w:hideMark/>
          </w:tcPr>
          <w:p w:rsidR="00B86F0E" w:rsidRPr="00476D66" w:rsidRDefault="00B86F0E" w:rsidP="005F3070">
            <w:pPr>
              <w:spacing w:before="0" w:after="0"/>
              <w:jc w:val="right"/>
              <w:rPr>
                <w:rFonts w:ascii="Arial Narrow" w:eastAsia="Times New Roman" w:hAnsi="Arial Narrow" w:cs="Arial"/>
                <w:b/>
                <w:bCs/>
                <w:sz w:val="20"/>
                <w:szCs w:val="20"/>
              </w:rPr>
            </w:pPr>
            <w:r w:rsidRPr="00476D66">
              <w:rPr>
                <w:rFonts w:ascii="Arial Narrow" w:eastAsia="Times New Roman" w:hAnsi="Arial Narrow" w:cs="Arial"/>
                <w:b/>
                <w:bCs/>
                <w:sz w:val="20"/>
                <w:szCs w:val="20"/>
              </w:rPr>
              <w:t>104,501</w:t>
            </w:r>
          </w:p>
        </w:tc>
        <w:tc>
          <w:tcPr>
            <w:tcW w:w="896" w:type="dxa"/>
            <w:tcBorders>
              <w:top w:val="nil"/>
              <w:left w:val="nil"/>
              <w:bottom w:val="single" w:sz="4" w:space="0" w:color="C0C0C0"/>
              <w:right w:val="nil"/>
            </w:tcBorders>
            <w:shd w:val="clear" w:color="auto" w:fill="auto"/>
            <w:noWrap/>
            <w:vAlign w:val="center"/>
            <w:hideMark/>
          </w:tcPr>
          <w:p w:rsidR="00B86F0E" w:rsidRPr="00476D66" w:rsidRDefault="00B86F0E" w:rsidP="005F3070">
            <w:pPr>
              <w:spacing w:before="0" w:after="0"/>
              <w:jc w:val="right"/>
              <w:rPr>
                <w:rFonts w:ascii="Arial Narrow" w:eastAsia="Times New Roman" w:hAnsi="Arial Narrow" w:cs="Arial"/>
                <w:b/>
                <w:bCs/>
                <w:sz w:val="20"/>
                <w:szCs w:val="20"/>
              </w:rPr>
            </w:pPr>
            <w:r w:rsidRPr="00476D66">
              <w:rPr>
                <w:rFonts w:ascii="Arial Narrow" w:eastAsia="Times New Roman" w:hAnsi="Arial Narrow" w:cs="Arial"/>
                <w:b/>
                <w:bCs/>
                <w:sz w:val="20"/>
                <w:szCs w:val="20"/>
              </w:rPr>
              <w:t>103,667</w:t>
            </w:r>
          </w:p>
        </w:tc>
        <w:tc>
          <w:tcPr>
            <w:tcW w:w="896" w:type="dxa"/>
            <w:tcBorders>
              <w:top w:val="nil"/>
              <w:left w:val="single" w:sz="4" w:space="0" w:color="C0C0C0"/>
              <w:bottom w:val="single" w:sz="4" w:space="0" w:color="C0C0C0"/>
              <w:right w:val="nil"/>
            </w:tcBorders>
            <w:shd w:val="clear" w:color="auto" w:fill="auto"/>
            <w:noWrap/>
            <w:vAlign w:val="center"/>
            <w:hideMark/>
          </w:tcPr>
          <w:p w:rsidR="00B86F0E" w:rsidRPr="00476D66" w:rsidRDefault="00B86F0E" w:rsidP="005F3070">
            <w:pPr>
              <w:spacing w:before="0" w:after="0"/>
              <w:jc w:val="right"/>
              <w:rPr>
                <w:rFonts w:ascii="Arial Narrow" w:eastAsia="Times New Roman" w:hAnsi="Arial Narrow" w:cs="Arial"/>
                <w:b/>
                <w:bCs/>
                <w:sz w:val="20"/>
                <w:szCs w:val="20"/>
              </w:rPr>
            </w:pPr>
            <w:r w:rsidRPr="00476D66">
              <w:rPr>
                <w:rFonts w:ascii="Arial Narrow" w:eastAsia="Times New Roman" w:hAnsi="Arial Narrow" w:cs="Arial"/>
                <w:b/>
                <w:bCs/>
                <w:sz w:val="20"/>
                <w:szCs w:val="20"/>
              </w:rPr>
              <w:t>106,312</w:t>
            </w:r>
          </w:p>
        </w:tc>
        <w:tc>
          <w:tcPr>
            <w:tcW w:w="896" w:type="dxa"/>
            <w:tcBorders>
              <w:top w:val="nil"/>
              <w:left w:val="single" w:sz="4" w:space="0" w:color="C0C0C0"/>
              <w:bottom w:val="single" w:sz="4" w:space="0" w:color="C0C0C0"/>
              <w:right w:val="nil"/>
            </w:tcBorders>
            <w:shd w:val="clear" w:color="auto" w:fill="auto"/>
            <w:noWrap/>
            <w:vAlign w:val="center"/>
            <w:hideMark/>
          </w:tcPr>
          <w:p w:rsidR="00B86F0E" w:rsidRPr="00476D66" w:rsidRDefault="00B86F0E" w:rsidP="005F3070">
            <w:pPr>
              <w:spacing w:before="0" w:after="0"/>
              <w:jc w:val="right"/>
              <w:rPr>
                <w:rFonts w:ascii="Arial Narrow" w:eastAsia="Times New Roman" w:hAnsi="Arial Narrow" w:cs="Arial"/>
                <w:b/>
                <w:bCs/>
                <w:sz w:val="20"/>
                <w:szCs w:val="20"/>
              </w:rPr>
            </w:pPr>
            <w:r w:rsidRPr="00476D66">
              <w:rPr>
                <w:rFonts w:ascii="Arial Narrow" w:eastAsia="Times New Roman" w:hAnsi="Arial Narrow" w:cs="Arial"/>
                <w:b/>
                <w:bCs/>
                <w:sz w:val="20"/>
                <w:szCs w:val="20"/>
              </w:rPr>
              <w:t>106,677</w:t>
            </w:r>
          </w:p>
        </w:tc>
      </w:tr>
      <w:tr w:rsidR="00B86F0E" w:rsidRPr="00476D66" w:rsidTr="005F3070">
        <w:trPr>
          <w:trHeight w:val="300"/>
        </w:trPr>
        <w:tc>
          <w:tcPr>
            <w:tcW w:w="4016" w:type="dxa"/>
            <w:tcBorders>
              <w:top w:val="nil"/>
              <w:left w:val="single" w:sz="4" w:space="0" w:color="C0C0C0"/>
              <w:bottom w:val="single" w:sz="4" w:space="0" w:color="C0C0C0"/>
              <w:right w:val="single" w:sz="4" w:space="0" w:color="C0C0C0"/>
            </w:tcBorders>
            <w:shd w:val="clear" w:color="auto" w:fill="auto"/>
            <w:noWrap/>
            <w:vAlign w:val="center"/>
            <w:hideMark/>
          </w:tcPr>
          <w:p w:rsidR="00B86F0E" w:rsidRPr="00476D66" w:rsidRDefault="00B86F0E" w:rsidP="005F3070">
            <w:pPr>
              <w:spacing w:before="0" w:after="0"/>
              <w:jc w:val="left"/>
              <w:rPr>
                <w:rFonts w:ascii="Arial Narrow" w:eastAsia="Times New Roman" w:hAnsi="Arial Narrow" w:cs="Arial"/>
                <w:b/>
                <w:bCs/>
                <w:sz w:val="20"/>
                <w:szCs w:val="20"/>
              </w:rPr>
            </w:pPr>
            <w:r w:rsidRPr="00476D66">
              <w:rPr>
                <w:rFonts w:ascii="Arial Narrow" w:eastAsia="Times New Roman" w:hAnsi="Arial Narrow" w:cs="Arial"/>
                <w:b/>
                <w:bCs/>
                <w:sz w:val="20"/>
                <w:szCs w:val="20"/>
              </w:rPr>
              <w:t>Te ardhura nga ndihmat</w:t>
            </w:r>
          </w:p>
        </w:tc>
        <w:tc>
          <w:tcPr>
            <w:tcW w:w="896" w:type="dxa"/>
            <w:tcBorders>
              <w:top w:val="nil"/>
              <w:left w:val="nil"/>
              <w:bottom w:val="single" w:sz="4" w:space="0" w:color="C0C0C0"/>
              <w:right w:val="single" w:sz="4" w:space="0" w:color="C0C0C0"/>
            </w:tcBorders>
            <w:shd w:val="clear" w:color="auto" w:fill="auto"/>
            <w:noWrap/>
            <w:vAlign w:val="center"/>
            <w:hideMark/>
          </w:tcPr>
          <w:p w:rsidR="00B86F0E" w:rsidRPr="00476D66" w:rsidRDefault="00B86F0E" w:rsidP="005F3070">
            <w:pPr>
              <w:spacing w:before="0" w:after="0"/>
              <w:jc w:val="right"/>
              <w:rPr>
                <w:rFonts w:ascii="Arial Narrow" w:eastAsia="Times New Roman" w:hAnsi="Arial Narrow" w:cs="Arial"/>
                <w:b/>
                <w:bCs/>
                <w:sz w:val="20"/>
                <w:szCs w:val="20"/>
              </w:rPr>
            </w:pPr>
            <w:r w:rsidRPr="00476D66">
              <w:rPr>
                <w:rFonts w:ascii="Arial Narrow" w:eastAsia="Times New Roman" w:hAnsi="Arial Narrow" w:cs="Arial"/>
                <w:b/>
                <w:bCs/>
                <w:sz w:val="20"/>
                <w:szCs w:val="20"/>
              </w:rPr>
              <w:t>576</w:t>
            </w:r>
          </w:p>
        </w:tc>
        <w:tc>
          <w:tcPr>
            <w:tcW w:w="896" w:type="dxa"/>
            <w:tcBorders>
              <w:top w:val="nil"/>
              <w:left w:val="nil"/>
              <w:bottom w:val="single" w:sz="4" w:space="0" w:color="C0C0C0"/>
              <w:right w:val="single" w:sz="4" w:space="0" w:color="C0C0C0"/>
            </w:tcBorders>
            <w:shd w:val="clear" w:color="auto" w:fill="auto"/>
            <w:noWrap/>
            <w:vAlign w:val="center"/>
            <w:hideMark/>
          </w:tcPr>
          <w:p w:rsidR="00B86F0E" w:rsidRPr="00476D66" w:rsidRDefault="00B86F0E" w:rsidP="005F3070">
            <w:pPr>
              <w:spacing w:before="0" w:after="0"/>
              <w:jc w:val="right"/>
              <w:rPr>
                <w:rFonts w:ascii="Arial Narrow" w:eastAsia="Times New Roman" w:hAnsi="Arial Narrow" w:cs="Arial"/>
                <w:b/>
                <w:bCs/>
                <w:sz w:val="20"/>
                <w:szCs w:val="20"/>
              </w:rPr>
            </w:pPr>
            <w:r w:rsidRPr="00476D66">
              <w:rPr>
                <w:rFonts w:ascii="Arial Narrow" w:eastAsia="Times New Roman" w:hAnsi="Arial Narrow" w:cs="Arial"/>
                <w:b/>
                <w:bCs/>
                <w:sz w:val="20"/>
                <w:szCs w:val="20"/>
              </w:rPr>
              <w:t>1,152</w:t>
            </w:r>
          </w:p>
        </w:tc>
        <w:tc>
          <w:tcPr>
            <w:tcW w:w="896" w:type="dxa"/>
            <w:tcBorders>
              <w:top w:val="nil"/>
              <w:left w:val="nil"/>
              <w:bottom w:val="single" w:sz="4" w:space="0" w:color="C0C0C0"/>
              <w:right w:val="nil"/>
            </w:tcBorders>
            <w:shd w:val="clear" w:color="auto" w:fill="auto"/>
            <w:noWrap/>
            <w:vAlign w:val="center"/>
            <w:hideMark/>
          </w:tcPr>
          <w:p w:rsidR="00B86F0E" w:rsidRPr="00476D66" w:rsidRDefault="00B86F0E" w:rsidP="005F3070">
            <w:pPr>
              <w:spacing w:before="0" w:after="0"/>
              <w:jc w:val="right"/>
              <w:rPr>
                <w:rFonts w:ascii="Arial Narrow" w:eastAsia="Times New Roman" w:hAnsi="Arial Narrow" w:cs="Arial"/>
                <w:b/>
                <w:bCs/>
                <w:sz w:val="20"/>
                <w:szCs w:val="20"/>
              </w:rPr>
            </w:pPr>
            <w:r w:rsidRPr="00476D66">
              <w:rPr>
                <w:rFonts w:ascii="Arial Narrow" w:eastAsia="Times New Roman" w:hAnsi="Arial Narrow" w:cs="Arial"/>
                <w:b/>
                <w:bCs/>
                <w:sz w:val="20"/>
                <w:szCs w:val="20"/>
              </w:rPr>
              <w:t>589</w:t>
            </w:r>
          </w:p>
        </w:tc>
        <w:tc>
          <w:tcPr>
            <w:tcW w:w="896" w:type="dxa"/>
            <w:tcBorders>
              <w:top w:val="nil"/>
              <w:left w:val="single" w:sz="4" w:space="0" w:color="C0C0C0"/>
              <w:bottom w:val="single" w:sz="4" w:space="0" w:color="C0C0C0"/>
              <w:right w:val="nil"/>
            </w:tcBorders>
            <w:shd w:val="clear" w:color="auto" w:fill="auto"/>
            <w:noWrap/>
            <w:vAlign w:val="center"/>
            <w:hideMark/>
          </w:tcPr>
          <w:p w:rsidR="00B86F0E" w:rsidRPr="00476D66" w:rsidRDefault="00B86F0E" w:rsidP="005F3070">
            <w:pPr>
              <w:spacing w:before="0" w:after="0"/>
              <w:jc w:val="right"/>
              <w:rPr>
                <w:rFonts w:ascii="Arial Narrow" w:eastAsia="Times New Roman" w:hAnsi="Arial Narrow" w:cs="Arial"/>
                <w:b/>
                <w:bCs/>
                <w:sz w:val="20"/>
                <w:szCs w:val="20"/>
              </w:rPr>
            </w:pPr>
            <w:r w:rsidRPr="00476D66">
              <w:rPr>
                <w:rFonts w:ascii="Arial Narrow" w:eastAsia="Times New Roman" w:hAnsi="Arial Narrow" w:cs="Arial"/>
                <w:b/>
                <w:bCs/>
                <w:sz w:val="20"/>
                <w:szCs w:val="20"/>
              </w:rPr>
              <w:t>747</w:t>
            </w:r>
          </w:p>
        </w:tc>
        <w:tc>
          <w:tcPr>
            <w:tcW w:w="896" w:type="dxa"/>
            <w:tcBorders>
              <w:top w:val="nil"/>
              <w:left w:val="single" w:sz="4" w:space="0" w:color="C0C0C0"/>
              <w:bottom w:val="single" w:sz="4" w:space="0" w:color="C0C0C0"/>
              <w:right w:val="nil"/>
            </w:tcBorders>
            <w:shd w:val="clear" w:color="auto" w:fill="auto"/>
            <w:noWrap/>
            <w:vAlign w:val="center"/>
            <w:hideMark/>
          </w:tcPr>
          <w:p w:rsidR="00B86F0E" w:rsidRPr="00476D66" w:rsidRDefault="00B86F0E" w:rsidP="005F3070">
            <w:pPr>
              <w:spacing w:before="0" w:after="0"/>
              <w:jc w:val="right"/>
              <w:rPr>
                <w:rFonts w:ascii="Arial Narrow" w:eastAsia="Times New Roman" w:hAnsi="Arial Narrow" w:cs="Arial"/>
                <w:b/>
                <w:bCs/>
                <w:sz w:val="20"/>
                <w:szCs w:val="20"/>
              </w:rPr>
            </w:pPr>
            <w:r w:rsidRPr="00476D66">
              <w:rPr>
                <w:rFonts w:ascii="Arial Narrow" w:eastAsia="Times New Roman" w:hAnsi="Arial Narrow" w:cs="Arial"/>
                <w:b/>
                <w:bCs/>
                <w:sz w:val="20"/>
                <w:szCs w:val="20"/>
              </w:rPr>
              <w:t>1,572</w:t>
            </w:r>
          </w:p>
        </w:tc>
      </w:tr>
      <w:tr w:rsidR="00B86F0E" w:rsidRPr="00476D66" w:rsidTr="005F3070">
        <w:trPr>
          <w:trHeight w:val="300"/>
        </w:trPr>
        <w:tc>
          <w:tcPr>
            <w:tcW w:w="4016" w:type="dxa"/>
            <w:tcBorders>
              <w:top w:val="nil"/>
              <w:left w:val="single" w:sz="4" w:space="0" w:color="C0C0C0"/>
              <w:bottom w:val="single" w:sz="4" w:space="0" w:color="C0C0C0"/>
              <w:right w:val="single" w:sz="4" w:space="0" w:color="C0C0C0"/>
            </w:tcBorders>
            <w:shd w:val="clear" w:color="auto" w:fill="auto"/>
            <w:noWrap/>
            <w:vAlign w:val="center"/>
            <w:hideMark/>
          </w:tcPr>
          <w:p w:rsidR="00B86F0E" w:rsidRPr="00476D66" w:rsidRDefault="00B86F0E" w:rsidP="005F3070">
            <w:pPr>
              <w:spacing w:before="0" w:after="0"/>
              <w:jc w:val="left"/>
              <w:rPr>
                <w:rFonts w:ascii="Arial Narrow" w:eastAsia="Times New Roman" w:hAnsi="Arial Narrow" w:cs="Arial"/>
                <w:b/>
                <w:bCs/>
                <w:sz w:val="20"/>
                <w:szCs w:val="20"/>
              </w:rPr>
            </w:pPr>
            <w:r w:rsidRPr="00476D66">
              <w:rPr>
                <w:rFonts w:ascii="Arial Narrow" w:eastAsia="Times New Roman" w:hAnsi="Arial Narrow" w:cs="Arial"/>
                <w:b/>
                <w:bCs/>
                <w:sz w:val="20"/>
                <w:szCs w:val="20"/>
              </w:rPr>
              <w:t>Te ardhura tatimore</w:t>
            </w:r>
          </w:p>
        </w:tc>
        <w:tc>
          <w:tcPr>
            <w:tcW w:w="896" w:type="dxa"/>
            <w:tcBorders>
              <w:top w:val="nil"/>
              <w:left w:val="nil"/>
              <w:bottom w:val="single" w:sz="4" w:space="0" w:color="C0C0C0"/>
              <w:right w:val="single" w:sz="4" w:space="0" w:color="C0C0C0"/>
            </w:tcBorders>
            <w:shd w:val="clear" w:color="auto" w:fill="auto"/>
            <w:noWrap/>
            <w:vAlign w:val="center"/>
            <w:hideMark/>
          </w:tcPr>
          <w:p w:rsidR="00B86F0E" w:rsidRPr="00476D66" w:rsidRDefault="00B86F0E" w:rsidP="005F3070">
            <w:pPr>
              <w:spacing w:before="0" w:after="0"/>
              <w:jc w:val="right"/>
              <w:rPr>
                <w:rFonts w:ascii="Arial Narrow" w:eastAsia="Times New Roman" w:hAnsi="Arial Narrow" w:cs="Arial"/>
                <w:b/>
                <w:bCs/>
                <w:sz w:val="20"/>
                <w:szCs w:val="20"/>
              </w:rPr>
            </w:pPr>
            <w:r w:rsidRPr="00476D66">
              <w:rPr>
                <w:rFonts w:ascii="Arial Narrow" w:eastAsia="Times New Roman" w:hAnsi="Arial Narrow" w:cs="Arial"/>
                <w:b/>
                <w:bCs/>
                <w:sz w:val="20"/>
                <w:szCs w:val="20"/>
              </w:rPr>
              <w:t>87,820</w:t>
            </w:r>
          </w:p>
        </w:tc>
        <w:tc>
          <w:tcPr>
            <w:tcW w:w="896" w:type="dxa"/>
            <w:tcBorders>
              <w:top w:val="nil"/>
              <w:left w:val="nil"/>
              <w:bottom w:val="single" w:sz="4" w:space="0" w:color="C0C0C0"/>
              <w:right w:val="single" w:sz="4" w:space="0" w:color="C0C0C0"/>
            </w:tcBorders>
            <w:shd w:val="clear" w:color="auto" w:fill="auto"/>
            <w:noWrap/>
            <w:vAlign w:val="center"/>
            <w:hideMark/>
          </w:tcPr>
          <w:p w:rsidR="00B86F0E" w:rsidRPr="00476D66" w:rsidRDefault="00B86F0E" w:rsidP="005F3070">
            <w:pPr>
              <w:spacing w:before="0" w:after="0"/>
              <w:jc w:val="right"/>
              <w:rPr>
                <w:rFonts w:ascii="Arial Narrow" w:eastAsia="Times New Roman" w:hAnsi="Arial Narrow" w:cs="Arial"/>
                <w:b/>
                <w:bCs/>
                <w:sz w:val="20"/>
                <w:szCs w:val="20"/>
              </w:rPr>
            </w:pPr>
            <w:r w:rsidRPr="00476D66">
              <w:rPr>
                <w:rFonts w:ascii="Arial Narrow" w:eastAsia="Times New Roman" w:hAnsi="Arial Narrow" w:cs="Arial"/>
                <w:b/>
                <w:bCs/>
                <w:sz w:val="20"/>
                <w:szCs w:val="20"/>
              </w:rPr>
              <w:t>90,361</w:t>
            </w:r>
          </w:p>
        </w:tc>
        <w:tc>
          <w:tcPr>
            <w:tcW w:w="896" w:type="dxa"/>
            <w:tcBorders>
              <w:top w:val="nil"/>
              <w:left w:val="nil"/>
              <w:bottom w:val="single" w:sz="4" w:space="0" w:color="C0C0C0"/>
              <w:right w:val="nil"/>
            </w:tcBorders>
            <w:shd w:val="clear" w:color="auto" w:fill="auto"/>
            <w:noWrap/>
            <w:vAlign w:val="center"/>
            <w:hideMark/>
          </w:tcPr>
          <w:p w:rsidR="00B86F0E" w:rsidRPr="00476D66" w:rsidRDefault="00B86F0E" w:rsidP="005F3070">
            <w:pPr>
              <w:spacing w:before="0" w:after="0"/>
              <w:jc w:val="right"/>
              <w:rPr>
                <w:rFonts w:ascii="Arial Narrow" w:eastAsia="Times New Roman" w:hAnsi="Arial Narrow" w:cs="Arial"/>
                <w:b/>
                <w:bCs/>
                <w:sz w:val="20"/>
                <w:szCs w:val="20"/>
              </w:rPr>
            </w:pPr>
            <w:r w:rsidRPr="00476D66">
              <w:rPr>
                <w:rFonts w:ascii="Arial Narrow" w:eastAsia="Times New Roman" w:hAnsi="Arial Narrow" w:cs="Arial"/>
                <w:b/>
                <w:bCs/>
                <w:sz w:val="20"/>
                <w:szCs w:val="20"/>
              </w:rPr>
              <w:t>94,621</w:t>
            </w:r>
          </w:p>
        </w:tc>
        <w:tc>
          <w:tcPr>
            <w:tcW w:w="896" w:type="dxa"/>
            <w:tcBorders>
              <w:top w:val="nil"/>
              <w:left w:val="single" w:sz="4" w:space="0" w:color="C0C0C0"/>
              <w:bottom w:val="single" w:sz="4" w:space="0" w:color="C0C0C0"/>
              <w:right w:val="nil"/>
            </w:tcBorders>
            <w:shd w:val="clear" w:color="auto" w:fill="auto"/>
            <w:noWrap/>
            <w:vAlign w:val="center"/>
            <w:hideMark/>
          </w:tcPr>
          <w:p w:rsidR="00B86F0E" w:rsidRPr="00476D66" w:rsidRDefault="00B86F0E" w:rsidP="005F3070">
            <w:pPr>
              <w:spacing w:before="0" w:after="0"/>
              <w:jc w:val="right"/>
              <w:rPr>
                <w:rFonts w:ascii="Arial Narrow" w:eastAsia="Times New Roman" w:hAnsi="Arial Narrow" w:cs="Arial"/>
                <w:b/>
                <w:bCs/>
                <w:sz w:val="20"/>
                <w:szCs w:val="20"/>
              </w:rPr>
            </w:pPr>
            <w:r w:rsidRPr="00476D66">
              <w:rPr>
                <w:rFonts w:ascii="Arial Narrow" w:eastAsia="Times New Roman" w:hAnsi="Arial Narrow" w:cs="Arial"/>
                <w:b/>
                <w:bCs/>
                <w:sz w:val="20"/>
                <w:szCs w:val="20"/>
              </w:rPr>
              <w:t>97,509</w:t>
            </w:r>
          </w:p>
        </w:tc>
        <w:tc>
          <w:tcPr>
            <w:tcW w:w="896" w:type="dxa"/>
            <w:tcBorders>
              <w:top w:val="nil"/>
              <w:left w:val="single" w:sz="4" w:space="0" w:color="C0C0C0"/>
              <w:bottom w:val="single" w:sz="4" w:space="0" w:color="C0C0C0"/>
              <w:right w:val="nil"/>
            </w:tcBorders>
            <w:shd w:val="clear" w:color="auto" w:fill="auto"/>
            <w:noWrap/>
            <w:vAlign w:val="center"/>
            <w:hideMark/>
          </w:tcPr>
          <w:p w:rsidR="00B86F0E" w:rsidRPr="00476D66" w:rsidRDefault="00B86F0E" w:rsidP="005F3070">
            <w:pPr>
              <w:spacing w:before="0" w:after="0"/>
              <w:jc w:val="right"/>
              <w:rPr>
                <w:rFonts w:ascii="Arial Narrow" w:eastAsia="Times New Roman" w:hAnsi="Arial Narrow" w:cs="Arial"/>
                <w:b/>
                <w:bCs/>
                <w:sz w:val="20"/>
                <w:szCs w:val="20"/>
              </w:rPr>
            </w:pPr>
            <w:r w:rsidRPr="00476D66">
              <w:rPr>
                <w:rFonts w:ascii="Arial Narrow" w:eastAsia="Times New Roman" w:hAnsi="Arial Narrow" w:cs="Arial"/>
                <w:b/>
                <w:bCs/>
                <w:sz w:val="20"/>
                <w:szCs w:val="20"/>
              </w:rPr>
              <w:t>94,582</w:t>
            </w:r>
          </w:p>
        </w:tc>
      </w:tr>
      <w:tr w:rsidR="00B86F0E" w:rsidRPr="00476D66" w:rsidTr="005F3070">
        <w:trPr>
          <w:trHeight w:val="300"/>
        </w:trPr>
        <w:tc>
          <w:tcPr>
            <w:tcW w:w="4016" w:type="dxa"/>
            <w:tcBorders>
              <w:top w:val="nil"/>
              <w:left w:val="single" w:sz="4" w:space="0" w:color="C0C0C0"/>
              <w:bottom w:val="single" w:sz="4" w:space="0" w:color="C0C0C0"/>
              <w:right w:val="single" w:sz="4" w:space="0" w:color="C0C0C0"/>
            </w:tcBorders>
            <w:shd w:val="clear" w:color="auto" w:fill="auto"/>
            <w:noWrap/>
            <w:vAlign w:val="center"/>
            <w:hideMark/>
          </w:tcPr>
          <w:p w:rsidR="00B86F0E" w:rsidRPr="00476D66" w:rsidRDefault="00B86F0E" w:rsidP="005F3070">
            <w:pPr>
              <w:spacing w:before="0" w:after="0"/>
              <w:jc w:val="left"/>
              <w:rPr>
                <w:rFonts w:ascii="Arial Narrow" w:eastAsia="Times New Roman" w:hAnsi="Arial Narrow" w:cs="Arial"/>
                <w:b/>
                <w:bCs/>
                <w:sz w:val="20"/>
                <w:szCs w:val="20"/>
              </w:rPr>
            </w:pPr>
            <w:r w:rsidRPr="00476D66">
              <w:rPr>
                <w:rFonts w:ascii="Arial Narrow" w:eastAsia="Times New Roman" w:hAnsi="Arial Narrow" w:cs="Arial"/>
                <w:b/>
                <w:bCs/>
                <w:sz w:val="20"/>
                <w:szCs w:val="20"/>
              </w:rPr>
              <w:t>Nga Tatimet dhe Doganat</w:t>
            </w:r>
          </w:p>
        </w:tc>
        <w:tc>
          <w:tcPr>
            <w:tcW w:w="896" w:type="dxa"/>
            <w:tcBorders>
              <w:top w:val="nil"/>
              <w:left w:val="nil"/>
              <w:bottom w:val="single" w:sz="4" w:space="0" w:color="C0C0C0"/>
              <w:right w:val="single" w:sz="4" w:space="0" w:color="C0C0C0"/>
            </w:tcBorders>
            <w:shd w:val="clear" w:color="auto" w:fill="auto"/>
            <w:noWrap/>
            <w:vAlign w:val="center"/>
            <w:hideMark/>
          </w:tcPr>
          <w:p w:rsidR="00B86F0E" w:rsidRPr="00476D66" w:rsidRDefault="00B86F0E" w:rsidP="005F3070">
            <w:pPr>
              <w:spacing w:before="0" w:after="0"/>
              <w:jc w:val="right"/>
              <w:rPr>
                <w:rFonts w:ascii="Arial Narrow" w:eastAsia="Times New Roman" w:hAnsi="Arial Narrow" w:cs="Arial"/>
                <w:b/>
                <w:bCs/>
                <w:sz w:val="20"/>
                <w:szCs w:val="20"/>
              </w:rPr>
            </w:pPr>
            <w:r w:rsidRPr="00476D66">
              <w:rPr>
                <w:rFonts w:ascii="Arial Narrow" w:eastAsia="Times New Roman" w:hAnsi="Arial Narrow" w:cs="Arial"/>
                <w:b/>
                <w:bCs/>
                <w:sz w:val="20"/>
                <w:szCs w:val="20"/>
              </w:rPr>
              <w:t>64,687</w:t>
            </w:r>
          </w:p>
        </w:tc>
        <w:tc>
          <w:tcPr>
            <w:tcW w:w="896" w:type="dxa"/>
            <w:tcBorders>
              <w:top w:val="nil"/>
              <w:left w:val="nil"/>
              <w:bottom w:val="single" w:sz="4" w:space="0" w:color="C0C0C0"/>
              <w:right w:val="single" w:sz="4" w:space="0" w:color="C0C0C0"/>
            </w:tcBorders>
            <w:shd w:val="clear" w:color="auto" w:fill="auto"/>
            <w:noWrap/>
            <w:vAlign w:val="center"/>
            <w:hideMark/>
          </w:tcPr>
          <w:p w:rsidR="00B86F0E" w:rsidRPr="00476D66" w:rsidRDefault="00B86F0E" w:rsidP="005F3070">
            <w:pPr>
              <w:spacing w:before="0" w:after="0"/>
              <w:jc w:val="right"/>
              <w:rPr>
                <w:rFonts w:ascii="Arial Narrow" w:eastAsia="Times New Roman" w:hAnsi="Arial Narrow" w:cs="Arial"/>
                <w:b/>
                <w:bCs/>
                <w:sz w:val="20"/>
                <w:szCs w:val="20"/>
              </w:rPr>
            </w:pPr>
            <w:r w:rsidRPr="00476D66">
              <w:rPr>
                <w:rFonts w:ascii="Arial Narrow" w:eastAsia="Times New Roman" w:hAnsi="Arial Narrow" w:cs="Arial"/>
                <w:b/>
                <w:bCs/>
                <w:sz w:val="20"/>
                <w:szCs w:val="20"/>
              </w:rPr>
              <w:t>66,962</w:t>
            </w:r>
          </w:p>
        </w:tc>
        <w:tc>
          <w:tcPr>
            <w:tcW w:w="896" w:type="dxa"/>
            <w:tcBorders>
              <w:top w:val="nil"/>
              <w:left w:val="nil"/>
              <w:bottom w:val="single" w:sz="4" w:space="0" w:color="C0C0C0"/>
              <w:right w:val="nil"/>
            </w:tcBorders>
            <w:shd w:val="clear" w:color="auto" w:fill="auto"/>
            <w:noWrap/>
            <w:vAlign w:val="center"/>
            <w:hideMark/>
          </w:tcPr>
          <w:p w:rsidR="00B86F0E" w:rsidRPr="00476D66" w:rsidRDefault="00B86F0E" w:rsidP="005F3070">
            <w:pPr>
              <w:spacing w:before="0" w:after="0"/>
              <w:jc w:val="right"/>
              <w:rPr>
                <w:rFonts w:ascii="Arial Narrow" w:eastAsia="Times New Roman" w:hAnsi="Arial Narrow" w:cs="Arial"/>
                <w:b/>
                <w:bCs/>
                <w:sz w:val="20"/>
                <w:szCs w:val="20"/>
              </w:rPr>
            </w:pPr>
            <w:r w:rsidRPr="00476D66">
              <w:rPr>
                <w:rFonts w:ascii="Arial Narrow" w:eastAsia="Times New Roman" w:hAnsi="Arial Narrow" w:cs="Arial"/>
                <w:b/>
                <w:bCs/>
                <w:sz w:val="20"/>
                <w:szCs w:val="20"/>
              </w:rPr>
              <w:t>70,388</w:t>
            </w:r>
          </w:p>
        </w:tc>
        <w:tc>
          <w:tcPr>
            <w:tcW w:w="896" w:type="dxa"/>
            <w:tcBorders>
              <w:top w:val="nil"/>
              <w:left w:val="single" w:sz="4" w:space="0" w:color="C0C0C0"/>
              <w:bottom w:val="single" w:sz="4" w:space="0" w:color="C0C0C0"/>
              <w:right w:val="nil"/>
            </w:tcBorders>
            <w:shd w:val="clear" w:color="auto" w:fill="auto"/>
            <w:noWrap/>
            <w:vAlign w:val="center"/>
            <w:hideMark/>
          </w:tcPr>
          <w:p w:rsidR="00B86F0E" w:rsidRPr="00476D66" w:rsidRDefault="00B86F0E" w:rsidP="005F3070">
            <w:pPr>
              <w:spacing w:before="0" w:after="0"/>
              <w:jc w:val="right"/>
              <w:rPr>
                <w:rFonts w:ascii="Arial Narrow" w:eastAsia="Times New Roman" w:hAnsi="Arial Narrow" w:cs="Arial"/>
                <w:b/>
                <w:bCs/>
                <w:sz w:val="20"/>
                <w:szCs w:val="20"/>
              </w:rPr>
            </w:pPr>
            <w:r w:rsidRPr="00476D66">
              <w:rPr>
                <w:rFonts w:ascii="Arial Narrow" w:eastAsia="Times New Roman" w:hAnsi="Arial Narrow" w:cs="Arial"/>
                <w:b/>
                <w:bCs/>
                <w:sz w:val="20"/>
                <w:szCs w:val="20"/>
              </w:rPr>
              <w:t>71,989</w:t>
            </w:r>
          </w:p>
        </w:tc>
        <w:tc>
          <w:tcPr>
            <w:tcW w:w="896" w:type="dxa"/>
            <w:tcBorders>
              <w:top w:val="nil"/>
              <w:left w:val="single" w:sz="4" w:space="0" w:color="C0C0C0"/>
              <w:bottom w:val="single" w:sz="4" w:space="0" w:color="C0C0C0"/>
              <w:right w:val="nil"/>
            </w:tcBorders>
            <w:shd w:val="clear" w:color="auto" w:fill="auto"/>
            <w:noWrap/>
            <w:vAlign w:val="center"/>
            <w:hideMark/>
          </w:tcPr>
          <w:p w:rsidR="00B86F0E" w:rsidRPr="00476D66" w:rsidRDefault="00B86F0E" w:rsidP="005F3070">
            <w:pPr>
              <w:spacing w:before="0" w:after="0"/>
              <w:jc w:val="right"/>
              <w:rPr>
                <w:rFonts w:ascii="Arial Narrow" w:eastAsia="Times New Roman" w:hAnsi="Arial Narrow" w:cs="Arial"/>
                <w:b/>
                <w:bCs/>
                <w:sz w:val="20"/>
                <w:szCs w:val="20"/>
              </w:rPr>
            </w:pPr>
            <w:r w:rsidRPr="00476D66">
              <w:rPr>
                <w:rFonts w:ascii="Arial Narrow" w:eastAsia="Times New Roman" w:hAnsi="Arial Narrow" w:cs="Arial"/>
                <w:b/>
                <w:bCs/>
                <w:sz w:val="20"/>
                <w:szCs w:val="20"/>
              </w:rPr>
              <w:t>69,540</w:t>
            </w:r>
          </w:p>
        </w:tc>
      </w:tr>
      <w:tr w:rsidR="00B86F0E" w:rsidRPr="00476D66" w:rsidTr="005F3070">
        <w:trPr>
          <w:trHeight w:val="300"/>
        </w:trPr>
        <w:tc>
          <w:tcPr>
            <w:tcW w:w="4016" w:type="dxa"/>
            <w:tcBorders>
              <w:top w:val="nil"/>
              <w:left w:val="single" w:sz="4" w:space="0" w:color="C0C0C0"/>
              <w:bottom w:val="single" w:sz="4" w:space="0" w:color="C0C0C0"/>
              <w:right w:val="single" w:sz="4" w:space="0" w:color="C0C0C0"/>
            </w:tcBorders>
            <w:shd w:val="clear" w:color="auto" w:fill="auto"/>
            <w:noWrap/>
            <w:vAlign w:val="center"/>
            <w:hideMark/>
          </w:tcPr>
          <w:p w:rsidR="00B86F0E" w:rsidRPr="00476D66" w:rsidRDefault="00B86F0E" w:rsidP="005F3070">
            <w:pPr>
              <w:spacing w:before="0" w:after="0"/>
              <w:jc w:val="left"/>
              <w:rPr>
                <w:rFonts w:ascii="Arial Narrow" w:eastAsia="Times New Roman" w:hAnsi="Arial Narrow" w:cs="Arial"/>
                <w:sz w:val="20"/>
                <w:szCs w:val="20"/>
              </w:rPr>
            </w:pPr>
            <w:r w:rsidRPr="00476D66">
              <w:rPr>
                <w:rFonts w:ascii="Arial Narrow" w:eastAsia="Times New Roman" w:hAnsi="Arial Narrow" w:cs="Arial"/>
                <w:sz w:val="20"/>
                <w:szCs w:val="20"/>
              </w:rPr>
              <w:t>Tatimi mbi Vleren e Shtuar</w:t>
            </w:r>
          </w:p>
        </w:tc>
        <w:tc>
          <w:tcPr>
            <w:tcW w:w="896" w:type="dxa"/>
            <w:tcBorders>
              <w:top w:val="nil"/>
              <w:left w:val="nil"/>
              <w:bottom w:val="single" w:sz="4" w:space="0" w:color="C0C0C0"/>
              <w:right w:val="single" w:sz="4" w:space="0" w:color="C0C0C0"/>
            </w:tcBorders>
            <w:shd w:val="clear" w:color="auto" w:fill="auto"/>
            <w:noWrap/>
            <w:vAlign w:val="center"/>
            <w:hideMark/>
          </w:tcPr>
          <w:p w:rsidR="00B86F0E" w:rsidRPr="00476D66" w:rsidRDefault="00B86F0E" w:rsidP="005F3070">
            <w:pPr>
              <w:spacing w:before="0" w:after="0"/>
              <w:jc w:val="right"/>
              <w:rPr>
                <w:rFonts w:ascii="Arial Narrow" w:eastAsia="Times New Roman" w:hAnsi="Arial Narrow" w:cs="Arial"/>
                <w:sz w:val="20"/>
                <w:szCs w:val="20"/>
              </w:rPr>
            </w:pPr>
            <w:r w:rsidRPr="00476D66">
              <w:rPr>
                <w:rFonts w:ascii="Arial Narrow" w:eastAsia="Times New Roman" w:hAnsi="Arial Narrow" w:cs="Arial"/>
                <w:sz w:val="20"/>
                <w:szCs w:val="20"/>
              </w:rPr>
              <w:t>33,352</w:t>
            </w:r>
          </w:p>
        </w:tc>
        <w:tc>
          <w:tcPr>
            <w:tcW w:w="896" w:type="dxa"/>
            <w:tcBorders>
              <w:top w:val="nil"/>
              <w:left w:val="nil"/>
              <w:bottom w:val="single" w:sz="4" w:space="0" w:color="C0C0C0"/>
              <w:right w:val="single" w:sz="4" w:space="0" w:color="C0C0C0"/>
            </w:tcBorders>
            <w:shd w:val="clear" w:color="auto" w:fill="auto"/>
            <w:noWrap/>
            <w:vAlign w:val="center"/>
            <w:hideMark/>
          </w:tcPr>
          <w:p w:rsidR="00B86F0E" w:rsidRPr="00476D66" w:rsidRDefault="00B86F0E" w:rsidP="005F3070">
            <w:pPr>
              <w:spacing w:before="0" w:after="0"/>
              <w:jc w:val="right"/>
              <w:rPr>
                <w:rFonts w:ascii="Arial Narrow" w:eastAsia="Times New Roman" w:hAnsi="Arial Narrow" w:cs="Arial"/>
                <w:sz w:val="20"/>
                <w:szCs w:val="20"/>
              </w:rPr>
            </w:pPr>
            <w:r w:rsidRPr="00476D66">
              <w:rPr>
                <w:rFonts w:ascii="Arial Narrow" w:eastAsia="Times New Roman" w:hAnsi="Arial Narrow" w:cs="Arial"/>
                <w:sz w:val="20"/>
                <w:szCs w:val="20"/>
              </w:rPr>
              <w:t>34,990</w:t>
            </w:r>
          </w:p>
        </w:tc>
        <w:tc>
          <w:tcPr>
            <w:tcW w:w="896" w:type="dxa"/>
            <w:tcBorders>
              <w:top w:val="nil"/>
              <w:left w:val="nil"/>
              <w:bottom w:val="single" w:sz="4" w:space="0" w:color="C0C0C0"/>
              <w:right w:val="nil"/>
            </w:tcBorders>
            <w:shd w:val="clear" w:color="auto" w:fill="auto"/>
            <w:noWrap/>
            <w:vAlign w:val="center"/>
            <w:hideMark/>
          </w:tcPr>
          <w:p w:rsidR="00B86F0E" w:rsidRPr="00476D66" w:rsidRDefault="00B86F0E" w:rsidP="005F3070">
            <w:pPr>
              <w:spacing w:before="0" w:after="0"/>
              <w:jc w:val="right"/>
              <w:rPr>
                <w:rFonts w:ascii="Arial Narrow" w:eastAsia="Times New Roman" w:hAnsi="Arial Narrow" w:cs="Arial"/>
                <w:sz w:val="20"/>
                <w:szCs w:val="20"/>
              </w:rPr>
            </w:pPr>
            <w:r w:rsidRPr="00476D66">
              <w:rPr>
                <w:rFonts w:ascii="Arial Narrow" w:eastAsia="Times New Roman" w:hAnsi="Arial Narrow" w:cs="Arial"/>
                <w:sz w:val="20"/>
                <w:szCs w:val="20"/>
              </w:rPr>
              <w:t>34,860</w:t>
            </w:r>
          </w:p>
        </w:tc>
        <w:tc>
          <w:tcPr>
            <w:tcW w:w="896" w:type="dxa"/>
            <w:tcBorders>
              <w:top w:val="nil"/>
              <w:left w:val="single" w:sz="4" w:space="0" w:color="C0C0C0"/>
              <w:bottom w:val="single" w:sz="4" w:space="0" w:color="C0C0C0"/>
              <w:right w:val="nil"/>
            </w:tcBorders>
            <w:shd w:val="clear" w:color="auto" w:fill="auto"/>
            <w:noWrap/>
            <w:vAlign w:val="center"/>
            <w:hideMark/>
          </w:tcPr>
          <w:p w:rsidR="00B86F0E" w:rsidRPr="00476D66" w:rsidRDefault="00B86F0E" w:rsidP="005F3070">
            <w:pPr>
              <w:spacing w:before="0" w:after="0"/>
              <w:jc w:val="right"/>
              <w:rPr>
                <w:rFonts w:ascii="Arial Narrow" w:eastAsia="Times New Roman" w:hAnsi="Arial Narrow" w:cs="Arial"/>
                <w:sz w:val="20"/>
                <w:szCs w:val="20"/>
              </w:rPr>
            </w:pPr>
            <w:r w:rsidRPr="00476D66">
              <w:rPr>
                <w:rFonts w:ascii="Arial Narrow" w:eastAsia="Times New Roman" w:hAnsi="Arial Narrow" w:cs="Arial"/>
                <w:sz w:val="20"/>
                <w:szCs w:val="20"/>
              </w:rPr>
              <w:t>35,372</w:t>
            </w:r>
          </w:p>
        </w:tc>
        <w:tc>
          <w:tcPr>
            <w:tcW w:w="896" w:type="dxa"/>
            <w:tcBorders>
              <w:top w:val="nil"/>
              <w:left w:val="single" w:sz="4" w:space="0" w:color="C0C0C0"/>
              <w:bottom w:val="single" w:sz="4" w:space="0" w:color="C0C0C0"/>
              <w:right w:val="nil"/>
            </w:tcBorders>
            <w:shd w:val="clear" w:color="auto" w:fill="auto"/>
            <w:noWrap/>
            <w:vAlign w:val="center"/>
            <w:hideMark/>
          </w:tcPr>
          <w:p w:rsidR="00B86F0E" w:rsidRPr="00476D66" w:rsidRDefault="00B86F0E" w:rsidP="005F3070">
            <w:pPr>
              <w:spacing w:before="0" w:after="0"/>
              <w:jc w:val="right"/>
              <w:rPr>
                <w:rFonts w:ascii="Arial Narrow" w:eastAsia="Times New Roman" w:hAnsi="Arial Narrow" w:cs="Arial"/>
                <w:sz w:val="20"/>
                <w:szCs w:val="20"/>
              </w:rPr>
            </w:pPr>
            <w:r w:rsidRPr="00476D66">
              <w:rPr>
                <w:rFonts w:ascii="Arial Narrow" w:eastAsia="Times New Roman" w:hAnsi="Arial Narrow" w:cs="Arial"/>
                <w:sz w:val="20"/>
                <w:szCs w:val="20"/>
              </w:rPr>
              <w:t>33,233</w:t>
            </w:r>
          </w:p>
        </w:tc>
      </w:tr>
      <w:tr w:rsidR="00B86F0E" w:rsidRPr="00476D66" w:rsidTr="005F3070">
        <w:trPr>
          <w:trHeight w:val="300"/>
        </w:trPr>
        <w:tc>
          <w:tcPr>
            <w:tcW w:w="4016" w:type="dxa"/>
            <w:tcBorders>
              <w:top w:val="nil"/>
              <w:left w:val="single" w:sz="4" w:space="0" w:color="C0C0C0"/>
              <w:bottom w:val="single" w:sz="4" w:space="0" w:color="C0C0C0"/>
              <w:right w:val="single" w:sz="4" w:space="0" w:color="C0C0C0"/>
            </w:tcBorders>
            <w:shd w:val="clear" w:color="auto" w:fill="auto"/>
            <w:noWrap/>
            <w:vAlign w:val="center"/>
            <w:hideMark/>
          </w:tcPr>
          <w:p w:rsidR="00B86F0E" w:rsidRPr="00476D66" w:rsidRDefault="00B86F0E" w:rsidP="005F3070">
            <w:pPr>
              <w:spacing w:before="0" w:after="0"/>
              <w:jc w:val="left"/>
              <w:rPr>
                <w:rFonts w:ascii="Arial Narrow" w:eastAsia="Times New Roman" w:hAnsi="Arial Narrow" w:cs="Arial"/>
                <w:sz w:val="20"/>
                <w:szCs w:val="20"/>
              </w:rPr>
            </w:pPr>
            <w:r w:rsidRPr="00476D66">
              <w:rPr>
                <w:rFonts w:ascii="Arial Narrow" w:eastAsia="Times New Roman" w:hAnsi="Arial Narrow" w:cs="Arial"/>
                <w:sz w:val="20"/>
                <w:szCs w:val="20"/>
              </w:rPr>
              <w:t>Tatimi mbi Fitimin</w:t>
            </w:r>
          </w:p>
        </w:tc>
        <w:tc>
          <w:tcPr>
            <w:tcW w:w="896" w:type="dxa"/>
            <w:tcBorders>
              <w:top w:val="nil"/>
              <w:left w:val="nil"/>
              <w:bottom w:val="single" w:sz="4" w:space="0" w:color="C0C0C0"/>
              <w:right w:val="single" w:sz="4" w:space="0" w:color="C0C0C0"/>
            </w:tcBorders>
            <w:shd w:val="clear" w:color="auto" w:fill="auto"/>
            <w:noWrap/>
            <w:vAlign w:val="center"/>
            <w:hideMark/>
          </w:tcPr>
          <w:p w:rsidR="00B86F0E" w:rsidRPr="00476D66" w:rsidRDefault="00B86F0E" w:rsidP="005F3070">
            <w:pPr>
              <w:spacing w:before="0" w:after="0"/>
              <w:jc w:val="right"/>
              <w:rPr>
                <w:rFonts w:ascii="Arial Narrow" w:eastAsia="Times New Roman" w:hAnsi="Arial Narrow" w:cs="Arial"/>
                <w:sz w:val="20"/>
                <w:szCs w:val="20"/>
              </w:rPr>
            </w:pPr>
            <w:r w:rsidRPr="00476D66">
              <w:rPr>
                <w:rFonts w:ascii="Arial Narrow" w:eastAsia="Times New Roman" w:hAnsi="Arial Narrow" w:cs="Arial"/>
                <w:sz w:val="20"/>
                <w:szCs w:val="20"/>
              </w:rPr>
              <w:t>6,720</w:t>
            </w:r>
          </w:p>
        </w:tc>
        <w:tc>
          <w:tcPr>
            <w:tcW w:w="896" w:type="dxa"/>
            <w:tcBorders>
              <w:top w:val="nil"/>
              <w:left w:val="nil"/>
              <w:bottom w:val="single" w:sz="4" w:space="0" w:color="C0C0C0"/>
              <w:right w:val="single" w:sz="4" w:space="0" w:color="C0C0C0"/>
            </w:tcBorders>
            <w:shd w:val="clear" w:color="auto" w:fill="auto"/>
            <w:noWrap/>
            <w:vAlign w:val="center"/>
            <w:hideMark/>
          </w:tcPr>
          <w:p w:rsidR="00B86F0E" w:rsidRPr="00476D66" w:rsidRDefault="00B86F0E" w:rsidP="005F3070">
            <w:pPr>
              <w:spacing w:before="0" w:after="0"/>
              <w:jc w:val="right"/>
              <w:rPr>
                <w:rFonts w:ascii="Arial Narrow" w:eastAsia="Times New Roman" w:hAnsi="Arial Narrow" w:cs="Arial"/>
                <w:sz w:val="20"/>
                <w:szCs w:val="20"/>
              </w:rPr>
            </w:pPr>
            <w:r w:rsidRPr="00476D66">
              <w:rPr>
                <w:rFonts w:ascii="Arial Narrow" w:eastAsia="Times New Roman" w:hAnsi="Arial Narrow" w:cs="Arial"/>
                <w:sz w:val="20"/>
                <w:szCs w:val="20"/>
              </w:rPr>
              <w:t>6,348</w:t>
            </w:r>
          </w:p>
        </w:tc>
        <w:tc>
          <w:tcPr>
            <w:tcW w:w="896" w:type="dxa"/>
            <w:tcBorders>
              <w:top w:val="nil"/>
              <w:left w:val="nil"/>
              <w:bottom w:val="single" w:sz="4" w:space="0" w:color="C0C0C0"/>
              <w:right w:val="nil"/>
            </w:tcBorders>
            <w:shd w:val="clear" w:color="auto" w:fill="auto"/>
            <w:noWrap/>
            <w:vAlign w:val="center"/>
            <w:hideMark/>
          </w:tcPr>
          <w:p w:rsidR="00B86F0E" w:rsidRPr="00476D66" w:rsidRDefault="00B86F0E" w:rsidP="005F3070">
            <w:pPr>
              <w:spacing w:before="0" w:after="0"/>
              <w:jc w:val="right"/>
              <w:rPr>
                <w:rFonts w:ascii="Arial Narrow" w:eastAsia="Times New Roman" w:hAnsi="Arial Narrow" w:cs="Arial"/>
                <w:sz w:val="20"/>
                <w:szCs w:val="20"/>
              </w:rPr>
            </w:pPr>
            <w:r w:rsidRPr="00476D66">
              <w:rPr>
                <w:rFonts w:ascii="Arial Narrow" w:eastAsia="Times New Roman" w:hAnsi="Arial Narrow" w:cs="Arial"/>
                <w:sz w:val="20"/>
                <w:szCs w:val="20"/>
              </w:rPr>
              <w:t>7,707</w:t>
            </w:r>
          </w:p>
        </w:tc>
        <w:tc>
          <w:tcPr>
            <w:tcW w:w="896" w:type="dxa"/>
            <w:tcBorders>
              <w:top w:val="nil"/>
              <w:left w:val="single" w:sz="4" w:space="0" w:color="C0C0C0"/>
              <w:bottom w:val="single" w:sz="4" w:space="0" w:color="C0C0C0"/>
              <w:right w:val="nil"/>
            </w:tcBorders>
            <w:shd w:val="clear" w:color="auto" w:fill="auto"/>
            <w:noWrap/>
            <w:vAlign w:val="center"/>
            <w:hideMark/>
          </w:tcPr>
          <w:p w:rsidR="00B86F0E" w:rsidRPr="00476D66" w:rsidRDefault="00B86F0E" w:rsidP="005F3070">
            <w:pPr>
              <w:spacing w:before="0" w:after="0"/>
              <w:jc w:val="right"/>
              <w:rPr>
                <w:rFonts w:ascii="Arial Narrow" w:eastAsia="Times New Roman" w:hAnsi="Arial Narrow" w:cs="Arial"/>
                <w:sz w:val="20"/>
                <w:szCs w:val="20"/>
              </w:rPr>
            </w:pPr>
            <w:r w:rsidRPr="00476D66">
              <w:rPr>
                <w:rFonts w:ascii="Arial Narrow" w:eastAsia="Times New Roman" w:hAnsi="Arial Narrow" w:cs="Arial"/>
                <w:sz w:val="20"/>
                <w:szCs w:val="20"/>
              </w:rPr>
              <w:t>6,348</w:t>
            </w:r>
          </w:p>
        </w:tc>
        <w:tc>
          <w:tcPr>
            <w:tcW w:w="896" w:type="dxa"/>
            <w:tcBorders>
              <w:top w:val="nil"/>
              <w:left w:val="single" w:sz="4" w:space="0" w:color="C0C0C0"/>
              <w:bottom w:val="single" w:sz="4" w:space="0" w:color="C0C0C0"/>
              <w:right w:val="nil"/>
            </w:tcBorders>
            <w:shd w:val="clear" w:color="auto" w:fill="auto"/>
            <w:noWrap/>
            <w:vAlign w:val="center"/>
            <w:hideMark/>
          </w:tcPr>
          <w:p w:rsidR="00B86F0E" w:rsidRPr="00476D66" w:rsidRDefault="00B86F0E" w:rsidP="005F3070">
            <w:pPr>
              <w:spacing w:before="0" w:after="0"/>
              <w:jc w:val="right"/>
              <w:rPr>
                <w:rFonts w:ascii="Arial Narrow" w:eastAsia="Times New Roman" w:hAnsi="Arial Narrow" w:cs="Arial"/>
                <w:sz w:val="20"/>
                <w:szCs w:val="20"/>
              </w:rPr>
            </w:pPr>
            <w:r w:rsidRPr="00476D66">
              <w:rPr>
                <w:rFonts w:ascii="Arial Narrow" w:eastAsia="Times New Roman" w:hAnsi="Arial Narrow" w:cs="Arial"/>
                <w:sz w:val="20"/>
                <w:szCs w:val="20"/>
              </w:rPr>
              <w:t>6,451</w:t>
            </w:r>
          </w:p>
        </w:tc>
      </w:tr>
      <w:tr w:rsidR="00B86F0E" w:rsidRPr="00476D66" w:rsidTr="005F3070">
        <w:trPr>
          <w:trHeight w:val="300"/>
        </w:trPr>
        <w:tc>
          <w:tcPr>
            <w:tcW w:w="4016" w:type="dxa"/>
            <w:tcBorders>
              <w:top w:val="nil"/>
              <w:left w:val="single" w:sz="4" w:space="0" w:color="C0C0C0"/>
              <w:bottom w:val="single" w:sz="4" w:space="0" w:color="C0C0C0"/>
              <w:right w:val="single" w:sz="4" w:space="0" w:color="C0C0C0"/>
            </w:tcBorders>
            <w:shd w:val="clear" w:color="auto" w:fill="auto"/>
            <w:noWrap/>
            <w:vAlign w:val="center"/>
            <w:hideMark/>
          </w:tcPr>
          <w:p w:rsidR="00B86F0E" w:rsidRPr="00476D66" w:rsidRDefault="00B86F0E" w:rsidP="005F3070">
            <w:pPr>
              <w:spacing w:before="0" w:after="0"/>
              <w:jc w:val="left"/>
              <w:rPr>
                <w:rFonts w:ascii="Arial Narrow" w:eastAsia="Times New Roman" w:hAnsi="Arial Narrow" w:cs="Arial"/>
                <w:sz w:val="20"/>
                <w:szCs w:val="20"/>
              </w:rPr>
            </w:pPr>
            <w:r w:rsidRPr="00476D66">
              <w:rPr>
                <w:rFonts w:ascii="Arial Narrow" w:eastAsia="Times New Roman" w:hAnsi="Arial Narrow" w:cs="Arial"/>
                <w:sz w:val="20"/>
                <w:szCs w:val="20"/>
              </w:rPr>
              <w:t>Akcizat</w:t>
            </w:r>
          </w:p>
        </w:tc>
        <w:tc>
          <w:tcPr>
            <w:tcW w:w="896" w:type="dxa"/>
            <w:tcBorders>
              <w:top w:val="nil"/>
              <w:left w:val="nil"/>
              <w:bottom w:val="single" w:sz="4" w:space="0" w:color="C0C0C0"/>
              <w:right w:val="single" w:sz="4" w:space="0" w:color="C0C0C0"/>
            </w:tcBorders>
            <w:shd w:val="clear" w:color="auto" w:fill="auto"/>
            <w:noWrap/>
            <w:vAlign w:val="center"/>
            <w:hideMark/>
          </w:tcPr>
          <w:p w:rsidR="00B86F0E" w:rsidRPr="00476D66" w:rsidRDefault="00B86F0E" w:rsidP="005F3070">
            <w:pPr>
              <w:spacing w:before="0" w:after="0"/>
              <w:jc w:val="right"/>
              <w:rPr>
                <w:rFonts w:ascii="Arial Narrow" w:eastAsia="Times New Roman" w:hAnsi="Arial Narrow" w:cs="Arial"/>
                <w:sz w:val="20"/>
                <w:szCs w:val="20"/>
              </w:rPr>
            </w:pPr>
            <w:r w:rsidRPr="00476D66">
              <w:rPr>
                <w:rFonts w:ascii="Arial Narrow" w:eastAsia="Times New Roman" w:hAnsi="Arial Narrow" w:cs="Arial"/>
                <w:sz w:val="20"/>
                <w:szCs w:val="20"/>
              </w:rPr>
              <w:t>9,194</w:t>
            </w:r>
          </w:p>
        </w:tc>
        <w:tc>
          <w:tcPr>
            <w:tcW w:w="896" w:type="dxa"/>
            <w:tcBorders>
              <w:top w:val="nil"/>
              <w:left w:val="nil"/>
              <w:bottom w:val="single" w:sz="4" w:space="0" w:color="C0C0C0"/>
              <w:right w:val="single" w:sz="4" w:space="0" w:color="C0C0C0"/>
            </w:tcBorders>
            <w:shd w:val="clear" w:color="auto" w:fill="auto"/>
            <w:noWrap/>
            <w:vAlign w:val="center"/>
            <w:hideMark/>
          </w:tcPr>
          <w:p w:rsidR="00B86F0E" w:rsidRPr="00476D66" w:rsidRDefault="00B86F0E" w:rsidP="005F3070">
            <w:pPr>
              <w:spacing w:before="0" w:after="0"/>
              <w:jc w:val="right"/>
              <w:rPr>
                <w:rFonts w:ascii="Arial Narrow" w:eastAsia="Times New Roman" w:hAnsi="Arial Narrow" w:cs="Arial"/>
                <w:sz w:val="20"/>
                <w:szCs w:val="20"/>
              </w:rPr>
            </w:pPr>
            <w:r w:rsidRPr="00476D66">
              <w:rPr>
                <w:rFonts w:ascii="Arial Narrow" w:eastAsia="Times New Roman" w:hAnsi="Arial Narrow" w:cs="Arial"/>
                <w:sz w:val="20"/>
                <w:szCs w:val="20"/>
              </w:rPr>
              <w:t>10,348</w:t>
            </w:r>
          </w:p>
        </w:tc>
        <w:tc>
          <w:tcPr>
            <w:tcW w:w="896" w:type="dxa"/>
            <w:tcBorders>
              <w:top w:val="nil"/>
              <w:left w:val="nil"/>
              <w:bottom w:val="single" w:sz="4" w:space="0" w:color="C0C0C0"/>
              <w:right w:val="nil"/>
            </w:tcBorders>
            <w:shd w:val="clear" w:color="auto" w:fill="auto"/>
            <w:noWrap/>
            <w:vAlign w:val="center"/>
            <w:hideMark/>
          </w:tcPr>
          <w:p w:rsidR="00B86F0E" w:rsidRPr="00476D66" w:rsidRDefault="00B86F0E" w:rsidP="005F3070">
            <w:pPr>
              <w:spacing w:before="0" w:after="0"/>
              <w:jc w:val="right"/>
              <w:rPr>
                <w:rFonts w:ascii="Arial Narrow" w:eastAsia="Times New Roman" w:hAnsi="Arial Narrow" w:cs="Arial"/>
                <w:sz w:val="20"/>
                <w:szCs w:val="20"/>
              </w:rPr>
            </w:pPr>
            <w:r w:rsidRPr="00476D66">
              <w:rPr>
                <w:rFonts w:ascii="Arial Narrow" w:eastAsia="Times New Roman" w:hAnsi="Arial Narrow" w:cs="Arial"/>
                <w:sz w:val="20"/>
                <w:szCs w:val="20"/>
              </w:rPr>
              <w:t>10,321</w:t>
            </w:r>
          </w:p>
        </w:tc>
        <w:tc>
          <w:tcPr>
            <w:tcW w:w="896" w:type="dxa"/>
            <w:tcBorders>
              <w:top w:val="nil"/>
              <w:left w:val="single" w:sz="4" w:space="0" w:color="C0C0C0"/>
              <w:bottom w:val="single" w:sz="4" w:space="0" w:color="C0C0C0"/>
              <w:right w:val="nil"/>
            </w:tcBorders>
            <w:shd w:val="clear" w:color="auto" w:fill="auto"/>
            <w:noWrap/>
            <w:vAlign w:val="center"/>
            <w:hideMark/>
          </w:tcPr>
          <w:p w:rsidR="00B86F0E" w:rsidRPr="00476D66" w:rsidRDefault="00B86F0E" w:rsidP="005F3070">
            <w:pPr>
              <w:spacing w:before="0" w:after="0"/>
              <w:jc w:val="right"/>
              <w:rPr>
                <w:rFonts w:ascii="Arial Narrow" w:eastAsia="Times New Roman" w:hAnsi="Arial Narrow" w:cs="Arial"/>
                <w:sz w:val="20"/>
                <w:szCs w:val="20"/>
              </w:rPr>
            </w:pPr>
            <w:r w:rsidRPr="00476D66">
              <w:rPr>
                <w:rFonts w:ascii="Arial Narrow" w:eastAsia="Times New Roman" w:hAnsi="Arial Narrow" w:cs="Arial"/>
                <w:sz w:val="20"/>
                <w:szCs w:val="20"/>
              </w:rPr>
              <w:t>10,363</w:t>
            </w:r>
          </w:p>
        </w:tc>
        <w:tc>
          <w:tcPr>
            <w:tcW w:w="896" w:type="dxa"/>
            <w:tcBorders>
              <w:top w:val="nil"/>
              <w:left w:val="single" w:sz="4" w:space="0" w:color="C0C0C0"/>
              <w:bottom w:val="single" w:sz="4" w:space="0" w:color="C0C0C0"/>
              <w:right w:val="nil"/>
            </w:tcBorders>
            <w:shd w:val="clear" w:color="auto" w:fill="auto"/>
            <w:noWrap/>
            <w:vAlign w:val="center"/>
            <w:hideMark/>
          </w:tcPr>
          <w:p w:rsidR="00B86F0E" w:rsidRPr="00476D66" w:rsidRDefault="00B86F0E" w:rsidP="005F3070">
            <w:pPr>
              <w:spacing w:before="0" w:after="0"/>
              <w:jc w:val="right"/>
              <w:rPr>
                <w:rFonts w:ascii="Arial Narrow" w:eastAsia="Times New Roman" w:hAnsi="Arial Narrow" w:cs="Arial"/>
                <w:sz w:val="20"/>
                <w:szCs w:val="20"/>
              </w:rPr>
            </w:pPr>
            <w:r w:rsidRPr="00476D66">
              <w:rPr>
                <w:rFonts w:ascii="Arial Narrow" w:eastAsia="Times New Roman" w:hAnsi="Arial Narrow" w:cs="Arial"/>
                <w:sz w:val="20"/>
                <w:szCs w:val="20"/>
              </w:rPr>
              <w:t>9,844</w:t>
            </w:r>
          </w:p>
        </w:tc>
      </w:tr>
      <w:tr w:rsidR="00B86F0E" w:rsidRPr="00476D66" w:rsidTr="005F3070">
        <w:trPr>
          <w:trHeight w:val="300"/>
        </w:trPr>
        <w:tc>
          <w:tcPr>
            <w:tcW w:w="4016" w:type="dxa"/>
            <w:tcBorders>
              <w:top w:val="nil"/>
              <w:left w:val="single" w:sz="4" w:space="0" w:color="C0C0C0"/>
              <w:bottom w:val="single" w:sz="4" w:space="0" w:color="C0C0C0"/>
              <w:right w:val="single" w:sz="4" w:space="0" w:color="C0C0C0"/>
            </w:tcBorders>
            <w:shd w:val="clear" w:color="auto" w:fill="auto"/>
            <w:noWrap/>
            <w:vAlign w:val="center"/>
            <w:hideMark/>
          </w:tcPr>
          <w:p w:rsidR="00B86F0E" w:rsidRPr="00476D66" w:rsidRDefault="00B86F0E" w:rsidP="005F3070">
            <w:pPr>
              <w:spacing w:before="0" w:after="0"/>
              <w:jc w:val="left"/>
              <w:rPr>
                <w:rFonts w:ascii="Arial Narrow" w:eastAsia="Times New Roman" w:hAnsi="Arial Narrow" w:cs="Arial"/>
                <w:sz w:val="20"/>
                <w:szCs w:val="20"/>
              </w:rPr>
            </w:pPr>
            <w:r w:rsidRPr="00476D66">
              <w:rPr>
                <w:rFonts w:ascii="Arial Narrow" w:eastAsia="Times New Roman" w:hAnsi="Arial Narrow" w:cs="Arial"/>
                <w:sz w:val="20"/>
                <w:szCs w:val="20"/>
              </w:rPr>
              <w:t>Tatimi mbi te Ardhurat Personale</w:t>
            </w:r>
          </w:p>
        </w:tc>
        <w:tc>
          <w:tcPr>
            <w:tcW w:w="896" w:type="dxa"/>
            <w:tcBorders>
              <w:top w:val="nil"/>
              <w:left w:val="nil"/>
              <w:bottom w:val="single" w:sz="4" w:space="0" w:color="C0C0C0"/>
              <w:right w:val="single" w:sz="4" w:space="0" w:color="C0C0C0"/>
            </w:tcBorders>
            <w:shd w:val="clear" w:color="auto" w:fill="auto"/>
            <w:noWrap/>
            <w:vAlign w:val="center"/>
            <w:hideMark/>
          </w:tcPr>
          <w:p w:rsidR="00B86F0E" w:rsidRPr="00476D66" w:rsidRDefault="00B86F0E" w:rsidP="005F3070">
            <w:pPr>
              <w:spacing w:before="0" w:after="0"/>
              <w:jc w:val="right"/>
              <w:rPr>
                <w:rFonts w:ascii="Arial Narrow" w:eastAsia="Times New Roman" w:hAnsi="Arial Narrow" w:cs="Arial"/>
                <w:sz w:val="20"/>
                <w:szCs w:val="20"/>
              </w:rPr>
            </w:pPr>
            <w:r w:rsidRPr="00476D66">
              <w:rPr>
                <w:rFonts w:ascii="Arial Narrow" w:eastAsia="Times New Roman" w:hAnsi="Arial Narrow" w:cs="Arial"/>
                <w:sz w:val="20"/>
                <w:szCs w:val="20"/>
              </w:rPr>
              <w:t>8,586</w:t>
            </w:r>
          </w:p>
        </w:tc>
        <w:tc>
          <w:tcPr>
            <w:tcW w:w="896" w:type="dxa"/>
            <w:tcBorders>
              <w:top w:val="nil"/>
              <w:left w:val="nil"/>
              <w:bottom w:val="single" w:sz="4" w:space="0" w:color="C0C0C0"/>
              <w:right w:val="single" w:sz="4" w:space="0" w:color="C0C0C0"/>
            </w:tcBorders>
            <w:shd w:val="clear" w:color="auto" w:fill="auto"/>
            <w:noWrap/>
            <w:vAlign w:val="center"/>
            <w:hideMark/>
          </w:tcPr>
          <w:p w:rsidR="00B86F0E" w:rsidRPr="00476D66" w:rsidRDefault="00B86F0E" w:rsidP="005F3070">
            <w:pPr>
              <w:spacing w:before="0" w:after="0"/>
              <w:jc w:val="right"/>
              <w:rPr>
                <w:rFonts w:ascii="Arial Narrow" w:eastAsia="Times New Roman" w:hAnsi="Arial Narrow" w:cs="Arial"/>
                <w:sz w:val="20"/>
                <w:szCs w:val="20"/>
              </w:rPr>
            </w:pPr>
            <w:r w:rsidRPr="00476D66">
              <w:rPr>
                <w:rFonts w:ascii="Arial Narrow" w:eastAsia="Times New Roman" w:hAnsi="Arial Narrow" w:cs="Arial"/>
                <w:sz w:val="20"/>
                <w:szCs w:val="20"/>
              </w:rPr>
              <w:t>8,246</w:t>
            </w:r>
          </w:p>
        </w:tc>
        <w:tc>
          <w:tcPr>
            <w:tcW w:w="896" w:type="dxa"/>
            <w:tcBorders>
              <w:top w:val="nil"/>
              <w:left w:val="nil"/>
              <w:bottom w:val="single" w:sz="4" w:space="0" w:color="C0C0C0"/>
              <w:right w:val="nil"/>
            </w:tcBorders>
            <w:shd w:val="clear" w:color="auto" w:fill="auto"/>
            <w:noWrap/>
            <w:vAlign w:val="center"/>
            <w:hideMark/>
          </w:tcPr>
          <w:p w:rsidR="00B86F0E" w:rsidRPr="00476D66" w:rsidRDefault="00B86F0E" w:rsidP="005F3070">
            <w:pPr>
              <w:spacing w:before="0" w:after="0"/>
              <w:jc w:val="right"/>
              <w:rPr>
                <w:rFonts w:ascii="Arial Narrow" w:eastAsia="Times New Roman" w:hAnsi="Arial Narrow" w:cs="Arial"/>
                <w:sz w:val="20"/>
                <w:szCs w:val="20"/>
              </w:rPr>
            </w:pPr>
            <w:r w:rsidRPr="00476D66">
              <w:rPr>
                <w:rFonts w:ascii="Arial Narrow" w:eastAsia="Times New Roman" w:hAnsi="Arial Narrow" w:cs="Arial"/>
                <w:sz w:val="20"/>
                <w:szCs w:val="20"/>
              </w:rPr>
              <w:t>8,989</w:t>
            </w:r>
          </w:p>
        </w:tc>
        <w:tc>
          <w:tcPr>
            <w:tcW w:w="896" w:type="dxa"/>
            <w:tcBorders>
              <w:top w:val="nil"/>
              <w:left w:val="single" w:sz="4" w:space="0" w:color="C0C0C0"/>
              <w:bottom w:val="single" w:sz="4" w:space="0" w:color="C0C0C0"/>
              <w:right w:val="nil"/>
            </w:tcBorders>
            <w:shd w:val="clear" w:color="auto" w:fill="auto"/>
            <w:noWrap/>
            <w:vAlign w:val="center"/>
            <w:hideMark/>
          </w:tcPr>
          <w:p w:rsidR="00B86F0E" w:rsidRPr="00476D66" w:rsidRDefault="00B86F0E" w:rsidP="005F3070">
            <w:pPr>
              <w:spacing w:before="0" w:after="0"/>
              <w:jc w:val="right"/>
              <w:rPr>
                <w:rFonts w:ascii="Arial Narrow" w:eastAsia="Times New Roman" w:hAnsi="Arial Narrow" w:cs="Arial"/>
                <w:sz w:val="20"/>
                <w:szCs w:val="20"/>
              </w:rPr>
            </w:pPr>
            <w:r w:rsidRPr="00476D66">
              <w:rPr>
                <w:rFonts w:ascii="Arial Narrow" w:eastAsia="Times New Roman" w:hAnsi="Arial Narrow" w:cs="Arial"/>
                <w:sz w:val="20"/>
                <w:szCs w:val="20"/>
              </w:rPr>
              <w:t>8,982</w:t>
            </w:r>
          </w:p>
        </w:tc>
        <w:tc>
          <w:tcPr>
            <w:tcW w:w="896" w:type="dxa"/>
            <w:tcBorders>
              <w:top w:val="nil"/>
              <w:left w:val="single" w:sz="4" w:space="0" w:color="C0C0C0"/>
              <w:bottom w:val="single" w:sz="4" w:space="0" w:color="C0C0C0"/>
              <w:right w:val="nil"/>
            </w:tcBorders>
            <w:shd w:val="clear" w:color="auto" w:fill="auto"/>
            <w:noWrap/>
            <w:vAlign w:val="center"/>
            <w:hideMark/>
          </w:tcPr>
          <w:p w:rsidR="00B86F0E" w:rsidRPr="00476D66" w:rsidRDefault="00B86F0E" w:rsidP="005F3070">
            <w:pPr>
              <w:spacing w:before="0" w:after="0"/>
              <w:jc w:val="right"/>
              <w:rPr>
                <w:rFonts w:ascii="Arial Narrow" w:eastAsia="Times New Roman" w:hAnsi="Arial Narrow" w:cs="Arial"/>
                <w:sz w:val="20"/>
                <w:szCs w:val="20"/>
              </w:rPr>
            </w:pPr>
            <w:r w:rsidRPr="00476D66">
              <w:rPr>
                <w:rFonts w:ascii="Arial Narrow" w:eastAsia="Times New Roman" w:hAnsi="Arial Narrow" w:cs="Arial"/>
                <w:sz w:val="20"/>
                <w:szCs w:val="20"/>
              </w:rPr>
              <w:t>9,665</w:t>
            </w:r>
          </w:p>
        </w:tc>
      </w:tr>
      <w:tr w:rsidR="00B86F0E" w:rsidRPr="00476D66" w:rsidTr="005F3070">
        <w:trPr>
          <w:trHeight w:val="300"/>
        </w:trPr>
        <w:tc>
          <w:tcPr>
            <w:tcW w:w="4016" w:type="dxa"/>
            <w:tcBorders>
              <w:top w:val="nil"/>
              <w:left w:val="single" w:sz="4" w:space="0" w:color="C0C0C0"/>
              <w:bottom w:val="single" w:sz="4" w:space="0" w:color="C0C0C0"/>
              <w:right w:val="single" w:sz="4" w:space="0" w:color="C0C0C0"/>
            </w:tcBorders>
            <w:shd w:val="clear" w:color="auto" w:fill="auto"/>
            <w:noWrap/>
            <w:vAlign w:val="center"/>
            <w:hideMark/>
          </w:tcPr>
          <w:p w:rsidR="00B86F0E" w:rsidRPr="00476D66" w:rsidRDefault="00B86F0E" w:rsidP="005F3070">
            <w:pPr>
              <w:spacing w:before="0" w:after="0"/>
              <w:jc w:val="left"/>
              <w:rPr>
                <w:rFonts w:ascii="Arial Narrow" w:eastAsia="Times New Roman" w:hAnsi="Arial Narrow" w:cs="Arial"/>
                <w:sz w:val="20"/>
                <w:szCs w:val="20"/>
              </w:rPr>
            </w:pPr>
            <w:r w:rsidRPr="00476D66">
              <w:rPr>
                <w:rFonts w:ascii="Arial Narrow" w:eastAsia="Times New Roman" w:hAnsi="Arial Narrow" w:cs="Arial"/>
                <w:sz w:val="20"/>
                <w:szCs w:val="20"/>
              </w:rPr>
              <w:t>Taksa Nacionale dhe te tjera</w:t>
            </w:r>
          </w:p>
        </w:tc>
        <w:tc>
          <w:tcPr>
            <w:tcW w:w="896" w:type="dxa"/>
            <w:tcBorders>
              <w:top w:val="nil"/>
              <w:left w:val="nil"/>
              <w:bottom w:val="single" w:sz="4" w:space="0" w:color="C0C0C0"/>
              <w:right w:val="single" w:sz="4" w:space="0" w:color="C0C0C0"/>
            </w:tcBorders>
            <w:shd w:val="clear" w:color="auto" w:fill="auto"/>
            <w:noWrap/>
            <w:vAlign w:val="center"/>
            <w:hideMark/>
          </w:tcPr>
          <w:p w:rsidR="00B86F0E" w:rsidRPr="00476D66" w:rsidRDefault="00B86F0E" w:rsidP="005F3070">
            <w:pPr>
              <w:spacing w:before="0" w:after="0"/>
              <w:jc w:val="right"/>
              <w:rPr>
                <w:rFonts w:ascii="Arial Narrow" w:eastAsia="Times New Roman" w:hAnsi="Arial Narrow" w:cs="Arial"/>
                <w:sz w:val="20"/>
                <w:szCs w:val="20"/>
              </w:rPr>
            </w:pPr>
            <w:r w:rsidRPr="00476D66">
              <w:rPr>
                <w:rFonts w:ascii="Arial Narrow" w:eastAsia="Times New Roman" w:hAnsi="Arial Narrow" w:cs="Arial"/>
                <w:sz w:val="20"/>
                <w:szCs w:val="20"/>
              </w:rPr>
              <w:t>4,553</w:t>
            </w:r>
          </w:p>
        </w:tc>
        <w:tc>
          <w:tcPr>
            <w:tcW w:w="896" w:type="dxa"/>
            <w:tcBorders>
              <w:top w:val="nil"/>
              <w:left w:val="nil"/>
              <w:bottom w:val="single" w:sz="4" w:space="0" w:color="C0C0C0"/>
              <w:right w:val="single" w:sz="4" w:space="0" w:color="C0C0C0"/>
            </w:tcBorders>
            <w:shd w:val="clear" w:color="auto" w:fill="auto"/>
            <w:noWrap/>
            <w:vAlign w:val="center"/>
            <w:hideMark/>
          </w:tcPr>
          <w:p w:rsidR="00B86F0E" w:rsidRPr="00476D66" w:rsidRDefault="00B86F0E" w:rsidP="005F3070">
            <w:pPr>
              <w:spacing w:before="0" w:after="0"/>
              <w:jc w:val="right"/>
              <w:rPr>
                <w:rFonts w:ascii="Arial Narrow" w:eastAsia="Times New Roman" w:hAnsi="Arial Narrow" w:cs="Arial"/>
                <w:sz w:val="20"/>
                <w:szCs w:val="20"/>
              </w:rPr>
            </w:pPr>
            <w:r w:rsidRPr="00476D66">
              <w:rPr>
                <w:rFonts w:ascii="Arial Narrow" w:eastAsia="Times New Roman" w:hAnsi="Arial Narrow" w:cs="Arial"/>
                <w:sz w:val="20"/>
                <w:szCs w:val="20"/>
              </w:rPr>
              <w:t>5,025</w:t>
            </w:r>
          </w:p>
        </w:tc>
        <w:tc>
          <w:tcPr>
            <w:tcW w:w="896" w:type="dxa"/>
            <w:tcBorders>
              <w:top w:val="nil"/>
              <w:left w:val="nil"/>
              <w:bottom w:val="single" w:sz="4" w:space="0" w:color="C0C0C0"/>
              <w:right w:val="nil"/>
            </w:tcBorders>
            <w:shd w:val="clear" w:color="auto" w:fill="auto"/>
            <w:noWrap/>
            <w:vAlign w:val="center"/>
            <w:hideMark/>
          </w:tcPr>
          <w:p w:rsidR="00B86F0E" w:rsidRPr="00476D66" w:rsidRDefault="00B86F0E" w:rsidP="005F3070">
            <w:pPr>
              <w:spacing w:before="0" w:after="0"/>
              <w:jc w:val="right"/>
              <w:rPr>
                <w:rFonts w:ascii="Arial Narrow" w:eastAsia="Times New Roman" w:hAnsi="Arial Narrow" w:cs="Arial"/>
                <w:sz w:val="20"/>
                <w:szCs w:val="20"/>
              </w:rPr>
            </w:pPr>
            <w:r w:rsidRPr="00476D66">
              <w:rPr>
                <w:rFonts w:ascii="Arial Narrow" w:eastAsia="Times New Roman" w:hAnsi="Arial Narrow" w:cs="Arial"/>
                <w:sz w:val="20"/>
                <w:szCs w:val="20"/>
              </w:rPr>
              <w:t>6,357</w:t>
            </w:r>
          </w:p>
        </w:tc>
        <w:tc>
          <w:tcPr>
            <w:tcW w:w="896" w:type="dxa"/>
            <w:tcBorders>
              <w:top w:val="nil"/>
              <w:left w:val="single" w:sz="4" w:space="0" w:color="C0C0C0"/>
              <w:bottom w:val="single" w:sz="4" w:space="0" w:color="C0C0C0"/>
              <w:right w:val="nil"/>
            </w:tcBorders>
            <w:shd w:val="clear" w:color="auto" w:fill="auto"/>
            <w:noWrap/>
            <w:vAlign w:val="center"/>
            <w:hideMark/>
          </w:tcPr>
          <w:p w:rsidR="00B86F0E" w:rsidRPr="00476D66" w:rsidRDefault="00B86F0E" w:rsidP="005F3070">
            <w:pPr>
              <w:spacing w:before="0" w:after="0"/>
              <w:jc w:val="right"/>
              <w:rPr>
                <w:rFonts w:ascii="Arial Narrow" w:eastAsia="Times New Roman" w:hAnsi="Arial Narrow" w:cs="Arial"/>
                <w:sz w:val="20"/>
                <w:szCs w:val="20"/>
              </w:rPr>
            </w:pPr>
            <w:r w:rsidRPr="00476D66">
              <w:rPr>
                <w:rFonts w:ascii="Arial Narrow" w:eastAsia="Times New Roman" w:hAnsi="Arial Narrow" w:cs="Arial"/>
                <w:sz w:val="20"/>
                <w:szCs w:val="20"/>
              </w:rPr>
              <w:t>9,151</w:t>
            </w:r>
          </w:p>
        </w:tc>
        <w:tc>
          <w:tcPr>
            <w:tcW w:w="896" w:type="dxa"/>
            <w:tcBorders>
              <w:top w:val="nil"/>
              <w:left w:val="single" w:sz="4" w:space="0" w:color="C0C0C0"/>
              <w:bottom w:val="single" w:sz="4" w:space="0" w:color="C0C0C0"/>
              <w:right w:val="nil"/>
            </w:tcBorders>
            <w:shd w:val="clear" w:color="auto" w:fill="auto"/>
            <w:noWrap/>
            <w:vAlign w:val="center"/>
            <w:hideMark/>
          </w:tcPr>
          <w:p w:rsidR="00B86F0E" w:rsidRPr="00476D66" w:rsidRDefault="00B86F0E" w:rsidP="005F3070">
            <w:pPr>
              <w:spacing w:before="0" w:after="0"/>
              <w:jc w:val="right"/>
              <w:rPr>
                <w:rFonts w:ascii="Arial Narrow" w:eastAsia="Times New Roman" w:hAnsi="Arial Narrow" w:cs="Arial"/>
                <w:sz w:val="20"/>
                <w:szCs w:val="20"/>
              </w:rPr>
            </w:pPr>
            <w:r w:rsidRPr="00476D66">
              <w:rPr>
                <w:rFonts w:ascii="Arial Narrow" w:eastAsia="Times New Roman" w:hAnsi="Arial Narrow" w:cs="Arial"/>
                <w:sz w:val="20"/>
                <w:szCs w:val="20"/>
              </w:rPr>
              <w:t>8,742</w:t>
            </w:r>
          </w:p>
        </w:tc>
      </w:tr>
      <w:tr w:rsidR="00B86F0E" w:rsidRPr="00476D66" w:rsidTr="005F3070">
        <w:trPr>
          <w:trHeight w:val="255"/>
        </w:trPr>
        <w:tc>
          <w:tcPr>
            <w:tcW w:w="4016" w:type="dxa"/>
            <w:tcBorders>
              <w:top w:val="nil"/>
              <w:left w:val="single" w:sz="4" w:space="0" w:color="C0C0C0"/>
              <w:bottom w:val="single" w:sz="4" w:space="0" w:color="C0C0C0"/>
              <w:right w:val="single" w:sz="4" w:space="0" w:color="C0C0C0"/>
            </w:tcBorders>
            <w:shd w:val="clear" w:color="auto" w:fill="auto"/>
            <w:noWrap/>
            <w:vAlign w:val="center"/>
            <w:hideMark/>
          </w:tcPr>
          <w:p w:rsidR="00B86F0E" w:rsidRPr="00476D66" w:rsidRDefault="00B86F0E" w:rsidP="005F3070">
            <w:pPr>
              <w:spacing w:before="0" w:after="0"/>
              <w:jc w:val="left"/>
              <w:rPr>
                <w:rFonts w:ascii="Arial Narrow" w:eastAsia="Times New Roman" w:hAnsi="Arial Narrow" w:cs="Arial"/>
                <w:sz w:val="20"/>
                <w:szCs w:val="20"/>
              </w:rPr>
            </w:pPr>
            <w:r w:rsidRPr="00476D66">
              <w:rPr>
                <w:rFonts w:ascii="Arial Narrow" w:eastAsia="Times New Roman" w:hAnsi="Arial Narrow" w:cs="Arial"/>
                <w:sz w:val="20"/>
                <w:szCs w:val="20"/>
              </w:rPr>
              <w:t>Taksa Doganore</w:t>
            </w:r>
          </w:p>
        </w:tc>
        <w:tc>
          <w:tcPr>
            <w:tcW w:w="896" w:type="dxa"/>
            <w:tcBorders>
              <w:top w:val="nil"/>
              <w:left w:val="nil"/>
              <w:bottom w:val="single" w:sz="4" w:space="0" w:color="C0C0C0"/>
              <w:right w:val="single" w:sz="4" w:space="0" w:color="C0C0C0"/>
            </w:tcBorders>
            <w:shd w:val="clear" w:color="auto" w:fill="auto"/>
            <w:noWrap/>
            <w:vAlign w:val="center"/>
            <w:hideMark/>
          </w:tcPr>
          <w:p w:rsidR="00B86F0E" w:rsidRPr="00476D66" w:rsidRDefault="00B86F0E" w:rsidP="005F3070">
            <w:pPr>
              <w:spacing w:before="0" w:after="0"/>
              <w:jc w:val="right"/>
              <w:rPr>
                <w:rFonts w:ascii="Arial Narrow" w:eastAsia="Times New Roman" w:hAnsi="Arial Narrow" w:cs="Arial"/>
                <w:sz w:val="20"/>
                <w:szCs w:val="20"/>
              </w:rPr>
            </w:pPr>
            <w:r w:rsidRPr="00476D66">
              <w:rPr>
                <w:rFonts w:ascii="Arial Narrow" w:eastAsia="Times New Roman" w:hAnsi="Arial Narrow" w:cs="Arial"/>
                <w:sz w:val="20"/>
                <w:szCs w:val="20"/>
              </w:rPr>
              <w:t>2,282</w:t>
            </w:r>
          </w:p>
        </w:tc>
        <w:tc>
          <w:tcPr>
            <w:tcW w:w="896" w:type="dxa"/>
            <w:tcBorders>
              <w:top w:val="nil"/>
              <w:left w:val="nil"/>
              <w:bottom w:val="single" w:sz="4" w:space="0" w:color="C0C0C0"/>
              <w:right w:val="single" w:sz="4" w:space="0" w:color="C0C0C0"/>
            </w:tcBorders>
            <w:shd w:val="clear" w:color="auto" w:fill="auto"/>
            <w:noWrap/>
            <w:vAlign w:val="center"/>
            <w:hideMark/>
          </w:tcPr>
          <w:p w:rsidR="00B86F0E" w:rsidRPr="00476D66" w:rsidRDefault="00B86F0E" w:rsidP="005F3070">
            <w:pPr>
              <w:spacing w:before="0" w:after="0"/>
              <w:jc w:val="right"/>
              <w:rPr>
                <w:rFonts w:ascii="Arial Narrow" w:eastAsia="Times New Roman" w:hAnsi="Arial Narrow" w:cs="Arial"/>
                <w:sz w:val="20"/>
                <w:szCs w:val="20"/>
              </w:rPr>
            </w:pPr>
            <w:r w:rsidRPr="00476D66">
              <w:rPr>
                <w:rFonts w:ascii="Arial Narrow" w:eastAsia="Times New Roman" w:hAnsi="Arial Narrow" w:cs="Arial"/>
                <w:sz w:val="20"/>
                <w:szCs w:val="20"/>
              </w:rPr>
              <w:t>2,005</w:t>
            </w:r>
          </w:p>
        </w:tc>
        <w:tc>
          <w:tcPr>
            <w:tcW w:w="896" w:type="dxa"/>
            <w:tcBorders>
              <w:top w:val="nil"/>
              <w:left w:val="nil"/>
              <w:bottom w:val="single" w:sz="4" w:space="0" w:color="C0C0C0"/>
              <w:right w:val="nil"/>
            </w:tcBorders>
            <w:shd w:val="clear" w:color="auto" w:fill="auto"/>
            <w:noWrap/>
            <w:vAlign w:val="center"/>
            <w:hideMark/>
          </w:tcPr>
          <w:p w:rsidR="00B86F0E" w:rsidRPr="00476D66" w:rsidRDefault="00B86F0E" w:rsidP="005F3070">
            <w:pPr>
              <w:spacing w:before="0" w:after="0"/>
              <w:jc w:val="right"/>
              <w:rPr>
                <w:rFonts w:ascii="Arial Narrow" w:eastAsia="Times New Roman" w:hAnsi="Arial Narrow" w:cs="Arial"/>
                <w:sz w:val="20"/>
                <w:szCs w:val="20"/>
              </w:rPr>
            </w:pPr>
            <w:r w:rsidRPr="00476D66">
              <w:rPr>
                <w:rFonts w:ascii="Arial Narrow" w:eastAsia="Times New Roman" w:hAnsi="Arial Narrow" w:cs="Arial"/>
                <w:sz w:val="20"/>
                <w:szCs w:val="20"/>
              </w:rPr>
              <w:t>2,154</w:t>
            </w:r>
          </w:p>
        </w:tc>
        <w:tc>
          <w:tcPr>
            <w:tcW w:w="896" w:type="dxa"/>
            <w:tcBorders>
              <w:top w:val="nil"/>
              <w:left w:val="single" w:sz="4" w:space="0" w:color="C0C0C0"/>
              <w:bottom w:val="single" w:sz="4" w:space="0" w:color="C0C0C0"/>
              <w:right w:val="nil"/>
            </w:tcBorders>
            <w:shd w:val="clear" w:color="auto" w:fill="auto"/>
            <w:noWrap/>
            <w:vAlign w:val="center"/>
            <w:hideMark/>
          </w:tcPr>
          <w:p w:rsidR="00B86F0E" w:rsidRPr="00476D66" w:rsidRDefault="00B86F0E" w:rsidP="005F3070">
            <w:pPr>
              <w:spacing w:before="0" w:after="0"/>
              <w:jc w:val="right"/>
              <w:rPr>
                <w:rFonts w:ascii="Arial Narrow" w:eastAsia="Times New Roman" w:hAnsi="Arial Narrow" w:cs="Arial"/>
                <w:sz w:val="20"/>
                <w:szCs w:val="20"/>
              </w:rPr>
            </w:pPr>
            <w:r w:rsidRPr="00476D66">
              <w:rPr>
                <w:rFonts w:ascii="Arial Narrow" w:eastAsia="Times New Roman" w:hAnsi="Arial Narrow" w:cs="Arial"/>
                <w:sz w:val="20"/>
                <w:szCs w:val="20"/>
              </w:rPr>
              <w:t>1,773</w:t>
            </w:r>
          </w:p>
        </w:tc>
        <w:tc>
          <w:tcPr>
            <w:tcW w:w="896" w:type="dxa"/>
            <w:tcBorders>
              <w:top w:val="nil"/>
              <w:left w:val="single" w:sz="4" w:space="0" w:color="C0C0C0"/>
              <w:bottom w:val="single" w:sz="4" w:space="0" w:color="C0C0C0"/>
              <w:right w:val="nil"/>
            </w:tcBorders>
            <w:shd w:val="clear" w:color="auto" w:fill="auto"/>
            <w:noWrap/>
            <w:vAlign w:val="center"/>
            <w:hideMark/>
          </w:tcPr>
          <w:p w:rsidR="00B86F0E" w:rsidRPr="00476D66" w:rsidRDefault="00B86F0E" w:rsidP="005F3070">
            <w:pPr>
              <w:spacing w:before="0" w:after="0"/>
              <w:jc w:val="right"/>
              <w:rPr>
                <w:rFonts w:ascii="Arial Narrow" w:eastAsia="Times New Roman" w:hAnsi="Arial Narrow" w:cs="Arial"/>
                <w:sz w:val="20"/>
                <w:szCs w:val="20"/>
              </w:rPr>
            </w:pPr>
            <w:r w:rsidRPr="00476D66">
              <w:rPr>
                <w:rFonts w:ascii="Arial Narrow" w:eastAsia="Times New Roman" w:hAnsi="Arial Narrow" w:cs="Arial"/>
                <w:sz w:val="20"/>
                <w:szCs w:val="20"/>
              </w:rPr>
              <w:t>1,605</w:t>
            </w:r>
          </w:p>
        </w:tc>
      </w:tr>
      <w:tr w:rsidR="00B86F0E" w:rsidRPr="00476D66" w:rsidTr="005F3070">
        <w:trPr>
          <w:trHeight w:val="300"/>
        </w:trPr>
        <w:tc>
          <w:tcPr>
            <w:tcW w:w="4016" w:type="dxa"/>
            <w:tcBorders>
              <w:top w:val="nil"/>
              <w:left w:val="single" w:sz="4" w:space="0" w:color="C0C0C0"/>
              <w:bottom w:val="single" w:sz="4" w:space="0" w:color="C0C0C0"/>
              <w:right w:val="single" w:sz="4" w:space="0" w:color="C0C0C0"/>
            </w:tcBorders>
            <w:shd w:val="clear" w:color="auto" w:fill="auto"/>
            <w:noWrap/>
            <w:vAlign w:val="center"/>
            <w:hideMark/>
          </w:tcPr>
          <w:p w:rsidR="00B86F0E" w:rsidRPr="00476D66" w:rsidRDefault="00B86F0E" w:rsidP="005F3070">
            <w:pPr>
              <w:spacing w:before="0" w:after="0"/>
              <w:jc w:val="left"/>
              <w:rPr>
                <w:rFonts w:ascii="Arial Narrow" w:eastAsia="Times New Roman" w:hAnsi="Arial Narrow" w:cs="Arial"/>
                <w:b/>
                <w:bCs/>
                <w:sz w:val="20"/>
                <w:szCs w:val="20"/>
              </w:rPr>
            </w:pPr>
            <w:r w:rsidRPr="00476D66">
              <w:rPr>
                <w:rFonts w:ascii="Arial Narrow" w:eastAsia="Times New Roman" w:hAnsi="Arial Narrow" w:cs="Arial"/>
                <w:b/>
                <w:bCs/>
                <w:sz w:val="20"/>
                <w:szCs w:val="20"/>
              </w:rPr>
              <w:t>Te ardhura nga Pushteti Vendor</w:t>
            </w:r>
          </w:p>
        </w:tc>
        <w:tc>
          <w:tcPr>
            <w:tcW w:w="896" w:type="dxa"/>
            <w:tcBorders>
              <w:top w:val="nil"/>
              <w:left w:val="nil"/>
              <w:bottom w:val="single" w:sz="4" w:space="0" w:color="C0C0C0"/>
              <w:right w:val="single" w:sz="4" w:space="0" w:color="C0C0C0"/>
            </w:tcBorders>
            <w:shd w:val="clear" w:color="auto" w:fill="auto"/>
            <w:noWrap/>
            <w:vAlign w:val="center"/>
            <w:hideMark/>
          </w:tcPr>
          <w:p w:rsidR="00B86F0E" w:rsidRPr="00476D66" w:rsidRDefault="00B86F0E" w:rsidP="005F3070">
            <w:pPr>
              <w:spacing w:before="0" w:after="0"/>
              <w:jc w:val="right"/>
              <w:rPr>
                <w:rFonts w:ascii="Arial Narrow" w:eastAsia="Times New Roman" w:hAnsi="Arial Narrow" w:cs="Arial"/>
                <w:b/>
                <w:bCs/>
                <w:sz w:val="20"/>
                <w:szCs w:val="20"/>
              </w:rPr>
            </w:pPr>
            <w:r w:rsidRPr="00476D66">
              <w:rPr>
                <w:rFonts w:ascii="Arial Narrow" w:eastAsia="Times New Roman" w:hAnsi="Arial Narrow" w:cs="Arial"/>
                <w:b/>
                <w:bCs/>
                <w:sz w:val="20"/>
                <w:szCs w:val="20"/>
              </w:rPr>
              <w:t>5,217</w:t>
            </w:r>
          </w:p>
        </w:tc>
        <w:tc>
          <w:tcPr>
            <w:tcW w:w="896" w:type="dxa"/>
            <w:tcBorders>
              <w:top w:val="nil"/>
              <w:left w:val="nil"/>
              <w:bottom w:val="single" w:sz="4" w:space="0" w:color="C0C0C0"/>
              <w:right w:val="single" w:sz="4" w:space="0" w:color="C0C0C0"/>
            </w:tcBorders>
            <w:shd w:val="clear" w:color="auto" w:fill="auto"/>
            <w:noWrap/>
            <w:vAlign w:val="center"/>
            <w:hideMark/>
          </w:tcPr>
          <w:p w:rsidR="00B86F0E" w:rsidRPr="00476D66" w:rsidRDefault="00B86F0E" w:rsidP="005F3070">
            <w:pPr>
              <w:spacing w:before="0" w:after="0"/>
              <w:jc w:val="right"/>
              <w:rPr>
                <w:rFonts w:ascii="Arial Narrow" w:eastAsia="Times New Roman" w:hAnsi="Arial Narrow" w:cs="Arial"/>
                <w:b/>
                <w:bCs/>
                <w:sz w:val="20"/>
                <w:szCs w:val="20"/>
              </w:rPr>
            </w:pPr>
            <w:r w:rsidRPr="00476D66">
              <w:rPr>
                <w:rFonts w:ascii="Arial Narrow" w:eastAsia="Times New Roman" w:hAnsi="Arial Narrow" w:cs="Arial"/>
                <w:b/>
                <w:bCs/>
                <w:sz w:val="20"/>
                <w:szCs w:val="20"/>
              </w:rPr>
              <w:t>5,030</w:t>
            </w:r>
          </w:p>
        </w:tc>
        <w:tc>
          <w:tcPr>
            <w:tcW w:w="896" w:type="dxa"/>
            <w:tcBorders>
              <w:top w:val="nil"/>
              <w:left w:val="nil"/>
              <w:bottom w:val="single" w:sz="4" w:space="0" w:color="C0C0C0"/>
              <w:right w:val="nil"/>
            </w:tcBorders>
            <w:shd w:val="clear" w:color="auto" w:fill="auto"/>
            <w:noWrap/>
            <w:vAlign w:val="center"/>
            <w:hideMark/>
          </w:tcPr>
          <w:p w:rsidR="00B86F0E" w:rsidRPr="00476D66" w:rsidRDefault="00B86F0E" w:rsidP="005F3070">
            <w:pPr>
              <w:spacing w:before="0" w:after="0"/>
              <w:jc w:val="right"/>
              <w:rPr>
                <w:rFonts w:ascii="Arial Narrow" w:eastAsia="Times New Roman" w:hAnsi="Arial Narrow" w:cs="Arial"/>
                <w:b/>
                <w:bCs/>
                <w:sz w:val="20"/>
                <w:szCs w:val="20"/>
              </w:rPr>
            </w:pPr>
            <w:r w:rsidRPr="00476D66">
              <w:rPr>
                <w:rFonts w:ascii="Arial Narrow" w:eastAsia="Times New Roman" w:hAnsi="Arial Narrow" w:cs="Arial"/>
                <w:b/>
                <w:bCs/>
                <w:sz w:val="20"/>
                <w:szCs w:val="20"/>
              </w:rPr>
              <w:t>4,880</w:t>
            </w:r>
          </w:p>
        </w:tc>
        <w:tc>
          <w:tcPr>
            <w:tcW w:w="896" w:type="dxa"/>
            <w:tcBorders>
              <w:top w:val="nil"/>
              <w:left w:val="single" w:sz="4" w:space="0" w:color="C0C0C0"/>
              <w:bottom w:val="single" w:sz="4" w:space="0" w:color="C0C0C0"/>
              <w:right w:val="nil"/>
            </w:tcBorders>
            <w:shd w:val="clear" w:color="auto" w:fill="auto"/>
            <w:noWrap/>
            <w:vAlign w:val="center"/>
            <w:hideMark/>
          </w:tcPr>
          <w:p w:rsidR="00B86F0E" w:rsidRPr="00476D66" w:rsidRDefault="00B86F0E" w:rsidP="005F3070">
            <w:pPr>
              <w:spacing w:before="0" w:after="0"/>
              <w:jc w:val="right"/>
              <w:rPr>
                <w:rFonts w:ascii="Arial Narrow" w:eastAsia="Times New Roman" w:hAnsi="Arial Narrow" w:cs="Arial"/>
                <w:b/>
                <w:bCs/>
                <w:sz w:val="20"/>
                <w:szCs w:val="20"/>
              </w:rPr>
            </w:pPr>
            <w:r w:rsidRPr="00476D66">
              <w:rPr>
                <w:rFonts w:ascii="Arial Narrow" w:eastAsia="Times New Roman" w:hAnsi="Arial Narrow" w:cs="Arial"/>
                <w:b/>
                <w:bCs/>
                <w:sz w:val="20"/>
                <w:szCs w:val="20"/>
              </w:rPr>
              <w:t>5,077</w:t>
            </w:r>
          </w:p>
        </w:tc>
        <w:tc>
          <w:tcPr>
            <w:tcW w:w="896" w:type="dxa"/>
            <w:tcBorders>
              <w:top w:val="nil"/>
              <w:left w:val="single" w:sz="4" w:space="0" w:color="C0C0C0"/>
              <w:bottom w:val="single" w:sz="4" w:space="0" w:color="C0C0C0"/>
              <w:right w:val="nil"/>
            </w:tcBorders>
            <w:shd w:val="clear" w:color="auto" w:fill="auto"/>
            <w:noWrap/>
            <w:vAlign w:val="center"/>
            <w:hideMark/>
          </w:tcPr>
          <w:p w:rsidR="00B86F0E" w:rsidRPr="00476D66" w:rsidRDefault="00B86F0E" w:rsidP="005F3070">
            <w:pPr>
              <w:spacing w:before="0" w:after="0"/>
              <w:jc w:val="right"/>
              <w:rPr>
                <w:rFonts w:ascii="Arial Narrow" w:eastAsia="Times New Roman" w:hAnsi="Arial Narrow" w:cs="Arial"/>
                <w:b/>
                <w:bCs/>
                <w:sz w:val="20"/>
                <w:szCs w:val="20"/>
              </w:rPr>
            </w:pPr>
            <w:r w:rsidRPr="00476D66">
              <w:rPr>
                <w:rFonts w:ascii="Arial Narrow" w:eastAsia="Times New Roman" w:hAnsi="Arial Narrow" w:cs="Arial"/>
                <w:b/>
                <w:bCs/>
                <w:sz w:val="20"/>
                <w:szCs w:val="20"/>
              </w:rPr>
              <w:t>4,522</w:t>
            </w:r>
          </w:p>
        </w:tc>
      </w:tr>
      <w:tr w:rsidR="00B86F0E" w:rsidRPr="00476D66" w:rsidTr="005F3070">
        <w:trPr>
          <w:trHeight w:val="300"/>
        </w:trPr>
        <w:tc>
          <w:tcPr>
            <w:tcW w:w="4016" w:type="dxa"/>
            <w:tcBorders>
              <w:top w:val="nil"/>
              <w:left w:val="single" w:sz="4" w:space="0" w:color="C0C0C0"/>
              <w:bottom w:val="single" w:sz="4" w:space="0" w:color="C0C0C0"/>
              <w:right w:val="single" w:sz="4" w:space="0" w:color="C0C0C0"/>
            </w:tcBorders>
            <w:shd w:val="clear" w:color="auto" w:fill="auto"/>
            <w:noWrap/>
            <w:vAlign w:val="center"/>
            <w:hideMark/>
          </w:tcPr>
          <w:p w:rsidR="00B86F0E" w:rsidRPr="00476D66" w:rsidRDefault="00B86F0E" w:rsidP="005F3070">
            <w:pPr>
              <w:spacing w:before="0" w:after="0"/>
              <w:jc w:val="left"/>
              <w:rPr>
                <w:rFonts w:ascii="Arial Narrow" w:eastAsia="Times New Roman" w:hAnsi="Arial Narrow" w:cs="Arial"/>
                <w:sz w:val="20"/>
                <w:szCs w:val="20"/>
              </w:rPr>
            </w:pPr>
            <w:r w:rsidRPr="00476D66">
              <w:rPr>
                <w:rFonts w:ascii="Arial Narrow" w:eastAsia="Times New Roman" w:hAnsi="Arial Narrow" w:cs="Arial"/>
                <w:sz w:val="20"/>
                <w:szCs w:val="20"/>
              </w:rPr>
              <w:t>Takse mbi Pasurine(ndertesat)</w:t>
            </w:r>
          </w:p>
        </w:tc>
        <w:tc>
          <w:tcPr>
            <w:tcW w:w="896" w:type="dxa"/>
            <w:tcBorders>
              <w:top w:val="nil"/>
              <w:left w:val="nil"/>
              <w:bottom w:val="single" w:sz="4" w:space="0" w:color="C0C0C0"/>
              <w:right w:val="single" w:sz="4" w:space="0" w:color="C0C0C0"/>
            </w:tcBorders>
            <w:shd w:val="clear" w:color="auto" w:fill="auto"/>
            <w:noWrap/>
            <w:vAlign w:val="center"/>
            <w:hideMark/>
          </w:tcPr>
          <w:p w:rsidR="00B86F0E" w:rsidRPr="00476D66" w:rsidRDefault="00B86F0E" w:rsidP="005F3070">
            <w:pPr>
              <w:spacing w:before="0" w:after="0"/>
              <w:jc w:val="right"/>
              <w:rPr>
                <w:rFonts w:ascii="Arial Narrow" w:eastAsia="Times New Roman" w:hAnsi="Arial Narrow" w:cs="Arial"/>
                <w:sz w:val="20"/>
                <w:szCs w:val="20"/>
              </w:rPr>
            </w:pPr>
            <w:r w:rsidRPr="00476D66">
              <w:rPr>
                <w:rFonts w:ascii="Arial Narrow" w:eastAsia="Times New Roman" w:hAnsi="Arial Narrow" w:cs="Arial"/>
                <w:sz w:val="20"/>
                <w:szCs w:val="20"/>
              </w:rPr>
              <w:t>708</w:t>
            </w:r>
          </w:p>
        </w:tc>
        <w:tc>
          <w:tcPr>
            <w:tcW w:w="896" w:type="dxa"/>
            <w:tcBorders>
              <w:top w:val="nil"/>
              <w:left w:val="nil"/>
              <w:bottom w:val="single" w:sz="4" w:space="0" w:color="C0C0C0"/>
              <w:right w:val="single" w:sz="4" w:space="0" w:color="C0C0C0"/>
            </w:tcBorders>
            <w:shd w:val="clear" w:color="auto" w:fill="auto"/>
            <w:noWrap/>
            <w:vAlign w:val="center"/>
            <w:hideMark/>
          </w:tcPr>
          <w:p w:rsidR="00B86F0E" w:rsidRPr="00476D66" w:rsidRDefault="00B86F0E" w:rsidP="005F3070">
            <w:pPr>
              <w:spacing w:before="0" w:after="0"/>
              <w:jc w:val="right"/>
              <w:rPr>
                <w:rFonts w:ascii="Arial Narrow" w:eastAsia="Times New Roman" w:hAnsi="Arial Narrow" w:cs="Arial"/>
                <w:sz w:val="20"/>
                <w:szCs w:val="20"/>
              </w:rPr>
            </w:pPr>
            <w:r w:rsidRPr="00476D66">
              <w:rPr>
                <w:rFonts w:ascii="Arial Narrow" w:eastAsia="Times New Roman" w:hAnsi="Arial Narrow" w:cs="Arial"/>
                <w:sz w:val="20"/>
                <w:szCs w:val="20"/>
              </w:rPr>
              <w:t>906</w:t>
            </w:r>
          </w:p>
        </w:tc>
        <w:tc>
          <w:tcPr>
            <w:tcW w:w="896" w:type="dxa"/>
            <w:tcBorders>
              <w:top w:val="nil"/>
              <w:left w:val="nil"/>
              <w:bottom w:val="single" w:sz="4" w:space="0" w:color="C0C0C0"/>
              <w:right w:val="nil"/>
            </w:tcBorders>
            <w:shd w:val="clear" w:color="auto" w:fill="auto"/>
            <w:noWrap/>
            <w:vAlign w:val="center"/>
            <w:hideMark/>
          </w:tcPr>
          <w:p w:rsidR="00B86F0E" w:rsidRPr="00476D66" w:rsidRDefault="00B86F0E" w:rsidP="005F3070">
            <w:pPr>
              <w:spacing w:before="0" w:after="0"/>
              <w:jc w:val="right"/>
              <w:rPr>
                <w:rFonts w:ascii="Arial Narrow" w:eastAsia="Times New Roman" w:hAnsi="Arial Narrow" w:cs="Arial"/>
                <w:sz w:val="20"/>
                <w:szCs w:val="20"/>
              </w:rPr>
            </w:pPr>
            <w:r w:rsidRPr="00476D66">
              <w:rPr>
                <w:rFonts w:ascii="Arial Narrow" w:eastAsia="Times New Roman" w:hAnsi="Arial Narrow" w:cs="Arial"/>
                <w:sz w:val="20"/>
                <w:szCs w:val="20"/>
              </w:rPr>
              <w:t>877</w:t>
            </w:r>
          </w:p>
        </w:tc>
        <w:tc>
          <w:tcPr>
            <w:tcW w:w="896" w:type="dxa"/>
            <w:tcBorders>
              <w:top w:val="nil"/>
              <w:left w:val="single" w:sz="4" w:space="0" w:color="C0C0C0"/>
              <w:bottom w:val="single" w:sz="4" w:space="0" w:color="C0C0C0"/>
              <w:right w:val="nil"/>
            </w:tcBorders>
            <w:shd w:val="clear" w:color="auto" w:fill="auto"/>
            <w:noWrap/>
            <w:vAlign w:val="center"/>
            <w:hideMark/>
          </w:tcPr>
          <w:p w:rsidR="00B86F0E" w:rsidRPr="00476D66" w:rsidRDefault="00B86F0E" w:rsidP="005F3070">
            <w:pPr>
              <w:spacing w:before="0" w:after="0"/>
              <w:jc w:val="right"/>
              <w:rPr>
                <w:rFonts w:ascii="Arial Narrow" w:eastAsia="Times New Roman" w:hAnsi="Arial Narrow" w:cs="Arial"/>
                <w:sz w:val="20"/>
                <w:szCs w:val="20"/>
              </w:rPr>
            </w:pPr>
            <w:r w:rsidRPr="00476D66">
              <w:rPr>
                <w:rFonts w:ascii="Arial Narrow" w:eastAsia="Times New Roman" w:hAnsi="Arial Narrow" w:cs="Arial"/>
                <w:sz w:val="20"/>
                <w:szCs w:val="20"/>
              </w:rPr>
              <w:t>1,233</w:t>
            </w:r>
          </w:p>
        </w:tc>
        <w:tc>
          <w:tcPr>
            <w:tcW w:w="896" w:type="dxa"/>
            <w:tcBorders>
              <w:top w:val="nil"/>
              <w:left w:val="single" w:sz="4" w:space="0" w:color="C0C0C0"/>
              <w:bottom w:val="single" w:sz="4" w:space="0" w:color="C0C0C0"/>
              <w:right w:val="nil"/>
            </w:tcBorders>
            <w:shd w:val="clear" w:color="auto" w:fill="auto"/>
            <w:noWrap/>
            <w:vAlign w:val="center"/>
            <w:hideMark/>
          </w:tcPr>
          <w:p w:rsidR="00B86F0E" w:rsidRPr="00476D66" w:rsidRDefault="00B86F0E" w:rsidP="005F3070">
            <w:pPr>
              <w:spacing w:before="0" w:after="0"/>
              <w:jc w:val="right"/>
              <w:rPr>
                <w:rFonts w:ascii="Arial Narrow" w:eastAsia="Times New Roman" w:hAnsi="Arial Narrow" w:cs="Arial"/>
                <w:sz w:val="20"/>
                <w:szCs w:val="20"/>
              </w:rPr>
            </w:pPr>
            <w:r w:rsidRPr="00476D66">
              <w:rPr>
                <w:rFonts w:ascii="Arial Narrow" w:eastAsia="Times New Roman" w:hAnsi="Arial Narrow" w:cs="Arial"/>
                <w:sz w:val="20"/>
                <w:szCs w:val="20"/>
              </w:rPr>
              <w:t>1,223</w:t>
            </w:r>
          </w:p>
        </w:tc>
      </w:tr>
      <w:tr w:rsidR="00B86F0E" w:rsidRPr="00476D66" w:rsidTr="005F3070">
        <w:trPr>
          <w:trHeight w:val="300"/>
        </w:trPr>
        <w:tc>
          <w:tcPr>
            <w:tcW w:w="4016" w:type="dxa"/>
            <w:tcBorders>
              <w:top w:val="nil"/>
              <w:left w:val="single" w:sz="4" w:space="0" w:color="C0C0C0"/>
              <w:bottom w:val="single" w:sz="4" w:space="0" w:color="C0C0C0"/>
              <w:right w:val="single" w:sz="4" w:space="0" w:color="C0C0C0"/>
            </w:tcBorders>
            <w:shd w:val="clear" w:color="auto" w:fill="auto"/>
            <w:noWrap/>
            <w:vAlign w:val="center"/>
            <w:hideMark/>
          </w:tcPr>
          <w:p w:rsidR="00B86F0E" w:rsidRPr="00476D66" w:rsidRDefault="00B86F0E" w:rsidP="005F3070">
            <w:pPr>
              <w:spacing w:before="0" w:after="0"/>
              <w:jc w:val="left"/>
              <w:rPr>
                <w:rFonts w:ascii="Arial Narrow" w:eastAsia="Times New Roman" w:hAnsi="Arial Narrow" w:cs="Arial"/>
                <w:sz w:val="20"/>
                <w:szCs w:val="20"/>
              </w:rPr>
            </w:pPr>
            <w:r w:rsidRPr="00476D66">
              <w:rPr>
                <w:rFonts w:ascii="Arial Narrow" w:eastAsia="Times New Roman" w:hAnsi="Arial Narrow" w:cs="Arial"/>
                <w:sz w:val="20"/>
                <w:szCs w:val="20"/>
              </w:rPr>
              <w:t>Takse mbi Biznesin e vogel</w:t>
            </w:r>
          </w:p>
        </w:tc>
        <w:tc>
          <w:tcPr>
            <w:tcW w:w="896" w:type="dxa"/>
            <w:tcBorders>
              <w:top w:val="nil"/>
              <w:left w:val="nil"/>
              <w:bottom w:val="single" w:sz="4" w:space="0" w:color="C0C0C0"/>
              <w:right w:val="single" w:sz="4" w:space="0" w:color="C0C0C0"/>
            </w:tcBorders>
            <w:shd w:val="clear" w:color="auto" w:fill="auto"/>
            <w:noWrap/>
            <w:vAlign w:val="center"/>
            <w:hideMark/>
          </w:tcPr>
          <w:p w:rsidR="00B86F0E" w:rsidRPr="00476D66" w:rsidRDefault="00B86F0E" w:rsidP="005F3070">
            <w:pPr>
              <w:spacing w:before="0" w:after="0"/>
              <w:jc w:val="right"/>
              <w:rPr>
                <w:rFonts w:ascii="Arial Narrow" w:eastAsia="Times New Roman" w:hAnsi="Arial Narrow" w:cs="Arial"/>
                <w:sz w:val="20"/>
                <w:szCs w:val="20"/>
              </w:rPr>
            </w:pPr>
            <w:r w:rsidRPr="00476D66">
              <w:rPr>
                <w:rFonts w:ascii="Arial Narrow" w:eastAsia="Times New Roman" w:hAnsi="Arial Narrow" w:cs="Arial"/>
                <w:sz w:val="20"/>
                <w:szCs w:val="20"/>
              </w:rPr>
              <w:t>1,449</w:t>
            </w:r>
          </w:p>
        </w:tc>
        <w:tc>
          <w:tcPr>
            <w:tcW w:w="896" w:type="dxa"/>
            <w:tcBorders>
              <w:top w:val="nil"/>
              <w:left w:val="nil"/>
              <w:bottom w:val="single" w:sz="4" w:space="0" w:color="C0C0C0"/>
              <w:right w:val="single" w:sz="4" w:space="0" w:color="C0C0C0"/>
            </w:tcBorders>
            <w:shd w:val="clear" w:color="auto" w:fill="auto"/>
            <w:noWrap/>
            <w:vAlign w:val="center"/>
            <w:hideMark/>
          </w:tcPr>
          <w:p w:rsidR="00B86F0E" w:rsidRPr="00476D66" w:rsidRDefault="00B86F0E" w:rsidP="005F3070">
            <w:pPr>
              <w:spacing w:before="0" w:after="0"/>
              <w:jc w:val="right"/>
              <w:rPr>
                <w:rFonts w:ascii="Arial Narrow" w:eastAsia="Times New Roman" w:hAnsi="Arial Narrow" w:cs="Arial"/>
                <w:sz w:val="20"/>
                <w:szCs w:val="20"/>
              </w:rPr>
            </w:pPr>
            <w:r w:rsidRPr="00476D66">
              <w:rPr>
                <w:rFonts w:ascii="Arial Narrow" w:eastAsia="Times New Roman" w:hAnsi="Arial Narrow" w:cs="Arial"/>
                <w:sz w:val="20"/>
                <w:szCs w:val="20"/>
              </w:rPr>
              <w:t>1,312</w:t>
            </w:r>
          </w:p>
        </w:tc>
        <w:tc>
          <w:tcPr>
            <w:tcW w:w="896" w:type="dxa"/>
            <w:tcBorders>
              <w:top w:val="nil"/>
              <w:left w:val="nil"/>
              <w:bottom w:val="single" w:sz="4" w:space="0" w:color="C0C0C0"/>
              <w:right w:val="nil"/>
            </w:tcBorders>
            <w:shd w:val="clear" w:color="auto" w:fill="auto"/>
            <w:noWrap/>
            <w:vAlign w:val="center"/>
            <w:hideMark/>
          </w:tcPr>
          <w:p w:rsidR="00B86F0E" w:rsidRPr="00476D66" w:rsidRDefault="00B86F0E" w:rsidP="005F3070">
            <w:pPr>
              <w:spacing w:before="0" w:after="0"/>
              <w:jc w:val="right"/>
              <w:rPr>
                <w:rFonts w:ascii="Arial Narrow" w:eastAsia="Times New Roman" w:hAnsi="Arial Narrow" w:cs="Arial"/>
                <w:sz w:val="20"/>
                <w:szCs w:val="20"/>
              </w:rPr>
            </w:pPr>
            <w:r w:rsidRPr="00476D66">
              <w:rPr>
                <w:rFonts w:ascii="Arial Narrow" w:eastAsia="Times New Roman" w:hAnsi="Arial Narrow" w:cs="Arial"/>
                <w:sz w:val="20"/>
                <w:szCs w:val="20"/>
              </w:rPr>
              <w:t>961</w:t>
            </w:r>
          </w:p>
        </w:tc>
        <w:tc>
          <w:tcPr>
            <w:tcW w:w="896" w:type="dxa"/>
            <w:tcBorders>
              <w:top w:val="nil"/>
              <w:left w:val="single" w:sz="4" w:space="0" w:color="C0C0C0"/>
              <w:bottom w:val="single" w:sz="4" w:space="0" w:color="C0C0C0"/>
              <w:right w:val="nil"/>
            </w:tcBorders>
            <w:shd w:val="clear" w:color="auto" w:fill="auto"/>
            <w:noWrap/>
            <w:vAlign w:val="center"/>
            <w:hideMark/>
          </w:tcPr>
          <w:p w:rsidR="00B86F0E" w:rsidRPr="00476D66" w:rsidRDefault="00B86F0E" w:rsidP="005F3070">
            <w:pPr>
              <w:spacing w:before="0" w:after="0"/>
              <w:jc w:val="right"/>
              <w:rPr>
                <w:rFonts w:ascii="Arial Narrow" w:eastAsia="Times New Roman" w:hAnsi="Arial Narrow" w:cs="Arial"/>
                <w:sz w:val="20"/>
                <w:szCs w:val="20"/>
              </w:rPr>
            </w:pPr>
            <w:r w:rsidRPr="00476D66">
              <w:rPr>
                <w:rFonts w:ascii="Arial Narrow" w:eastAsia="Times New Roman" w:hAnsi="Arial Narrow" w:cs="Arial"/>
                <w:sz w:val="20"/>
                <w:szCs w:val="20"/>
              </w:rPr>
              <w:t>1,039</w:t>
            </w:r>
          </w:p>
        </w:tc>
        <w:tc>
          <w:tcPr>
            <w:tcW w:w="896" w:type="dxa"/>
            <w:tcBorders>
              <w:top w:val="nil"/>
              <w:left w:val="single" w:sz="4" w:space="0" w:color="C0C0C0"/>
              <w:bottom w:val="single" w:sz="4" w:space="0" w:color="C0C0C0"/>
              <w:right w:val="nil"/>
            </w:tcBorders>
            <w:shd w:val="clear" w:color="auto" w:fill="auto"/>
            <w:noWrap/>
            <w:vAlign w:val="center"/>
            <w:hideMark/>
          </w:tcPr>
          <w:p w:rsidR="00B86F0E" w:rsidRPr="00476D66" w:rsidRDefault="00B86F0E" w:rsidP="005F3070">
            <w:pPr>
              <w:spacing w:before="0" w:after="0"/>
              <w:jc w:val="right"/>
              <w:rPr>
                <w:rFonts w:ascii="Arial Narrow" w:eastAsia="Times New Roman" w:hAnsi="Arial Narrow" w:cs="Arial"/>
                <w:sz w:val="20"/>
                <w:szCs w:val="20"/>
              </w:rPr>
            </w:pPr>
            <w:r w:rsidRPr="00476D66">
              <w:rPr>
                <w:rFonts w:ascii="Arial Narrow" w:eastAsia="Times New Roman" w:hAnsi="Arial Narrow" w:cs="Arial"/>
                <w:sz w:val="20"/>
                <w:szCs w:val="20"/>
              </w:rPr>
              <w:t>1,052</w:t>
            </w:r>
          </w:p>
        </w:tc>
      </w:tr>
      <w:tr w:rsidR="00B86F0E" w:rsidRPr="00476D66" w:rsidTr="005F3070">
        <w:trPr>
          <w:trHeight w:val="300"/>
        </w:trPr>
        <w:tc>
          <w:tcPr>
            <w:tcW w:w="4016" w:type="dxa"/>
            <w:tcBorders>
              <w:top w:val="nil"/>
              <w:left w:val="single" w:sz="4" w:space="0" w:color="C0C0C0"/>
              <w:bottom w:val="single" w:sz="4" w:space="0" w:color="C0C0C0"/>
              <w:right w:val="single" w:sz="4" w:space="0" w:color="C0C0C0"/>
            </w:tcBorders>
            <w:shd w:val="clear" w:color="auto" w:fill="auto"/>
            <w:noWrap/>
            <w:vAlign w:val="center"/>
            <w:hideMark/>
          </w:tcPr>
          <w:p w:rsidR="00B86F0E" w:rsidRPr="00476D66" w:rsidRDefault="00B86F0E" w:rsidP="005F3070">
            <w:pPr>
              <w:spacing w:before="0" w:after="0"/>
              <w:jc w:val="left"/>
              <w:rPr>
                <w:rFonts w:ascii="Arial Narrow" w:eastAsia="Times New Roman" w:hAnsi="Arial Narrow" w:cs="Arial"/>
                <w:sz w:val="20"/>
                <w:szCs w:val="20"/>
              </w:rPr>
            </w:pPr>
            <w:r w:rsidRPr="00476D66">
              <w:rPr>
                <w:rFonts w:ascii="Arial Narrow" w:eastAsia="Times New Roman" w:hAnsi="Arial Narrow" w:cs="Arial"/>
                <w:sz w:val="20"/>
                <w:szCs w:val="20"/>
              </w:rPr>
              <w:t>Taksa Lokale</w:t>
            </w:r>
          </w:p>
        </w:tc>
        <w:tc>
          <w:tcPr>
            <w:tcW w:w="896" w:type="dxa"/>
            <w:tcBorders>
              <w:top w:val="nil"/>
              <w:left w:val="nil"/>
              <w:bottom w:val="single" w:sz="4" w:space="0" w:color="C0C0C0"/>
              <w:right w:val="single" w:sz="4" w:space="0" w:color="C0C0C0"/>
            </w:tcBorders>
            <w:shd w:val="clear" w:color="auto" w:fill="auto"/>
            <w:noWrap/>
            <w:vAlign w:val="center"/>
            <w:hideMark/>
          </w:tcPr>
          <w:p w:rsidR="00B86F0E" w:rsidRPr="00476D66" w:rsidRDefault="00B86F0E" w:rsidP="005F3070">
            <w:pPr>
              <w:spacing w:before="0" w:after="0"/>
              <w:jc w:val="right"/>
              <w:rPr>
                <w:rFonts w:ascii="Arial Narrow" w:eastAsia="Times New Roman" w:hAnsi="Arial Narrow" w:cs="Arial"/>
                <w:sz w:val="20"/>
                <w:szCs w:val="20"/>
              </w:rPr>
            </w:pPr>
            <w:r w:rsidRPr="00476D66">
              <w:rPr>
                <w:rFonts w:ascii="Arial Narrow" w:eastAsia="Times New Roman" w:hAnsi="Arial Narrow" w:cs="Arial"/>
                <w:sz w:val="20"/>
                <w:szCs w:val="20"/>
              </w:rPr>
              <w:t>3,060</w:t>
            </w:r>
          </w:p>
        </w:tc>
        <w:tc>
          <w:tcPr>
            <w:tcW w:w="896" w:type="dxa"/>
            <w:tcBorders>
              <w:top w:val="nil"/>
              <w:left w:val="nil"/>
              <w:bottom w:val="single" w:sz="4" w:space="0" w:color="C0C0C0"/>
              <w:right w:val="single" w:sz="4" w:space="0" w:color="C0C0C0"/>
            </w:tcBorders>
            <w:shd w:val="clear" w:color="auto" w:fill="auto"/>
            <w:noWrap/>
            <w:vAlign w:val="center"/>
            <w:hideMark/>
          </w:tcPr>
          <w:p w:rsidR="00B86F0E" w:rsidRPr="00476D66" w:rsidRDefault="00B86F0E" w:rsidP="005F3070">
            <w:pPr>
              <w:spacing w:before="0" w:after="0"/>
              <w:jc w:val="right"/>
              <w:rPr>
                <w:rFonts w:ascii="Arial Narrow" w:eastAsia="Times New Roman" w:hAnsi="Arial Narrow" w:cs="Arial"/>
                <w:sz w:val="20"/>
                <w:szCs w:val="20"/>
              </w:rPr>
            </w:pPr>
            <w:r w:rsidRPr="00476D66">
              <w:rPr>
                <w:rFonts w:ascii="Arial Narrow" w:eastAsia="Times New Roman" w:hAnsi="Arial Narrow" w:cs="Arial"/>
                <w:sz w:val="20"/>
                <w:szCs w:val="20"/>
              </w:rPr>
              <w:t>2,813</w:t>
            </w:r>
          </w:p>
        </w:tc>
        <w:tc>
          <w:tcPr>
            <w:tcW w:w="896" w:type="dxa"/>
            <w:tcBorders>
              <w:top w:val="nil"/>
              <w:left w:val="nil"/>
              <w:bottom w:val="single" w:sz="4" w:space="0" w:color="C0C0C0"/>
              <w:right w:val="nil"/>
            </w:tcBorders>
            <w:shd w:val="clear" w:color="auto" w:fill="auto"/>
            <w:noWrap/>
            <w:vAlign w:val="center"/>
            <w:hideMark/>
          </w:tcPr>
          <w:p w:rsidR="00B86F0E" w:rsidRPr="00476D66" w:rsidRDefault="00B86F0E" w:rsidP="005F3070">
            <w:pPr>
              <w:spacing w:before="0" w:after="0"/>
              <w:jc w:val="right"/>
              <w:rPr>
                <w:rFonts w:ascii="Arial Narrow" w:eastAsia="Times New Roman" w:hAnsi="Arial Narrow" w:cs="Arial"/>
                <w:sz w:val="20"/>
                <w:szCs w:val="20"/>
              </w:rPr>
            </w:pPr>
            <w:r w:rsidRPr="00476D66">
              <w:rPr>
                <w:rFonts w:ascii="Arial Narrow" w:eastAsia="Times New Roman" w:hAnsi="Arial Narrow" w:cs="Arial"/>
                <w:sz w:val="20"/>
                <w:szCs w:val="20"/>
              </w:rPr>
              <w:t>3,042</w:t>
            </w:r>
          </w:p>
        </w:tc>
        <w:tc>
          <w:tcPr>
            <w:tcW w:w="896" w:type="dxa"/>
            <w:tcBorders>
              <w:top w:val="nil"/>
              <w:left w:val="single" w:sz="4" w:space="0" w:color="C0C0C0"/>
              <w:bottom w:val="single" w:sz="4" w:space="0" w:color="C0C0C0"/>
              <w:right w:val="nil"/>
            </w:tcBorders>
            <w:shd w:val="clear" w:color="auto" w:fill="auto"/>
            <w:noWrap/>
            <w:vAlign w:val="center"/>
            <w:hideMark/>
          </w:tcPr>
          <w:p w:rsidR="00B86F0E" w:rsidRPr="00476D66" w:rsidRDefault="00B86F0E" w:rsidP="005F3070">
            <w:pPr>
              <w:spacing w:before="0" w:after="0"/>
              <w:jc w:val="right"/>
              <w:rPr>
                <w:rFonts w:ascii="Arial Narrow" w:eastAsia="Times New Roman" w:hAnsi="Arial Narrow" w:cs="Arial"/>
                <w:sz w:val="20"/>
                <w:szCs w:val="20"/>
              </w:rPr>
            </w:pPr>
            <w:r w:rsidRPr="00476D66">
              <w:rPr>
                <w:rFonts w:ascii="Arial Narrow" w:eastAsia="Times New Roman" w:hAnsi="Arial Narrow" w:cs="Arial"/>
                <w:sz w:val="20"/>
                <w:szCs w:val="20"/>
              </w:rPr>
              <w:t>2,805</w:t>
            </w:r>
          </w:p>
        </w:tc>
        <w:tc>
          <w:tcPr>
            <w:tcW w:w="896" w:type="dxa"/>
            <w:tcBorders>
              <w:top w:val="nil"/>
              <w:left w:val="single" w:sz="4" w:space="0" w:color="C0C0C0"/>
              <w:bottom w:val="single" w:sz="4" w:space="0" w:color="C0C0C0"/>
              <w:right w:val="nil"/>
            </w:tcBorders>
            <w:shd w:val="clear" w:color="auto" w:fill="auto"/>
            <w:noWrap/>
            <w:vAlign w:val="center"/>
            <w:hideMark/>
          </w:tcPr>
          <w:p w:rsidR="00B86F0E" w:rsidRPr="00476D66" w:rsidRDefault="00B86F0E" w:rsidP="005F3070">
            <w:pPr>
              <w:spacing w:before="0" w:after="0"/>
              <w:jc w:val="right"/>
              <w:rPr>
                <w:rFonts w:ascii="Arial Narrow" w:eastAsia="Times New Roman" w:hAnsi="Arial Narrow" w:cs="Arial"/>
                <w:sz w:val="20"/>
                <w:szCs w:val="20"/>
              </w:rPr>
            </w:pPr>
            <w:r w:rsidRPr="00476D66">
              <w:rPr>
                <w:rFonts w:ascii="Arial Narrow" w:eastAsia="Times New Roman" w:hAnsi="Arial Narrow" w:cs="Arial"/>
                <w:sz w:val="20"/>
                <w:szCs w:val="20"/>
              </w:rPr>
              <w:t>2,247</w:t>
            </w:r>
          </w:p>
        </w:tc>
      </w:tr>
      <w:tr w:rsidR="00B86F0E" w:rsidRPr="00476D66" w:rsidTr="005F3070">
        <w:trPr>
          <w:trHeight w:val="300"/>
        </w:trPr>
        <w:tc>
          <w:tcPr>
            <w:tcW w:w="4016" w:type="dxa"/>
            <w:tcBorders>
              <w:top w:val="nil"/>
              <w:left w:val="single" w:sz="4" w:space="0" w:color="C0C0C0"/>
              <w:bottom w:val="single" w:sz="4" w:space="0" w:color="C0C0C0"/>
              <w:right w:val="single" w:sz="4" w:space="0" w:color="C0C0C0"/>
            </w:tcBorders>
            <w:shd w:val="clear" w:color="auto" w:fill="auto"/>
            <w:noWrap/>
            <w:vAlign w:val="center"/>
            <w:hideMark/>
          </w:tcPr>
          <w:p w:rsidR="00B86F0E" w:rsidRPr="00476D66" w:rsidRDefault="00B86F0E" w:rsidP="005F3070">
            <w:pPr>
              <w:spacing w:before="0" w:after="0"/>
              <w:jc w:val="left"/>
              <w:rPr>
                <w:rFonts w:ascii="Arial Narrow" w:eastAsia="Times New Roman" w:hAnsi="Arial Narrow" w:cs="Arial"/>
                <w:b/>
                <w:bCs/>
                <w:sz w:val="20"/>
                <w:szCs w:val="20"/>
              </w:rPr>
            </w:pPr>
            <w:r w:rsidRPr="00476D66">
              <w:rPr>
                <w:rFonts w:ascii="Arial Narrow" w:eastAsia="Times New Roman" w:hAnsi="Arial Narrow" w:cs="Arial"/>
                <w:b/>
                <w:bCs/>
                <w:sz w:val="20"/>
                <w:szCs w:val="20"/>
              </w:rPr>
              <w:t>Te ardh nga fondet speciale</w:t>
            </w:r>
          </w:p>
        </w:tc>
        <w:tc>
          <w:tcPr>
            <w:tcW w:w="896" w:type="dxa"/>
            <w:tcBorders>
              <w:top w:val="nil"/>
              <w:left w:val="nil"/>
              <w:bottom w:val="single" w:sz="4" w:space="0" w:color="C0C0C0"/>
              <w:right w:val="single" w:sz="4" w:space="0" w:color="C0C0C0"/>
            </w:tcBorders>
            <w:shd w:val="clear" w:color="auto" w:fill="auto"/>
            <w:noWrap/>
            <w:vAlign w:val="center"/>
            <w:hideMark/>
          </w:tcPr>
          <w:p w:rsidR="00B86F0E" w:rsidRPr="00476D66" w:rsidRDefault="00B86F0E" w:rsidP="005F3070">
            <w:pPr>
              <w:spacing w:before="0" w:after="0"/>
              <w:jc w:val="right"/>
              <w:rPr>
                <w:rFonts w:ascii="Arial Narrow" w:eastAsia="Times New Roman" w:hAnsi="Arial Narrow" w:cs="Arial"/>
                <w:b/>
                <w:bCs/>
                <w:sz w:val="20"/>
                <w:szCs w:val="20"/>
              </w:rPr>
            </w:pPr>
            <w:r w:rsidRPr="00476D66">
              <w:rPr>
                <w:rFonts w:ascii="Arial Narrow" w:eastAsia="Times New Roman" w:hAnsi="Arial Narrow" w:cs="Arial"/>
                <w:b/>
                <w:bCs/>
                <w:sz w:val="20"/>
                <w:szCs w:val="20"/>
              </w:rPr>
              <w:t>17,916</w:t>
            </w:r>
          </w:p>
        </w:tc>
        <w:tc>
          <w:tcPr>
            <w:tcW w:w="896" w:type="dxa"/>
            <w:tcBorders>
              <w:top w:val="nil"/>
              <w:left w:val="nil"/>
              <w:bottom w:val="single" w:sz="4" w:space="0" w:color="C0C0C0"/>
              <w:right w:val="single" w:sz="4" w:space="0" w:color="C0C0C0"/>
            </w:tcBorders>
            <w:shd w:val="clear" w:color="auto" w:fill="auto"/>
            <w:noWrap/>
            <w:vAlign w:val="center"/>
            <w:hideMark/>
          </w:tcPr>
          <w:p w:rsidR="00B86F0E" w:rsidRPr="00476D66" w:rsidRDefault="00B86F0E" w:rsidP="005F3070">
            <w:pPr>
              <w:spacing w:before="0" w:after="0"/>
              <w:jc w:val="right"/>
              <w:rPr>
                <w:rFonts w:ascii="Arial Narrow" w:eastAsia="Times New Roman" w:hAnsi="Arial Narrow" w:cs="Arial"/>
                <w:b/>
                <w:bCs/>
                <w:sz w:val="20"/>
                <w:szCs w:val="20"/>
              </w:rPr>
            </w:pPr>
            <w:r w:rsidRPr="00476D66">
              <w:rPr>
                <w:rFonts w:ascii="Arial Narrow" w:eastAsia="Times New Roman" w:hAnsi="Arial Narrow" w:cs="Arial"/>
                <w:b/>
                <w:bCs/>
                <w:sz w:val="20"/>
                <w:szCs w:val="20"/>
              </w:rPr>
              <w:t>18,369</w:t>
            </w:r>
          </w:p>
        </w:tc>
        <w:tc>
          <w:tcPr>
            <w:tcW w:w="896" w:type="dxa"/>
            <w:tcBorders>
              <w:top w:val="nil"/>
              <w:left w:val="nil"/>
              <w:bottom w:val="single" w:sz="4" w:space="0" w:color="C0C0C0"/>
              <w:right w:val="nil"/>
            </w:tcBorders>
            <w:shd w:val="clear" w:color="auto" w:fill="auto"/>
            <w:noWrap/>
            <w:vAlign w:val="center"/>
            <w:hideMark/>
          </w:tcPr>
          <w:p w:rsidR="00B86F0E" w:rsidRPr="00476D66" w:rsidRDefault="00B86F0E" w:rsidP="005F3070">
            <w:pPr>
              <w:spacing w:before="0" w:after="0"/>
              <w:jc w:val="right"/>
              <w:rPr>
                <w:rFonts w:ascii="Arial Narrow" w:eastAsia="Times New Roman" w:hAnsi="Arial Narrow" w:cs="Arial"/>
                <w:b/>
                <w:bCs/>
                <w:sz w:val="20"/>
                <w:szCs w:val="20"/>
              </w:rPr>
            </w:pPr>
            <w:r w:rsidRPr="00476D66">
              <w:rPr>
                <w:rFonts w:ascii="Arial Narrow" w:eastAsia="Times New Roman" w:hAnsi="Arial Narrow" w:cs="Arial"/>
                <w:b/>
                <w:bCs/>
                <w:sz w:val="20"/>
                <w:szCs w:val="20"/>
              </w:rPr>
              <w:t>19,353</w:t>
            </w:r>
          </w:p>
        </w:tc>
        <w:tc>
          <w:tcPr>
            <w:tcW w:w="896" w:type="dxa"/>
            <w:tcBorders>
              <w:top w:val="nil"/>
              <w:left w:val="single" w:sz="4" w:space="0" w:color="C0C0C0"/>
              <w:bottom w:val="single" w:sz="4" w:space="0" w:color="C0C0C0"/>
              <w:right w:val="nil"/>
            </w:tcBorders>
            <w:shd w:val="clear" w:color="auto" w:fill="auto"/>
            <w:noWrap/>
            <w:vAlign w:val="center"/>
            <w:hideMark/>
          </w:tcPr>
          <w:p w:rsidR="00B86F0E" w:rsidRPr="00476D66" w:rsidRDefault="00B86F0E" w:rsidP="005F3070">
            <w:pPr>
              <w:spacing w:before="0" w:after="0"/>
              <w:jc w:val="right"/>
              <w:rPr>
                <w:rFonts w:ascii="Arial Narrow" w:eastAsia="Times New Roman" w:hAnsi="Arial Narrow" w:cs="Arial"/>
                <w:b/>
                <w:bCs/>
                <w:sz w:val="20"/>
                <w:szCs w:val="20"/>
              </w:rPr>
            </w:pPr>
            <w:r w:rsidRPr="00476D66">
              <w:rPr>
                <w:rFonts w:ascii="Arial Narrow" w:eastAsia="Times New Roman" w:hAnsi="Arial Narrow" w:cs="Arial"/>
                <w:b/>
                <w:bCs/>
                <w:sz w:val="20"/>
                <w:szCs w:val="20"/>
              </w:rPr>
              <w:t>20,443</w:t>
            </w:r>
          </w:p>
        </w:tc>
        <w:tc>
          <w:tcPr>
            <w:tcW w:w="896" w:type="dxa"/>
            <w:tcBorders>
              <w:top w:val="nil"/>
              <w:left w:val="single" w:sz="4" w:space="0" w:color="C0C0C0"/>
              <w:bottom w:val="single" w:sz="4" w:space="0" w:color="C0C0C0"/>
              <w:right w:val="nil"/>
            </w:tcBorders>
            <w:shd w:val="clear" w:color="auto" w:fill="auto"/>
            <w:noWrap/>
            <w:vAlign w:val="center"/>
            <w:hideMark/>
          </w:tcPr>
          <w:p w:rsidR="00B86F0E" w:rsidRPr="00476D66" w:rsidRDefault="00B86F0E" w:rsidP="005F3070">
            <w:pPr>
              <w:spacing w:before="0" w:after="0"/>
              <w:jc w:val="right"/>
              <w:rPr>
                <w:rFonts w:ascii="Arial Narrow" w:eastAsia="Times New Roman" w:hAnsi="Arial Narrow" w:cs="Arial"/>
                <w:b/>
                <w:bCs/>
                <w:sz w:val="20"/>
                <w:szCs w:val="20"/>
              </w:rPr>
            </w:pPr>
            <w:r w:rsidRPr="00476D66">
              <w:rPr>
                <w:rFonts w:ascii="Arial Narrow" w:eastAsia="Times New Roman" w:hAnsi="Arial Narrow" w:cs="Arial"/>
                <w:b/>
                <w:bCs/>
                <w:sz w:val="20"/>
                <w:szCs w:val="20"/>
              </w:rPr>
              <w:t>20,520</w:t>
            </w:r>
          </w:p>
        </w:tc>
      </w:tr>
      <w:tr w:rsidR="00B86F0E" w:rsidRPr="00476D66" w:rsidTr="005F3070">
        <w:trPr>
          <w:trHeight w:val="270"/>
        </w:trPr>
        <w:tc>
          <w:tcPr>
            <w:tcW w:w="4016" w:type="dxa"/>
            <w:tcBorders>
              <w:top w:val="nil"/>
              <w:left w:val="single" w:sz="4" w:space="0" w:color="C0C0C0"/>
              <w:bottom w:val="single" w:sz="4" w:space="0" w:color="C0C0C0"/>
              <w:right w:val="single" w:sz="4" w:space="0" w:color="C0C0C0"/>
            </w:tcBorders>
            <w:shd w:val="clear" w:color="auto" w:fill="auto"/>
            <w:noWrap/>
            <w:vAlign w:val="center"/>
            <w:hideMark/>
          </w:tcPr>
          <w:p w:rsidR="00B86F0E" w:rsidRPr="00476D66" w:rsidRDefault="00B86F0E" w:rsidP="005F3070">
            <w:pPr>
              <w:spacing w:before="0" w:after="0"/>
              <w:jc w:val="left"/>
              <w:rPr>
                <w:rFonts w:ascii="Arial Narrow" w:eastAsia="Times New Roman" w:hAnsi="Arial Narrow" w:cs="Arial"/>
                <w:sz w:val="20"/>
                <w:szCs w:val="20"/>
              </w:rPr>
            </w:pPr>
            <w:r w:rsidRPr="00476D66">
              <w:rPr>
                <w:rFonts w:ascii="Arial Narrow" w:eastAsia="Times New Roman" w:hAnsi="Arial Narrow" w:cs="Arial"/>
                <w:sz w:val="20"/>
                <w:szCs w:val="20"/>
              </w:rPr>
              <w:t>Sigurimi Shoqeror</w:t>
            </w:r>
          </w:p>
        </w:tc>
        <w:tc>
          <w:tcPr>
            <w:tcW w:w="896" w:type="dxa"/>
            <w:tcBorders>
              <w:top w:val="nil"/>
              <w:left w:val="nil"/>
              <w:bottom w:val="single" w:sz="4" w:space="0" w:color="C0C0C0"/>
              <w:right w:val="single" w:sz="4" w:space="0" w:color="C0C0C0"/>
            </w:tcBorders>
            <w:shd w:val="clear" w:color="auto" w:fill="auto"/>
            <w:noWrap/>
            <w:vAlign w:val="center"/>
            <w:hideMark/>
          </w:tcPr>
          <w:p w:rsidR="00B86F0E" w:rsidRPr="00476D66" w:rsidRDefault="00B86F0E" w:rsidP="005F3070">
            <w:pPr>
              <w:spacing w:before="0" w:after="0"/>
              <w:jc w:val="right"/>
              <w:rPr>
                <w:rFonts w:ascii="Arial Narrow" w:eastAsia="Times New Roman" w:hAnsi="Arial Narrow" w:cs="Arial"/>
                <w:sz w:val="20"/>
                <w:szCs w:val="20"/>
              </w:rPr>
            </w:pPr>
            <w:r w:rsidRPr="00476D66">
              <w:rPr>
                <w:rFonts w:ascii="Arial Narrow" w:eastAsia="Times New Roman" w:hAnsi="Arial Narrow" w:cs="Arial"/>
                <w:sz w:val="20"/>
                <w:szCs w:val="20"/>
              </w:rPr>
              <w:t>16,097</w:t>
            </w:r>
          </w:p>
        </w:tc>
        <w:tc>
          <w:tcPr>
            <w:tcW w:w="896" w:type="dxa"/>
            <w:tcBorders>
              <w:top w:val="nil"/>
              <w:left w:val="nil"/>
              <w:bottom w:val="single" w:sz="4" w:space="0" w:color="C0C0C0"/>
              <w:right w:val="single" w:sz="4" w:space="0" w:color="C0C0C0"/>
            </w:tcBorders>
            <w:shd w:val="clear" w:color="auto" w:fill="auto"/>
            <w:noWrap/>
            <w:vAlign w:val="center"/>
            <w:hideMark/>
          </w:tcPr>
          <w:p w:rsidR="00B86F0E" w:rsidRPr="00476D66" w:rsidRDefault="00B86F0E" w:rsidP="005F3070">
            <w:pPr>
              <w:spacing w:before="0" w:after="0"/>
              <w:jc w:val="right"/>
              <w:rPr>
                <w:rFonts w:ascii="Arial Narrow" w:eastAsia="Times New Roman" w:hAnsi="Arial Narrow" w:cs="Arial"/>
                <w:sz w:val="20"/>
                <w:szCs w:val="20"/>
              </w:rPr>
            </w:pPr>
            <w:r w:rsidRPr="00476D66">
              <w:rPr>
                <w:rFonts w:ascii="Arial Narrow" w:eastAsia="Times New Roman" w:hAnsi="Arial Narrow" w:cs="Arial"/>
                <w:sz w:val="20"/>
                <w:szCs w:val="20"/>
              </w:rPr>
              <w:t>15,511</w:t>
            </w:r>
          </w:p>
        </w:tc>
        <w:tc>
          <w:tcPr>
            <w:tcW w:w="896" w:type="dxa"/>
            <w:tcBorders>
              <w:top w:val="nil"/>
              <w:left w:val="nil"/>
              <w:bottom w:val="single" w:sz="4" w:space="0" w:color="C0C0C0"/>
              <w:right w:val="nil"/>
            </w:tcBorders>
            <w:shd w:val="clear" w:color="auto" w:fill="auto"/>
            <w:noWrap/>
            <w:vAlign w:val="center"/>
            <w:hideMark/>
          </w:tcPr>
          <w:p w:rsidR="00B86F0E" w:rsidRPr="00476D66" w:rsidRDefault="00B86F0E" w:rsidP="005F3070">
            <w:pPr>
              <w:spacing w:before="0" w:after="0"/>
              <w:jc w:val="right"/>
              <w:rPr>
                <w:rFonts w:ascii="Arial Narrow" w:eastAsia="Times New Roman" w:hAnsi="Arial Narrow" w:cs="Arial"/>
                <w:sz w:val="20"/>
                <w:szCs w:val="20"/>
              </w:rPr>
            </w:pPr>
            <w:r w:rsidRPr="00476D66">
              <w:rPr>
                <w:rFonts w:ascii="Arial Narrow" w:eastAsia="Times New Roman" w:hAnsi="Arial Narrow" w:cs="Arial"/>
                <w:sz w:val="20"/>
                <w:szCs w:val="20"/>
              </w:rPr>
              <w:t>16,943</w:t>
            </w:r>
          </w:p>
        </w:tc>
        <w:tc>
          <w:tcPr>
            <w:tcW w:w="896" w:type="dxa"/>
            <w:tcBorders>
              <w:top w:val="nil"/>
              <w:left w:val="single" w:sz="4" w:space="0" w:color="C0C0C0"/>
              <w:bottom w:val="single" w:sz="4" w:space="0" w:color="C0C0C0"/>
              <w:right w:val="nil"/>
            </w:tcBorders>
            <w:shd w:val="clear" w:color="auto" w:fill="auto"/>
            <w:noWrap/>
            <w:vAlign w:val="center"/>
            <w:hideMark/>
          </w:tcPr>
          <w:p w:rsidR="00B86F0E" w:rsidRPr="00476D66" w:rsidRDefault="00B86F0E" w:rsidP="005F3070">
            <w:pPr>
              <w:spacing w:before="0" w:after="0"/>
              <w:jc w:val="right"/>
              <w:rPr>
                <w:rFonts w:ascii="Arial Narrow" w:eastAsia="Times New Roman" w:hAnsi="Arial Narrow" w:cs="Arial"/>
                <w:sz w:val="20"/>
                <w:szCs w:val="20"/>
              </w:rPr>
            </w:pPr>
            <w:r w:rsidRPr="00476D66">
              <w:rPr>
                <w:rFonts w:ascii="Arial Narrow" w:eastAsia="Times New Roman" w:hAnsi="Arial Narrow" w:cs="Arial"/>
                <w:sz w:val="20"/>
                <w:szCs w:val="20"/>
              </w:rPr>
              <w:t>17,256</w:t>
            </w:r>
          </w:p>
        </w:tc>
        <w:tc>
          <w:tcPr>
            <w:tcW w:w="896" w:type="dxa"/>
            <w:tcBorders>
              <w:top w:val="nil"/>
              <w:left w:val="single" w:sz="4" w:space="0" w:color="C0C0C0"/>
              <w:bottom w:val="single" w:sz="4" w:space="0" w:color="C0C0C0"/>
              <w:right w:val="nil"/>
            </w:tcBorders>
            <w:shd w:val="clear" w:color="auto" w:fill="auto"/>
            <w:noWrap/>
            <w:vAlign w:val="center"/>
            <w:hideMark/>
          </w:tcPr>
          <w:p w:rsidR="00B86F0E" w:rsidRPr="00476D66" w:rsidRDefault="00B86F0E" w:rsidP="005F3070">
            <w:pPr>
              <w:spacing w:before="0" w:after="0"/>
              <w:jc w:val="right"/>
              <w:rPr>
                <w:rFonts w:ascii="Arial Narrow" w:eastAsia="Times New Roman" w:hAnsi="Arial Narrow" w:cs="Arial"/>
                <w:sz w:val="20"/>
                <w:szCs w:val="20"/>
              </w:rPr>
            </w:pPr>
            <w:r w:rsidRPr="00476D66">
              <w:rPr>
                <w:rFonts w:ascii="Arial Narrow" w:eastAsia="Times New Roman" w:hAnsi="Arial Narrow" w:cs="Arial"/>
                <w:sz w:val="20"/>
                <w:szCs w:val="20"/>
              </w:rPr>
              <w:t>16,954</w:t>
            </w:r>
          </w:p>
        </w:tc>
      </w:tr>
      <w:tr w:rsidR="00B86F0E" w:rsidRPr="00476D66" w:rsidTr="005F3070">
        <w:trPr>
          <w:trHeight w:val="300"/>
        </w:trPr>
        <w:tc>
          <w:tcPr>
            <w:tcW w:w="4016" w:type="dxa"/>
            <w:tcBorders>
              <w:top w:val="nil"/>
              <w:left w:val="single" w:sz="4" w:space="0" w:color="C0C0C0"/>
              <w:bottom w:val="single" w:sz="4" w:space="0" w:color="C0C0C0"/>
              <w:right w:val="single" w:sz="4" w:space="0" w:color="C0C0C0"/>
            </w:tcBorders>
            <w:shd w:val="clear" w:color="auto" w:fill="auto"/>
            <w:noWrap/>
            <w:vAlign w:val="center"/>
            <w:hideMark/>
          </w:tcPr>
          <w:p w:rsidR="00B86F0E" w:rsidRPr="00476D66" w:rsidRDefault="00B86F0E" w:rsidP="005F3070">
            <w:pPr>
              <w:spacing w:before="0" w:after="0"/>
              <w:jc w:val="left"/>
              <w:rPr>
                <w:rFonts w:ascii="Arial Narrow" w:eastAsia="Times New Roman" w:hAnsi="Arial Narrow" w:cs="Arial"/>
                <w:sz w:val="20"/>
                <w:szCs w:val="20"/>
              </w:rPr>
            </w:pPr>
            <w:r w:rsidRPr="00476D66">
              <w:rPr>
                <w:rFonts w:ascii="Arial Narrow" w:eastAsia="Times New Roman" w:hAnsi="Arial Narrow" w:cs="Arial"/>
                <w:sz w:val="20"/>
                <w:szCs w:val="20"/>
              </w:rPr>
              <w:t>Sigurimi Shendetsor</w:t>
            </w:r>
          </w:p>
        </w:tc>
        <w:tc>
          <w:tcPr>
            <w:tcW w:w="896" w:type="dxa"/>
            <w:tcBorders>
              <w:top w:val="nil"/>
              <w:left w:val="nil"/>
              <w:bottom w:val="single" w:sz="4" w:space="0" w:color="C0C0C0"/>
              <w:right w:val="single" w:sz="4" w:space="0" w:color="C0C0C0"/>
            </w:tcBorders>
            <w:shd w:val="clear" w:color="auto" w:fill="auto"/>
            <w:noWrap/>
            <w:vAlign w:val="center"/>
            <w:hideMark/>
          </w:tcPr>
          <w:p w:rsidR="00B86F0E" w:rsidRPr="00476D66" w:rsidRDefault="00B86F0E" w:rsidP="005F3070">
            <w:pPr>
              <w:spacing w:before="0" w:after="0"/>
              <w:jc w:val="right"/>
              <w:rPr>
                <w:rFonts w:ascii="Arial Narrow" w:eastAsia="Times New Roman" w:hAnsi="Arial Narrow" w:cs="Arial"/>
                <w:sz w:val="20"/>
                <w:szCs w:val="20"/>
              </w:rPr>
            </w:pPr>
            <w:r w:rsidRPr="00476D66">
              <w:rPr>
                <w:rFonts w:ascii="Arial Narrow" w:eastAsia="Times New Roman" w:hAnsi="Arial Narrow" w:cs="Arial"/>
                <w:sz w:val="20"/>
                <w:szCs w:val="20"/>
              </w:rPr>
              <w:t>1,819</w:t>
            </w:r>
          </w:p>
        </w:tc>
        <w:tc>
          <w:tcPr>
            <w:tcW w:w="896" w:type="dxa"/>
            <w:tcBorders>
              <w:top w:val="nil"/>
              <w:left w:val="nil"/>
              <w:bottom w:val="single" w:sz="4" w:space="0" w:color="C0C0C0"/>
              <w:right w:val="single" w:sz="4" w:space="0" w:color="C0C0C0"/>
            </w:tcBorders>
            <w:shd w:val="clear" w:color="auto" w:fill="auto"/>
            <w:noWrap/>
            <w:vAlign w:val="center"/>
            <w:hideMark/>
          </w:tcPr>
          <w:p w:rsidR="00B86F0E" w:rsidRPr="00476D66" w:rsidRDefault="00B86F0E" w:rsidP="005F3070">
            <w:pPr>
              <w:spacing w:before="0" w:after="0"/>
              <w:jc w:val="right"/>
              <w:rPr>
                <w:rFonts w:ascii="Arial Narrow" w:eastAsia="Times New Roman" w:hAnsi="Arial Narrow" w:cs="Arial"/>
                <w:sz w:val="20"/>
                <w:szCs w:val="20"/>
              </w:rPr>
            </w:pPr>
            <w:r w:rsidRPr="00476D66">
              <w:rPr>
                <w:rFonts w:ascii="Arial Narrow" w:eastAsia="Times New Roman" w:hAnsi="Arial Narrow" w:cs="Arial"/>
                <w:sz w:val="20"/>
                <w:szCs w:val="20"/>
              </w:rPr>
              <w:t>2,489</w:t>
            </w:r>
          </w:p>
        </w:tc>
        <w:tc>
          <w:tcPr>
            <w:tcW w:w="896" w:type="dxa"/>
            <w:tcBorders>
              <w:top w:val="nil"/>
              <w:left w:val="nil"/>
              <w:bottom w:val="single" w:sz="4" w:space="0" w:color="C0C0C0"/>
              <w:right w:val="nil"/>
            </w:tcBorders>
            <w:shd w:val="clear" w:color="auto" w:fill="auto"/>
            <w:noWrap/>
            <w:vAlign w:val="center"/>
            <w:hideMark/>
          </w:tcPr>
          <w:p w:rsidR="00B86F0E" w:rsidRPr="00476D66" w:rsidRDefault="00B86F0E" w:rsidP="005F3070">
            <w:pPr>
              <w:spacing w:before="0" w:after="0"/>
              <w:jc w:val="right"/>
              <w:rPr>
                <w:rFonts w:ascii="Arial Narrow" w:eastAsia="Times New Roman" w:hAnsi="Arial Narrow" w:cs="Arial"/>
                <w:sz w:val="20"/>
                <w:szCs w:val="20"/>
              </w:rPr>
            </w:pPr>
            <w:r w:rsidRPr="00476D66">
              <w:rPr>
                <w:rFonts w:ascii="Arial Narrow" w:eastAsia="Times New Roman" w:hAnsi="Arial Narrow" w:cs="Arial"/>
                <w:sz w:val="20"/>
                <w:szCs w:val="20"/>
              </w:rPr>
              <w:t>1,713</w:t>
            </w:r>
          </w:p>
        </w:tc>
        <w:tc>
          <w:tcPr>
            <w:tcW w:w="896" w:type="dxa"/>
            <w:tcBorders>
              <w:top w:val="nil"/>
              <w:left w:val="single" w:sz="4" w:space="0" w:color="C0C0C0"/>
              <w:bottom w:val="single" w:sz="4" w:space="0" w:color="C0C0C0"/>
              <w:right w:val="nil"/>
            </w:tcBorders>
            <w:shd w:val="clear" w:color="auto" w:fill="auto"/>
            <w:noWrap/>
            <w:vAlign w:val="center"/>
            <w:hideMark/>
          </w:tcPr>
          <w:p w:rsidR="00B86F0E" w:rsidRPr="00476D66" w:rsidRDefault="00B86F0E" w:rsidP="005F3070">
            <w:pPr>
              <w:spacing w:before="0" w:after="0"/>
              <w:jc w:val="right"/>
              <w:rPr>
                <w:rFonts w:ascii="Arial Narrow" w:eastAsia="Times New Roman" w:hAnsi="Arial Narrow" w:cs="Arial"/>
                <w:sz w:val="20"/>
                <w:szCs w:val="20"/>
              </w:rPr>
            </w:pPr>
            <w:r w:rsidRPr="00476D66">
              <w:rPr>
                <w:rFonts w:ascii="Arial Narrow" w:eastAsia="Times New Roman" w:hAnsi="Arial Narrow" w:cs="Arial"/>
                <w:sz w:val="20"/>
                <w:szCs w:val="20"/>
              </w:rPr>
              <w:t>2,571</w:t>
            </w:r>
          </w:p>
        </w:tc>
        <w:tc>
          <w:tcPr>
            <w:tcW w:w="896" w:type="dxa"/>
            <w:tcBorders>
              <w:top w:val="nil"/>
              <w:left w:val="single" w:sz="4" w:space="0" w:color="C0C0C0"/>
              <w:bottom w:val="single" w:sz="4" w:space="0" w:color="C0C0C0"/>
              <w:right w:val="nil"/>
            </w:tcBorders>
            <w:shd w:val="clear" w:color="auto" w:fill="auto"/>
            <w:noWrap/>
            <w:vAlign w:val="center"/>
            <w:hideMark/>
          </w:tcPr>
          <w:p w:rsidR="00B86F0E" w:rsidRPr="00476D66" w:rsidRDefault="00B86F0E" w:rsidP="005F3070">
            <w:pPr>
              <w:spacing w:before="0" w:after="0"/>
              <w:jc w:val="right"/>
              <w:rPr>
                <w:rFonts w:ascii="Arial Narrow" w:eastAsia="Times New Roman" w:hAnsi="Arial Narrow" w:cs="Arial"/>
                <w:sz w:val="20"/>
                <w:szCs w:val="20"/>
              </w:rPr>
            </w:pPr>
            <w:r w:rsidRPr="00476D66">
              <w:rPr>
                <w:rFonts w:ascii="Arial Narrow" w:eastAsia="Times New Roman" w:hAnsi="Arial Narrow" w:cs="Arial"/>
                <w:sz w:val="20"/>
                <w:szCs w:val="20"/>
              </w:rPr>
              <w:t>2,941</w:t>
            </w:r>
          </w:p>
        </w:tc>
      </w:tr>
      <w:tr w:rsidR="00B86F0E" w:rsidRPr="00476D66" w:rsidTr="005F3070">
        <w:trPr>
          <w:trHeight w:val="300"/>
        </w:trPr>
        <w:tc>
          <w:tcPr>
            <w:tcW w:w="4016" w:type="dxa"/>
            <w:tcBorders>
              <w:top w:val="nil"/>
              <w:left w:val="single" w:sz="4" w:space="0" w:color="C0C0C0"/>
              <w:bottom w:val="single" w:sz="4" w:space="0" w:color="C0C0C0"/>
              <w:right w:val="single" w:sz="4" w:space="0" w:color="C0C0C0"/>
            </w:tcBorders>
            <w:shd w:val="clear" w:color="auto" w:fill="auto"/>
            <w:noWrap/>
            <w:vAlign w:val="center"/>
            <w:hideMark/>
          </w:tcPr>
          <w:p w:rsidR="00B86F0E" w:rsidRPr="00476D66" w:rsidRDefault="00B86F0E" w:rsidP="005F3070">
            <w:pPr>
              <w:spacing w:before="0" w:after="0"/>
              <w:jc w:val="left"/>
              <w:rPr>
                <w:rFonts w:ascii="Arial Narrow" w:eastAsia="Times New Roman" w:hAnsi="Arial Narrow" w:cs="Arial"/>
                <w:sz w:val="20"/>
                <w:szCs w:val="20"/>
              </w:rPr>
            </w:pPr>
            <w:r w:rsidRPr="00476D66">
              <w:rPr>
                <w:rFonts w:ascii="Arial Narrow" w:eastAsia="Times New Roman" w:hAnsi="Arial Narrow" w:cs="Arial"/>
                <w:sz w:val="20"/>
                <w:szCs w:val="20"/>
              </w:rPr>
              <w:t>Te ardhura per kompensim ne vlere te pronareve</w:t>
            </w:r>
          </w:p>
        </w:tc>
        <w:tc>
          <w:tcPr>
            <w:tcW w:w="896" w:type="dxa"/>
            <w:tcBorders>
              <w:top w:val="single" w:sz="4" w:space="0" w:color="C0C0C0"/>
              <w:left w:val="single" w:sz="4" w:space="0" w:color="C0C0C0"/>
              <w:bottom w:val="single" w:sz="4" w:space="0" w:color="C0C0C0"/>
              <w:right w:val="single" w:sz="4" w:space="0" w:color="C0C0C0"/>
            </w:tcBorders>
            <w:shd w:val="clear" w:color="auto" w:fill="auto"/>
            <w:noWrap/>
            <w:vAlign w:val="center"/>
            <w:hideMark/>
          </w:tcPr>
          <w:p w:rsidR="00B86F0E" w:rsidRPr="00476D66" w:rsidRDefault="00B86F0E" w:rsidP="005F3070">
            <w:pPr>
              <w:spacing w:before="0" w:after="0"/>
              <w:jc w:val="right"/>
              <w:rPr>
                <w:rFonts w:ascii="Arial Narrow" w:eastAsia="Times New Roman" w:hAnsi="Arial Narrow" w:cs="Arial"/>
                <w:color w:val="FFFFFF"/>
                <w:sz w:val="20"/>
                <w:szCs w:val="20"/>
              </w:rPr>
            </w:pPr>
            <w:r w:rsidRPr="00476D66">
              <w:rPr>
                <w:rFonts w:ascii="Arial Narrow" w:eastAsia="Times New Roman" w:hAnsi="Arial Narrow" w:cs="Arial"/>
                <w:color w:val="FFFFFF"/>
                <w:sz w:val="20"/>
                <w:szCs w:val="20"/>
              </w:rPr>
              <w:t>0</w:t>
            </w:r>
          </w:p>
        </w:tc>
        <w:tc>
          <w:tcPr>
            <w:tcW w:w="896" w:type="dxa"/>
            <w:tcBorders>
              <w:top w:val="nil"/>
              <w:left w:val="nil"/>
              <w:bottom w:val="single" w:sz="4" w:space="0" w:color="C0C0C0"/>
              <w:right w:val="single" w:sz="4" w:space="0" w:color="C0C0C0"/>
            </w:tcBorders>
            <w:shd w:val="clear" w:color="auto" w:fill="auto"/>
            <w:noWrap/>
            <w:vAlign w:val="center"/>
            <w:hideMark/>
          </w:tcPr>
          <w:p w:rsidR="00B86F0E" w:rsidRPr="00476D66" w:rsidRDefault="00B86F0E" w:rsidP="005F3070">
            <w:pPr>
              <w:spacing w:before="0" w:after="0"/>
              <w:jc w:val="right"/>
              <w:rPr>
                <w:rFonts w:ascii="Arial Narrow" w:eastAsia="Times New Roman" w:hAnsi="Arial Narrow" w:cs="Arial"/>
                <w:sz w:val="20"/>
                <w:szCs w:val="20"/>
              </w:rPr>
            </w:pPr>
            <w:r w:rsidRPr="00476D66">
              <w:rPr>
                <w:rFonts w:ascii="Arial Narrow" w:eastAsia="Times New Roman" w:hAnsi="Arial Narrow" w:cs="Arial"/>
                <w:sz w:val="20"/>
                <w:szCs w:val="20"/>
              </w:rPr>
              <w:t>369</w:t>
            </w:r>
          </w:p>
        </w:tc>
        <w:tc>
          <w:tcPr>
            <w:tcW w:w="896" w:type="dxa"/>
            <w:tcBorders>
              <w:top w:val="nil"/>
              <w:left w:val="nil"/>
              <w:bottom w:val="single" w:sz="4" w:space="0" w:color="C0C0C0"/>
              <w:right w:val="nil"/>
            </w:tcBorders>
            <w:shd w:val="clear" w:color="auto" w:fill="auto"/>
            <w:noWrap/>
            <w:vAlign w:val="center"/>
            <w:hideMark/>
          </w:tcPr>
          <w:p w:rsidR="00B86F0E" w:rsidRPr="00476D66" w:rsidRDefault="00B86F0E" w:rsidP="005F3070">
            <w:pPr>
              <w:spacing w:before="0" w:after="0"/>
              <w:jc w:val="right"/>
              <w:rPr>
                <w:rFonts w:ascii="Arial Narrow" w:eastAsia="Times New Roman" w:hAnsi="Arial Narrow" w:cs="Arial"/>
                <w:sz w:val="20"/>
                <w:szCs w:val="20"/>
              </w:rPr>
            </w:pPr>
            <w:r w:rsidRPr="00476D66">
              <w:rPr>
                <w:rFonts w:ascii="Arial Narrow" w:eastAsia="Times New Roman" w:hAnsi="Arial Narrow" w:cs="Arial"/>
                <w:sz w:val="20"/>
                <w:szCs w:val="20"/>
              </w:rPr>
              <w:t>697</w:t>
            </w:r>
          </w:p>
        </w:tc>
        <w:tc>
          <w:tcPr>
            <w:tcW w:w="896" w:type="dxa"/>
            <w:tcBorders>
              <w:top w:val="nil"/>
              <w:left w:val="single" w:sz="4" w:space="0" w:color="C0C0C0"/>
              <w:bottom w:val="single" w:sz="4" w:space="0" w:color="C0C0C0"/>
              <w:right w:val="nil"/>
            </w:tcBorders>
            <w:shd w:val="clear" w:color="auto" w:fill="auto"/>
            <w:noWrap/>
            <w:vAlign w:val="center"/>
            <w:hideMark/>
          </w:tcPr>
          <w:p w:rsidR="00B86F0E" w:rsidRPr="00476D66" w:rsidRDefault="00B86F0E" w:rsidP="005F3070">
            <w:pPr>
              <w:spacing w:before="0" w:after="0"/>
              <w:jc w:val="right"/>
              <w:rPr>
                <w:rFonts w:ascii="Arial Narrow" w:eastAsia="Times New Roman" w:hAnsi="Arial Narrow" w:cs="Arial"/>
                <w:sz w:val="20"/>
                <w:szCs w:val="20"/>
              </w:rPr>
            </w:pPr>
            <w:r w:rsidRPr="00476D66">
              <w:rPr>
                <w:rFonts w:ascii="Arial Narrow" w:eastAsia="Times New Roman" w:hAnsi="Arial Narrow" w:cs="Arial"/>
                <w:sz w:val="20"/>
                <w:szCs w:val="20"/>
              </w:rPr>
              <w:t>616</w:t>
            </w:r>
          </w:p>
        </w:tc>
        <w:tc>
          <w:tcPr>
            <w:tcW w:w="896" w:type="dxa"/>
            <w:tcBorders>
              <w:top w:val="nil"/>
              <w:left w:val="single" w:sz="4" w:space="0" w:color="C0C0C0"/>
              <w:bottom w:val="single" w:sz="4" w:space="0" w:color="C0C0C0"/>
              <w:right w:val="nil"/>
            </w:tcBorders>
            <w:shd w:val="clear" w:color="auto" w:fill="auto"/>
            <w:noWrap/>
            <w:vAlign w:val="center"/>
            <w:hideMark/>
          </w:tcPr>
          <w:p w:rsidR="00B86F0E" w:rsidRPr="00476D66" w:rsidRDefault="00B86F0E" w:rsidP="005F3070">
            <w:pPr>
              <w:spacing w:before="0" w:after="0"/>
              <w:jc w:val="right"/>
              <w:rPr>
                <w:rFonts w:ascii="Arial Narrow" w:eastAsia="Times New Roman" w:hAnsi="Arial Narrow" w:cs="Arial"/>
                <w:sz w:val="20"/>
                <w:szCs w:val="20"/>
              </w:rPr>
            </w:pPr>
            <w:r w:rsidRPr="00476D66">
              <w:rPr>
                <w:rFonts w:ascii="Arial Narrow" w:eastAsia="Times New Roman" w:hAnsi="Arial Narrow" w:cs="Arial"/>
                <w:sz w:val="20"/>
                <w:szCs w:val="20"/>
              </w:rPr>
              <w:t>625</w:t>
            </w:r>
          </w:p>
        </w:tc>
      </w:tr>
      <w:tr w:rsidR="00B86F0E" w:rsidRPr="00476D66" w:rsidTr="005F3070">
        <w:trPr>
          <w:trHeight w:val="300"/>
        </w:trPr>
        <w:tc>
          <w:tcPr>
            <w:tcW w:w="4016" w:type="dxa"/>
            <w:tcBorders>
              <w:top w:val="nil"/>
              <w:left w:val="single" w:sz="4" w:space="0" w:color="C0C0C0"/>
              <w:bottom w:val="single" w:sz="4" w:space="0" w:color="C0C0C0"/>
              <w:right w:val="single" w:sz="4" w:space="0" w:color="C0C0C0"/>
            </w:tcBorders>
            <w:shd w:val="clear" w:color="auto" w:fill="auto"/>
            <w:noWrap/>
            <w:vAlign w:val="center"/>
            <w:hideMark/>
          </w:tcPr>
          <w:p w:rsidR="00B86F0E" w:rsidRPr="00476D66" w:rsidRDefault="00B86F0E" w:rsidP="005F3070">
            <w:pPr>
              <w:spacing w:before="0" w:after="0"/>
              <w:jc w:val="left"/>
              <w:rPr>
                <w:rFonts w:ascii="Arial Narrow" w:eastAsia="Times New Roman" w:hAnsi="Arial Narrow" w:cs="Arial"/>
                <w:b/>
                <w:bCs/>
                <w:sz w:val="20"/>
                <w:szCs w:val="20"/>
              </w:rPr>
            </w:pPr>
            <w:r w:rsidRPr="00476D66">
              <w:rPr>
                <w:rFonts w:ascii="Arial Narrow" w:eastAsia="Times New Roman" w:hAnsi="Arial Narrow" w:cs="Arial"/>
                <w:b/>
                <w:bCs/>
                <w:sz w:val="20"/>
                <w:szCs w:val="20"/>
              </w:rPr>
              <w:t>Te ardhura Jotatimore</w:t>
            </w:r>
          </w:p>
        </w:tc>
        <w:tc>
          <w:tcPr>
            <w:tcW w:w="896" w:type="dxa"/>
            <w:tcBorders>
              <w:top w:val="nil"/>
              <w:left w:val="nil"/>
              <w:bottom w:val="single" w:sz="4" w:space="0" w:color="C0C0C0"/>
              <w:right w:val="single" w:sz="4" w:space="0" w:color="C0C0C0"/>
            </w:tcBorders>
            <w:shd w:val="clear" w:color="auto" w:fill="auto"/>
            <w:noWrap/>
            <w:vAlign w:val="center"/>
            <w:hideMark/>
          </w:tcPr>
          <w:p w:rsidR="00B86F0E" w:rsidRPr="00476D66" w:rsidRDefault="00B86F0E" w:rsidP="005F3070">
            <w:pPr>
              <w:spacing w:before="0" w:after="0"/>
              <w:jc w:val="right"/>
              <w:rPr>
                <w:rFonts w:ascii="Arial Narrow" w:eastAsia="Times New Roman" w:hAnsi="Arial Narrow" w:cs="Arial"/>
                <w:b/>
                <w:bCs/>
                <w:sz w:val="20"/>
                <w:szCs w:val="20"/>
              </w:rPr>
            </w:pPr>
            <w:r w:rsidRPr="00476D66">
              <w:rPr>
                <w:rFonts w:ascii="Arial Narrow" w:eastAsia="Times New Roman" w:hAnsi="Arial Narrow" w:cs="Arial"/>
                <w:b/>
                <w:bCs/>
                <w:sz w:val="20"/>
                <w:szCs w:val="20"/>
              </w:rPr>
              <w:t>6,956</w:t>
            </w:r>
          </w:p>
        </w:tc>
        <w:tc>
          <w:tcPr>
            <w:tcW w:w="896" w:type="dxa"/>
            <w:tcBorders>
              <w:top w:val="nil"/>
              <w:left w:val="nil"/>
              <w:bottom w:val="single" w:sz="4" w:space="0" w:color="C0C0C0"/>
              <w:right w:val="single" w:sz="4" w:space="0" w:color="C0C0C0"/>
            </w:tcBorders>
            <w:shd w:val="clear" w:color="auto" w:fill="auto"/>
            <w:noWrap/>
            <w:vAlign w:val="center"/>
            <w:hideMark/>
          </w:tcPr>
          <w:p w:rsidR="00B86F0E" w:rsidRPr="00476D66" w:rsidRDefault="00B86F0E" w:rsidP="005F3070">
            <w:pPr>
              <w:spacing w:before="0" w:after="0"/>
              <w:jc w:val="right"/>
              <w:rPr>
                <w:rFonts w:ascii="Arial Narrow" w:eastAsia="Times New Roman" w:hAnsi="Arial Narrow" w:cs="Arial"/>
                <w:b/>
                <w:bCs/>
                <w:sz w:val="20"/>
                <w:szCs w:val="20"/>
              </w:rPr>
            </w:pPr>
            <w:r w:rsidRPr="00476D66">
              <w:rPr>
                <w:rFonts w:ascii="Arial Narrow" w:eastAsia="Times New Roman" w:hAnsi="Arial Narrow" w:cs="Arial"/>
                <w:b/>
                <w:bCs/>
                <w:sz w:val="20"/>
                <w:szCs w:val="20"/>
              </w:rPr>
              <w:t>12,988</w:t>
            </w:r>
          </w:p>
        </w:tc>
        <w:tc>
          <w:tcPr>
            <w:tcW w:w="896" w:type="dxa"/>
            <w:tcBorders>
              <w:top w:val="nil"/>
              <w:left w:val="nil"/>
              <w:bottom w:val="single" w:sz="4" w:space="0" w:color="C0C0C0"/>
              <w:right w:val="nil"/>
            </w:tcBorders>
            <w:shd w:val="clear" w:color="auto" w:fill="auto"/>
            <w:noWrap/>
            <w:vAlign w:val="center"/>
            <w:hideMark/>
          </w:tcPr>
          <w:p w:rsidR="00B86F0E" w:rsidRPr="00476D66" w:rsidRDefault="00B86F0E" w:rsidP="005F3070">
            <w:pPr>
              <w:spacing w:before="0" w:after="0"/>
              <w:jc w:val="right"/>
              <w:rPr>
                <w:rFonts w:ascii="Arial Narrow" w:eastAsia="Times New Roman" w:hAnsi="Arial Narrow" w:cs="Arial"/>
                <w:b/>
                <w:bCs/>
                <w:sz w:val="20"/>
                <w:szCs w:val="20"/>
              </w:rPr>
            </w:pPr>
            <w:r w:rsidRPr="00476D66">
              <w:rPr>
                <w:rFonts w:ascii="Arial Narrow" w:eastAsia="Times New Roman" w:hAnsi="Arial Narrow" w:cs="Arial"/>
                <w:b/>
                <w:bCs/>
                <w:sz w:val="20"/>
                <w:szCs w:val="20"/>
              </w:rPr>
              <w:t>8,457</w:t>
            </w:r>
          </w:p>
        </w:tc>
        <w:tc>
          <w:tcPr>
            <w:tcW w:w="896" w:type="dxa"/>
            <w:tcBorders>
              <w:top w:val="nil"/>
              <w:left w:val="single" w:sz="4" w:space="0" w:color="C0C0C0"/>
              <w:bottom w:val="single" w:sz="4" w:space="0" w:color="C0C0C0"/>
              <w:right w:val="nil"/>
            </w:tcBorders>
            <w:shd w:val="clear" w:color="auto" w:fill="auto"/>
            <w:noWrap/>
            <w:vAlign w:val="center"/>
            <w:hideMark/>
          </w:tcPr>
          <w:p w:rsidR="00B86F0E" w:rsidRPr="00476D66" w:rsidRDefault="00B86F0E" w:rsidP="005F3070">
            <w:pPr>
              <w:spacing w:before="0" w:after="0"/>
              <w:jc w:val="right"/>
              <w:rPr>
                <w:rFonts w:ascii="Arial Narrow" w:eastAsia="Times New Roman" w:hAnsi="Arial Narrow" w:cs="Arial"/>
                <w:b/>
                <w:bCs/>
                <w:sz w:val="20"/>
                <w:szCs w:val="20"/>
              </w:rPr>
            </w:pPr>
            <w:r w:rsidRPr="00476D66">
              <w:rPr>
                <w:rFonts w:ascii="Arial Narrow" w:eastAsia="Times New Roman" w:hAnsi="Arial Narrow" w:cs="Arial"/>
                <w:b/>
                <w:bCs/>
                <w:sz w:val="20"/>
                <w:szCs w:val="20"/>
              </w:rPr>
              <w:t>8,056</w:t>
            </w:r>
          </w:p>
        </w:tc>
        <w:tc>
          <w:tcPr>
            <w:tcW w:w="896" w:type="dxa"/>
            <w:tcBorders>
              <w:top w:val="nil"/>
              <w:left w:val="single" w:sz="4" w:space="0" w:color="C0C0C0"/>
              <w:bottom w:val="single" w:sz="4" w:space="0" w:color="C0C0C0"/>
              <w:right w:val="nil"/>
            </w:tcBorders>
            <w:shd w:val="clear" w:color="auto" w:fill="auto"/>
            <w:noWrap/>
            <w:vAlign w:val="center"/>
            <w:hideMark/>
          </w:tcPr>
          <w:p w:rsidR="00B86F0E" w:rsidRPr="00476D66" w:rsidRDefault="00B86F0E" w:rsidP="005F3070">
            <w:pPr>
              <w:spacing w:before="0" w:after="0"/>
              <w:jc w:val="right"/>
              <w:rPr>
                <w:rFonts w:ascii="Arial Narrow" w:eastAsia="Times New Roman" w:hAnsi="Arial Narrow" w:cs="Arial"/>
                <w:b/>
                <w:bCs/>
                <w:sz w:val="20"/>
                <w:szCs w:val="20"/>
              </w:rPr>
            </w:pPr>
            <w:r w:rsidRPr="00476D66">
              <w:rPr>
                <w:rFonts w:ascii="Arial Narrow" w:eastAsia="Times New Roman" w:hAnsi="Arial Narrow" w:cs="Arial"/>
                <w:b/>
                <w:bCs/>
                <w:sz w:val="20"/>
                <w:szCs w:val="20"/>
              </w:rPr>
              <w:t>10,523</w:t>
            </w:r>
          </w:p>
        </w:tc>
      </w:tr>
    </w:tbl>
    <w:p w:rsidR="00B86F0E" w:rsidRPr="000920A5" w:rsidRDefault="00B86F0E" w:rsidP="00B86F0E">
      <w:pPr>
        <w:rPr>
          <w:i/>
          <w:iCs/>
          <w:sz w:val="20"/>
          <w:szCs w:val="20"/>
          <w:lang w:val="es-ES_tradnl"/>
        </w:rPr>
      </w:pPr>
      <w:r w:rsidRPr="000920A5">
        <w:rPr>
          <w:i/>
          <w:iCs/>
          <w:sz w:val="20"/>
          <w:szCs w:val="20"/>
          <w:lang w:val="es-ES_tradnl"/>
        </w:rPr>
        <w:t>Burimi: Ministria e Financave</w:t>
      </w:r>
    </w:p>
    <w:p w:rsidR="00552D26" w:rsidRDefault="00552D26" w:rsidP="00B86F0E">
      <w:pPr>
        <w:rPr>
          <w:noProof/>
          <w:lang w:val="es-ES_tradnl"/>
        </w:rPr>
      </w:pPr>
    </w:p>
    <w:p w:rsidR="00B86F0E" w:rsidRPr="004824B5" w:rsidRDefault="00B86F0E" w:rsidP="00B86F0E">
      <w:pPr>
        <w:rPr>
          <w:rFonts w:cs="Times New Roman"/>
          <w:highlight w:val="yellow"/>
        </w:rPr>
      </w:pPr>
      <w:r w:rsidRPr="000920A5">
        <w:rPr>
          <w:noProof/>
          <w:lang w:val="es-ES_tradnl"/>
        </w:rPr>
        <w:t xml:space="preserve">Sipas agjencive të mbledhjes, administrata doganore ka mbledhur 39.5 miliardë lekë, -8 përqind më pak </w:t>
      </w:r>
      <w:r w:rsidRPr="00185251">
        <w:rPr>
          <w:noProof/>
          <w:lang w:val="es-ES_tradnl"/>
        </w:rPr>
        <w:t xml:space="preserve">se </w:t>
      </w:r>
      <w:r w:rsidRPr="00962487">
        <w:rPr>
          <w:noProof/>
          <w:lang w:val="es-ES_tradnl"/>
        </w:rPr>
        <w:t>parashikimi për 2013, dhe 2.6 miliarde leke me shume se nje vit, me rritje pothuajse 7.2 perqind. Sipas zërave të të ardhurave që mbledhin doganat, dy zerat me rritje jane akciza dhe renta minerare në eksport, që jane rritur mbi baza vjetore perkatesisht 66.6 dhe 33.9 përqind, kryesisht si pasojë e rritjes së eksporteve të burimeve natyrore. Të ardhurat nga TVSH në import janë -6.1 përqind me pak ose 1.7 miliarde leke më të ulëta se një vit më parë dhe -9.5 përqind më pak se parashikimi për periudhën 4 mujore</w:t>
      </w:r>
      <w:r w:rsidRPr="00962487">
        <w:t xml:space="preserve">. </w:t>
      </w:r>
    </w:p>
    <w:p w:rsidR="00B86F0E" w:rsidRPr="004824B5" w:rsidRDefault="00B86F0E" w:rsidP="00B86F0E">
      <w:pPr>
        <w:jc w:val="center"/>
        <w:rPr>
          <w:rFonts w:cs="Times New Roman"/>
          <w:noProof/>
          <w:highlight w:val="yellow"/>
        </w:rPr>
      </w:pPr>
    </w:p>
    <w:p w:rsidR="00B86F0E" w:rsidRDefault="00B86F0E" w:rsidP="00B86F0E">
      <w:pPr>
        <w:rPr>
          <w:noProof/>
        </w:rPr>
      </w:pPr>
      <w:r w:rsidRPr="00962487">
        <w:rPr>
          <w:noProof/>
        </w:rPr>
        <w:t xml:space="preserve">Administrata tatimore ka mbledhur (përfshirë kontributet) 48.9 miliardë lekë, që do të thotë -8.7 përqind më pak të ardhura se 4 mujori i vitit 2012 ose -4.6 miliardë lekë më pak (përfshirë dhe kontributet). Totali i të ardhurave tatimore (pa përfshirë kontributet) ishte për periudhën rreth 30 miliardë lekë, duke patur një rënie prej -14.5 përqind krahasuar me të </w:t>
      </w:r>
      <w:r w:rsidRPr="00962487">
        <w:rPr>
          <w:noProof/>
        </w:rPr>
        <w:lastRenderedPageBreak/>
        <w:t xml:space="preserve">njëjtën periudhë të një viti më parë dhe një mosrealizim të planit në masën -5 përqind, ndërsa të ardhurat nga kontributet janë rritur me 2.5 përqind mbi baza vjetore. Ecuri pozitive kane Tatim Fitimi dhe Tatimi mbi të ardhurat personale qe kane pësuar rritje prej 1.6 dhe 8.2 përqind në krahasim me të njëjtën periudhë të një viti më parë; mbledhja e taksave nacionale për këtë periudhë krahasuar me një vit më parë paraqitet me renie të tyre në masën -15.3 përqind, ndërsa TVSH ka pasur një rënie prej -5.7 % mbi baza vjetore; </w:t>
      </w:r>
    </w:p>
    <w:p w:rsidR="00B86F0E" w:rsidRPr="004824B5" w:rsidRDefault="00B86F0E" w:rsidP="00B86F0E">
      <w:pPr>
        <w:jc w:val="center"/>
        <w:rPr>
          <w:rFonts w:cs="Times New Roman"/>
          <w:highlight w:val="yellow"/>
          <w:lang w:val="fr-FR"/>
        </w:rPr>
      </w:pPr>
    </w:p>
    <w:p w:rsidR="00B86F0E" w:rsidRPr="00B86F0E" w:rsidRDefault="00B86F0E" w:rsidP="00B86F0E">
      <w:pPr>
        <w:pStyle w:val="Heading2"/>
        <w:spacing w:before="120" w:after="120"/>
        <w:ind w:left="576" w:hanging="576"/>
        <w:rPr>
          <w:rFonts w:ascii="Calibri" w:hAnsi="Calibri" w:cs="Calibri"/>
          <w:noProof/>
          <w:color w:val="auto"/>
          <w:sz w:val="24"/>
          <w:szCs w:val="24"/>
        </w:rPr>
      </w:pPr>
      <w:bookmarkStart w:id="7" w:name="_Toc339363683"/>
      <w:bookmarkStart w:id="8" w:name="_Toc353453836"/>
      <w:r w:rsidRPr="00B86F0E">
        <w:rPr>
          <w:rFonts w:ascii="Calibri" w:hAnsi="Calibri" w:cs="Calibri"/>
          <w:noProof/>
          <w:color w:val="auto"/>
          <w:sz w:val="24"/>
          <w:szCs w:val="24"/>
        </w:rPr>
        <w:t>Të ardhurat sipas taksave, tatimeve dhe burimeve të tjera</w:t>
      </w:r>
      <w:bookmarkEnd w:id="7"/>
      <w:bookmarkEnd w:id="8"/>
    </w:p>
    <w:p w:rsidR="00B86F0E" w:rsidRPr="00B86F0E" w:rsidRDefault="00B86F0E" w:rsidP="00B86F0E">
      <w:pPr>
        <w:pStyle w:val="Heading2"/>
        <w:spacing w:before="120" w:after="120"/>
        <w:ind w:left="576" w:hanging="576"/>
        <w:rPr>
          <w:rFonts w:ascii="Calibri" w:hAnsi="Calibri" w:cs="Calibri"/>
          <w:noProof/>
          <w:color w:val="auto"/>
          <w:sz w:val="24"/>
          <w:szCs w:val="24"/>
        </w:rPr>
      </w:pPr>
      <w:bookmarkStart w:id="9" w:name="_Toc339363684"/>
      <w:bookmarkStart w:id="10" w:name="_Toc353453837"/>
      <w:r w:rsidRPr="00B86F0E">
        <w:rPr>
          <w:rFonts w:ascii="Calibri" w:hAnsi="Calibri" w:cs="Calibri"/>
          <w:noProof/>
          <w:color w:val="auto"/>
          <w:sz w:val="24"/>
          <w:szCs w:val="24"/>
        </w:rPr>
        <w:t>Taksimi i konsumit (indirekt)</w:t>
      </w:r>
      <w:bookmarkEnd w:id="9"/>
      <w:bookmarkEnd w:id="10"/>
      <w:r w:rsidR="005146E3" w:rsidRPr="00B86F0E">
        <w:rPr>
          <w:rFonts w:ascii="Calibri" w:hAnsi="Calibri" w:cs="Calibri"/>
          <w:noProof/>
          <w:color w:val="auto"/>
          <w:sz w:val="24"/>
          <w:szCs w:val="24"/>
        </w:rPr>
        <w:fldChar w:fldCharType="begin"/>
      </w:r>
      <w:r w:rsidRPr="00B86F0E">
        <w:rPr>
          <w:rFonts w:ascii="Calibri" w:hAnsi="Calibri" w:cs="Times New Roman"/>
          <w:color w:val="auto"/>
          <w:sz w:val="24"/>
          <w:szCs w:val="24"/>
        </w:rPr>
        <w:instrText>tc "</w:instrText>
      </w:r>
      <w:bookmarkStart w:id="11" w:name="_Toc314487251"/>
      <w:r w:rsidRPr="00B86F0E">
        <w:rPr>
          <w:rFonts w:ascii="Calibri" w:hAnsi="Calibri" w:cs="Calibri"/>
          <w:noProof/>
          <w:color w:val="auto"/>
          <w:sz w:val="24"/>
          <w:szCs w:val="24"/>
        </w:rPr>
        <w:instrText>Taksimi i konsumit (indirekt)</w:instrText>
      </w:r>
      <w:bookmarkEnd w:id="11"/>
      <w:r w:rsidRPr="00B86F0E">
        <w:rPr>
          <w:rFonts w:ascii="Calibri" w:hAnsi="Calibri" w:cs="Calibri"/>
          <w:color w:val="auto"/>
          <w:sz w:val="24"/>
          <w:szCs w:val="24"/>
        </w:rPr>
        <w:instrText>" \f C \l 00000002</w:instrText>
      </w:r>
      <w:r w:rsidR="005146E3" w:rsidRPr="00B86F0E">
        <w:rPr>
          <w:rFonts w:ascii="Calibri" w:hAnsi="Calibri" w:cs="Calibri"/>
          <w:noProof/>
          <w:color w:val="auto"/>
          <w:sz w:val="24"/>
          <w:szCs w:val="24"/>
        </w:rPr>
        <w:fldChar w:fldCharType="end"/>
      </w:r>
    </w:p>
    <w:p w:rsidR="00B86F0E" w:rsidRPr="006871FF" w:rsidRDefault="00B86F0E" w:rsidP="00B86F0E">
      <w:pPr>
        <w:jc w:val="left"/>
        <w:rPr>
          <w:rFonts w:cs="Times New Roman"/>
          <w:b/>
          <w:bCs/>
          <w:lang w:val="es-ES_tradnl"/>
        </w:rPr>
      </w:pPr>
      <w:r w:rsidRPr="006871FF">
        <w:rPr>
          <w:b/>
          <w:bCs/>
          <w:lang w:val="es-ES_tradnl"/>
        </w:rPr>
        <w:t>Tatimi mbi Vleren e Shtuar</w:t>
      </w:r>
    </w:p>
    <w:p w:rsidR="00B86F0E" w:rsidRPr="006871FF" w:rsidRDefault="00B86F0E" w:rsidP="00B86F0E">
      <w:pPr>
        <w:jc w:val="left"/>
        <w:rPr>
          <w:rFonts w:cs="Times New Roman"/>
          <w:lang w:val="sq-AL"/>
        </w:rPr>
      </w:pPr>
      <w:r w:rsidRPr="006871FF">
        <w:rPr>
          <w:lang w:val="es-ES_tradnl"/>
        </w:rPr>
        <w:t>Nga Tatimi mbi Vlerën e Shtuar janë mbledhur gjithsej për 4 mujorin 33.2 miliardë lekë ose -6 përqind më pak se një vit më parë dhe -9.9 përqind më pak se parashikimi për vitin 2013</w:t>
      </w:r>
      <w:r w:rsidRPr="006871FF">
        <w:rPr>
          <w:lang w:val="sq-AL"/>
        </w:rPr>
        <w:t xml:space="preserve">. </w:t>
      </w:r>
    </w:p>
    <w:p w:rsidR="00B86F0E" w:rsidRDefault="00B86F0E" w:rsidP="00B86F0E">
      <w:pPr>
        <w:rPr>
          <w:highlight w:val="yellow"/>
          <w:lang w:val="sq-AL"/>
        </w:rPr>
      </w:pPr>
      <w:r w:rsidRPr="006871FF">
        <w:rPr>
          <w:lang w:val="es-ES_tradnl"/>
        </w:rPr>
        <w:t>Te ardhurat e mbledhura nga importet ishin nen nivelin,</w:t>
      </w:r>
      <w:r w:rsidRPr="006871FF">
        <w:rPr>
          <w:b/>
          <w:bCs/>
          <w:i/>
          <w:iCs/>
          <w:lang w:val="es-ES_tradnl"/>
        </w:rPr>
        <w:t xml:space="preserve"> </w:t>
      </w:r>
      <w:r w:rsidRPr="006871FF">
        <w:rPr>
          <w:lang w:val="sq-AL"/>
        </w:rPr>
        <w:t xml:space="preserve">25.7 miliardë lekë TVSH nga 27.3 miliarde te planifikuara. Për këtë periudhë, të ardhurat nga TVSH-ja në doganë përbëjnë rreth 77.4 përqind të të ardhurave gjithsej nga TVSH-ja. Ndërsa krahasuar me të njëtën periudhë të vitit të kaluar ato rezultojnë të jenë 1.7 miliardë lekë më pak ose -6.1 përqind. Për muajin prill TVSH në doganë ka një mosrealizim prej -0.2 miliarde leke lekë ose -10.1 përqind më pak se parashikimi mujor. </w:t>
      </w:r>
    </w:p>
    <w:p w:rsidR="003E22F0" w:rsidRDefault="00B86F0E" w:rsidP="00B86F0E">
      <w:pPr>
        <w:rPr>
          <w:lang w:val="da-DK"/>
        </w:rPr>
      </w:pPr>
      <w:r w:rsidRPr="006871FF">
        <w:rPr>
          <w:lang w:val="da-DK"/>
        </w:rPr>
        <w:t xml:space="preserve">Te ardhurat e mbledhura mbi furnizimet e brendshme jane 7.5 miliardë lekë TVSH per periudhen janar-prill, me renie vjetore ne nivelin -5.7 përqind. </w:t>
      </w:r>
      <w:r w:rsidRPr="006871FF">
        <w:rPr>
          <w:noProof/>
          <w:lang w:val="da-DK"/>
        </w:rPr>
        <w:t>Rimbursimi i TVSH-së për periudhën 4 mujore nga tatimet dhe doganat ka arritur 2</w:t>
      </w:r>
      <w:r w:rsidR="003E22F0">
        <w:rPr>
          <w:noProof/>
          <w:lang w:val="da-DK"/>
        </w:rPr>
        <w:t>.8</w:t>
      </w:r>
      <w:r w:rsidRPr="006871FF">
        <w:rPr>
          <w:noProof/>
          <w:lang w:val="da-DK"/>
        </w:rPr>
        <w:t xml:space="preserve"> miliardë lekë me një rritje vjetore prej </w:t>
      </w:r>
      <w:r w:rsidR="003E22F0">
        <w:rPr>
          <w:noProof/>
          <w:lang w:val="da-DK"/>
        </w:rPr>
        <w:t>36 perqind</w:t>
      </w:r>
      <w:r w:rsidRPr="006871FF">
        <w:rPr>
          <w:lang w:val="da-DK"/>
        </w:rPr>
        <w:t xml:space="preserve"> </w:t>
      </w:r>
    </w:p>
    <w:p w:rsidR="00B86F0E" w:rsidRPr="006871FF" w:rsidRDefault="003E22F0" w:rsidP="00B86F0E">
      <w:pPr>
        <w:rPr>
          <w:lang w:val="da-DK"/>
        </w:rPr>
      </w:pPr>
      <w:r>
        <w:rPr>
          <w:lang w:val="da-DK"/>
        </w:rPr>
        <w:t xml:space="preserve">Nga te dhenat e Drejtorise se Pergjithshme te Doganave rezulton se nga fillimi i aplikimit te perjashtimit nga TVSH te makinerive dhe pajisjeve bazuar ne ligjin </w:t>
      </w:r>
      <w:r w:rsidR="002E65B1">
        <w:rPr>
          <w:lang w:val="da-DK"/>
        </w:rPr>
        <w:t xml:space="preserve">125/2012 rezulton nje shume TVSH e perjashtuar prej 66.8 milione leke. Gjithsesi kjo shifer i referohet periudhes kohore 19 Prill deri ne 31 Maj 2013. </w:t>
      </w:r>
    </w:p>
    <w:p w:rsidR="00B86F0E" w:rsidRDefault="00B86F0E" w:rsidP="00B86F0E">
      <w:pPr>
        <w:rPr>
          <w:lang w:val="da-DK"/>
        </w:rPr>
      </w:pPr>
      <w:r w:rsidRPr="006871FF">
        <w:rPr>
          <w:lang w:val="da-DK"/>
        </w:rPr>
        <w:t xml:space="preserve">Në strukturën e të ardhurave tatimore që mbledhin tatimet, vihet re </w:t>
      </w:r>
      <w:r>
        <w:rPr>
          <w:lang w:val="da-DK"/>
        </w:rPr>
        <w:t>mos ndryshimi i</w:t>
      </w:r>
      <w:r w:rsidRPr="006871FF">
        <w:rPr>
          <w:lang w:val="da-DK"/>
        </w:rPr>
        <w:t xml:space="preserve"> peshës specifike të TVSH-së ndaj totalit, </w:t>
      </w:r>
      <w:r>
        <w:rPr>
          <w:lang w:val="da-DK"/>
        </w:rPr>
        <w:t>ne</w:t>
      </w:r>
      <w:r w:rsidRPr="006871FF">
        <w:rPr>
          <w:lang w:val="da-DK"/>
        </w:rPr>
        <w:t xml:space="preserve"> 22.6 përqind në 4 mujorin 2012</w:t>
      </w:r>
      <w:r>
        <w:rPr>
          <w:lang w:val="da-DK"/>
        </w:rPr>
        <w:t xml:space="preserve"> dhe 2013.</w:t>
      </w:r>
      <w:r w:rsidRPr="006871FF">
        <w:rPr>
          <w:lang w:val="da-DK"/>
        </w:rPr>
        <w:t xml:space="preserve"> </w:t>
      </w:r>
    </w:p>
    <w:p w:rsidR="003E22F0" w:rsidRDefault="003E22F0" w:rsidP="00B86F0E">
      <w:pPr>
        <w:rPr>
          <w:lang w:val="da-DK"/>
        </w:rPr>
      </w:pPr>
      <w:r w:rsidRPr="003E22F0">
        <w:rPr>
          <w:noProof/>
        </w:rPr>
        <w:drawing>
          <wp:inline distT="0" distB="0" distL="0" distR="0">
            <wp:extent cx="5840095" cy="2242820"/>
            <wp:effectExtent l="19050" t="0" r="825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840095" cy="2242820"/>
                    </a:xfrm>
                    <a:prstGeom prst="rect">
                      <a:avLst/>
                    </a:prstGeom>
                    <a:noFill/>
                    <a:ln w="9525">
                      <a:noFill/>
                      <a:miter lim="800000"/>
                      <a:headEnd/>
                      <a:tailEnd/>
                    </a:ln>
                  </pic:spPr>
                </pic:pic>
              </a:graphicData>
            </a:graphic>
          </wp:inline>
        </w:drawing>
      </w:r>
    </w:p>
    <w:p w:rsidR="003E22F0" w:rsidRDefault="003E22F0" w:rsidP="00B86F0E">
      <w:pPr>
        <w:rPr>
          <w:lang w:val="da-DK"/>
        </w:rPr>
      </w:pPr>
    </w:p>
    <w:p w:rsidR="00552D26" w:rsidRDefault="00552D26" w:rsidP="00B86F0E">
      <w:pPr>
        <w:rPr>
          <w:lang w:val="da-DK"/>
        </w:rPr>
      </w:pPr>
    </w:p>
    <w:p w:rsidR="000672E0" w:rsidRDefault="000672E0" w:rsidP="00B86F0E">
      <w:pPr>
        <w:rPr>
          <w:b/>
          <w:bCs/>
          <w:lang w:val="es-ES_tradnl"/>
        </w:rPr>
      </w:pPr>
    </w:p>
    <w:p w:rsidR="00B86F0E" w:rsidRPr="00093F24" w:rsidRDefault="00B86F0E" w:rsidP="00B86F0E">
      <w:pPr>
        <w:rPr>
          <w:rFonts w:cs="Times New Roman"/>
          <w:b/>
          <w:bCs/>
          <w:lang w:val="es-ES_tradnl"/>
        </w:rPr>
      </w:pPr>
      <w:r w:rsidRPr="00093F24">
        <w:rPr>
          <w:b/>
          <w:bCs/>
          <w:lang w:val="es-ES_tradnl"/>
        </w:rPr>
        <w:t>Akcizat</w:t>
      </w:r>
    </w:p>
    <w:p w:rsidR="00B86F0E" w:rsidRDefault="00B86F0E" w:rsidP="00B86F0E">
      <w:pPr>
        <w:rPr>
          <w:lang w:val="es-ES_tradnl"/>
        </w:rPr>
      </w:pPr>
      <w:r w:rsidRPr="00093F24">
        <w:rPr>
          <w:lang w:val="es-ES_tradnl"/>
        </w:rPr>
        <w:t xml:space="preserve">Të ardhurat gjithsej nga Akciza për periudhën Janar – Prill arritën në rreth 9.8 miliardë lekë; krahasuar me të njëjtën periudhë të vitit 2012, të ardhurat nga kjo taksë kanë rënë në masën -5 përqind. </w:t>
      </w:r>
    </w:p>
    <w:p w:rsidR="00177A81" w:rsidRDefault="00177A81" w:rsidP="00B86F0E">
      <w:pPr>
        <w:rPr>
          <w:lang w:val="es-ES_tradnl"/>
        </w:rPr>
      </w:pPr>
      <w:r>
        <w:rPr>
          <w:lang w:val="es-ES_tradnl"/>
        </w:rPr>
        <w:t>Ne tabelen ne vijim paraqitet situata e mbledhjes se te ardhurave nga Akciza sipas grup mallrave kryesore dhe krahasimi me katermujorin e nje viti me pare (ne milione leke).</w:t>
      </w:r>
    </w:p>
    <w:tbl>
      <w:tblPr>
        <w:tblStyle w:val="TableColumns5"/>
        <w:tblW w:w="0" w:type="auto"/>
        <w:tblLook w:val="04A0"/>
      </w:tblPr>
      <w:tblGrid>
        <w:gridCol w:w="1433"/>
        <w:gridCol w:w="919"/>
        <w:gridCol w:w="919"/>
        <w:gridCol w:w="1465"/>
      </w:tblGrid>
      <w:tr w:rsidR="00177A81" w:rsidRPr="00094CD9" w:rsidTr="001C7DCE">
        <w:trPr>
          <w:cnfStyle w:val="100000000000"/>
        </w:trPr>
        <w:tc>
          <w:tcPr>
            <w:cnfStyle w:val="001000000000"/>
            <w:tcW w:w="0" w:type="auto"/>
          </w:tcPr>
          <w:p w:rsidR="00177A81" w:rsidRPr="0003300C" w:rsidRDefault="00177A81" w:rsidP="001C7DCE">
            <w:pPr>
              <w:spacing w:before="0" w:after="0"/>
              <w:contextualSpacing/>
              <w:jc w:val="left"/>
              <w:rPr>
                <w:bCs w:val="0"/>
                <w:i w:val="0"/>
                <w:iCs w:val="0"/>
              </w:rPr>
            </w:pPr>
            <w:r>
              <w:rPr>
                <w:bCs w:val="0"/>
                <w:i w:val="0"/>
                <w:iCs w:val="0"/>
              </w:rPr>
              <w:t>Emertimi</w:t>
            </w:r>
          </w:p>
        </w:tc>
        <w:tc>
          <w:tcPr>
            <w:tcW w:w="0" w:type="auto"/>
          </w:tcPr>
          <w:p w:rsidR="00177A81" w:rsidRPr="00183E30" w:rsidRDefault="00177A81" w:rsidP="001C7DCE">
            <w:pPr>
              <w:spacing w:after="0"/>
              <w:contextualSpacing/>
              <w:cnfStyle w:val="100000000000"/>
              <w:rPr>
                <w:bCs w:val="0"/>
                <w:i w:val="0"/>
                <w:iCs w:val="0"/>
              </w:rPr>
            </w:pPr>
            <w:r w:rsidRPr="00183E30">
              <w:rPr>
                <w:bCs w:val="0"/>
                <w:i w:val="0"/>
                <w:iCs w:val="0"/>
              </w:rPr>
              <w:t>2012q1</w:t>
            </w:r>
          </w:p>
        </w:tc>
        <w:tc>
          <w:tcPr>
            <w:tcW w:w="0" w:type="auto"/>
          </w:tcPr>
          <w:p w:rsidR="00177A81" w:rsidRPr="00183E30" w:rsidRDefault="00177A81" w:rsidP="001C7DCE">
            <w:pPr>
              <w:spacing w:after="0"/>
              <w:contextualSpacing/>
              <w:cnfStyle w:val="100000000000"/>
              <w:rPr>
                <w:bCs w:val="0"/>
                <w:i w:val="0"/>
                <w:iCs w:val="0"/>
              </w:rPr>
            </w:pPr>
            <w:r w:rsidRPr="00183E30">
              <w:rPr>
                <w:bCs w:val="0"/>
                <w:i w:val="0"/>
                <w:iCs w:val="0"/>
              </w:rPr>
              <w:t>2013q1</w:t>
            </w:r>
          </w:p>
        </w:tc>
        <w:tc>
          <w:tcPr>
            <w:tcW w:w="0" w:type="auto"/>
          </w:tcPr>
          <w:p w:rsidR="00177A81" w:rsidRPr="0003300C" w:rsidRDefault="00177A81" w:rsidP="001C7DCE">
            <w:pPr>
              <w:spacing w:before="0" w:after="0"/>
              <w:contextualSpacing/>
              <w:jc w:val="left"/>
              <w:cnfStyle w:val="100000000000"/>
              <w:rPr>
                <w:bCs w:val="0"/>
                <w:i w:val="0"/>
                <w:iCs w:val="0"/>
              </w:rPr>
            </w:pPr>
            <w:r>
              <w:rPr>
                <w:bCs w:val="0"/>
                <w:i w:val="0"/>
                <w:iCs w:val="0"/>
              </w:rPr>
              <w:t>Diferenca (%)</w:t>
            </w:r>
          </w:p>
        </w:tc>
      </w:tr>
      <w:tr w:rsidR="00177A81" w:rsidRPr="00094CD9" w:rsidTr="001C7DCE">
        <w:tc>
          <w:tcPr>
            <w:cnfStyle w:val="001000000000"/>
            <w:tcW w:w="0" w:type="auto"/>
            <w:vAlign w:val="center"/>
          </w:tcPr>
          <w:p w:rsidR="00177A81" w:rsidRPr="003829A6" w:rsidRDefault="00177A81" w:rsidP="001C7DCE">
            <w:pPr>
              <w:spacing w:before="0" w:after="0"/>
              <w:jc w:val="left"/>
              <w:rPr>
                <w:b w:val="0"/>
                <w:color w:val="000000"/>
              </w:rPr>
            </w:pPr>
            <w:r w:rsidRPr="003829A6">
              <w:rPr>
                <w:b w:val="0"/>
                <w:color w:val="000000"/>
              </w:rPr>
              <w:t xml:space="preserve">Karburantet </w:t>
            </w:r>
          </w:p>
        </w:tc>
        <w:tc>
          <w:tcPr>
            <w:tcW w:w="0" w:type="auto"/>
          </w:tcPr>
          <w:p w:rsidR="00177A81" w:rsidRPr="003829A6" w:rsidRDefault="00177A81" w:rsidP="001C7DCE">
            <w:pPr>
              <w:spacing w:before="0" w:after="0"/>
              <w:contextualSpacing/>
              <w:jc w:val="left"/>
              <w:cnfStyle w:val="000000000000"/>
              <w:rPr>
                <w:rFonts w:cs="Arial"/>
              </w:rPr>
            </w:pPr>
            <w:r>
              <w:rPr>
                <w:rFonts w:cs="Arial"/>
              </w:rPr>
              <w:t>4,836</w:t>
            </w:r>
          </w:p>
        </w:tc>
        <w:tc>
          <w:tcPr>
            <w:tcW w:w="0" w:type="auto"/>
          </w:tcPr>
          <w:p w:rsidR="00177A81" w:rsidRPr="003829A6" w:rsidRDefault="00287C2F" w:rsidP="001C7DCE">
            <w:pPr>
              <w:spacing w:before="0" w:after="0"/>
              <w:contextualSpacing/>
              <w:jc w:val="left"/>
              <w:cnfStyle w:val="000000000000"/>
              <w:rPr>
                <w:rFonts w:cs="Arial"/>
              </w:rPr>
            </w:pPr>
            <w:r>
              <w:rPr>
                <w:rFonts w:cs="Arial"/>
              </w:rPr>
              <w:t>6,747</w:t>
            </w:r>
          </w:p>
        </w:tc>
        <w:tc>
          <w:tcPr>
            <w:tcW w:w="0" w:type="auto"/>
          </w:tcPr>
          <w:p w:rsidR="00177A81" w:rsidRPr="003829A6" w:rsidRDefault="00287C2F" w:rsidP="001C7DCE">
            <w:pPr>
              <w:spacing w:before="0" w:after="0"/>
              <w:contextualSpacing/>
              <w:jc w:val="left"/>
              <w:cnfStyle w:val="000000000000"/>
              <w:rPr>
                <w:rFonts w:cs="Arial"/>
              </w:rPr>
            </w:pPr>
            <w:r>
              <w:rPr>
                <w:rFonts w:cs="Arial"/>
              </w:rPr>
              <w:t>+39.5</w:t>
            </w:r>
          </w:p>
        </w:tc>
      </w:tr>
      <w:tr w:rsidR="00177A81" w:rsidRPr="00094CD9" w:rsidTr="001C7DCE">
        <w:tc>
          <w:tcPr>
            <w:cnfStyle w:val="001000000000"/>
            <w:tcW w:w="0" w:type="auto"/>
            <w:vAlign w:val="center"/>
          </w:tcPr>
          <w:p w:rsidR="00177A81" w:rsidRPr="003829A6" w:rsidRDefault="00177A81" w:rsidP="001C7DCE">
            <w:pPr>
              <w:spacing w:before="0" w:after="0"/>
              <w:jc w:val="left"/>
              <w:rPr>
                <w:b w:val="0"/>
                <w:color w:val="000000"/>
              </w:rPr>
            </w:pPr>
            <w:r w:rsidRPr="003829A6">
              <w:rPr>
                <w:b w:val="0"/>
                <w:color w:val="000000"/>
              </w:rPr>
              <w:t>-vendi</w:t>
            </w:r>
          </w:p>
        </w:tc>
        <w:tc>
          <w:tcPr>
            <w:tcW w:w="0" w:type="auto"/>
          </w:tcPr>
          <w:p w:rsidR="00177A81" w:rsidRPr="003829A6" w:rsidRDefault="00177A81" w:rsidP="001C7DCE">
            <w:pPr>
              <w:spacing w:before="0" w:after="0"/>
              <w:contextualSpacing/>
              <w:jc w:val="left"/>
              <w:cnfStyle w:val="000000000000"/>
              <w:rPr>
                <w:rFonts w:cs="Arial"/>
              </w:rPr>
            </w:pPr>
            <w:r>
              <w:rPr>
                <w:rFonts w:cs="Arial"/>
              </w:rPr>
              <w:t>37.7</w:t>
            </w:r>
          </w:p>
        </w:tc>
        <w:tc>
          <w:tcPr>
            <w:tcW w:w="0" w:type="auto"/>
          </w:tcPr>
          <w:p w:rsidR="00177A81" w:rsidRPr="003829A6" w:rsidRDefault="00287C2F" w:rsidP="001C7DCE">
            <w:pPr>
              <w:spacing w:before="0" w:after="0"/>
              <w:contextualSpacing/>
              <w:jc w:val="left"/>
              <w:cnfStyle w:val="000000000000"/>
              <w:rPr>
                <w:rFonts w:cs="Arial"/>
              </w:rPr>
            </w:pPr>
            <w:r>
              <w:rPr>
                <w:rFonts w:cs="Arial"/>
              </w:rPr>
              <w:t>1,290</w:t>
            </w:r>
          </w:p>
        </w:tc>
        <w:tc>
          <w:tcPr>
            <w:tcW w:w="0" w:type="auto"/>
          </w:tcPr>
          <w:p w:rsidR="00177A81" w:rsidRPr="003829A6" w:rsidRDefault="00287C2F" w:rsidP="001C7DCE">
            <w:pPr>
              <w:spacing w:before="0" w:after="0"/>
              <w:contextualSpacing/>
              <w:jc w:val="left"/>
              <w:cnfStyle w:val="000000000000"/>
              <w:rPr>
                <w:rFonts w:cs="Arial"/>
              </w:rPr>
            </w:pPr>
            <w:r>
              <w:rPr>
                <w:rFonts w:cs="Arial"/>
              </w:rPr>
              <w:t>+3322</w:t>
            </w:r>
          </w:p>
        </w:tc>
      </w:tr>
      <w:tr w:rsidR="00177A81" w:rsidRPr="00094CD9" w:rsidTr="001C7DCE">
        <w:tc>
          <w:tcPr>
            <w:cnfStyle w:val="001000000000"/>
            <w:tcW w:w="0" w:type="auto"/>
            <w:vAlign w:val="center"/>
          </w:tcPr>
          <w:p w:rsidR="00177A81" w:rsidRPr="003829A6" w:rsidRDefault="00177A81" w:rsidP="001C7DCE">
            <w:pPr>
              <w:spacing w:before="0" w:after="0"/>
              <w:jc w:val="left"/>
              <w:rPr>
                <w:b w:val="0"/>
                <w:color w:val="000000"/>
              </w:rPr>
            </w:pPr>
            <w:r w:rsidRPr="003829A6">
              <w:rPr>
                <w:b w:val="0"/>
                <w:color w:val="000000"/>
              </w:rPr>
              <w:t>-importi</w:t>
            </w:r>
          </w:p>
        </w:tc>
        <w:tc>
          <w:tcPr>
            <w:tcW w:w="0" w:type="auto"/>
          </w:tcPr>
          <w:p w:rsidR="00177A81" w:rsidRPr="003829A6" w:rsidRDefault="00177A81" w:rsidP="001C7DCE">
            <w:pPr>
              <w:spacing w:before="0" w:after="0"/>
              <w:contextualSpacing/>
              <w:jc w:val="left"/>
              <w:cnfStyle w:val="000000000000"/>
              <w:rPr>
                <w:rFonts w:cs="Arial"/>
              </w:rPr>
            </w:pPr>
            <w:r>
              <w:rPr>
                <w:rFonts w:cs="Arial"/>
              </w:rPr>
              <w:t>4,798</w:t>
            </w:r>
          </w:p>
        </w:tc>
        <w:tc>
          <w:tcPr>
            <w:tcW w:w="0" w:type="auto"/>
          </w:tcPr>
          <w:p w:rsidR="00177A81" w:rsidRPr="003829A6" w:rsidRDefault="00287C2F" w:rsidP="001C7DCE">
            <w:pPr>
              <w:spacing w:before="0" w:after="0"/>
              <w:contextualSpacing/>
              <w:jc w:val="left"/>
              <w:cnfStyle w:val="000000000000"/>
              <w:rPr>
                <w:rFonts w:cs="Arial"/>
              </w:rPr>
            </w:pPr>
            <w:r>
              <w:rPr>
                <w:rFonts w:cs="Arial"/>
              </w:rPr>
              <w:t>5,457</w:t>
            </w:r>
          </w:p>
        </w:tc>
        <w:tc>
          <w:tcPr>
            <w:tcW w:w="0" w:type="auto"/>
          </w:tcPr>
          <w:p w:rsidR="00177A81" w:rsidRPr="003829A6" w:rsidRDefault="00287C2F" w:rsidP="001C7DCE">
            <w:pPr>
              <w:spacing w:before="0" w:after="0"/>
              <w:contextualSpacing/>
              <w:jc w:val="left"/>
              <w:cnfStyle w:val="000000000000"/>
              <w:rPr>
                <w:rFonts w:cs="Arial"/>
              </w:rPr>
            </w:pPr>
            <w:r>
              <w:rPr>
                <w:rFonts w:cs="Arial"/>
              </w:rPr>
              <w:t>+13.7</w:t>
            </w:r>
          </w:p>
        </w:tc>
      </w:tr>
      <w:tr w:rsidR="00177A81" w:rsidRPr="00094CD9" w:rsidTr="001C7DCE">
        <w:tc>
          <w:tcPr>
            <w:cnfStyle w:val="001000000000"/>
            <w:tcW w:w="0" w:type="auto"/>
            <w:vAlign w:val="center"/>
          </w:tcPr>
          <w:p w:rsidR="00177A81" w:rsidRPr="003829A6" w:rsidRDefault="00177A81" w:rsidP="001C7DCE">
            <w:pPr>
              <w:spacing w:before="0" w:after="0"/>
              <w:jc w:val="left"/>
              <w:rPr>
                <w:b w:val="0"/>
                <w:color w:val="000000"/>
              </w:rPr>
            </w:pPr>
            <w:r w:rsidRPr="003829A6">
              <w:rPr>
                <w:b w:val="0"/>
                <w:color w:val="000000"/>
              </w:rPr>
              <w:t>Pije alkoolike</w:t>
            </w:r>
          </w:p>
        </w:tc>
        <w:tc>
          <w:tcPr>
            <w:tcW w:w="0" w:type="auto"/>
          </w:tcPr>
          <w:p w:rsidR="00177A81" w:rsidRPr="003829A6" w:rsidRDefault="00177A81" w:rsidP="001C7DCE">
            <w:pPr>
              <w:spacing w:before="0" w:after="0"/>
              <w:contextualSpacing/>
              <w:jc w:val="left"/>
              <w:cnfStyle w:val="000000000000"/>
              <w:rPr>
                <w:rFonts w:cs="Arial"/>
              </w:rPr>
            </w:pPr>
            <w:r>
              <w:rPr>
                <w:rFonts w:cs="Arial"/>
              </w:rPr>
              <w:t>384.5</w:t>
            </w:r>
          </w:p>
        </w:tc>
        <w:tc>
          <w:tcPr>
            <w:tcW w:w="0" w:type="auto"/>
          </w:tcPr>
          <w:p w:rsidR="00177A81" w:rsidRPr="003829A6" w:rsidRDefault="00287C2F" w:rsidP="001C7DCE">
            <w:pPr>
              <w:spacing w:before="0" w:after="0"/>
              <w:contextualSpacing/>
              <w:jc w:val="left"/>
              <w:cnfStyle w:val="000000000000"/>
              <w:rPr>
                <w:rFonts w:cs="Arial"/>
              </w:rPr>
            </w:pPr>
            <w:r>
              <w:rPr>
                <w:rFonts w:cs="Arial"/>
              </w:rPr>
              <w:t>172.6</w:t>
            </w:r>
          </w:p>
        </w:tc>
        <w:tc>
          <w:tcPr>
            <w:tcW w:w="0" w:type="auto"/>
          </w:tcPr>
          <w:p w:rsidR="00177A81" w:rsidRPr="003829A6" w:rsidRDefault="00287C2F" w:rsidP="001C7DCE">
            <w:pPr>
              <w:spacing w:before="0" w:after="0"/>
              <w:contextualSpacing/>
              <w:jc w:val="left"/>
              <w:cnfStyle w:val="000000000000"/>
              <w:rPr>
                <w:rFonts w:cs="Arial"/>
              </w:rPr>
            </w:pPr>
            <w:r>
              <w:rPr>
                <w:rFonts w:cs="Arial"/>
              </w:rPr>
              <w:t>-55.1</w:t>
            </w:r>
          </w:p>
        </w:tc>
      </w:tr>
      <w:tr w:rsidR="00177A81" w:rsidRPr="00094CD9" w:rsidTr="001C7DCE">
        <w:tc>
          <w:tcPr>
            <w:cnfStyle w:val="001000000000"/>
            <w:tcW w:w="0" w:type="auto"/>
            <w:vAlign w:val="center"/>
          </w:tcPr>
          <w:p w:rsidR="00177A81" w:rsidRPr="003829A6" w:rsidRDefault="00177A81" w:rsidP="001C7DCE">
            <w:pPr>
              <w:spacing w:before="0" w:after="0"/>
              <w:jc w:val="left"/>
              <w:rPr>
                <w:b w:val="0"/>
                <w:color w:val="000000"/>
              </w:rPr>
            </w:pPr>
            <w:r w:rsidRPr="003829A6">
              <w:rPr>
                <w:b w:val="0"/>
                <w:color w:val="000000"/>
              </w:rPr>
              <w:t xml:space="preserve">Cigare </w:t>
            </w:r>
          </w:p>
        </w:tc>
        <w:tc>
          <w:tcPr>
            <w:tcW w:w="0" w:type="auto"/>
          </w:tcPr>
          <w:p w:rsidR="00177A81" w:rsidRPr="003829A6" w:rsidRDefault="00177A81" w:rsidP="001C7DCE">
            <w:pPr>
              <w:spacing w:before="0" w:after="0"/>
              <w:contextualSpacing/>
              <w:jc w:val="left"/>
              <w:cnfStyle w:val="000000000000"/>
              <w:rPr>
                <w:rFonts w:cs="Arial"/>
              </w:rPr>
            </w:pPr>
            <w:r>
              <w:rPr>
                <w:rFonts w:cs="Arial"/>
              </w:rPr>
              <w:t>4,398</w:t>
            </w:r>
          </w:p>
        </w:tc>
        <w:tc>
          <w:tcPr>
            <w:tcW w:w="0" w:type="auto"/>
          </w:tcPr>
          <w:p w:rsidR="00177A81" w:rsidRPr="003829A6" w:rsidRDefault="00287C2F" w:rsidP="001C7DCE">
            <w:pPr>
              <w:spacing w:before="0" w:after="0"/>
              <w:contextualSpacing/>
              <w:jc w:val="left"/>
              <w:cnfStyle w:val="000000000000"/>
              <w:rPr>
                <w:rFonts w:cs="Arial"/>
              </w:rPr>
            </w:pPr>
            <w:r>
              <w:rPr>
                <w:rFonts w:cs="Arial"/>
              </w:rPr>
              <w:t>2,697</w:t>
            </w:r>
          </w:p>
        </w:tc>
        <w:tc>
          <w:tcPr>
            <w:tcW w:w="0" w:type="auto"/>
          </w:tcPr>
          <w:p w:rsidR="00177A81" w:rsidRPr="003829A6" w:rsidRDefault="00287C2F" w:rsidP="001C7DCE">
            <w:pPr>
              <w:spacing w:before="0" w:after="0"/>
              <w:contextualSpacing/>
              <w:jc w:val="left"/>
              <w:cnfStyle w:val="000000000000"/>
              <w:rPr>
                <w:rFonts w:cs="Arial"/>
              </w:rPr>
            </w:pPr>
            <w:r>
              <w:rPr>
                <w:rFonts w:cs="Arial"/>
              </w:rPr>
              <w:t>-38.7</w:t>
            </w:r>
          </w:p>
        </w:tc>
      </w:tr>
    </w:tbl>
    <w:p w:rsidR="00177A81" w:rsidRDefault="00177A81" w:rsidP="00B86F0E">
      <w:pPr>
        <w:rPr>
          <w:lang w:val="es-ES_tradnl"/>
        </w:rPr>
      </w:pPr>
    </w:p>
    <w:p w:rsidR="00B86F0E" w:rsidRPr="00B86F0E" w:rsidRDefault="00B86F0E" w:rsidP="00B86F0E">
      <w:pPr>
        <w:pStyle w:val="Heading2"/>
        <w:rPr>
          <w:rFonts w:ascii="Calibri" w:hAnsi="Calibri" w:cs="Calibri"/>
          <w:noProof/>
          <w:color w:val="auto"/>
          <w:sz w:val="24"/>
          <w:szCs w:val="24"/>
        </w:rPr>
      </w:pPr>
      <w:bookmarkStart w:id="12" w:name="_Toc339363685"/>
      <w:bookmarkStart w:id="13" w:name="_Toc353453838"/>
      <w:r w:rsidRPr="00B86F0E">
        <w:rPr>
          <w:rFonts w:ascii="Calibri" w:hAnsi="Calibri" w:cs="Calibri"/>
          <w:noProof/>
          <w:color w:val="auto"/>
          <w:sz w:val="24"/>
          <w:szCs w:val="24"/>
        </w:rPr>
        <w:t>Taksimi direkt</w:t>
      </w:r>
      <w:bookmarkEnd w:id="12"/>
      <w:bookmarkEnd w:id="13"/>
      <w:r w:rsidR="005146E3" w:rsidRPr="00B86F0E">
        <w:rPr>
          <w:rFonts w:ascii="Calibri" w:hAnsi="Calibri" w:cs="Calibri"/>
          <w:noProof/>
          <w:color w:val="auto"/>
          <w:sz w:val="24"/>
          <w:szCs w:val="24"/>
        </w:rPr>
        <w:fldChar w:fldCharType="begin"/>
      </w:r>
      <w:r w:rsidRPr="00B86F0E">
        <w:rPr>
          <w:rFonts w:ascii="Calibri" w:hAnsi="Calibri" w:cs="Times New Roman"/>
          <w:noProof/>
          <w:color w:val="auto"/>
          <w:sz w:val="24"/>
          <w:szCs w:val="24"/>
        </w:rPr>
        <w:instrText>tc "</w:instrText>
      </w:r>
      <w:bookmarkStart w:id="14" w:name="_Toc314487252"/>
      <w:r w:rsidRPr="00B86F0E">
        <w:rPr>
          <w:rFonts w:ascii="Calibri" w:hAnsi="Calibri" w:cs="Calibri"/>
          <w:noProof/>
          <w:color w:val="auto"/>
          <w:sz w:val="24"/>
          <w:szCs w:val="24"/>
        </w:rPr>
        <w:instrText>Taksimi direkt</w:instrText>
      </w:r>
      <w:bookmarkEnd w:id="14"/>
      <w:r w:rsidRPr="00B86F0E">
        <w:rPr>
          <w:rFonts w:ascii="Calibri" w:hAnsi="Calibri" w:cs="Calibri"/>
          <w:noProof/>
          <w:color w:val="auto"/>
          <w:sz w:val="24"/>
          <w:szCs w:val="24"/>
        </w:rPr>
        <w:instrText>" \f C \l 002</w:instrText>
      </w:r>
      <w:r w:rsidR="005146E3" w:rsidRPr="00B86F0E">
        <w:rPr>
          <w:rFonts w:ascii="Calibri" w:hAnsi="Calibri" w:cs="Calibri"/>
          <w:noProof/>
          <w:color w:val="auto"/>
          <w:sz w:val="24"/>
          <w:szCs w:val="24"/>
        </w:rPr>
        <w:fldChar w:fldCharType="end"/>
      </w:r>
    </w:p>
    <w:p w:rsidR="00B86F0E" w:rsidRPr="00093F24" w:rsidRDefault="00B86F0E" w:rsidP="00B86F0E">
      <w:pPr>
        <w:rPr>
          <w:b/>
          <w:bCs/>
          <w:noProof/>
          <w:lang w:val="sq-AL"/>
        </w:rPr>
      </w:pPr>
      <w:r w:rsidRPr="00093F24">
        <w:rPr>
          <w:b/>
          <w:bCs/>
          <w:noProof/>
          <w:lang w:val="sq-AL"/>
        </w:rPr>
        <w:t>Tatimi mbi të ardhurat personale</w:t>
      </w:r>
    </w:p>
    <w:p w:rsidR="00B86F0E" w:rsidRDefault="00B86F0E" w:rsidP="00B86F0E">
      <w:pPr>
        <w:rPr>
          <w:lang w:val="es-ES_tradnl"/>
        </w:rPr>
      </w:pPr>
      <w:r w:rsidRPr="00093F24">
        <w:rPr>
          <w:lang w:val="es-ES_tradnl"/>
        </w:rPr>
        <w:t xml:space="preserve">Të ardhurat nga tatimi mbi të ardhurat personale arritën në 9.7 miliardë lekë për periudhën janar-prill, ose 7.6 perqind me shume se 4 mujorin e një viti më parë dhe me realizim të planit për vitin 2013 në masën 102.8 përqind. </w:t>
      </w:r>
      <w:r w:rsidR="001C563D">
        <w:rPr>
          <w:lang w:val="es-ES_tradnl"/>
        </w:rPr>
        <w:t>Vitin e e kaluar</w:t>
      </w:r>
      <w:r w:rsidR="00640FE3">
        <w:rPr>
          <w:lang w:val="es-ES_tradnl"/>
        </w:rPr>
        <w:t>,</w:t>
      </w:r>
      <w:r w:rsidR="001C563D">
        <w:rPr>
          <w:lang w:val="es-ES_tradnl"/>
        </w:rPr>
        <w:t xml:space="preserve"> per 4M 2012</w:t>
      </w:r>
      <w:r w:rsidR="00640FE3">
        <w:rPr>
          <w:lang w:val="es-ES_tradnl"/>
        </w:rPr>
        <w:t>,</w:t>
      </w:r>
      <w:r w:rsidR="001C563D">
        <w:rPr>
          <w:lang w:val="es-ES_tradnl"/>
        </w:rPr>
        <w:t xml:space="preserve"> kane qene ne fuqi pagat e references. Per 4M 2013 pagat e references jane shfuqizuar qe do te thote se TAP eshte paguar me pagat reale. Fakti qe per 4M 2013, kjo takse ka ecur mire do te thote se pagat e references kane qene reale.</w:t>
      </w:r>
      <w:r w:rsidR="00640FE3">
        <w:rPr>
          <w:lang w:val="es-ES_tradnl"/>
        </w:rPr>
        <w:t xml:space="preserve"> Per nje ilustrim me te qarte te ecurise se ketij tatimi, ne tabelen me poshte pasqyrohen te ardhurat sipas burimeve kryesore te te ardhurave individuale (milione leke)</w:t>
      </w:r>
    </w:p>
    <w:tbl>
      <w:tblPr>
        <w:tblStyle w:val="TableColumns5"/>
        <w:tblW w:w="0" w:type="auto"/>
        <w:tblLook w:val="04A0"/>
      </w:tblPr>
      <w:tblGrid>
        <w:gridCol w:w="2802"/>
        <w:gridCol w:w="1715"/>
        <w:gridCol w:w="1715"/>
        <w:gridCol w:w="1715"/>
      </w:tblGrid>
      <w:tr w:rsidR="00F43177" w:rsidRPr="00F72EE4" w:rsidTr="001C7DCE">
        <w:trPr>
          <w:cnfStyle w:val="100000000000"/>
        </w:trPr>
        <w:tc>
          <w:tcPr>
            <w:cnfStyle w:val="001000000000"/>
            <w:tcW w:w="2802" w:type="dxa"/>
          </w:tcPr>
          <w:p w:rsidR="00F43177" w:rsidRPr="00E02338" w:rsidRDefault="00F43177" w:rsidP="001C7DCE">
            <w:pPr>
              <w:spacing w:before="0" w:after="0"/>
              <w:rPr>
                <w:i w:val="0"/>
                <w:lang w:val="en-GB"/>
              </w:rPr>
            </w:pPr>
            <w:r>
              <w:rPr>
                <w:i w:val="0"/>
                <w:lang w:val="en-GB"/>
              </w:rPr>
              <w:t>Emërtimi</w:t>
            </w:r>
          </w:p>
        </w:tc>
        <w:tc>
          <w:tcPr>
            <w:tcW w:w="1715" w:type="dxa"/>
          </w:tcPr>
          <w:p w:rsidR="00F43177" w:rsidRPr="00E02338" w:rsidRDefault="00F43177" w:rsidP="001C7DCE">
            <w:pPr>
              <w:spacing w:before="0" w:after="0"/>
              <w:jc w:val="left"/>
              <w:cnfStyle w:val="100000000000"/>
              <w:rPr>
                <w:i w:val="0"/>
                <w:lang w:val="nl-NL"/>
              </w:rPr>
            </w:pPr>
            <w:r>
              <w:rPr>
                <w:i w:val="0"/>
                <w:lang w:val="nl-NL"/>
              </w:rPr>
              <w:t>3M I 2012 (mln)</w:t>
            </w:r>
          </w:p>
        </w:tc>
        <w:tc>
          <w:tcPr>
            <w:tcW w:w="1715" w:type="dxa"/>
          </w:tcPr>
          <w:p w:rsidR="00F43177" w:rsidRPr="00E02338" w:rsidRDefault="00F43177" w:rsidP="001C7DCE">
            <w:pPr>
              <w:spacing w:before="0" w:after="0"/>
              <w:jc w:val="left"/>
              <w:cnfStyle w:val="100000000000"/>
              <w:rPr>
                <w:i w:val="0"/>
                <w:lang w:val="nl-NL"/>
              </w:rPr>
            </w:pPr>
            <w:r>
              <w:rPr>
                <w:i w:val="0"/>
                <w:lang w:val="nl-NL"/>
              </w:rPr>
              <w:t>3M I 2013 (mln)</w:t>
            </w:r>
          </w:p>
        </w:tc>
        <w:tc>
          <w:tcPr>
            <w:tcW w:w="1715" w:type="dxa"/>
          </w:tcPr>
          <w:p w:rsidR="00F43177" w:rsidRDefault="00F43177" w:rsidP="001C7DCE">
            <w:pPr>
              <w:spacing w:before="0" w:after="0"/>
              <w:jc w:val="left"/>
              <w:cnfStyle w:val="100000000000"/>
              <w:rPr>
                <w:i w:val="0"/>
                <w:lang w:val="nl-NL"/>
              </w:rPr>
            </w:pPr>
            <w:r>
              <w:rPr>
                <w:i w:val="0"/>
                <w:lang w:val="nl-NL"/>
              </w:rPr>
              <w:t>Ndryshimi %</w:t>
            </w:r>
          </w:p>
        </w:tc>
      </w:tr>
      <w:tr w:rsidR="00F43177" w:rsidRPr="00F72EE4" w:rsidTr="001C7DCE">
        <w:tc>
          <w:tcPr>
            <w:cnfStyle w:val="001000000000"/>
            <w:tcW w:w="2802" w:type="dxa"/>
          </w:tcPr>
          <w:p w:rsidR="00F43177" w:rsidRPr="00E02338" w:rsidRDefault="00F43177" w:rsidP="001C7DCE">
            <w:pPr>
              <w:spacing w:before="0" w:after="0"/>
              <w:rPr>
                <w:lang w:val="nl-NL"/>
              </w:rPr>
            </w:pPr>
            <w:r>
              <w:rPr>
                <w:lang w:val="nl-NL"/>
              </w:rPr>
              <w:t>Tatim mbi të ardhurat personale</w:t>
            </w:r>
          </w:p>
        </w:tc>
        <w:tc>
          <w:tcPr>
            <w:tcW w:w="1715" w:type="dxa"/>
          </w:tcPr>
          <w:p w:rsidR="00F43177" w:rsidRPr="00F72EE4" w:rsidRDefault="00F43177" w:rsidP="001C7DCE">
            <w:pPr>
              <w:spacing w:before="0" w:after="0"/>
              <w:cnfStyle w:val="000000000000"/>
              <w:rPr>
                <w:b/>
                <w:lang w:val="nl-NL"/>
              </w:rPr>
            </w:pPr>
            <w:r>
              <w:rPr>
                <w:b/>
                <w:lang w:val="nl-NL"/>
              </w:rPr>
              <w:t>8,982</w:t>
            </w:r>
          </w:p>
        </w:tc>
        <w:tc>
          <w:tcPr>
            <w:tcW w:w="1715" w:type="dxa"/>
          </w:tcPr>
          <w:p w:rsidR="00F43177" w:rsidRPr="00F72EE4" w:rsidRDefault="00F43177" w:rsidP="001C7DCE">
            <w:pPr>
              <w:spacing w:before="0" w:after="0"/>
              <w:cnfStyle w:val="000000000000"/>
              <w:rPr>
                <w:b/>
                <w:lang w:val="nl-NL"/>
              </w:rPr>
            </w:pPr>
            <w:r>
              <w:rPr>
                <w:b/>
                <w:lang w:val="nl-NL"/>
              </w:rPr>
              <w:t>9,665</w:t>
            </w:r>
          </w:p>
        </w:tc>
        <w:tc>
          <w:tcPr>
            <w:tcW w:w="1715" w:type="dxa"/>
          </w:tcPr>
          <w:p w:rsidR="00F43177" w:rsidRPr="00F72EE4" w:rsidRDefault="00E87CD3" w:rsidP="001C7DCE">
            <w:pPr>
              <w:spacing w:before="0" w:after="0"/>
              <w:cnfStyle w:val="000000000000"/>
              <w:rPr>
                <w:b/>
                <w:lang w:val="nl-NL"/>
              </w:rPr>
            </w:pPr>
            <w:r>
              <w:rPr>
                <w:b/>
                <w:lang w:val="nl-NL"/>
              </w:rPr>
              <w:t>+7.6</w:t>
            </w:r>
          </w:p>
        </w:tc>
      </w:tr>
      <w:tr w:rsidR="00F43177" w:rsidRPr="00F72EE4" w:rsidTr="001C7DCE">
        <w:tc>
          <w:tcPr>
            <w:cnfStyle w:val="001000000000"/>
            <w:tcW w:w="2802" w:type="dxa"/>
          </w:tcPr>
          <w:p w:rsidR="00F43177" w:rsidRPr="00E02338" w:rsidRDefault="00F43177" w:rsidP="001C7DCE">
            <w:pPr>
              <w:spacing w:before="0" w:after="0"/>
              <w:rPr>
                <w:b w:val="0"/>
                <w:lang w:val="nl-NL"/>
              </w:rPr>
            </w:pPr>
            <w:r>
              <w:rPr>
                <w:b w:val="0"/>
                <w:lang w:val="nl-NL"/>
              </w:rPr>
              <w:t>Paga sektorit publik</w:t>
            </w:r>
          </w:p>
        </w:tc>
        <w:tc>
          <w:tcPr>
            <w:tcW w:w="1715" w:type="dxa"/>
          </w:tcPr>
          <w:p w:rsidR="00F43177" w:rsidRPr="00F72EE4" w:rsidRDefault="00F43177" w:rsidP="001C7DCE">
            <w:pPr>
              <w:spacing w:before="0" w:after="0"/>
              <w:cnfStyle w:val="000000000000"/>
              <w:rPr>
                <w:lang w:val="nl-NL"/>
              </w:rPr>
            </w:pPr>
            <w:r>
              <w:rPr>
                <w:lang w:val="nl-NL"/>
              </w:rPr>
              <w:t>2,989</w:t>
            </w:r>
          </w:p>
        </w:tc>
        <w:tc>
          <w:tcPr>
            <w:tcW w:w="1715" w:type="dxa"/>
          </w:tcPr>
          <w:p w:rsidR="00F43177" w:rsidRPr="00F72EE4" w:rsidRDefault="00F43177" w:rsidP="001C7DCE">
            <w:pPr>
              <w:spacing w:before="0" w:after="0"/>
              <w:cnfStyle w:val="000000000000"/>
              <w:rPr>
                <w:lang w:val="nl-NL"/>
              </w:rPr>
            </w:pPr>
            <w:r>
              <w:rPr>
                <w:lang w:val="nl-NL"/>
              </w:rPr>
              <w:t>3,192</w:t>
            </w:r>
          </w:p>
        </w:tc>
        <w:tc>
          <w:tcPr>
            <w:tcW w:w="1715" w:type="dxa"/>
          </w:tcPr>
          <w:p w:rsidR="00F43177" w:rsidRPr="00F72EE4" w:rsidRDefault="00E87CD3" w:rsidP="001C7DCE">
            <w:pPr>
              <w:spacing w:before="0" w:after="0"/>
              <w:cnfStyle w:val="000000000000"/>
              <w:rPr>
                <w:lang w:val="nl-NL"/>
              </w:rPr>
            </w:pPr>
            <w:r>
              <w:rPr>
                <w:lang w:val="nl-NL"/>
              </w:rPr>
              <w:t>+6.8</w:t>
            </w:r>
          </w:p>
        </w:tc>
      </w:tr>
      <w:tr w:rsidR="00F43177" w:rsidRPr="00F72EE4" w:rsidTr="001C7DCE">
        <w:tc>
          <w:tcPr>
            <w:cnfStyle w:val="001000000000"/>
            <w:tcW w:w="2802" w:type="dxa"/>
          </w:tcPr>
          <w:p w:rsidR="00F43177" w:rsidRPr="00E02338" w:rsidRDefault="00F43177" w:rsidP="001C7DCE">
            <w:pPr>
              <w:spacing w:before="0" w:after="0"/>
              <w:rPr>
                <w:b w:val="0"/>
                <w:lang w:val="nl-NL"/>
              </w:rPr>
            </w:pPr>
            <w:r>
              <w:rPr>
                <w:b w:val="0"/>
                <w:lang w:val="nl-NL"/>
              </w:rPr>
              <w:t>Paga sektorit privat</w:t>
            </w:r>
          </w:p>
        </w:tc>
        <w:tc>
          <w:tcPr>
            <w:tcW w:w="1715" w:type="dxa"/>
          </w:tcPr>
          <w:p w:rsidR="00F43177" w:rsidRPr="00F72EE4" w:rsidRDefault="00F43177" w:rsidP="001C7DCE">
            <w:pPr>
              <w:spacing w:before="0" w:after="0"/>
              <w:cnfStyle w:val="000000000000"/>
              <w:rPr>
                <w:lang w:val="nl-NL"/>
              </w:rPr>
            </w:pPr>
            <w:r>
              <w:rPr>
                <w:lang w:val="nl-NL"/>
              </w:rPr>
              <w:t>3,182</w:t>
            </w:r>
          </w:p>
        </w:tc>
        <w:tc>
          <w:tcPr>
            <w:tcW w:w="1715" w:type="dxa"/>
          </w:tcPr>
          <w:p w:rsidR="00F43177" w:rsidRPr="00F72EE4" w:rsidRDefault="00F43177" w:rsidP="001C7DCE">
            <w:pPr>
              <w:spacing w:before="0" w:after="0"/>
              <w:cnfStyle w:val="000000000000"/>
              <w:rPr>
                <w:lang w:val="nl-NL"/>
              </w:rPr>
            </w:pPr>
            <w:r>
              <w:rPr>
                <w:lang w:val="nl-NL"/>
              </w:rPr>
              <w:t>3,226</w:t>
            </w:r>
          </w:p>
        </w:tc>
        <w:tc>
          <w:tcPr>
            <w:tcW w:w="1715" w:type="dxa"/>
          </w:tcPr>
          <w:p w:rsidR="00F43177" w:rsidRPr="00F72EE4" w:rsidRDefault="00E87CD3" w:rsidP="001C7DCE">
            <w:pPr>
              <w:spacing w:before="0" w:after="0"/>
              <w:cnfStyle w:val="000000000000"/>
              <w:rPr>
                <w:lang w:val="nl-NL"/>
              </w:rPr>
            </w:pPr>
            <w:r>
              <w:rPr>
                <w:lang w:val="nl-NL"/>
              </w:rPr>
              <w:t>+1.4</w:t>
            </w:r>
          </w:p>
        </w:tc>
      </w:tr>
      <w:tr w:rsidR="00F43177" w:rsidRPr="00F72EE4" w:rsidTr="001C7DCE">
        <w:tc>
          <w:tcPr>
            <w:cnfStyle w:val="001000000000"/>
            <w:tcW w:w="2802" w:type="dxa"/>
          </w:tcPr>
          <w:p w:rsidR="00F43177" w:rsidRPr="00E02338" w:rsidRDefault="00F43177" w:rsidP="001C7DCE">
            <w:pPr>
              <w:spacing w:before="0" w:after="0"/>
              <w:rPr>
                <w:b w:val="0"/>
                <w:lang w:val="nl-NL"/>
              </w:rPr>
            </w:pPr>
            <w:r>
              <w:rPr>
                <w:b w:val="0"/>
                <w:lang w:val="nl-NL"/>
              </w:rPr>
              <w:t>Të ardhura nga interesat</w:t>
            </w:r>
          </w:p>
        </w:tc>
        <w:tc>
          <w:tcPr>
            <w:tcW w:w="1715" w:type="dxa"/>
          </w:tcPr>
          <w:p w:rsidR="00F43177" w:rsidRPr="00F72EE4" w:rsidRDefault="00F43177" w:rsidP="001C7DCE">
            <w:pPr>
              <w:spacing w:before="0" w:after="0"/>
              <w:cnfStyle w:val="000000000000"/>
              <w:rPr>
                <w:lang w:val="nl-NL"/>
              </w:rPr>
            </w:pPr>
            <w:r>
              <w:rPr>
                <w:lang w:val="nl-NL"/>
              </w:rPr>
              <w:t>1,074</w:t>
            </w:r>
          </w:p>
        </w:tc>
        <w:tc>
          <w:tcPr>
            <w:tcW w:w="1715" w:type="dxa"/>
          </w:tcPr>
          <w:p w:rsidR="00F43177" w:rsidRPr="00F72EE4" w:rsidRDefault="00F43177" w:rsidP="001C7DCE">
            <w:pPr>
              <w:spacing w:before="0" w:after="0"/>
              <w:cnfStyle w:val="000000000000"/>
              <w:rPr>
                <w:lang w:val="nl-NL"/>
              </w:rPr>
            </w:pPr>
            <w:r>
              <w:rPr>
                <w:lang w:val="nl-NL"/>
              </w:rPr>
              <w:t>1,166</w:t>
            </w:r>
          </w:p>
        </w:tc>
        <w:tc>
          <w:tcPr>
            <w:tcW w:w="1715" w:type="dxa"/>
          </w:tcPr>
          <w:p w:rsidR="00F43177" w:rsidRPr="00F72EE4" w:rsidRDefault="00E87CD3" w:rsidP="001C7DCE">
            <w:pPr>
              <w:spacing w:before="0" w:after="0"/>
              <w:cnfStyle w:val="000000000000"/>
              <w:rPr>
                <w:lang w:val="nl-NL"/>
              </w:rPr>
            </w:pPr>
            <w:r>
              <w:rPr>
                <w:lang w:val="nl-NL"/>
              </w:rPr>
              <w:t>+8.6</w:t>
            </w:r>
          </w:p>
        </w:tc>
      </w:tr>
      <w:tr w:rsidR="00F43177" w:rsidRPr="00F72EE4" w:rsidTr="001C7DCE">
        <w:tc>
          <w:tcPr>
            <w:cnfStyle w:val="001000000000"/>
            <w:tcW w:w="2802" w:type="dxa"/>
          </w:tcPr>
          <w:p w:rsidR="00F43177" w:rsidRPr="00E02338" w:rsidRDefault="00F43177" w:rsidP="001C7DCE">
            <w:pPr>
              <w:spacing w:before="0" w:after="0"/>
              <w:rPr>
                <w:b w:val="0"/>
                <w:lang w:val="nl-NL"/>
              </w:rPr>
            </w:pPr>
            <w:r>
              <w:rPr>
                <w:b w:val="0"/>
                <w:lang w:val="nl-NL"/>
              </w:rPr>
              <w:t>Të ardhura nga dividenti</w:t>
            </w:r>
          </w:p>
        </w:tc>
        <w:tc>
          <w:tcPr>
            <w:tcW w:w="1715" w:type="dxa"/>
          </w:tcPr>
          <w:p w:rsidR="00F43177" w:rsidRPr="00F72EE4" w:rsidRDefault="00F43177" w:rsidP="001C7DCE">
            <w:pPr>
              <w:spacing w:before="0" w:after="0"/>
              <w:cnfStyle w:val="000000000000"/>
              <w:rPr>
                <w:lang w:val="nl-NL"/>
              </w:rPr>
            </w:pPr>
            <w:r>
              <w:rPr>
                <w:lang w:val="nl-NL"/>
              </w:rPr>
              <w:t>264</w:t>
            </w:r>
          </w:p>
        </w:tc>
        <w:tc>
          <w:tcPr>
            <w:tcW w:w="1715" w:type="dxa"/>
          </w:tcPr>
          <w:p w:rsidR="00F43177" w:rsidRPr="00F72EE4" w:rsidRDefault="00F43177" w:rsidP="001C7DCE">
            <w:pPr>
              <w:spacing w:before="0" w:after="0"/>
              <w:cnfStyle w:val="000000000000"/>
              <w:rPr>
                <w:lang w:val="nl-NL"/>
              </w:rPr>
            </w:pPr>
            <w:r>
              <w:rPr>
                <w:lang w:val="nl-NL"/>
              </w:rPr>
              <w:t>309</w:t>
            </w:r>
          </w:p>
        </w:tc>
        <w:tc>
          <w:tcPr>
            <w:tcW w:w="1715" w:type="dxa"/>
          </w:tcPr>
          <w:p w:rsidR="00F43177" w:rsidRPr="00F72EE4" w:rsidRDefault="00E87CD3" w:rsidP="001C7DCE">
            <w:pPr>
              <w:spacing w:before="0" w:after="0"/>
              <w:cnfStyle w:val="000000000000"/>
              <w:rPr>
                <w:lang w:val="nl-NL"/>
              </w:rPr>
            </w:pPr>
            <w:r>
              <w:rPr>
                <w:lang w:val="nl-NL"/>
              </w:rPr>
              <w:t>+17</w:t>
            </w:r>
          </w:p>
        </w:tc>
      </w:tr>
      <w:tr w:rsidR="00F43177" w:rsidRPr="00F72EE4" w:rsidTr="001C7DCE">
        <w:tc>
          <w:tcPr>
            <w:cnfStyle w:val="001000000000"/>
            <w:tcW w:w="2802" w:type="dxa"/>
          </w:tcPr>
          <w:p w:rsidR="00F43177" w:rsidRPr="00F43177" w:rsidRDefault="00F43177" w:rsidP="001C7DCE">
            <w:pPr>
              <w:spacing w:before="0" w:after="0"/>
              <w:rPr>
                <w:b w:val="0"/>
              </w:rPr>
            </w:pPr>
            <w:r w:rsidRPr="00F43177">
              <w:rPr>
                <w:b w:val="0"/>
              </w:rPr>
              <w:t>Të ardhura nga shitja e pasurisë së paluajtshme</w:t>
            </w:r>
          </w:p>
        </w:tc>
        <w:tc>
          <w:tcPr>
            <w:tcW w:w="1715" w:type="dxa"/>
          </w:tcPr>
          <w:p w:rsidR="00F43177" w:rsidRPr="00F72EE4" w:rsidRDefault="00F43177" w:rsidP="001C7DCE">
            <w:pPr>
              <w:spacing w:before="0" w:after="0"/>
              <w:cnfStyle w:val="000000000000"/>
              <w:rPr>
                <w:lang w:val="nl-NL"/>
              </w:rPr>
            </w:pPr>
            <w:r>
              <w:rPr>
                <w:lang w:val="nl-NL"/>
              </w:rPr>
              <w:t>131</w:t>
            </w:r>
          </w:p>
        </w:tc>
        <w:tc>
          <w:tcPr>
            <w:tcW w:w="1715" w:type="dxa"/>
          </w:tcPr>
          <w:p w:rsidR="00F43177" w:rsidRPr="00F72EE4" w:rsidRDefault="00F43177" w:rsidP="001C7DCE">
            <w:pPr>
              <w:spacing w:before="0" w:after="0"/>
              <w:cnfStyle w:val="000000000000"/>
              <w:rPr>
                <w:lang w:val="nl-NL"/>
              </w:rPr>
            </w:pPr>
            <w:r>
              <w:rPr>
                <w:lang w:val="nl-NL"/>
              </w:rPr>
              <w:t>400</w:t>
            </w:r>
          </w:p>
        </w:tc>
        <w:tc>
          <w:tcPr>
            <w:tcW w:w="1715" w:type="dxa"/>
          </w:tcPr>
          <w:p w:rsidR="00F43177" w:rsidRPr="00F72EE4" w:rsidRDefault="00E87CD3" w:rsidP="001C7DCE">
            <w:pPr>
              <w:spacing w:before="0" w:after="0"/>
              <w:cnfStyle w:val="000000000000"/>
              <w:rPr>
                <w:lang w:val="nl-NL"/>
              </w:rPr>
            </w:pPr>
            <w:r>
              <w:rPr>
                <w:lang w:val="nl-NL"/>
              </w:rPr>
              <w:t>+205</w:t>
            </w:r>
          </w:p>
        </w:tc>
      </w:tr>
      <w:tr w:rsidR="00F43177" w:rsidRPr="00F72EE4" w:rsidTr="001C7DCE">
        <w:tc>
          <w:tcPr>
            <w:cnfStyle w:val="001000000000"/>
            <w:tcW w:w="2802" w:type="dxa"/>
          </w:tcPr>
          <w:p w:rsidR="00F43177" w:rsidRPr="00E02338" w:rsidRDefault="00F43177" w:rsidP="001C7DCE">
            <w:pPr>
              <w:spacing w:before="0" w:after="0"/>
              <w:rPr>
                <w:b w:val="0"/>
                <w:lang w:val="nl-NL"/>
              </w:rPr>
            </w:pPr>
            <w:r>
              <w:rPr>
                <w:b w:val="0"/>
                <w:lang w:val="nl-NL"/>
              </w:rPr>
              <w:t>Të tjera</w:t>
            </w:r>
          </w:p>
        </w:tc>
        <w:tc>
          <w:tcPr>
            <w:tcW w:w="1715" w:type="dxa"/>
          </w:tcPr>
          <w:p w:rsidR="00F43177" w:rsidRPr="00F72EE4" w:rsidRDefault="00F43177" w:rsidP="001C7DCE">
            <w:pPr>
              <w:spacing w:before="0" w:after="0"/>
              <w:cnfStyle w:val="000000000000"/>
              <w:rPr>
                <w:lang w:val="nl-NL"/>
              </w:rPr>
            </w:pPr>
            <w:r>
              <w:rPr>
                <w:lang w:val="nl-NL"/>
              </w:rPr>
              <w:t>1,342</w:t>
            </w:r>
          </w:p>
        </w:tc>
        <w:tc>
          <w:tcPr>
            <w:tcW w:w="1715" w:type="dxa"/>
          </w:tcPr>
          <w:p w:rsidR="00F43177" w:rsidRPr="00F72EE4" w:rsidRDefault="00F43177" w:rsidP="001C7DCE">
            <w:pPr>
              <w:spacing w:before="0" w:after="0"/>
              <w:cnfStyle w:val="000000000000"/>
              <w:rPr>
                <w:lang w:val="nl-NL"/>
              </w:rPr>
            </w:pPr>
            <w:r>
              <w:rPr>
                <w:lang w:val="nl-NL"/>
              </w:rPr>
              <w:t>1,372</w:t>
            </w:r>
          </w:p>
        </w:tc>
        <w:tc>
          <w:tcPr>
            <w:tcW w:w="1715" w:type="dxa"/>
          </w:tcPr>
          <w:p w:rsidR="00F43177" w:rsidRPr="00F72EE4" w:rsidRDefault="00E87CD3" w:rsidP="001C7DCE">
            <w:pPr>
              <w:spacing w:before="0" w:after="0"/>
              <w:cnfStyle w:val="000000000000"/>
              <w:rPr>
                <w:lang w:val="nl-NL"/>
              </w:rPr>
            </w:pPr>
            <w:r>
              <w:rPr>
                <w:lang w:val="nl-NL"/>
              </w:rPr>
              <w:t>+2.2</w:t>
            </w:r>
          </w:p>
        </w:tc>
      </w:tr>
    </w:tbl>
    <w:p w:rsidR="00640FE3" w:rsidRDefault="00640FE3" w:rsidP="00B86F0E">
      <w:pPr>
        <w:rPr>
          <w:b/>
          <w:bCs/>
          <w:noProof/>
          <w:lang w:val="sq-AL"/>
        </w:rPr>
      </w:pPr>
    </w:p>
    <w:p w:rsidR="00B86F0E" w:rsidRPr="00093F24" w:rsidRDefault="00B86F0E" w:rsidP="00B86F0E">
      <w:pPr>
        <w:rPr>
          <w:b/>
          <w:bCs/>
          <w:noProof/>
          <w:lang w:val="sq-AL"/>
        </w:rPr>
      </w:pPr>
      <w:r w:rsidRPr="00093F24">
        <w:rPr>
          <w:b/>
          <w:bCs/>
          <w:noProof/>
          <w:lang w:val="sq-AL"/>
        </w:rPr>
        <w:t>Tatimet mbi të ardhurat nga biznesi</w:t>
      </w:r>
    </w:p>
    <w:p w:rsidR="00B86F0E" w:rsidRPr="004824B5" w:rsidRDefault="00B86F0E" w:rsidP="00B86F0E">
      <w:pPr>
        <w:rPr>
          <w:i/>
          <w:iCs/>
          <w:sz w:val="20"/>
          <w:szCs w:val="20"/>
          <w:highlight w:val="yellow"/>
          <w:lang w:val="es-ES_tradnl"/>
        </w:rPr>
      </w:pPr>
      <w:r w:rsidRPr="00093F24">
        <w:rPr>
          <w:lang w:val="sq-AL"/>
        </w:rPr>
        <w:t xml:space="preserve">Të ardhurat nga tatimi mbi fitimin për 4 mujorin 2013 arritën në rreth 6.45 miliardë lekë nga 6.4 miliardë të mbledhura një vit më parë, me një rritje prej 1.6 përqind, dhe 12.2 % më shume se plani i periudhës Janar-Prill 2013. </w:t>
      </w:r>
    </w:p>
    <w:p w:rsidR="00B86F0E" w:rsidRDefault="00B86F0E" w:rsidP="00B86F0E">
      <w:pPr>
        <w:rPr>
          <w:lang w:val="es-ES_tradnl"/>
        </w:rPr>
      </w:pPr>
      <w:r w:rsidRPr="00093F24">
        <w:rPr>
          <w:lang w:val="es-ES_tradnl"/>
        </w:rPr>
        <w:t xml:space="preserve">Të ardhurat nga taksa vendore mbi biznesin e vogël arritën në 1 miliardë lekë, me rritje vjetore prej 1.3 përqind dhe plani i periudhës është realizuar në masën 118 përqind. </w:t>
      </w:r>
      <w:r w:rsidR="00C15255">
        <w:rPr>
          <w:lang w:val="es-ES_tradnl"/>
        </w:rPr>
        <w:t xml:space="preserve"> Biznesi i vogel ka paguar te ardhura personale ne shumen 191 milione leke per katermujorin janar-prill 2013 nga 148 milione te vitit te kaluar.</w:t>
      </w:r>
    </w:p>
    <w:p w:rsidR="00640FE3" w:rsidRDefault="00640FE3" w:rsidP="00B86F0E">
      <w:pPr>
        <w:rPr>
          <w:b/>
          <w:bCs/>
          <w:noProof/>
          <w:lang w:val="sq-AL"/>
        </w:rPr>
      </w:pPr>
    </w:p>
    <w:p w:rsidR="00552D26" w:rsidRDefault="00552D26" w:rsidP="00B86F0E">
      <w:pPr>
        <w:rPr>
          <w:b/>
          <w:bCs/>
          <w:noProof/>
          <w:lang w:val="sq-AL"/>
        </w:rPr>
      </w:pPr>
    </w:p>
    <w:p w:rsidR="00B86F0E" w:rsidRPr="00093F24" w:rsidRDefault="00B86F0E" w:rsidP="00B86F0E">
      <w:pPr>
        <w:rPr>
          <w:b/>
          <w:bCs/>
          <w:noProof/>
          <w:lang w:val="sq-AL"/>
        </w:rPr>
      </w:pPr>
      <w:r w:rsidRPr="00093F24">
        <w:rPr>
          <w:b/>
          <w:bCs/>
          <w:noProof/>
          <w:lang w:val="sq-AL"/>
        </w:rPr>
        <w:t>Taksimi i pasurisë</w:t>
      </w:r>
    </w:p>
    <w:p w:rsidR="00B86F0E" w:rsidRPr="00093F24" w:rsidRDefault="00B86F0E" w:rsidP="00B86F0E">
      <w:pPr>
        <w:rPr>
          <w:rFonts w:cs="Times New Roman"/>
          <w:noProof/>
          <w:lang w:val="sq-AL"/>
        </w:rPr>
      </w:pPr>
      <w:r w:rsidRPr="00093F24">
        <w:rPr>
          <w:noProof/>
          <w:lang w:val="sq-AL"/>
        </w:rPr>
        <w:t>Për 4 mujorin taksat mbi pasurinë arrijnë në 1.22 miliardë lekë nga 1.24 miliardë lekë të parashikuara dhe -0.8 përqind më të uleta se një vit më parë.</w:t>
      </w:r>
    </w:p>
    <w:p w:rsidR="00B86F0E" w:rsidRPr="00093F24" w:rsidRDefault="00B86F0E" w:rsidP="00B86F0E">
      <w:pPr>
        <w:rPr>
          <w:b/>
          <w:bCs/>
          <w:noProof/>
          <w:lang w:val="sq-AL"/>
        </w:rPr>
      </w:pPr>
      <w:r w:rsidRPr="00093F24">
        <w:rPr>
          <w:b/>
          <w:bCs/>
          <w:noProof/>
          <w:lang w:val="sq-AL"/>
        </w:rPr>
        <w:t>Taksat nacionale</w:t>
      </w:r>
    </w:p>
    <w:p w:rsidR="00C15255" w:rsidRDefault="00B86F0E" w:rsidP="00B86F0E">
      <w:pPr>
        <w:rPr>
          <w:lang w:val="es-ES_tradnl"/>
        </w:rPr>
      </w:pPr>
      <w:r w:rsidRPr="00093F24">
        <w:rPr>
          <w:lang w:val="es-ES_tradnl"/>
        </w:rPr>
        <w:t>Të ardhurat nga taksat nacionale në total për periudhën janë 8.7 miliardë lekë nga 9.2 miliardë lekë të parashikuara për periudhën janar – prill, me mosrealizim të planit në masën -4.7 përqind. Duke e krahasuar me të njëjtën periudhë të një viti më parë, të ardhurat nga ky grup taksash kanë pësuar një renie prej -4.5 përqind.</w:t>
      </w:r>
      <w:r w:rsidR="001C563D">
        <w:rPr>
          <w:lang w:val="es-ES_tradnl"/>
        </w:rPr>
        <w:t xml:space="preserve"> </w:t>
      </w:r>
    </w:p>
    <w:p w:rsidR="006A0E11" w:rsidRDefault="00C15255" w:rsidP="00B86F0E">
      <w:pPr>
        <w:rPr>
          <w:lang w:val="es-ES_tradnl"/>
        </w:rPr>
      </w:pPr>
      <w:r>
        <w:rPr>
          <w:lang w:val="es-ES_tradnl"/>
        </w:rPr>
        <w:t>Per kete grup taksash, se pari veme ne dukje se ne katermujorin e nje viti me pare, u perfshine edhe te ardhurat e realiz</w:t>
      </w:r>
      <w:r w:rsidR="0077486F">
        <w:rPr>
          <w:lang w:val="es-ES_tradnl"/>
        </w:rPr>
        <w:t>u</w:t>
      </w:r>
      <w:r>
        <w:rPr>
          <w:lang w:val="es-ES_tradnl"/>
        </w:rPr>
        <w:t>ara nga procesi i rivleresimit te pasurive te paluajtshme nga individet, ne shumen 1.1 miliarde leke. Persa i takon taksave kryesore te ketij grupi verejme se:</w:t>
      </w:r>
      <w:r w:rsidR="00C02A8B">
        <w:rPr>
          <w:lang w:val="es-ES_tradnl"/>
        </w:rPr>
        <w:t xml:space="preserve"> renta minerare ka pesuar rritje ne terma te te ardhurave te mbledhura me 20 perqind mbi baza vjetore; po ashtu dhe taksa e karbonit ka mbledhur 30 perqind me shume te ardhura; jane ulur te ardhurat e mbledhura nga mjetet e perdorura te transportit me rreth 9 perqind; nga taksa e qarkullimit mbi benzinen dhe gazoilin jane mbledhur per kete katermujor rreth 1.4 miliarde leke. </w:t>
      </w:r>
    </w:p>
    <w:p w:rsidR="006A0E11" w:rsidRDefault="006A0E11" w:rsidP="00B86F0E">
      <w:pPr>
        <w:rPr>
          <w:lang w:val="es-ES_tradnl"/>
        </w:rPr>
      </w:pPr>
    </w:p>
    <w:p w:rsidR="00B86F0E" w:rsidRPr="00093F24" w:rsidRDefault="00B86F0E" w:rsidP="00B86F0E">
      <w:pPr>
        <w:rPr>
          <w:b/>
          <w:bCs/>
          <w:lang w:val="sq-AL"/>
        </w:rPr>
      </w:pPr>
      <w:r w:rsidRPr="00093F24">
        <w:rPr>
          <w:b/>
          <w:bCs/>
          <w:lang w:val="sq-AL"/>
        </w:rPr>
        <w:t>Taksa doganore</w:t>
      </w:r>
    </w:p>
    <w:p w:rsidR="00B86F0E" w:rsidRPr="00093F24" w:rsidRDefault="00B86F0E" w:rsidP="00B86F0E">
      <w:pPr>
        <w:rPr>
          <w:rFonts w:cs="Times New Roman"/>
          <w:noProof/>
          <w:lang w:val="sq-AL"/>
        </w:rPr>
      </w:pPr>
      <w:r w:rsidRPr="00093F24">
        <w:rPr>
          <w:noProof/>
          <w:lang w:val="sq-AL"/>
        </w:rPr>
        <w:t>Të ardhurat nga taksa doganore për periudhën janar – prill janë rreth 1.6 miliardë lekë, -15.1 përqind më pak se parashikimi; krahasuar me të njëjtën periudhë të vitit 2012, të ardhurat nga kjo taksë janë ulur me 168 milionë lekë, ose -9.5 përqind. Nga të dhënat e Drejtorisë së Përgjithshme të Doganave, taksa mesatare doganore për periudhën ka qenë 1.41 përqind nga 1.52 përqind e një viti më parë.</w:t>
      </w:r>
    </w:p>
    <w:p w:rsidR="00640FE3" w:rsidRDefault="00640FE3" w:rsidP="00B86F0E">
      <w:pPr>
        <w:rPr>
          <w:b/>
          <w:bCs/>
          <w:lang w:val="es-ES_tradnl"/>
        </w:rPr>
      </w:pPr>
    </w:p>
    <w:p w:rsidR="00B86F0E" w:rsidRPr="00093F24" w:rsidRDefault="00B86F0E" w:rsidP="00B86F0E">
      <w:pPr>
        <w:rPr>
          <w:b/>
          <w:bCs/>
          <w:lang w:val="es-ES_tradnl"/>
        </w:rPr>
      </w:pPr>
      <w:r w:rsidRPr="00093F24">
        <w:rPr>
          <w:b/>
          <w:bCs/>
          <w:lang w:val="es-ES_tradnl"/>
        </w:rPr>
        <w:t>Të ardhura të tjera nga pushteti vendor</w:t>
      </w:r>
    </w:p>
    <w:p w:rsidR="00B86F0E" w:rsidRPr="004824B5" w:rsidRDefault="00B86F0E" w:rsidP="00B86F0E">
      <w:pPr>
        <w:rPr>
          <w:rFonts w:cs="Times New Roman"/>
          <w:highlight w:val="yellow"/>
          <w:lang w:val="es-ES_tradnl"/>
        </w:rPr>
      </w:pPr>
      <w:r w:rsidRPr="00093F24">
        <w:rPr>
          <w:lang w:val="es-ES_tradnl"/>
        </w:rPr>
        <w:t>Të ardhurat e mbledhura nga taksat vendore për periudhën janar – prill arritën në 4.5 miliardë lekë nga 4.8 miliardë lekë të planifikuara, ndërsa kundrejt 4mujorit të vitit 2012 të ardhurat janë ulur  me -555 milionë lekë (rreth -10.9 përqind më pak). Taksat e tjera vendore (pa taksën e biznesit të vogel dhe taksat mbi pasurinë të cilat përmenden më sipër) kanë mbledhur rreth 2.2 miliardë lekë nga 2.7 miliardë lekë të parashikuara, ndërsa krahasuar me të njëjtën periudhë të vitit të kaluar këto taksa kanë pësuar një rënie prej -19.9 përqind.</w:t>
      </w:r>
    </w:p>
    <w:p w:rsidR="00640FE3" w:rsidRDefault="00640FE3" w:rsidP="00B86F0E">
      <w:pPr>
        <w:rPr>
          <w:b/>
          <w:bCs/>
          <w:noProof/>
          <w:lang w:val="sq-AL"/>
        </w:rPr>
      </w:pPr>
    </w:p>
    <w:p w:rsidR="00B86F0E" w:rsidRPr="007143FB" w:rsidRDefault="00B86F0E" w:rsidP="00B86F0E">
      <w:pPr>
        <w:rPr>
          <w:b/>
          <w:bCs/>
          <w:noProof/>
          <w:lang w:val="sq-AL"/>
        </w:rPr>
      </w:pPr>
      <w:r w:rsidRPr="007143FB">
        <w:rPr>
          <w:b/>
          <w:bCs/>
          <w:noProof/>
          <w:lang w:val="sq-AL"/>
        </w:rPr>
        <w:t>Të ardhurat e fondeve speciale</w:t>
      </w:r>
    </w:p>
    <w:p w:rsidR="00B86F0E" w:rsidRPr="00AD115E" w:rsidRDefault="00B86F0E" w:rsidP="00B86F0E">
      <w:pPr>
        <w:rPr>
          <w:lang w:val="es-ES_tradnl"/>
        </w:rPr>
      </w:pPr>
      <w:r w:rsidRPr="007143FB">
        <w:rPr>
          <w:lang w:val="es-ES_tradnl"/>
        </w:rPr>
        <w:t xml:space="preserve">Të ardhurat nga fondet speciale për periudhën janar – prill 2013 arritën në 20.5 miliardë lekë, me një rritje te lehte prej 0.4 përqind kundrejt të njëjtës periudhë të një viti më parë dhe -0.8 përqind më pak se parashikimi për periudhën. Ky grup të ardhurash përbën rreth 21.7 përqind të të ardhurave tatimore gjithsej për këtë periudhë me 0.7 pikë përqindje rritje duke e krahasuar me peshën e të </w:t>
      </w:r>
      <w:r w:rsidRPr="00AD115E">
        <w:rPr>
          <w:lang w:val="es-ES_tradnl"/>
        </w:rPr>
        <w:t xml:space="preserve">njëjtës periudhë në vitin e kaluar. Nga totali i fondeve speciale, rreth 19.9 miliardë lekë janë kontribute të sigurimeve shoqërore dhe shëndetësore dhe 0.6 miliarde lekë të ardhura për kompensimin në vlerë të pronarëve. </w:t>
      </w:r>
    </w:p>
    <w:p w:rsidR="00B86F0E" w:rsidRDefault="00B86F0E" w:rsidP="00B86F0E">
      <w:pPr>
        <w:rPr>
          <w:lang w:val="es-ES_tradnl"/>
        </w:rPr>
      </w:pPr>
      <w:r w:rsidRPr="00AD115E">
        <w:rPr>
          <w:lang w:val="es-ES_tradnl"/>
        </w:rPr>
        <w:lastRenderedPageBreak/>
        <w:t>Nga sigurimet shoqërore janë mbledhur 17 miliardë lekë, me renie vjetore -1.8 përqind; nga sigurimet shëndetësore janë mbledhur 2.9 miliardë lekë, 14.4 përqind më shume se 4 mujori i një viti më parë.</w:t>
      </w:r>
    </w:p>
    <w:p w:rsidR="00816C05" w:rsidRDefault="00816C05" w:rsidP="00552D26">
      <w:pPr>
        <w:spacing w:before="0" w:after="0"/>
        <w:rPr>
          <w:sz w:val="18"/>
          <w:szCs w:val="18"/>
          <w:lang w:val="es-ES_tradnl"/>
        </w:rPr>
      </w:pPr>
    </w:p>
    <w:p w:rsidR="00816C05" w:rsidRDefault="00816C05" w:rsidP="00552D26">
      <w:pPr>
        <w:spacing w:before="0" w:after="0"/>
        <w:rPr>
          <w:sz w:val="18"/>
          <w:szCs w:val="18"/>
          <w:lang w:val="es-ES_tradnl"/>
        </w:rPr>
      </w:pPr>
    </w:p>
    <w:p w:rsidR="00816C05" w:rsidRDefault="00816C05" w:rsidP="00552D26">
      <w:pPr>
        <w:spacing w:before="0" w:after="0"/>
        <w:rPr>
          <w:sz w:val="18"/>
          <w:szCs w:val="18"/>
          <w:lang w:val="es-ES_tradnl"/>
        </w:rPr>
      </w:pPr>
    </w:p>
    <w:p w:rsidR="00816C05" w:rsidRDefault="00816C05" w:rsidP="00552D26">
      <w:pPr>
        <w:spacing w:before="0" w:after="0"/>
        <w:rPr>
          <w:sz w:val="18"/>
          <w:szCs w:val="18"/>
          <w:lang w:val="es-ES_tradnl"/>
        </w:rPr>
      </w:pPr>
    </w:p>
    <w:p w:rsidR="00816C05" w:rsidRDefault="00816C05" w:rsidP="00552D26">
      <w:pPr>
        <w:spacing w:before="0" w:after="0"/>
        <w:rPr>
          <w:sz w:val="18"/>
          <w:szCs w:val="18"/>
          <w:lang w:val="es-ES_tradnl"/>
        </w:rPr>
      </w:pPr>
    </w:p>
    <w:p w:rsidR="00816C05" w:rsidRDefault="00816C05" w:rsidP="00552D26">
      <w:pPr>
        <w:spacing w:before="0" w:after="0"/>
        <w:rPr>
          <w:sz w:val="18"/>
          <w:szCs w:val="18"/>
          <w:lang w:val="es-ES_tradnl"/>
        </w:rPr>
      </w:pPr>
    </w:p>
    <w:p w:rsidR="00816C05" w:rsidRDefault="00816C05" w:rsidP="00552D26">
      <w:pPr>
        <w:spacing w:before="0" w:after="0"/>
        <w:rPr>
          <w:sz w:val="18"/>
          <w:szCs w:val="18"/>
          <w:lang w:val="es-ES_tradnl"/>
        </w:rPr>
      </w:pPr>
    </w:p>
    <w:p w:rsidR="00816C05" w:rsidRDefault="00816C05" w:rsidP="00552D26">
      <w:pPr>
        <w:spacing w:before="0" w:after="0"/>
        <w:rPr>
          <w:sz w:val="18"/>
          <w:szCs w:val="18"/>
          <w:lang w:val="es-ES_tradnl"/>
        </w:rPr>
      </w:pPr>
    </w:p>
    <w:p w:rsidR="00816C05" w:rsidRDefault="00816C05" w:rsidP="00552D26">
      <w:pPr>
        <w:spacing w:before="0" w:after="0"/>
        <w:rPr>
          <w:sz w:val="18"/>
          <w:szCs w:val="18"/>
          <w:lang w:val="es-ES_tradnl"/>
        </w:rPr>
      </w:pPr>
    </w:p>
    <w:p w:rsidR="00816C05" w:rsidRDefault="00816C05" w:rsidP="00552D26">
      <w:pPr>
        <w:spacing w:before="0" w:after="0"/>
        <w:rPr>
          <w:sz w:val="18"/>
          <w:szCs w:val="18"/>
          <w:lang w:val="es-ES_tradnl"/>
        </w:rPr>
      </w:pPr>
    </w:p>
    <w:p w:rsidR="00816C05" w:rsidRDefault="00816C05" w:rsidP="00552D26">
      <w:pPr>
        <w:spacing w:before="0" w:after="0"/>
        <w:rPr>
          <w:sz w:val="18"/>
          <w:szCs w:val="18"/>
          <w:lang w:val="es-ES_tradnl"/>
        </w:rPr>
      </w:pPr>
    </w:p>
    <w:p w:rsidR="00816C05" w:rsidRDefault="00816C05" w:rsidP="00552D26">
      <w:pPr>
        <w:spacing w:before="0" w:after="0"/>
        <w:rPr>
          <w:sz w:val="18"/>
          <w:szCs w:val="18"/>
          <w:lang w:val="es-ES_tradnl"/>
        </w:rPr>
      </w:pPr>
    </w:p>
    <w:p w:rsidR="00816C05" w:rsidRDefault="00816C05" w:rsidP="00552D26">
      <w:pPr>
        <w:spacing w:before="0" w:after="0"/>
        <w:rPr>
          <w:sz w:val="18"/>
          <w:szCs w:val="18"/>
          <w:lang w:val="es-ES_tradnl"/>
        </w:rPr>
      </w:pPr>
    </w:p>
    <w:p w:rsidR="00816C05" w:rsidRDefault="00816C05" w:rsidP="00552D26">
      <w:pPr>
        <w:spacing w:before="0" w:after="0"/>
        <w:rPr>
          <w:sz w:val="18"/>
          <w:szCs w:val="18"/>
          <w:lang w:val="es-ES_tradnl"/>
        </w:rPr>
      </w:pPr>
    </w:p>
    <w:p w:rsidR="00816C05" w:rsidRDefault="00816C05" w:rsidP="00552D26">
      <w:pPr>
        <w:spacing w:before="0" w:after="0"/>
        <w:rPr>
          <w:sz w:val="18"/>
          <w:szCs w:val="18"/>
          <w:lang w:val="es-ES_tradnl"/>
        </w:rPr>
      </w:pPr>
    </w:p>
    <w:p w:rsidR="00816C05" w:rsidRDefault="00816C05" w:rsidP="00552D26">
      <w:pPr>
        <w:spacing w:before="0" w:after="0"/>
        <w:rPr>
          <w:sz w:val="18"/>
          <w:szCs w:val="18"/>
          <w:lang w:val="es-ES_tradnl"/>
        </w:rPr>
      </w:pPr>
    </w:p>
    <w:p w:rsidR="00816C05" w:rsidRDefault="00816C05" w:rsidP="00552D26">
      <w:pPr>
        <w:spacing w:before="0" w:after="0"/>
        <w:rPr>
          <w:sz w:val="18"/>
          <w:szCs w:val="18"/>
          <w:lang w:val="es-ES_tradnl"/>
        </w:rPr>
      </w:pPr>
    </w:p>
    <w:p w:rsidR="00816C05" w:rsidRDefault="00816C05" w:rsidP="00552D26">
      <w:pPr>
        <w:spacing w:before="0" w:after="0"/>
        <w:rPr>
          <w:sz w:val="18"/>
          <w:szCs w:val="18"/>
          <w:lang w:val="es-ES_tradnl"/>
        </w:rPr>
      </w:pPr>
    </w:p>
    <w:p w:rsidR="00B86F0E" w:rsidRPr="00552D26" w:rsidRDefault="00B86F0E" w:rsidP="00552D26">
      <w:pPr>
        <w:spacing w:before="0" w:after="0"/>
        <w:rPr>
          <w:sz w:val="18"/>
          <w:szCs w:val="18"/>
          <w:lang w:val="es-ES_tradnl"/>
        </w:rPr>
      </w:pPr>
      <w:r w:rsidRPr="00552D26">
        <w:rPr>
          <w:sz w:val="18"/>
          <w:szCs w:val="18"/>
          <w:lang w:val="es-ES_tradnl"/>
        </w:rPr>
        <w:t>Konceptoi: E.Doci</w:t>
      </w:r>
      <w:r w:rsidR="00552D26" w:rsidRPr="00552D26">
        <w:rPr>
          <w:sz w:val="18"/>
          <w:szCs w:val="18"/>
          <w:lang w:val="es-ES_tradnl"/>
        </w:rPr>
        <w:t>, S. Stafa</w:t>
      </w:r>
    </w:p>
    <w:p w:rsidR="00B86F0E" w:rsidRDefault="00B86F0E" w:rsidP="00552D26">
      <w:pPr>
        <w:spacing w:before="0" w:after="0"/>
        <w:rPr>
          <w:sz w:val="18"/>
          <w:szCs w:val="18"/>
          <w:lang w:val="es-ES_tradnl"/>
        </w:rPr>
      </w:pPr>
      <w:r w:rsidRPr="00552D26">
        <w:rPr>
          <w:sz w:val="18"/>
          <w:szCs w:val="18"/>
          <w:lang w:val="es-ES_tradnl"/>
        </w:rPr>
        <w:t xml:space="preserve">Konfirmoi: V. Korkaj </w:t>
      </w:r>
    </w:p>
    <w:p w:rsidR="00552D26" w:rsidRPr="00552D26" w:rsidRDefault="00552D26" w:rsidP="00552D26">
      <w:pPr>
        <w:spacing w:before="0" w:after="0"/>
        <w:rPr>
          <w:sz w:val="18"/>
          <w:szCs w:val="18"/>
          <w:lang w:val="es-ES_tradnl"/>
        </w:rPr>
      </w:pPr>
      <w:r>
        <w:rPr>
          <w:sz w:val="18"/>
          <w:szCs w:val="18"/>
          <w:lang w:val="es-ES_tradnl"/>
        </w:rPr>
        <w:t>Miratoi A. Dyrmishi</w:t>
      </w:r>
    </w:p>
    <w:sectPr w:rsidR="00552D26" w:rsidRPr="00552D26" w:rsidSect="00AB40A7">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5871" w:rsidRPr="00910A86" w:rsidRDefault="00965871" w:rsidP="00865860">
      <w:pPr>
        <w:spacing w:before="0" w:after="0"/>
        <w:rPr>
          <w:rFonts w:ascii="Arial" w:hAnsi="Arial" w:cs="Arial"/>
          <w:sz w:val="20"/>
        </w:rPr>
      </w:pPr>
      <w:r>
        <w:separator/>
      </w:r>
    </w:p>
  </w:endnote>
  <w:endnote w:type="continuationSeparator" w:id="1">
    <w:p w:rsidR="00965871" w:rsidRPr="00910A86" w:rsidRDefault="00965871" w:rsidP="00865860">
      <w:pPr>
        <w:spacing w:before="0" w:after="0"/>
        <w:rPr>
          <w:rFonts w:ascii="Arial" w:hAnsi="Arial" w:cs="Arial"/>
          <w:sz w:val="20"/>
        </w:rPr>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33264827"/>
      <w:docPartObj>
        <w:docPartGallery w:val="Page Numbers (Bottom of Page)"/>
        <w:docPartUnique/>
      </w:docPartObj>
    </w:sdtPr>
    <w:sdtContent>
      <w:p w:rsidR="005F3070" w:rsidRDefault="005146E3">
        <w:pPr>
          <w:pStyle w:val="Footer"/>
          <w:jc w:val="center"/>
        </w:pPr>
        <w:fldSimple w:instr=" PAGE   \* MERGEFORMAT ">
          <w:r w:rsidR="00656BF2">
            <w:rPr>
              <w:noProof/>
            </w:rPr>
            <w:t>6</w:t>
          </w:r>
        </w:fldSimple>
      </w:p>
    </w:sdtContent>
  </w:sdt>
  <w:p w:rsidR="005F3070" w:rsidRDefault="005F307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5871" w:rsidRPr="00910A86" w:rsidRDefault="00965871" w:rsidP="00865860">
      <w:pPr>
        <w:spacing w:before="0" w:after="0"/>
        <w:rPr>
          <w:rFonts w:ascii="Arial" w:hAnsi="Arial" w:cs="Arial"/>
          <w:sz w:val="20"/>
        </w:rPr>
      </w:pPr>
      <w:r>
        <w:separator/>
      </w:r>
    </w:p>
  </w:footnote>
  <w:footnote w:type="continuationSeparator" w:id="1">
    <w:p w:rsidR="00965871" w:rsidRPr="00910A86" w:rsidRDefault="00965871" w:rsidP="00865860">
      <w:pPr>
        <w:spacing w:before="0" w:after="0"/>
        <w:rPr>
          <w:rFonts w:ascii="Arial" w:hAnsi="Arial" w:cs="Arial"/>
          <w:sz w:val="20"/>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B54F82"/>
    <w:multiLevelType w:val="hybridMultilevel"/>
    <w:tmpl w:val="C7DA9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2EC4E09"/>
    <w:multiLevelType w:val="hybridMultilevel"/>
    <w:tmpl w:val="F9D03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FE032D6"/>
    <w:multiLevelType w:val="hybridMultilevel"/>
    <w:tmpl w:val="0F6AC64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
    <w:nsid w:val="7E332E54"/>
    <w:multiLevelType w:val="hybridMultilevel"/>
    <w:tmpl w:val="EFEE0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DB695C"/>
    <w:rsid w:val="00023D18"/>
    <w:rsid w:val="000672E0"/>
    <w:rsid w:val="000703FF"/>
    <w:rsid w:val="000857F7"/>
    <w:rsid w:val="000C1AE6"/>
    <w:rsid w:val="000D2F18"/>
    <w:rsid w:val="000D52CF"/>
    <w:rsid w:val="000E0091"/>
    <w:rsid w:val="00105F11"/>
    <w:rsid w:val="00177A81"/>
    <w:rsid w:val="00187A88"/>
    <w:rsid w:val="001A1999"/>
    <w:rsid w:val="001A71EF"/>
    <w:rsid w:val="001C563D"/>
    <w:rsid w:val="001D3D45"/>
    <w:rsid w:val="002025F6"/>
    <w:rsid w:val="00227D98"/>
    <w:rsid w:val="002655BF"/>
    <w:rsid w:val="0028575C"/>
    <w:rsid w:val="00287C2F"/>
    <w:rsid w:val="002B79C7"/>
    <w:rsid w:val="002C206A"/>
    <w:rsid w:val="002D18D7"/>
    <w:rsid w:val="002D2C91"/>
    <w:rsid w:val="002D7140"/>
    <w:rsid w:val="002E65B1"/>
    <w:rsid w:val="00331A2C"/>
    <w:rsid w:val="00352AFB"/>
    <w:rsid w:val="00356987"/>
    <w:rsid w:val="003616D4"/>
    <w:rsid w:val="003B544B"/>
    <w:rsid w:val="003C3B01"/>
    <w:rsid w:val="003E22F0"/>
    <w:rsid w:val="00400588"/>
    <w:rsid w:val="004403BE"/>
    <w:rsid w:val="004479A2"/>
    <w:rsid w:val="00471EDE"/>
    <w:rsid w:val="00476D2C"/>
    <w:rsid w:val="00495C07"/>
    <w:rsid w:val="004A731D"/>
    <w:rsid w:val="005146E3"/>
    <w:rsid w:val="005370A0"/>
    <w:rsid w:val="00552D26"/>
    <w:rsid w:val="00583F93"/>
    <w:rsid w:val="005957E6"/>
    <w:rsid w:val="005F3070"/>
    <w:rsid w:val="006164A5"/>
    <w:rsid w:val="006210CF"/>
    <w:rsid w:val="00626A5F"/>
    <w:rsid w:val="00640FE3"/>
    <w:rsid w:val="006446C2"/>
    <w:rsid w:val="006548A6"/>
    <w:rsid w:val="00656BF2"/>
    <w:rsid w:val="00660541"/>
    <w:rsid w:val="00672903"/>
    <w:rsid w:val="006A0E11"/>
    <w:rsid w:val="006A6EA3"/>
    <w:rsid w:val="006F50A9"/>
    <w:rsid w:val="00703691"/>
    <w:rsid w:val="007042A6"/>
    <w:rsid w:val="007127A8"/>
    <w:rsid w:val="00716217"/>
    <w:rsid w:val="00726496"/>
    <w:rsid w:val="0073056A"/>
    <w:rsid w:val="007378A0"/>
    <w:rsid w:val="00743CA3"/>
    <w:rsid w:val="00762973"/>
    <w:rsid w:val="00765FF0"/>
    <w:rsid w:val="00773AA4"/>
    <w:rsid w:val="0077486F"/>
    <w:rsid w:val="0078047C"/>
    <w:rsid w:val="007826F1"/>
    <w:rsid w:val="007830CD"/>
    <w:rsid w:val="007B1524"/>
    <w:rsid w:val="007B1557"/>
    <w:rsid w:val="007D6132"/>
    <w:rsid w:val="00816C05"/>
    <w:rsid w:val="00865860"/>
    <w:rsid w:val="00874774"/>
    <w:rsid w:val="008854FF"/>
    <w:rsid w:val="00887B61"/>
    <w:rsid w:val="008A3E1E"/>
    <w:rsid w:val="008B7DF6"/>
    <w:rsid w:val="008D75FD"/>
    <w:rsid w:val="0092305E"/>
    <w:rsid w:val="00965871"/>
    <w:rsid w:val="009E6B30"/>
    <w:rsid w:val="009F770D"/>
    <w:rsid w:val="00A07FFD"/>
    <w:rsid w:val="00A33573"/>
    <w:rsid w:val="00A56C21"/>
    <w:rsid w:val="00A64499"/>
    <w:rsid w:val="00AA3896"/>
    <w:rsid w:val="00AA487B"/>
    <w:rsid w:val="00AB16C0"/>
    <w:rsid w:val="00AB40A7"/>
    <w:rsid w:val="00AD4B54"/>
    <w:rsid w:val="00AD6747"/>
    <w:rsid w:val="00AE28CF"/>
    <w:rsid w:val="00AF32F2"/>
    <w:rsid w:val="00B007E6"/>
    <w:rsid w:val="00B1523A"/>
    <w:rsid w:val="00B4782C"/>
    <w:rsid w:val="00B86F0E"/>
    <w:rsid w:val="00B94212"/>
    <w:rsid w:val="00B9628F"/>
    <w:rsid w:val="00BA02F9"/>
    <w:rsid w:val="00BA2B85"/>
    <w:rsid w:val="00BB007C"/>
    <w:rsid w:val="00BB36A8"/>
    <w:rsid w:val="00BF7934"/>
    <w:rsid w:val="00C02A8B"/>
    <w:rsid w:val="00C15255"/>
    <w:rsid w:val="00C3107B"/>
    <w:rsid w:val="00C34CDC"/>
    <w:rsid w:val="00C4048B"/>
    <w:rsid w:val="00C57B6F"/>
    <w:rsid w:val="00C857A6"/>
    <w:rsid w:val="00C871B9"/>
    <w:rsid w:val="00C959AD"/>
    <w:rsid w:val="00CA0A08"/>
    <w:rsid w:val="00CA65A5"/>
    <w:rsid w:val="00CD164F"/>
    <w:rsid w:val="00CD53C6"/>
    <w:rsid w:val="00D45094"/>
    <w:rsid w:val="00D73DB4"/>
    <w:rsid w:val="00D82B04"/>
    <w:rsid w:val="00DB4058"/>
    <w:rsid w:val="00DB695C"/>
    <w:rsid w:val="00DC3792"/>
    <w:rsid w:val="00DC73A2"/>
    <w:rsid w:val="00DE4011"/>
    <w:rsid w:val="00DE607B"/>
    <w:rsid w:val="00DF5E25"/>
    <w:rsid w:val="00E21ABE"/>
    <w:rsid w:val="00E375DF"/>
    <w:rsid w:val="00E87CD3"/>
    <w:rsid w:val="00EC14D6"/>
    <w:rsid w:val="00ED1251"/>
    <w:rsid w:val="00F43177"/>
    <w:rsid w:val="00F61A3B"/>
    <w:rsid w:val="00F95C50"/>
    <w:rsid w:val="00FB45E5"/>
    <w:rsid w:val="00FD14EA"/>
    <w:rsid w:val="00FD4E3E"/>
    <w:rsid w:val="00FF1C5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Columns 5"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16C0"/>
    <w:pPr>
      <w:spacing w:before="120" w:after="120" w:line="240" w:lineRule="auto"/>
      <w:jc w:val="both"/>
    </w:pPr>
    <w:rPr>
      <w:rFonts w:ascii="Trebuchet MS" w:hAnsi="Trebuchet MS"/>
    </w:rPr>
  </w:style>
  <w:style w:type="paragraph" w:styleId="Heading1">
    <w:name w:val="heading 1"/>
    <w:basedOn w:val="Normal"/>
    <w:next w:val="Normal"/>
    <w:link w:val="Heading1Char"/>
    <w:uiPriority w:val="99"/>
    <w:qFormat/>
    <w:rsid w:val="002B79C7"/>
    <w:pPr>
      <w:keepNext/>
      <w:tabs>
        <w:tab w:val="center" w:pos="5954"/>
      </w:tabs>
      <w:ind w:right="-1"/>
      <w:jc w:val="right"/>
      <w:outlineLvl w:val="0"/>
    </w:pPr>
    <w:rPr>
      <w:rFonts w:eastAsia="Times New Roman" w:cs="Trebuchet MS"/>
      <w:b/>
      <w:bCs/>
      <w:caps/>
      <w:lang w:val="it-IT"/>
    </w:rPr>
  </w:style>
  <w:style w:type="paragraph" w:styleId="Heading2">
    <w:name w:val="heading 2"/>
    <w:basedOn w:val="Normal"/>
    <w:next w:val="Normal"/>
    <w:link w:val="Heading2Char"/>
    <w:uiPriority w:val="9"/>
    <w:semiHidden/>
    <w:unhideWhenUsed/>
    <w:qFormat/>
    <w:rsid w:val="00B86F0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essageHeaderLabel">
    <w:name w:val="Message Header Label"/>
    <w:uiPriority w:val="99"/>
    <w:rsid w:val="00DB695C"/>
    <w:rPr>
      <w:rFonts w:ascii="Arial Black" w:hAnsi="Arial Black"/>
      <w:spacing w:val="-10"/>
      <w:sz w:val="18"/>
    </w:rPr>
  </w:style>
  <w:style w:type="paragraph" w:styleId="ListParagraph">
    <w:name w:val="List Paragraph"/>
    <w:basedOn w:val="Normal"/>
    <w:qFormat/>
    <w:rsid w:val="00476D2C"/>
    <w:pPr>
      <w:ind w:left="720"/>
    </w:pPr>
    <w:rPr>
      <w:rFonts w:ascii="Calibri" w:eastAsia="Times New Roman" w:hAnsi="Calibri" w:cs="Times New Roman"/>
      <w:szCs w:val="24"/>
    </w:rPr>
  </w:style>
  <w:style w:type="paragraph" w:styleId="BalloonText">
    <w:name w:val="Balloon Text"/>
    <w:basedOn w:val="Normal"/>
    <w:link w:val="BalloonTextChar"/>
    <w:uiPriority w:val="99"/>
    <w:semiHidden/>
    <w:unhideWhenUsed/>
    <w:rsid w:val="00476D2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6D2C"/>
    <w:rPr>
      <w:rFonts w:ascii="Tahoma" w:hAnsi="Tahoma" w:cs="Tahoma"/>
      <w:sz w:val="16"/>
      <w:szCs w:val="16"/>
    </w:rPr>
  </w:style>
  <w:style w:type="table" w:styleId="TableGrid">
    <w:name w:val="Table Grid"/>
    <w:basedOn w:val="TableNormal"/>
    <w:uiPriority w:val="59"/>
    <w:rsid w:val="009F770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865860"/>
    <w:pPr>
      <w:tabs>
        <w:tab w:val="center" w:pos="4680"/>
        <w:tab w:val="right" w:pos="9360"/>
      </w:tabs>
      <w:spacing w:before="0" w:after="0"/>
    </w:pPr>
  </w:style>
  <w:style w:type="character" w:customStyle="1" w:styleId="HeaderChar">
    <w:name w:val="Header Char"/>
    <w:basedOn w:val="DefaultParagraphFont"/>
    <w:link w:val="Header"/>
    <w:uiPriority w:val="99"/>
    <w:semiHidden/>
    <w:rsid w:val="00865860"/>
  </w:style>
  <w:style w:type="paragraph" w:styleId="Footer">
    <w:name w:val="footer"/>
    <w:basedOn w:val="Normal"/>
    <w:link w:val="FooterChar"/>
    <w:uiPriority w:val="99"/>
    <w:unhideWhenUsed/>
    <w:rsid w:val="00865860"/>
    <w:pPr>
      <w:tabs>
        <w:tab w:val="center" w:pos="4680"/>
        <w:tab w:val="right" w:pos="9360"/>
      </w:tabs>
      <w:spacing w:before="0" w:after="0"/>
    </w:pPr>
  </w:style>
  <w:style w:type="character" w:customStyle="1" w:styleId="FooterChar">
    <w:name w:val="Footer Char"/>
    <w:basedOn w:val="DefaultParagraphFont"/>
    <w:link w:val="Footer"/>
    <w:uiPriority w:val="99"/>
    <w:rsid w:val="00865860"/>
  </w:style>
  <w:style w:type="character" w:customStyle="1" w:styleId="Heading1Char">
    <w:name w:val="Heading 1 Char"/>
    <w:basedOn w:val="DefaultParagraphFont"/>
    <w:link w:val="Heading1"/>
    <w:uiPriority w:val="99"/>
    <w:rsid w:val="002B79C7"/>
    <w:rPr>
      <w:rFonts w:ascii="Trebuchet MS" w:eastAsia="Times New Roman" w:hAnsi="Trebuchet MS" w:cs="Trebuchet MS"/>
      <w:b/>
      <w:bCs/>
      <w:caps/>
      <w:lang w:val="it-IT"/>
    </w:rPr>
  </w:style>
  <w:style w:type="paragraph" w:styleId="Subtitle">
    <w:name w:val="Subtitle"/>
    <w:basedOn w:val="Normal"/>
    <w:link w:val="SubtitleChar"/>
    <w:uiPriority w:val="99"/>
    <w:qFormat/>
    <w:rsid w:val="002B79C7"/>
    <w:pPr>
      <w:jc w:val="center"/>
    </w:pPr>
    <w:rPr>
      <w:rFonts w:eastAsia="Times New Roman" w:cs="Trebuchet MS"/>
      <w:b/>
      <w:bCs/>
      <w:lang w:val="it-IT"/>
    </w:rPr>
  </w:style>
  <w:style w:type="character" w:customStyle="1" w:styleId="SubtitleChar">
    <w:name w:val="Subtitle Char"/>
    <w:basedOn w:val="DefaultParagraphFont"/>
    <w:link w:val="Subtitle"/>
    <w:uiPriority w:val="99"/>
    <w:rsid w:val="002B79C7"/>
    <w:rPr>
      <w:rFonts w:ascii="Trebuchet MS" w:eastAsia="Times New Roman" w:hAnsi="Trebuchet MS" w:cs="Trebuchet MS"/>
      <w:b/>
      <w:bCs/>
      <w:lang w:val="it-IT"/>
    </w:rPr>
  </w:style>
  <w:style w:type="character" w:customStyle="1" w:styleId="Heading2Char">
    <w:name w:val="Heading 2 Char"/>
    <w:basedOn w:val="DefaultParagraphFont"/>
    <w:link w:val="Heading2"/>
    <w:uiPriority w:val="9"/>
    <w:semiHidden/>
    <w:rsid w:val="00B86F0E"/>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iPriority w:val="99"/>
    <w:semiHidden/>
    <w:unhideWhenUsed/>
    <w:rsid w:val="00FD14EA"/>
    <w:rPr>
      <w:sz w:val="16"/>
      <w:szCs w:val="16"/>
    </w:rPr>
  </w:style>
  <w:style w:type="paragraph" w:styleId="CommentText">
    <w:name w:val="annotation text"/>
    <w:basedOn w:val="Normal"/>
    <w:link w:val="CommentTextChar"/>
    <w:uiPriority w:val="99"/>
    <w:semiHidden/>
    <w:unhideWhenUsed/>
    <w:rsid w:val="00FD14EA"/>
    <w:rPr>
      <w:sz w:val="20"/>
      <w:szCs w:val="20"/>
    </w:rPr>
  </w:style>
  <w:style w:type="character" w:customStyle="1" w:styleId="CommentTextChar">
    <w:name w:val="Comment Text Char"/>
    <w:basedOn w:val="DefaultParagraphFont"/>
    <w:link w:val="CommentText"/>
    <w:uiPriority w:val="99"/>
    <w:semiHidden/>
    <w:rsid w:val="00FD14EA"/>
    <w:rPr>
      <w:sz w:val="20"/>
      <w:szCs w:val="20"/>
    </w:rPr>
  </w:style>
  <w:style w:type="paragraph" w:styleId="CommentSubject">
    <w:name w:val="annotation subject"/>
    <w:basedOn w:val="CommentText"/>
    <w:next w:val="CommentText"/>
    <w:link w:val="CommentSubjectChar"/>
    <w:uiPriority w:val="99"/>
    <w:semiHidden/>
    <w:unhideWhenUsed/>
    <w:rsid w:val="00FD14EA"/>
    <w:rPr>
      <w:b/>
      <w:bCs/>
    </w:rPr>
  </w:style>
  <w:style w:type="character" w:customStyle="1" w:styleId="CommentSubjectChar">
    <w:name w:val="Comment Subject Char"/>
    <w:basedOn w:val="CommentTextChar"/>
    <w:link w:val="CommentSubject"/>
    <w:uiPriority w:val="99"/>
    <w:semiHidden/>
    <w:rsid w:val="00FD14EA"/>
    <w:rPr>
      <w:b/>
      <w:bCs/>
    </w:rPr>
  </w:style>
  <w:style w:type="table" w:styleId="TableColumns5">
    <w:name w:val="Table Columns 5"/>
    <w:basedOn w:val="TableNormal"/>
    <w:rsid w:val="00177A81"/>
    <w:pPr>
      <w:spacing w:before="120" w:after="120" w:line="240" w:lineRule="auto"/>
      <w:jc w:val="both"/>
    </w:pPr>
    <w:rPr>
      <w:rFonts w:ascii="Times New Roman" w:eastAsia="Times New Roman" w:hAnsi="Times New Roman" w:cs="Times New Roman"/>
      <w:sz w:val="20"/>
      <w:szCs w:val="20"/>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241</TotalTime>
  <Pages>6</Pages>
  <Words>1838</Words>
  <Characters>10479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sigitagjoka</dc:creator>
  <cp:keywords/>
  <dc:description/>
  <cp:lastModifiedBy>Sigita.Gjoka</cp:lastModifiedBy>
  <cp:revision>20</cp:revision>
  <cp:lastPrinted>2013-06-14T09:46:00Z</cp:lastPrinted>
  <dcterms:created xsi:type="dcterms:W3CDTF">2013-06-04T13:20:00Z</dcterms:created>
  <dcterms:modified xsi:type="dcterms:W3CDTF">2013-06-14T09:59:00Z</dcterms:modified>
</cp:coreProperties>
</file>