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C7" w:rsidRDefault="002B79C7" w:rsidP="002B79C7">
      <w:pPr>
        <w:tabs>
          <w:tab w:val="center" w:pos="5954"/>
        </w:tabs>
        <w:spacing w:after="0"/>
        <w:ind w:right="-1"/>
        <w:jc w:val="center"/>
        <w:rPr>
          <w:rFonts w:ascii="Times New Roman" w:hAnsi="Times New Roman" w:cs="Times New Roman"/>
          <w:b/>
          <w:bCs/>
          <w:sz w:val="24"/>
          <w:szCs w:val="24"/>
          <w:lang w:val="it-IT"/>
        </w:rPr>
      </w:pPr>
      <w:r>
        <w:rPr>
          <w:rFonts w:ascii="Times New Roman" w:hAnsi="Times New Roman" w:cs="Times New Roman"/>
          <w:noProof/>
          <w:sz w:val="24"/>
          <w:szCs w:val="24"/>
        </w:rPr>
        <w:drawing>
          <wp:inline distT="0" distB="0" distL="0" distR="0">
            <wp:extent cx="319405" cy="457200"/>
            <wp:effectExtent l="19050" t="0" r="4445" b="0"/>
            <wp:docPr id="1" name="Picture 1"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
                    <pic:cNvPicPr>
                      <a:picLocks noChangeAspect="1" noChangeArrowheads="1"/>
                    </pic:cNvPicPr>
                  </pic:nvPicPr>
                  <pic:blipFill>
                    <a:blip r:embed="rId7" cstate="print"/>
                    <a:srcRect/>
                    <a:stretch>
                      <a:fillRect/>
                    </a:stretch>
                  </pic:blipFill>
                  <pic:spPr bwMode="auto">
                    <a:xfrm>
                      <a:off x="0" y="0"/>
                      <a:ext cx="319405" cy="457200"/>
                    </a:xfrm>
                    <a:prstGeom prst="rect">
                      <a:avLst/>
                    </a:prstGeom>
                    <a:noFill/>
                    <a:ln w="9525">
                      <a:noFill/>
                      <a:miter lim="800000"/>
                      <a:headEnd/>
                      <a:tailEnd/>
                    </a:ln>
                  </pic:spPr>
                </pic:pic>
              </a:graphicData>
            </a:graphic>
          </wp:inline>
        </w:drawing>
      </w:r>
    </w:p>
    <w:p w:rsidR="002B79C7" w:rsidRPr="00EA7BE3" w:rsidRDefault="002B79C7" w:rsidP="002B79C7">
      <w:pPr>
        <w:tabs>
          <w:tab w:val="center" w:pos="5954"/>
        </w:tabs>
        <w:spacing w:after="0"/>
        <w:ind w:right="-1"/>
        <w:jc w:val="center"/>
        <w:rPr>
          <w:rFonts w:ascii="Times New Roman" w:hAnsi="Times New Roman" w:cs="Times New Roman"/>
          <w:b/>
          <w:bCs/>
          <w:sz w:val="24"/>
          <w:szCs w:val="24"/>
          <w:lang w:val="it-IT"/>
        </w:rPr>
      </w:pPr>
      <w:r w:rsidRPr="00EA7BE3">
        <w:rPr>
          <w:rFonts w:ascii="Times New Roman" w:hAnsi="Times New Roman" w:cs="Times New Roman"/>
          <w:b/>
          <w:bCs/>
          <w:sz w:val="24"/>
          <w:szCs w:val="24"/>
          <w:lang w:val="it-IT"/>
        </w:rPr>
        <w:t>REPUBLIKA E SHQIPËRISE</w:t>
      </w:r>
    </w:p>
    <w:p w:rsidR="002B79C7" w:rsidRPr="00EA7BE3" w:rsidRDefault="002B79C7" w:rsidP="002B79C7">
      <w:pPr>
        <w:pStyle w:val="Heading1"/>
        <w:spacing w:before="0" w:after="0"/>
        <w:jc w:val="center"/>
        <w:rPr>
          <w:rFonts w:ascii="Times New Roman" w:hAnsi="Times New Roman" w:cs="Times New Roman"/>
          <w:sz w:val="24"/>
          <w:szCs w:val="24"/>
        </w:rPr>
      </w:pPr>
      <w:r w:rsidRPr="00EA7BE3">
        <w:rPr>
          <w:rFonts w:ascii="Times New Roman" w:hAnsi="Times New Roman" w:cs="Times New Roman"/>
          <w:sz w:val="24"/>
          <w:szCs w:val="24"/>
        </w:rPr>
        <w:t>Ministria e Financave</w:t>
      </w:r>
    </w:p>
    <w:p w:rsidR="002B79C7" w:rsidRDefault="002B79C7" w:rsidP="002B79C7">
      <w:pPr>
        <w:pStyle w:val="Subtitle"/>
        <w:spacing w:before="0" w:after="0"/>
        <w:rPr>
          <w:rFonts w:ascii="Times New Roman" w:hAnsi="Times New Roman" w:cs="Times New Roman"/>
          <w:sz w:val="24"/>
          <w:szCs w:val="24"/>
        </w:rPr>
      </w:pPr>
      <w:r w:rsidRPr="00EA7BE3">
        <w:rPr>
          <w:rFonts w:ascii="Times New Roman" w:hAnsi="Times New Roman" w:cs="Times New Roman"/>
          <w:sz w:val="24"/>
          <w:szCs w:val="24"/>
        </w:rPr>
        <w:t>DREJTORIA E PËRGJITHSHME E POLITIKAVE</w:t>
      </w:r>
    </w:p>
    <w:p w:rsidR="002B79C7" w:rsidRPr="00EA7BE3" w:rsidRDefault="002B79C7" w:rsidP="002B79C7">
      <w:pPr>
        <w:pStyle w:val="Subtitle"/>
        <w:spacing w:before="0" w:after="0"/>
        <w:rPr>
          <w:rFonts w:ascii="Times New Roman" w:hAnsi="Times New Roman" w:cs="Times New Roman"/>
          <w:sz w:val="24"/>
          <w:szCs w:val="24"/>
        </w:rPr>
      </w:pPr>
      <w:r w:rsidRPr="00EA7BE3">
        <w:rPr>
          <w:rFonts w:ascii="Times New Roman" w:hAnsi="Times New Roman" w:cs="Times New Roman"/>
          <w:sz w:val="24"/>
          <w:szCs w:val="24"/>
        </w:rPr>
        <w:t>MAKROEKONOMIKE DHE FISKALE</w:t>
      </w:r>
    </w:p>
    <w:p w:rsidR="002B79C7" w:rsidRDefault="002B79C7" w:rsidP="002B79C7">
      <w:pPr>
        <w:tabs>
          <w:tab w:val="center" w:pos="5954"/>
        </w:tabs>
        <w:spacing w:after="0"/>
        <w:rPr>
          <w:rFonts w:ascii="Times New Roman" w:hAnsi="Times New Roman" w:cs="Times New Roman"/>
          <w:b/>
          <w:bCs/>
          <w:sz w:val="24"/>
          <w:szCs w:val="24"/>
          <w:lang w:val="pt-BR"/>
        </w:rPr>
      </w:pPr>
    </w:p>
    <w:p w:rsidR="002B79C7" w:rsidRDefault="002B79C7" w:rsidP="002B79C7">
      <w:pPr>
        <w:tabs>
          <w:tab w:val="center" w:pos="5954"/>
        </w:tabs>
        <w:spacing w:after="0"/>
        <w:rPr>
          <w:rFonts w:ascii="Times New Roman" w:hAnsi="Times New Roman" w:cs="Times New Roman"/>
          <w:b/>
          <w:bCs/>
          <w:sz w:val="24"/>
          <w:szCs w:val="24"/>
          <w:lang w:val="pt-BR"/>
        </w:rPr>
      </w:pPr>
      <w:r w:rsidRPr="00B86F0E">
        <w:rPr>
          <w:rFonts w:ascii="Times New Roman" w:hAnsi="Times New Roman" w:cs="Times New Roman"/>
          <w:b/>
          <w:bCs/>
          <w:sz w:val="24"/>
          <w:szCs w:val="24"/>
          <w:lang w:val="pt-BR"/>
        </w:rPr>
        <w:t>MEMO</w:t>
      </w:r>
    </w:p>
    <w:p w:rsidR="00DE4011" w:rsidRPr="00B86F0E" w:rsidRDefault="00DE4011" w:rsidP="002B79C7">
      <w:pPr>
        <w:tabs>
          <w:tab w:val="center" w:pos="5954"/>
        </w:tabs>
        <w:spacing w:after="0"/>
        <w:rPr>
          <w:rFonts w:ascii="Times New Roman" w:hAnsi="Times New Roman" w:cs="Times New Roman"/>
          <w:b/>
          <w:bCs/>
          <w:sz w:val="24"/>
          <w:szCs w:val="24"/>
          <w:lang w:val="pt-BR"/>
        </w:rPr>
      </w:pPr>
    </w:p>
    <w:p w:rsidR="00B86F0E" w:rsidRPr="00B86F0E" w:rsidRDefault="002B79C7" w:rsidP="00DE4011">
      <w:pPr>
        <w:spacing w:before="0" w:after="0"/>
        <w:rPr>
          <w:rFonts w:ascii="Times New Roman" w:hAnsi="Times New Roman" w:cs="Times New Roman"/>
          <w:b/>
          <w:sz w:val="24"/>
          <w:szCs w:val="24"/>
          <w:lang w:val="pt-BR"/>
        </w:rPr>
      </w:pPr>
      <w:r w:rsidRPr="00B86F0E">
        <w:rPr>
          <w:rFonts w:ascii="Times New Roman" w:hAnsi="Times New Roman" w:cs="Times New Roman"/>
          <w:b/>
          <w:bCs/>
          <w:sz w:val="24"/>
          <w:szCs w:val="24"/>
          <w:lang w:val="pt-BR"/>
        </w:rPr>
        <w:t>Drejtuar:</w:t>
      </w:r>
      <w:r w:rsidRPr="00B86F0E">
        <w:rPr>
          <w:rFonts w:ascii="Times New Roman" w:hAnsi="Times New Roman" w:cs="Times New Roman"/>
          <w:b/>
          <w:bCs/>
          <w:sz w:val="24"/>
          <w:szCs w:val="24"/>
          <w:lang w:val="pt-BR"/>
        </w:rPr>
        <w:tab/>
      </w:r>
      <w:r w:rsidR="00B86F0E" w:rsidRPr="00B86F0E">
        <w:rPr>
          <w:rFonts w:ascii="Times New Roman" w:hAnsi="Times New Roman" w:cs="Times New Roman"/>
          <w:b/>
          <w:bCs/>
          <w:sz w:val="24"/>
          <w:szCs w:val="24"/>
          <w:lang w:val="pt-BR"/>
        </w:rPr>
        <w:tab/>
      </w:r>
      <w:r w:rsidR="00816C05">
        <w:rPr>
          <w:rFonts w:ascii="Times New Roman" w:hAnsi="Times New Roman" w:cs="Times New Roman"/>
          <w:b/>
          <w:sz w:val="24"/>
          <w:szCs w:val="24"/>
          <w:lang w:val="pt-BR"/>
        </w:rPr>
        <w:t xml:space="preserve">Z. </w:t>
      </w:r>
      <w:r w:rsidR="00403897">
        <w:rPr>
          <w:rFonts w:ascii="Times New Roman" w:hAnsi="Times New Roman" w:cs="Times New Roman"/>
          <w:b/>
          <w:sz w:val="24"/>
          <w:szCs w:val="24"/>
          <w:lang w:val="pt-BR"/>
        </w:rPr>
        <w:t>Ridvan BODE</w:t>
      </w:r>
    </w:p>
    <w:p w:rsidR="00B86F0E" w:rsidRDefault="00403897" w:rsidP="00DE4011">
      <w:pPr>
        <w:spacing w:before="0" w:after="0"/>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r>
      <w:r w:rsidR="00816C05" w:rsidRPr="00B86F0E">
        <w:rPr>
          <w:rFonts w:ascii="Times New Roman" w:hAnsi="Times New Roman" w:cs="Times New Roman"/>
          <w:b/>
          <w:sz w:val="24"/>
          <w:szCs w:val="24"/>
          <w:lang w:val="pt-BR"/>
        </w:rPr>
        <w:t xml:space="preserve">MINISTER </w:t>
      </w:r>
    </w:p>
    <w:p w:rsidR="00F505A8" w:rsidRDefault="00F505A8" w:rsidP="00DE4011">
      <w:pPr>
        <w:spacing w:before="0" w:after="0"/>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r>
    </w:p>
    <w:p w:rsidR="00F505A8" w:rsidRDefault="00F505A8" w:rsidP="00F505A8">
      <w:pPr>
        <w:spacing w:before="0" w:after="0"/>
        <w:ind w:left="2160"/>
        <w:rPr>
          <w:rFonts w:ascii="Times New Roman" w:hAnsi="Times New Roman" w:cs="Times New Roman"/>
          <w:b/>
          <w:sz w:val="24"/>
          <w:szCs w:val="24"/>
          <w:lang w:val="pt-BR"/>
        </w:rPr>
      </w:pPr>
      <w:r>
        <w:rPr>
          <w:rFonts w:ascii="Times New Roman" w:hAnsi="Times New Roman" w:cs="Times New Roman"/>
          <w:b/>
          <w:sz w:val="24"/>
          <w:szCs w:val="24"/>
          <w:lang w:val="pt-BR"/>
        </w:rPr>
        <w:t>Z. Alfred RUSHAJ</w:t>
      </w:r>
    </w:p>
    <w:p w:rsidR="00F505A8" w:rsidRDefault="00F505A8" w:rsidP="00DE4011">
      <w:pPr>
        <w:spacing w:before="0" w:after="0"/>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t>ZEVENDESMINISTER</w:t>
      </w:r>
    </w:p>
    <w:p w:rsidR="00F505A8" w:rsidRDefault="00F505A8" w:rsidP="00DE4011">
      <w:pPr>
        <w:spacing w:before="0" w:after="0"/>
        <w:rPr>
          <w:rFonts w:ascii="Times New Roman" w:hAnsi="Times New Roman" w:cs="Times New Roman"/>
          <w:b/>
          <w:sz w:val="24"/>
          <w:szCs w:val="24"/>
          <w:lang w:val="pt-BR"/>
        </w:rPr>
      </w:pPr>
    </w:p>
    <w:p w:rsidR="00F505A8" w:rsidRDefault="00F505A8" w:rsidP="00DE4011">
      <w:pPr>
        <w:spacing w:before="0" w:after="0"/>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t>Z. Nezir HALDEDA</w:t>
      </w:r>
    </w:p>
    <w:p w:rsidR="00F505A8" w:rsidRPr="00B86F0E" w:rsidRDefault="00F505A8" w:rsidP="00DE4011">
      <w:pPr>
        <w:spacing w:before="0" w:after="0"/>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t>ZEVENDESMINISTER</w:t>
      </w:r>
    </w:p>
    <w:p w:rsidR="00816C05" w:rsidRDefault="00B86F0E" w:rsidP="00816C05">
      <w:pPr>
        <w:spacing w:after="0"/>
        <w:ind w:left="2160" w:hanging="2160"/>
        <w:rPr>
          <w:rFonts w:ascii="Times New Roman" w:hAnsi="Times New Roman" w:cs="Times New Roman"/>
          <w:b/>
          <w:bCs/>
          <w:sz w:val="24"/>
          <w:szCs w:val="24"/>
          <w:lang w:val="pt-BR"/>
        </w:rPr>
      </w:pPr>
      <w:r w:rsidRPr="00B86F0E">
        <w:rPr>
          <w:rFonts w:ascii="Times New Roman" w:hAnsi="Times New Roman" w:cs="Times New Roman"/>
          <w:b/>
          <w:bCs/>
          <w:sz w:val="24"/>
          <w:szCs w:val="24"/>
          <w:lang w:val="pt-BR"/>
        </w:rPr>
        <w:t>Nga:</w:t>
      </w:r>
      <w:r w:rsidRPr="00B86F0E">
        <w:rPr>
          <w:rFonts w:ascii="Times New Roman" w:hAnsi="Times New Roman" w:cs="Times New Roman"/>
          <w:b/>
          <w:bCs/>
          <w:sz w:val="24"/>
          <w:szCs w:val="24"/>
          <w:lang w:val="pt-BR"/>
        </w:rPr>
        <w:tab/>
      </w:r>
      <w:r w:rsidR="00816C05">
        <w:rPr>
          <w:rFonts w:ascii="Times New Roman" w:hAnsi="Times New Roman" w:cs="Times New Roman"/>
          <w:b/>
          <w:bCs/>
          <w:sz w:val="24"/>
          <w:szCs w:val="24"/>
          <w:lang w:val="pt-BR"/>
        </w:rPr>
        <w:t xml:space="preserve">Z. </w:t>
      </w:r>
      <w:r w:rsidR="00945529">
        <w:rPr>
          <w:rFonts w:ascii="Times New Roman" w:hAnsi="Times New Roman" w:cs="Times New Roman"/>
          <w:b/>
          <w:bCs/>
          <w:sz w:val="24"/>
          <w:szCs w:val="24"/>
          <w:lang w:val="pt-BR"/>
        </w:rPr>
        <w:t>Dorj</w:t>
      </w:r>
      <w:r w:rsidR="00B9628F">
        <w:rPr>
          <w:rFonts w:ascii="Times New Roman" w:hAnsi="Times New Roman" w:cs="Times New Roman"/>
          <w:b/>
          <w:bCs/>
          <w:sz w:val="24"/>
          <w:szCs w:val="24"/>
          <w:lang w:val="pt-BR"/>
        </w:rPr>
        <w:t>an TELITI</w:t>
      </w:r>
    </w:p>
    <w:p w:rsidR="002B79C7" w:rsidRDefault="00B9628F" w:rsidP="00816C05">
      <w:pPr>
        <w:spacing w:before="0" w:after="0"/>
        <w:ind w:left="2160" w:hanging="2160"/>
        <w:rPr>
          <w:rFonts w:ascii="Times New Roman" w:hAnsi="Times New Roman" w:cs="Times New Roman"/>
          <w:b/>
          <w:bCs/>
          <w:sz w:val="24"/>
          <w:szCs w:val="24"/>
          <w:lang w:val="pt-BR"/>
        </w:rPr>
      </w:pPr>
      <w:r>
        <w:rPr>
          <w:rFonts w:ascii="Times New Roman" w:hAnsi="Times New Roman" w:cs="Times New Roman"/>
          <w:b/>
          <w:bCs/>
          <w:sz w:val="24"/>
          <w:szCs w:val="24"/>
          <w:lang w:val="pt-BR"/>
        </w:rPr>
        <w:tab/>
        <w:t>Sekretar i Pergjithshem</w:t>
      </w:r>
    </w:p>
    <w:p w:rsidR="002B79C7" w:rsidRPr="00B86F0E" w:rsidRDefault="002B79C7" w:rsidP="002B79C7">
      <w:pPr>
        <w:spacing w:after="0"/>
        <w:rPr>
          <w:rFonts w:ascii="Times New Roman" w:hAnsi="Times New Roman" w:cs="Times New Roman"/>
          <w:b/>
          <w:bCs/>
          <w:sz w:val="24"/>
          <w:szCs w:val="24"/>
          <w:lang w:val="it-IT"/>
        </w:rPr>
      </w:pPr>
      <w:r w:rsidRPr="00B86F0E">
        <w:rPr>
          <w:rFonts w:ascii="Times New Roman" w:hAnsi="Times New Roman" w:cs="Times New Roman"/>
          <w:b/>
          <w:bCs/>
          <w:sz w:val="24"/>
          <w:szCs w:val="24"/>
          <w:lang w:val="it-IT"/>
        </w:rPr>
        <w:t>Data:</w:t>
      </w:r>
      <w:r w:rsidRPr="00B86F0E">
        <w:rPr>
          <w:rFonts w:ascii="Times New Roman" w:hAnsi="Times New Roman" w:cs="Times New Roman"/>
          <w:b/>
          <w:bCs/>
          <w:sz w:val="24"/>
          <w:szCs w:val="24"/>
          <w:lang w:val="it-IT"/>
        </w:rPr>
        <w:tab/>
      </w:r>
      <w:r w:rsidRPr="00B86F0E">
        <w:rPr>
          <w:rFonts w:ascii="Times New Roman" w:hAnsi="Times New Roman" w:cs="Times New Roman"/>
          <w:b/>
          <w:bCs/>
          <w:sz w:val="24"/>
          <w:szCs w:val="24"/>
          <w:lang w:val="it-IT"/>
        </w:rPr>
        <w:tab/>
      </w:r>
      <w:r w:rsidRPr="00B86F0E">
        <w:rPr>
          <w:rFonts w:ascii="Times New Roman" w:hAnsi="Times New Roman" w:cs="Times New Roman"/>
          <w:b/>
          <w:bCs/>
          <w:sz w:val="24"/>
          <w:szCs w:val="24"/>
          <w:lang w:val="it-IT"/>
        </w:rPr>
        <w:tab/>
      </w:r>
      <w:r w:rsidR="00F505A8">
        <w:rPr>
          <w:rFonts w:ascii="Times New Roman" w:hAnsi="Times New Roman" w:cs="Times New Roman"/>
          <w:b/>
          <w:bCs/>
          <w:sz w:val="24"/>
          <w:szCs w:val="24"/>
          <w:lang w:val="it-IT"/>
        </w:rPr>
        <w:t>5</w:t>
      </w:r>
      <w:r w:rsidR="000F3F45">
        <w:rPr>
          <w:rFonts w:ascii="Times New Roman" w:hAnsi="Times New Roman" w:cs="Times New Roman"/>
          <w:b/>
          <w:bCs/>
          <w:sz w:val="24"/>
          <w:szCs w:val="24"/>
          <w:lang w:val="it-IT"/>
        </w:rPr>
        <w:t>.7</w:t>
      </w:r>
      <w:r w:rsidR="00DE4011">
        <w:rPr>
          <w:rFonts w:ascii="Times New Roman" w:hAnsi="Times New Roman" w:cs="Times New Roman"/>
          <w:b/>
          <w:bCs/>
          <w:sz w:val="24"/>
          <w:szCs w:val="24"/>
          <w:lang w:val="it-IT"/>
        </w:rPr>
        <w:t>.</w:t>
      </w:r>
      <w:r w:rsidR="00B86F0E" w:rsidRPr="00B86F0E">
        <w:rPr>
          <w:rFonts w:ascii="Times New Roman" w:hAnsi="Times New Roman" w:cs="Times New Roman"/>
          <w:b/>
          <w:bCs/>
          <w:sz w:val="24"/>
          <w:szCs w:val="24"/>
          <w:lang w:val="it-IT"/>
        </w:rPr>
        <w:t>2013</w:t>
      </w:r>
    </w:p>
    <w:p w:rsidR="002B79C7" w:rsidRPr="00B86F0E" w:rsidRDefault="002B79C7" w:rsidP="002B79C7">
      <w:pPr>
        <w:spacing w:after="0"/>
        <w:ind w:left="2160" w:hanging="2160"/>
        <w:rPr>
          <w:rFonts w:ascii="Times New Roman" w:hAnsi="Times New Roman" w:cs="Times New Roman"/>
          <w:b/>
          <w:bCs/>
          <w:sz w:val="24"/>
          <w:szCs w:val="24"/>
          <w:lang w:val="it-IT"/>
        </w:rPr>
      </w:pPr>
      <w:r w:rsidRPr="00B86F0E">
        <w:rPr>
          <w:rFonts w:ascii="Times New Roman" w:hAnsi="Times New Roman" w:cs="Times New Roman"/>
          <w:b/>
          <w:bCs/>
          <w:sz w:val="24"/>
          <w:szCs w:val="24"/>
          <w:lang w:val="it-IT"/>
        </w:rPr>
        <w:t>Subjekti:</w:t>
      </w:r>
      <w:r w:rsidRPr="00B86F0E">
        <w:rPr>
          <w:rFonts w:ascii="Times New Roman" w:hAnsi="Times New Roman" w:cs="Times New Roman"/>
          <w:b/>
          <w:bCs/>
          <w:sz w:val="24"/>
          <w:szCs w:val="24"/>
          <w:lang w:val="it-IT"/>
        </w:rPr>
        <w:tab/>
        <w:t>Ecuria e te ardhu</w:t>
      </w:r>
      <w:r w:rsidR="00403897">
        <w:rPr>
          <w:rFonts w:ascii="Times New Roman" w:hAnsi="Times New Roman" w:cs="Times New Roman"/>
          <w:b/>
          <w:bCs/>
          <w:sz w:val="24"/>
          <w:szCs w:val="24"/>
          <w:lang w:val="it-IT"/>
        </w:rPr>
        <w:t>rave ne Buxhetin e Shtetit per 5</w:t>
      </w:r>
      <w:r w:rsidRPr="00B86F0E">
        <w:rPr>
          <w:rFonts w:ascii="Times New Roman" w:hAnsi="Times New Roman" w:cs="Times New Roman"/>
          <w:b/>
          <w:bCs/>
          <w:sz w:val="24"/>
          <w:szCs w:val="24"/>
          <w:lang w:val="it-IT"/>
        </w:rPr>
        <w:t xml:space="preserve"> mujorin </w:t>
      </w:r>
      <w:r w:rsidR="00B86F0E" w:rsidRPr="00B86F0E">
        <w:rPr>
          <w:rFonts w:ascii="Times New Roman" w:hAnsi="Times New Roman" w:cs="Times New Roman"/>
          <w:b/>
          <w:bCs/>
          <w:sz w:val="24"/>
          <w:szCs w:val="24"/>
          <w:lang w:val="it-IT"/>
        </w:rPr>
        <w:t>2013</w:t>
      </w:r>
      <w:r w:rsidR="00403897">
        <w:rPr>
          <w:rFonts w:ascii="Times New Roman" w:hAnsi="Times New Roman" w:cs="Times New Roman"/>
          <w:b/>
          <w:bCs/>
          <w:sz w:val="24"/>
          <w:szCs w:val="24"/>
          <w:lang w:val="it-IT"/>
        </w:rPr>
        <w:t xml:space="preserve"> dhe parashikimi per muajt ne vijim</w:t>
      </w:r>
    </w:p>
    <w:p w:rsidR="00B86F0E" w:rsidRDefault="002B79C7" w:rsidP="00105F11">
      <w:pPr>
        <w:rPr>
          <w:rStyle w:val="MessageHeaderLabel"/>
          <w:rFonts w:ascii="Calibri" w:hAnsi="Calibri"/>
          <w:b/>
          <w:noProof/>
          <w:color w:val="000000"/>
          <w:spacing w:val="0"/>
          <w:sz w:val="24"/>
          <w:lang w:val="sq-AL"/>
        </w:rPr>
      </w:pPr>
      <w:r>
        <w:rPr>
          <w:rStyle w:val="MessageHeaderLabel"/>
          <w:rFonts w:ascii="Calibri" w:hAnsi="Calibri"/>
          <w:b/>
          <w:noProof/>
          <w:color w:val="000000"/>
          <w:spacing w:val="0"/>
          <w:sz w:val="24"/>
          <w:lang w:val="sq-AL"/>
        </w:rPr>
        <w:t>_____________________________________________________________________________</w:t>
      </w:r>
    </w:p>
    <w:p w:rsidR="000F3F45" w:rsidRDefault="00F505A8" w:rsidP="00B86F0E">
      <w:pPr>
        <w:pStyle w:val="Heading1"/>
        <w:ind w:left="432" w:hanging="432"/>
        <w:jc w:val="both"/>
        <w:rPr>
          <w:rStyle w:val="MessageHeaderLabel"/>
          <w:rFonts w:ascii="Calibri" w:hAnsi="Calibri" w:cs="Calibri"/>
          <w:noProof/>
          <w:sz w:val="24"/>
          <w:szCs w:val="24"/>
          <w:lang w:val="sq-AL"/>
        </w:rPr>
      </w:pPr>
      <w:bookmarkStart w:id="0" w:name="_Toc353453833"/>
      <w:r>
        <w:rPr>
          <w:rStyle w:val="MessageHeaderLabel"/>
          <w:rFonts w:ascii="Calibri" w:hAnsi="Calibri" w:cs="Calibri"/>
          <w:noProof/>
          <w:sz w:val="24"/>
          <w:szCs w:val="24"/>
          <w:lang w:val="sq-AL"/>
        </w:rPr>
        <w:t>I NDERUAR Z. MINISTER</w:t>
      </w:r>
    </w:p>
    <w:p w:rsidR="00F505A8" w:rsidRDefault="00F505A8" w:rsidP="00F505A8">
      <w:pPr>
        <w:pStyle w:val="Heading1"/>
        <w:ind w:left="432" w:hanging="432"/>
        <w:jc w:val="both"/>
        <w:rPr>
          <w:rStyle w:val="MessageHeaderLabel"/>
          <w:rFonts w:ascii="Calibri" w:hAnsi="Calibri" w:cs="Calibri"/>
          <w:noProof/>
          <w:sz w:val="24"/>
          <w:szCs w:val="24"/>
        </w:rPr>
      </w:pPr>
      <w:r w:rsidRPr="00F505A8">
        <w:rPr>
          <w:rStyle w:val="MessageHeaderLabel"/>
          <w:rFonts w:ascii="Calibri" w:hAnsi="Calibri" w:cs="Calibri"/>
          <w:noProof/>
          <w:sz w:val="24"/>
          <w:szCs w:val="24"/>
        </w:rPr>
        <w:t>TE NDERUAR Z. ZEVENDESMINISTRA</w:t>
      </w:r>
    </w:p>
    <w:p w:rsidR="00F505A8" w:rsidRPr="00F505A8" w:rsidRDefault="0061484F" w:rsidP="00F505A8">
      <w:pPr>
        <w:rPr>
          <w:lang w:val="it-IT"/>
        </w:rPr>
      </w:pPr>
      <w:r>
        <w:rPr>
          <w:lang w:val="it-IT"/>
        </w:rPr>
        <w:t>Lutem gjeni ne vijim nje pasqyrim te situates se te ardhurave ne buxhetin e konsoliduar per periudhen janar-maj 2013 dhe parashikimi per pjesen e mbetur te vitit.</w:t>
      </w:r>
    </w:p>
    <w:p w:rsidR="00B86F0E" w:rsidRPr="00841E98" w:rsidRDefault="00B86F0E" w:rsidP="00B86F0E">
      <w:pPr>
        <w:pStyle w:val="Heading1"/>
        <w:ind w:left="432" w:hanging="432"/>
        <w:jc w:val="both"/>
        <w:rPr>
          <w:rStyle w:val="MessageHeaderLabel"/>
          <w:rFonts w:ascii="Calibri" w:hAnsi="Calibri" w:cs="Times New Roman"/>
          <w:noProof/>
          <w:sz w:val="24"/>
          <w:szCs w:val="24"/>
          <w:lang w:val="sq-AL"/>
        </w:rPr>
      </w:pPr>
      <w:r w:rsidRPr="00841E98">
        <w:rPr>
          <w:rStyle w:val="MessageHeaderLabel"/>
          <w:rFonts w:ascii="Calibri" w:hAnsi="Calibri" w:cs="Calibri"/>
          <w:noProof/>
          <w:sz w:val="24"/>
          <w:szCs w:val="24"/>
          <w:lang w:val="sq-AL"/>
        </w:rPr>
        <w:t xml:space="preserve">TREGUESIT FISKALЁ PЁR PERIUDHЁN JANAR – </w:t>
      </w:r>
      <w:r w:rsidR="00021AB1">
        <w:rPr>
          <w:rStyle w:val="MessageHeaderLabel"/>
          <w:rFonts w:ascii="Calibri" w:hAnsi="Calibri" w:cs="Calibri"/>
          <w:noProof/>
          <w:sz w:val="24"/>
          <w:szCs w:val="24"/>
          <w:lang w:val="sq-AL"/>
        </w:rPr>
        <w:t>maj</w:t>
      </w:r>
      <w:r w:rsidRPr="00841E98">
        <w:rPr>
          <w:rStyle w:val="MessageHeaderLabel"/>
          <w:rFonts w:ascii="Calibri" w:hAnsi="Calibri" w:cs="Calibri"/>
          <w:noProof/>
          <w:sz w:val="24"/>
          <w:szCs w:val="24"/>
          <w:lang w:val="sq-AL"/>
        </w:rPr>
        <w:t xml:space="preserve"> 201</w:t>
      </w:r>
      <w:bookmarkEnd w:id="0"/>
      <w:r>
        <w:rPr>
          <w:rStyle w:val="MessageHeaderLabel"/>
          <w:rFonts w:ascii="Calibri" w:hAnsi="Calibri" w:cs="Calibri"/>
          <w:noProof/>
          <w:sz w:val="24"/>
          <w:szCs w:val="24"/>
          <w:lang w:val="sq-AL"/>
        </w:rPr>
        <w:t>3</w:t>
      </w:r>
      <w:r w:rsidRPr="00841E98">
        <w:rPr>
          <w:rStyle w:val="MessageHeaderLabel"/>
          <w:rFonts w:ascii="Calibri" w:hAnsi="Calibri" w:cs="Calibri"/>
          <w:noProof/>
          <w:sz w:val="24"/>
          <w:szCs w:val="24"/>
          <w:lang w:val="sq-AL"/>
        </w:rPr>
        <w:t xml:space="preserve"> </w:t>
      </w:r>
      <w:r w:rsidR="00591AEF">
        <w:rPr>
          <w:rStyle w:val="MessageHeaderLabel"/>
          <w:rFonts w:ascii="Calibri" w:hAnsi="Calibri" w:cs="Calibri"/>
          <w:noProof/>
          <w:sz w:val="24"/>
          <w:szCs w:val="24"/>
          <w:lang w:val="sq-AL"/>
        </w:rPr>
        <w:fldChar w:fldCharType="begin"/>
      </w:r>
      <w:r w:rsidRPr="00841E98">
        <w:rPr>
          <w:rFonts w:cs="Times New Roman"/>
          <w:noProof/>
          <w:lang w:val="sq-AL"/>
        </w:rPr>
        <w:instrText>tc "</w:instrText>
      </w:r>
      <w:bookmarkStart w:id="1" w:name="_Toc314487248"/>
      <w:r w:rsidRPr="00841E98">
        <w:rPr>
          <w:rStyle w:val="MessageHeaderLabel"/>
          <w:rFonts w:ascii="Calibri" w:hAnsi="Calibri" w:cs="Calibri"/>
          <w:noProof/>
          <w:sz w:val="24"/>
          <w:szCs w:val="24"/>
          <w:lang w:val="sq-AL"/>
        </w:rPr>
        <w:instrText>treguesit fiskale kryesorË pËr periudhËn janar-</w:instrText>
      </w:r>
      <w:bookmarkEnd w:id="1"/>
      <w:r w:rsidR="00021AB1">
        <w:rPr>
          <w:rStyle w:val="MessageHeaderLabel"/>
          <w:rFonts w:ascii="Calibri" w:hAnsi="Calibri" w:cs="Calibri"/>
          <w:noProof/>
          <w:sz w:val="24"/>
          <w:szCs w:val="24"/>
          <w:lang w:val="sq-AL"/>
        </w:rPr>
        <w:instrText>maj 2013</w:instrText>
      </w:r>
      <w:r w:rsidRPr="00841E98">
        <w:rPr>
          <w:rFonts w:cs="Times New Roman"/>
          <w:noProof/>
          <w:lang w:val="sq-AL"/>
        </w:rPr>
        <w:instrText>" \f C \l 0</w:instrText>
      </w:r>
      <w:r w:rsidRPr="00841E98">
        <w:rPr>
          <w:noProof/>
          <w:lang w:val="sq-AL"/>
        </w:rPr>
        <w:instrText>0000000001</w:instrText>
      </w:r>
      <w:r w:rsidR="00591AEF">
        <w:rPr>
          <w:rStyle w:val="MessageHeaderLabel"/>
          <w:rFonts w:ascii="Calibri" w:hAnsi="Calibri" w:cs="Calibri"/>
          <w:noProof/>
          <w:sz w:val="24"/>
          <w:szCs w:val="24"/>
          <w:lang w:val="sq-AL"/>
        </w:rPr>
        <w:fldChar w:fldCharType="end"/>
      </w:r>
    </w:p>
    <w:p w:rsidR="00B86F0E" w:rsidRPr="004824B5" w:rsidRDefault="00B86F0E" w:rsidP="00B86F0E">
      <w:pPr>
        <w:rPr>
          <w:rFonts w:cs="Times New Roman"/>
          <w:highlight w:val="yellow"/>
          <w:lang w:val="sq-AL"/>
        </w:rPr>
      </w:pPr>
      <w:r w:rsidRPr="004478BE">
        <w:rPr>
          <w:noProof/>
          <w:lang w:val="it-IT"/>
        </w:rPr>
        <w:t>Të ardhurat e buxhetit të konsoliduar për periudhën</w:t>
      </w:r>
      <w:r w:rsidR="00C61BAC">
        <w:rPr>
          <w:noProof/>
          <w:lang w:val="it-IT"/>
        </w:rPr>
        <w:t xml:space="preserve"> 5</w:t>
      </w:r>
      <w:r>
        <w:rPr>
          <w:noProof/>
          <w:lang w:val="it-IT"/>
        </w:rPr>
        <w:t xml:space="preserve"> </w:t>
      </w:r>
      <w:r w:rsidRPr="004478BE">
        <w:rPr>
          <w:noProof/>
          <w:lang w:val="it-IT"/>
        </w:rPr>
        <w:t xml:space="preserve">mujore arritën në </w:t>
      </w:r>
      <w:r w:rsidR="00C61BAC">
        <w:rPr>
          <w:noProof/>
          <w:lang w:val="it-IT"/>
        </w:rPr>
        <w:t>132.9</w:t>
      </w:r>
      <w:r w:rsidRPr="004478BE">
        <w:rPr>
          <w:noProof/>
          <w:lang w:val="it-IT"/>
        </w:rPr>
        <w:t xml:space="preserve"> miliardë lekë, -</w:t>
      </w:r>
      <w:r w:rsidR="00C61BAC">
        <w:rPr>
          <w:noProof/>
          <w:lang w:val="it-IT"/>
        </w:rPr>
        <w:t>2.2</w:t>
      </w:r>
      <w:r w:rsidRPr="004478BE">
        <w:rPr>
          <w:noProof/>
          <w:lang w:val="it-IT"/>
        </w:rPr>
        <w:t xml:space="preserve"> për</w:t>
      </w:r>
      <w:r>
        <w:rPr>
          <w:noProof/>
          <w:lang w:val="it-IT"/>
        </w:rPr>
        <w:t xml:space="preserve">qind më pak se </w:t>
      </w:r>
      <w:r w:rsidR="00C61BAC">
        <w:rPr>
          <w:noProof/>
          <w:lang w:val="it-IT"/>
        </w:rPr>
        <w:t xml:space="preserve">parashikimi per periudhen </w:t>
      </w:r>
      <w:r w:rsidR="00945529">
        <w:rPr>
          <w:noProof/>
          <w:lang w:val="it-IT"/>
        </w:rPr>
        <w:t>dhe 0.2 përqind më pak</w:t>
      </w:r>
      <w:r w:rsidRPr="00476D66">
        <w:rPr>
          <w:noProof/>
          <w:lang w:val="it-IT"/>
        </w:rPr>
        <w:t xml:space="preserve"> se një vit më parë</w:t>
      </w:r>
      <w:r w:rsidRPr="00476D66">
        <w:rPr>
          <w:noProof/>
        </w:rPr>
        <w:t xml:space="preserve">. </w:t>
      </w:r>
      <w:r w:rsidRPr="00476D66">
        <w:rPr>
          <w:lang w:val="sq-AL"/>
        </w:rPr>
        <w:t>Shpenzimet e përgjithshme të b</w:t>
      </w:r>
      <w:r w:rsidR="00945529">
        <w:rPr>
          <w:lang w:val="sq-AL"/>
        </w:rPr>
        <w:t>uxhetit, në fund të muajit maj 2013 arritën në rreth 171.2</w:t>
      </w:r>
      <w:r w:rsidRPr="00476D66">
        <w:rPr>
          <w:lang w:val="sq-AL"/>
        </w:rPr>
        <w:t xml:space="preserve"> miliardë lekë </w:t>
      </w:r>
      <w:r w:rsidR="00945529">
        <w:rPr>
          <w:lang w:val="sq-AL"/>
        </w:rPr>
        <w:t>ose 6 perqind me shume se parashikimi dhe me rritje vjetore prej 13.3 perqind.</w:t>
      </w:r>
    </w:p>
    <w:p w:rsidR="00B86F0E" w:rsidRDefault="00B86F0E" w:rsidP="00B86F0E">
      <w:pPr>
        <w:pStyle w:val="Heading1"/>
        <w:jc w:val="both"/>
        <w:rPr>
          <w:rStyle w:val="MessageHeaderLabel"/>
          <w:rFonts w:ascii="Calibri" w:hAnsi="Calibri" w:cs="Calibri"/>
          <w:sz w:val="24"/>
          <w:szCs w:val="24"/>
        </w:rPr>
      </w:pPr>
      <w:bookmarkStart w:id="2" w:name="_Toc339363681"/>
      <w:bookmarkStart w:id="3" w:name="_Toc353453834"/>
    </w:p>
    <w:p w:rsidR="00B86F0E" w:rsidRPr="00476D66" w:rsidRDefault="00B86F0E" w:rsidP="00B86F0E">
      <w:pPr>
        <w:pStyle w:val="Heading1"/>
        <w:jc w:val="both"/>
        <w:rPr>
          <w:rStyle w:val="MessageHeaderLabel"/>
          <w:rFonts w:ascii="Calibri" w:hAnsi="Calibri" w:cs="Times New Roman"/>
          <w:b w:val="0"/>
          <w:bCs w:val="0"/>
          <w:sz w:val="24"/>
          <w:szCs w:val="24"/>
        </w:rPr>
      </w:pPr>
      <w:r w:rsidRPr="00476D66">
        <w:rPr>
          <w:rStyle w:val="MessageHeaderLabel"/>
          <w:rFonts w:ascii="Calibri" w:hAnsi="Calibri" w:cs="Calibri"/>
          <w:sz w:val="24"/>
          <w:szCs w:val="24"/>
        </w:rPr>
        <w:t>ANALIZA E TЁ ARDHU</w:t>
      </w:r>
      <w:r w:rsidR="00945529">
        <w:rPr>
          <w:rStyle w:val="MessageHeaderLabel"/>
          <w:rFonts w:ascii="Calibri" w:hAnsi="Calibri" w:cs="Calibri"/>
          <w:sz w:val="24"/>
          <w:szCs w:val="24"/>
        </w:rPr>
        <w:t>RAVE PЁR PERIUDHЁN JANAR – maj</w:t>
      </w:r>
      <w:r w:rsidRPr="00476D66">
        <w:rPr>
          <w:rStyle w:val="MessageHeaderLabel"/>
          <w:rFonts w:ascii="Calibri" w:hAnsi="Calibri" w:cs="Calibri"/>
          <w:sz w:val="24"/>
          <w:szCs w:val="24"/>
        </w:rPr>
        <w:t xml:space="preserve">  2013</w:t>
      </w:r>
      <w:bookmarkEnd w:id="2"/>
      <w:bookmarkEnd w:id="3"/>
    </w:p>
    <w:p w:rsidR="00B86F0E" w:rsidRPr="00B86F0E" w:rsidRDefault="00B86F0E" w:rsidP="00B86F0E">
      <w:pPr>
        <w:pStyle w:val="Heading2"/>
        <w:spacing w:before="120" w:after="120"/>
        <w:rPr>
          <w:rFonts w:ascii="Calibri" w:hAnsi="Calibri" w:cs="Calibri"/>
          <w:color w:val="auto"/>
          <w:sz w:val="24"/>
          <w:szCs w:val="24"/>
        </w:rPr>
      </w:pPr>
      <w:bookmarkStart w:id="4" w:name="_Toc339363682"/>
      <w:bookmarkStart w:id="5" w:name="_Toc353453835"/>
      <w:r w:rsidRPr="00B86F0E">
        <w:rPr>
          <w:rFonts w:ascii="Calibri" w:hAnsi="Calibri" w:cs="Calibri"/>
          <w:color w:val="auto"/>
          <w:sz w:val="24"/>
          <w:szCs w:val="24"/>
        </w:rPr>
        <w:t>Vështrim i përgjithshëm</w:t>
      </w:r>
      <w:bookmarkEnd w:id="4"/>
      <w:bookmarkEnd w:id="5"/>
      <w:r w:rsidR="00591AEF" w:rsidRPr="00B86F0E">
        <w:rPr>
          <w:rFonts w:ascii="Calibri" w:hAnsi="Calibri" w:cs="Calibri"/>
          <w:color w:val="auto"/>
          <w:sz w:val="24"/>
          <w:szCs w:val="24"/>
        </w:rPr>
        <w:fldChar w:fldCharType="begin"/>
      </w:r>
      <w:r w:rsidRPr="00B86F0E">
        <w:rPr>
          <w:rFonts w:ascii="Calibri" w:hAnsi="Calibri" w:cs="Times New Roman"/>
          <w:color w:val="auto"/>
          <w:sz w:val="24"/>
          <w:szCs w:val="24"/>
        </w:rPr>
        <w:instrText>tc "</w:instrText>
      </w:r>
      <w:bookmarkStart w:id="6" w:name="_Toc314487250"/>
      <w:r w:rsidRPr="00B86F0E">
        <w:rPr>
          <w:rFonts w:ascii="Calibri" w:hAnsi="Calibri" w:cs="Calibri"/>
          <w:color w:val="auto"/>
          <w:sz w:val="24"/>
          <w:szCs w:val="24"/>
        </w:rPr>
        <w:instrText>Vështrim i përgjithshëm</w:instrText>
      </w:r>
      <w:bookmarkEnd w:id="6"/>
      <w:r w:rsidRPr="00B86F0E">
        <w:rPr>
          <w:rFonts w:ascii="Calibri" w:hAnsi="Calibri" w:cs="Calibri"/>
          <w:color w:val="auto"/>
          <w:sz w:val="24"/>
          <w:szCs w:val="24"/>
        </w:rPr>
        <w:instrText>" \f C \l 002</w:instrText>
      </w:r>
      <w:r w:rsidR="00591AEF" w:rsidRPr="00B86F0E">
        <w:rPr>
          <w:rFonts w:ascii="Calibri" w:hAnsi="Calibri" w:cs="Calibri"/>
          <w:color w:val="auto"/>
          <w:sz w:val="24"/>
          <w:szCs w:val="24"/>
        </w:rPr>
        <w:fldChar w:fldCharType="end"/>
      </w:r>
      <w:r w:rsidRPr="00B86F0E">
        <w:rPr>
          <w:rFonts w:ascii="Calibri" w:hAnsi="Calibri" w:cs="Calibri"/>
          <w:color w:val="auto"/>
          <w:sz w:val="24"/>
          <w:szCs w:val="24"/>
        </w:rPr>
        <w:t xml:space="preserve"> </w:t>
      </w:r>
    </w:p>
    <w:p w:rsidR="00945529" w:rsidRDefault="00945529" w:rsidP="00B86F0E">
      <w:pPr>
        <w:rPr>
          <w:noProof/>
        </w:rPr>
      </w:pPr>
      <w:r w:rsidRPr="004478BE">
        <w:rPr>
          <w:noProof/>
          <w:lang w:val="it-IT"/>
        </w:rPr>
        <w:t>Të ardhurat e buxhetit të konsoliduar për periudhën</w:t>
      </w:r>
      <w:r>
        <w:rPr>
          <w:noProof/>
          <w:lang w:val="it-IT"/>
        </w:rPr>
        <w:t xml:space="preserve"> 5 </w:t>
      </w:r>
      <w:r w:rsidRPr="004478BE">
        <w:rPr>
          <w:noProof/>
          <w:lang w:val="it-IT"/>
        </w:rPr>
        <w:t xml:space="preserve">mujore arritën në </w:t>
      </w:r>
      <w:r>
        <w:rPr>
          <w:noProof/>
          <w:lang w:val="it-IT"/>
        </w:rPr>
        <w:t>132.9</w:t>
      </w:r>
      <w:r w:rsidRPr="004478BE">
        <w:rPr>
          <w:noProof/>
          <w:lang w:val="it-IT"/>
        </w:rPr>
        <w:t xml:space="preserve"> miliardë lekë, -</w:t>
      </w:r>
      <w:r>
        <w:rPr>
          <w:noProof/>
          <w:lang w:val="it-IT"/>
        </w:rPr>
        <w:t>2.2</w:t>
      </w:r>
      <w:r w:rsidRPr="004478BE">
        <w:rPr>
          <w:noProof/>
          <w:lang w:val="it-IT"/>
        </w:rPr>
        <w:t xml:space="preserve"> për</w:t>
      </w:r>
      <w:r>
        <w:rPr>
          <w:noProof/>
          <w:lang w:val="it-IT"/>
        </w:rPr>
        <w:t>qind më pak se parashikimi per periudhen dhe 0.2 përqind më pak</w:t>
      </w:r>
      <w:r w:rsidRPr="00476D66">
        <w:rPr>
          <w:noProof/>
          <w:lang w:val="it-IT"/>
        </w:rPr>
        <w:t xml:space="preserve"> se një vit më parë</w:t>
      </w:r>
      <w:r w:rsidRPr="00476D66">
        <w:rPr>
          <w:noProof/>
        </w:rPr>
        <w:t xml:space="preserve">. </w:t>
      </w:r>
    </w:p>
    <w:p w:rsidR="00B86F0E" w:rsidRPr="00945529" w:rsidRDefault="00B86F0E" w:rsidP="00B86F0E">
      <w:pPr>
        <w:rPr>
          <w:noProof/>
          <w:lang w:val="es-ES_tradnl"/>
        </w:rPr>
      </w:pPr>
      <w:r w:rsidRPr="00476D66">
        <w:rPr>
          <w:noProof/>
          <w:lang w:val="es-ES_tradnl"/>
        </w:rPr>
        <w:lastRenderedPageBreak/>
        <w:t>Të ardhurat nga tatimet d</w:t>
      </w:r>
      <w:r w:rsidR="00945529">
        <w:rPr>
          <w:noProof/>
          <w:lang w:val="es-ES_tradnl"/>
        </w:rPr>
        <w:t>he doganat ishin në nivelin 88.1 miliardë lekë, ose rreth -6.6</w:t>
      </w:r>
      <w:r w:rsidRPr="00476D66">
        <w:rPr>
          <w:noProof/>
          <w:lang w:val="es-ES_tradnl"/>
        </w:rPr>
        <w:t xml:space="preserve"> mil</w:t>
      </w:r>
      <w:r w:rsidR="00945529">
        <w:rPr>
          <w:noProof/>
          <w:lang w:val="es-ES_tradnl"/>
        </w:rPr>
        <w:t>iardë lekë më pak nga rreth 94.8</w:t>
      </w:r>
      <w:r w:rsidRPr="00476D66">
        <w:rPr>
          <w:noProof/>
          <w:lang w:val="es-ES_tradnl"/>
        </w:rPr>
        <w:t xml:space="preserve"> të p</w:t>
      </w:r>
      <w:r w:rsidR="00945529">
        <w:rPr>
          <w:noProof/>
          <w:lang w:val="es-ES_tradnl"/>
        </w:rPr>
        <w:t>arashikuara</w:t>
      </w:r>
      <w:r w:rsidRPr="00476D66">
        <w:rPr>
          <w:noProof/>
          <w:lang w:val="es-ES_tradnl"/>
        </w:rPr>
        <w:t xml:space="preserve"> për periudhën, dhe -</w:t>
      </w:r>
      <w:r w:rsidR="00945529">
        <w:rPr>
          <w:noProof/>
          <w:lang w:val="es-ES_tradnl"/>
        </w:rPr>
        <w:t>3.2 përqind më pak krahasuar me 5</w:t>
      </w:r>
      <w:r w:rsidRPr="00476D66">
        <w:rPr>
          <w:noProof/>
          <w:lang w:val="es-ES_tradnl"/>
        </w:rPr>
        <w:t xml:space="preserve"> mujorin e një viti më parë</w:t>
      </w:r>
      <w:r w:rsidR="00945529">
        <w:rPr>
          <w:noProof/>
          <w:lang w:val="es-ES_tradnl"/>
        </w:rPr>
        <w:t>,</w:t>
      </w:r>
      <w:r w:rsidRPr="00476D66">
        <w:rPr>
          <w:noProof/>
          <w:lang w:val="es-ES_tradnl"/>
        </w:rPr>
        <w:t xml:space="preserve"> </w:t>
      </w:r>
      <w:r w:rsidR="00945529">
        <w:rPr>
          <w:noProof/>
          <w:lang w:val="es-ES_tradnl"/>
        </w:rPr>
        <w:t>baraz me 2.8</w:t>
      </w:r>
      <w:r w:rsidRPr="00476D66">
        <w:rPr>
          <w:noProof/>
          <w:lang w:val="es-ES_tradnl"/>
        </w:rPr>
        <w:t xml:space="preserve"> miliarde leke ne vlere absolute; të ardhurat ng</w:t>
      </w:r>
      <w:r w:rsidR="00945529">
        <w:rPr>
          <w:noProof/>
          <w:lang w:val="es-ES_tradnl"/>
        </w:rPr>
        <w:t>a pushteti vendor arritën në 5 miliardë lekë nga 5.7</w:t>
      </w:r>
      <w:r w:rsidRPr="00476D66">
        <w:rPr>
          <w:noProof/>
          <w:lang w:val="es-ES_tradnl"/>
        </w:rPr>
        <w:t xml:space="preserve"> miliardë lekë të p</w:t>
      </w:r>
      <w:r w:rsidR="00945529">
        <w:rPr>
          <w:noProof/>
          <w:lang w:val="es-ES_tradnl"/>
        </w:rPr>
        <w:t>arashikuara</w:t>
      </w:r>
      <w:r w:rsidRPr="00476D66">
        <w:rPr>
          <w:noProof/>
          <w:lang w:val="es-ES_tradnl"/>
        </w:rPr>
        <w:t xml:space="preserve"> për këtë periudhë dhe me rënie vjetore </w:t>
      </w:r>
      <w:r w:rsidR="00945529">
        <w:rPr>
          <w:noProof/>
          <w:lang w:val="es-ES_tradnl"/>
        </w:rPr>
        <w:t>te ndjeshme prej -12.4</w:t>
      </w:r>
      <w:r w:rsidRPr="00476D66">
        <w:rPr>
          <w:noProof/>
          <w:lang w:val="es-ES_tradnl"/>
        </w:rPr>
        <w:t xml:space="preserve"> përqind; të ardhurat </w:t>
      </w:r>
      <w:r w:rsidR="00945529">
        <w:rPr>
          <w:noProof/>
          <w:lang w:val="es-ES_tradnl"/>
        </w:rPr>
        <w:t>nga fondet speciale arritën 25 miliardë lekë, ne linje me parashikimin dhe rritje vjetore 1.4 perqind;</w:t>
      </w:r>
      <w:r w:rsidRPr="00476D66">
        <w:rPr>
          <w:noProof/>
          <w:lang w:val="es-ES_tradnl"/>
        </w:rPr>
        <w:t xml:space="preserve"> të ardhurat nga ndih</w:t>
      </w:r>
      <w:r w:rsidR="00F50258">
        <w:rPr>
          <w:noProof/>
          <w:lang w:val="es-ES_tradnl"/>
        </w:rPr>
        <w:t>mat rezultojnë për periudhën 1.7</w:t>
      </w:r>
      <w:r w:rsidRPr="00476D66">
        <w:rPr>
          <w:noProof/>
          <w:lang w:val="es-ES_tradnl"/>
        </w:rPr>
        <w:t xml:space="preserve"> miliardë lekë </w:t>
      </w:r>
      <w:r w:rsidR="00F50258">
        <w:rPr>
          <w:noProof/>
          <w:lang w:val="es-ES_tradnl"/>
        </w:rPr>
        <w:t>me rritje vjetore 25 perqind</w:t>
      </w:r>
      <w:r w:rsidRPr="00476D66">
        <w:rPr>
          <w:noProof/>
          <w:lang w:val="es-ES_tradnl"/>
        </w:rPr>
        <w:t xml:space="preserve">; të ardhurat jo-tatimore </w:t>
      </w:r>
      <w:r w:rsidR="00F50258">
        <w:rPr>
          <w:noProof/>
          <w:lang w:val="es-ES_tradnl"/>
        </w:rPr>
        <w:t>kanë qenë për këtë periudhë rreth 13</w:t>
      </w:r>
      <w:r w:rsidRPr="00476D66">
        <w:rPr>
          <w:noProof/>
          <w:lang w:val="es-ES_tradnl"/>
        </w:rPr>
        <w:t xml:space="preserve"> miliardë lekë </w:t>
      </w:r>
      <w:r w:rsidR="00F50258">
        <w:rPr>
          <w:noProof/>
          <w:lang w:val="es-ES_tradnl"/>
        </w:rPr>
        <w:t>me tejkalim te ndjeshem te parashikimit prej rreth 70 perqind dhe rritje vjetore 25 perqind</w:t>
      </w:r>
      <w:r w:rsidRPr="000920A5">
        <w:t xml:space="preserve">. </w:t>
      </w:r>
      <w:r w:rsidR="00AB16C0">
        <w:t xml:space="preserve">Kontributin me te ndjeshem per kete ecuri pozitive e kane </w:t>
      </w:r>
      <w:r w:rsidR="002543FD">
        <w:t xml:space="preserve">dhene per kete periudhe </w:t>
      </w:r>
      <w:r w:rsidR="00AB16C0">
        <w:t>te ardhurat nga transferimi i fi</w:t>
      </w:r>
      <w:r w:rsidR="002543FD">
        <w:t>timit nga Banka e Shqiperise,</w:t>
      </w:r>
      <w:r w:rsidR="00AB16C0">
        <w:t xml:space="preserve"> Te ardhurat nga Institucionet Buxhetore</w:t>
      </w:r>
      <w:r w:rsidR="0061484F">
        <w:t xml:space="preserve"> por edhe Dividendi.</w:t>
      </w:r>
    </w:p>
    <w:p w:rsidR="00B86F0E" w:rsidRDefault="00B86F0E" w:rsidP="00B86F0E">
      <w:pPr>
        <w:rPr>
          <w:noProof/>
          <w:lang w:val="es-ES_tradnl"/>
        </w:rPr>
      </w:pPr>
      <w:r w:rsidRPr="000920A5">
        <w:rPr>
          <w:noProof/>
          <w:lang w:val="es-ES_tradnl"/>
        </w:rPr>
        <w:t>Tabela 1. Ecuria e te ardhurave sipas zerave</w:t>
      </w:r>
      <w:r w:rsidR="002543FD">
        <w:rPr>
          <w:noProof/>
          <w:lang w:val="es-ES_tradnl"/>
        </w:rPr>
        <w:t xml:space="preserve"> per 5 mujorin ne vite</w:t>
      </w:r>
      <w:r w:rsidRPr="000920A5">
        <w:rPr>
          <w:noProof/>
          <w:lang w:val="es-ES_tradnl"/>
        </w:rPr>
        <w:t>, 2009-2013</w:t>
      </w:r>
    </w:p>
    <w:p w:rsidR="002543FD" w:rsidRPr="000920A5" w:rsidRDefault="00F95E03" w:rsidP="00B86F0E">
      <w:pPr>
        <w:rPr>
          <w:rFonts w:cs="Times New Roman"/>
          <w:noProof/>
          <w:lang w:val="es-ES_tradnl"/>
        </w:rPr>
      </w:pPr>
      <w:r w:rsidRPr="00F95E03">
        <w:rPr>
          <w:noProof/>
        </w:rPr>
        <w:drawing>
          <wp:inline distT="0" distB="0" distL="0" distR="0">
            <wp:extent cx="5943600" cy="468283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4682836"/>
                    </a:xfrm>
                    <a:prstGeom prst="rect">
                      <a:avLst/>
                    </a:prstGeom>
                    <a:noFill/>
                    <a:ln w="9525">
                      <a:noFill/>
                      <a:miter lim="800000"/>
                      <a:headEnd/>
                      <a:tailEnd/>
                    </a:ln>
                  </pic:spPr>
                </pic:pic>
              </a:graphicData>
            </a:graphic>
          </wp:inline>
        </w:drawing>
      </w:r>
    </w:p>
    <w:p w:rsidR="00B86F0E" w:rsidRPr="000920A5" w:rsidRDefault="00B86F0E" w:rsidP="00B86F0E">
      <w:pPr>
        <w:rPr>
          <w:i/>
          <w:iCs/>
          <w:sz w:val="20"/>
          <w:szCs w:val="20"/>
          <w:lang w:val="es-ES_tradnl"/>
        </w:rPr>
      </w:pPr>
      <w:r w:rsidRPr="000920A5">
        <w:rPr>
          <w:i/>
          <w:iCs/>
          <w:sz w:val="20"/>
          <w:szCs w:val="20"/>
          <w:lang w:val="es-ES_tradnl"/>
        </w:rPr>
        <w:t>Burimi: Ministria e Financave</w:t>
      </w:r>
    </w:p>
    <w:p w:rsidR="00552D26" w:rsidRDefault="00552D26" w:rsidP="00B86F0E">
      <w:pPr>
        <w:rPr>
          <w:noProof/>
          <w:lang w:val="es-ES_tradnl"/>
        </w:rPr>
      </w:pPr>
    </w:p>
    <w:p w:rsidR="00B86F0E" w:rsidRPr="00924564" w:rsidRDefault="00B86F0E" w:rsidP="00B86F0E">
      <w:pPr>
        <w:rPr>
          <w:noProof/>
          <w:lang w:val="es-ES_tradnl"/>
        </w:rPr>
      </w:pPr>
      <w:r w:rsidRPr="000920A5">
        <w:rPr>
          <w:noProof/>
          <w:lang w:val="es-ES_tradnl"/>
        </w:rPr>
        <w:t>Sipas agjencive të mbledhjes, admini</w:t>
      </w:r>
      <w:r w:rsidR="00924564">
        <w:rPr>
          <w:noProof/>
          <w:lang w:val="es-ES_tradnl"/>
        </w:rPr>
        <w:t>strata doganore ka mbledhur 51.4</w:t>
      </w:r>
      <w:r w:rsidRPr="000920A5">
        <w:rPr>
          <w:noProof/>
          <w:lang w:val="es-ES_tradnl"/>
        </w:rPr>
        <w:t xml:space="preserve"> miliardë lekë, </w:t>
      </w:r>
      <w:r w:rsidR="00924564">
        <w:rPr>
          <w:noProof/>
          <w:lang w:val="es-ES_tradnl"/>
        </w:rPr>
        <w:t>me rritje vjetore 8.8</w:t>
      </w:r>
      <w:r w:rsidRPr="00962487">
        <w:rPr>
          <w:noProof/>
          <w:lang w:val="es-ES_tradnl"/>
        </w:rPr>
        <w:t xml:space="preserve"> perqind. Sipas zërave të të ardhurave që mbledhin doganat, dy zerat me rritje jane akciza dhe renta minerare në eksport, që jane rritur mbi baza vjetore perkatesisht 66.6 dhe 33.9 përqind</w:t>
      </w:r>
      <w:r w:rsidR="00924564">
        <w:rPr>
          <w:noProof/>
          <w:lang w:val="es-ES_tradnl"/>
        </w:rPr>
        <w:t xml:space="preserve">. Rritja kaq e ndjeshme e te ardhurave nga akciza lidhet me kalimin e </w:t>
      </w:r>
      <w:r w:rsidR="00924564">
        <w:rPr>
          <w:noProof/>
          <w:lang w:val="es-ES_tradnl"/>
        </w:rPr>
        <w:lastRenderedPageBreak/>
        <w:t>mbledhjes se akcizees teresisht tek administrata doganore, nga muaji tetor 2012, por ne kete rezultat kane patur ndikim dhe elemente te performances ne administrim</w:t>
      </w:r>
      <w:r w:rsidRPr="00962487">
        <w:rPr>
          <w:noProof/>
          <w:lang w:val="es-ES_tradnl"/>
        </w:rPr>
        <w:t xml:space="preserve">. Të ardhurat nga TVSH në import </w:t>
      </w:r>
      <w:r w:rsidR="00924564">
        <w:rPr>
          <w:noProof/>
          <w:lang w:val="es-ES_tradnl"/>
        </w:rPr>
        <w:t>arriten shifren e 33.3 miliarde me renie vjetore 5.3</w:t>
      </w:r>
      <w:r w:rsidRPr="00962487">
        <w:rPr>
          <w:noProof/>
          <w:lang w:val="es-ES_tradnl"/>
        </w:rPr>
        <w:t xml:space="preserve"> përqind </w:t>
      </w:r>
    </w:p>
    <w:p w:rsidR="00B86F0E" w:rsidRPr="004824B5" w:rsidRDefault="00B86F0E" w:rsidP="00B86F0E">
      <w:pPr>
        <w:jc w:val="center"/>
        <w:rPr>
          <w:rFonts w:cs="Times New Roman"/>
          <w:noProof/>
          <w:highlight w:val="yellow"/>
        </w:rPr>
      </w:pPr>
    </w:p>
    <w:p w:rsidR="00B86F0E" w:rsidRDefault="00B86F0E" w:rsidP="00B86F0E">
      <w:pPr>
        <w:rPr>
          <w:noProof/>
        </w:rPr>
      </w:pPr>
      <w:r w:rsidRPr="00962487">
        <w:rPr>
          <w:noProof/>
        </w:rPr>
        <w:t>Administrata tatimore ka mbledhur (</w:t>
      </w:r>
      <w:r w:rsidR="009E2309">
        <w:rPr>
          <w:noProof/>
        </w:rPr>
        <w:t xml:space="preserve">pa </w:t>
      </w:r>
      <w:r w:rsidRPr="00962487">
        <w:rPr>
          <w:noProof/>
        </w:rPr>
        <w:t xml:space="preserve">përfshirë kontributet) </w:t>
      </w:r>
      <w:r w:rsidR="009E2309">
        <w:rPr>
          <w:noProof/>
        </w:rPr>
        <w:t>36.7</w:t>
      </w:r>
      <w:r w:rsidRPr="00962487">
        <w:rPr>
          <w:noProof/>
        </w:rPr>
        <w:t xml:space="preserve"> miliardë lekë, që do të thotë</w:t>
      </w:r>
      <w:r w:rsidR="009E2309">
        <w:rPr>
          <w:noProof/>
        </w:rPr>
        <w:t xml:space="preserve"> 16 përqind më pak të ardhura se 5</w:t>
      </w:r>
      <w:r w:rsidRPr="00962487">
        <w:rPr>
          <w:noProof/>
        </w:rPr>
        <w:t xml:space="preserve"> mujori i vitit 2</w:t>
      </w:r>
      <w:r w:rsidR="009E2309">
        <w:rPr>
          <w:noProof/>
        </w:rPr>
        <w:t>012 ose -7</w:t>
      </w:r>
      <w:r w:rsidRPr="00962487">
        <w:rPr>
          <w:noProof/>
        </w:rPr>
        <w:t xml:space="preserve"> miliardë lekë më pak. </w:t>
      </w:r>
      <w:r w:rsidR="009E2309">
        <w:rPr>
          <w:noProof/>
        </w:rPr>
        <w:t>Te</w:t>
      </w:r>
      <w:r w:rsidRPr="00962487">
        <w:rPr>
          <w:noProof/>
        </w:rPr>
        <w:t xml:space="preserve"> ardhurat nga kontributet</w:t>
      </w:r>
      <w:r w:rsidR="009E2309">
        <w:rPr>
          <w:noProof/>
        </w:rPr>
        <w:t xml:space="preserve"> qe mbledh administrata tatimore kane patur ecuri te kenaqshme, duke u rritur me 2.6</w:t>
      </w:r>
      <w:r w:rsidRPr="00962487">
        <w:rPr>
          <w:noProof/>
        </w:rPr>
        <w:t xml:space="preserve"> përqind mbi baza vjetore. Ecuri pozitive ka</w:t>
      </w:r>
      <w:r w:rsidR="009E2309">
        <w:rPr>
          <w:noProof/>
        </w:rPr>
        <w:t xml:space="preserve"> patur per periudhen vetem</w:t>
      </w:r>
      <w:r w:rsidRPr="00962487">
        <w:rPr>
          <w:noProof/>
        </w:rPr>
        <w:t xml:space="preserve"> Tatimi mbi të </w:t>
      </w:r>
      <w:r w:rsidR="009E2309" w:rsidRPr="00962487">
        <w:rPr>
          <w:noProof/>
        </w:rPr>
        <w:t xml:space="preserve">Ardhurat Personale </w:t>
      </w:r>
      <w:r w:rsidR="009E2309">
        <w:rPr>
          <w:noProof/>
        </w:rPr>
        <w:t>qe ka</w:t>
      </w:r>
      <w:r w:rsidRPr="00962487">
        <w:rPr>
          <w:noProof/>
        </w:rPr>
        <w:t xml:space="preserve"> pësuar rritje prej </w:t>
      </w:r>
      <w:r w:rsidR="009E2309">
        <w:rPr>
          <w:noProof/>
        </w:rPr>
        <w:t>9.2</w:t>
      </w:r>
      <w:r w:rsidRPr="00962487">
        <w:rPr>
          <w:noProof/>
        </w:rPr>
        <w:t xml:space="preserve"> përqind në krahasim me të njëjtën periudhë të një viti më parë</w:t>
      </w:r>
      <w:r w:rsidR="009E2309">
        <w:rPr>
          <w:noProof/>
        </w:rPr>
        <w:t>.</w:t>
      </w:r>
    </w:p>
    <w:p w:rsidR="00B86F0E" w:rsidRPr="004824B5" w:rsidRDefault="00B86F0E" w:rsidP="00B86F0E">
      <w:pPr>
        <w:jc w:val="center"/>
        <w:rPr>
          <w:rFonts w:cs="Times New Roman"/>
          <w:highlight w:val="yellow"/>
          <w:lang w:val="fr-FR"/>
        </w:rPr>
      </w:pPr>
    </w:p>
    <w:p w:rsidR="00B86F0E" w:rsidRPr="00B86F0E" w:rsidRDefault="00B86F0E" w:rsidP="00B86F0E">
      <w:pPr>
        <w:pStyle w:val="Heading2"/>
        <w:spacing w:before="120" w:after="120"/>
        <w:ind w:left="576" w:hanging="576"/>
        <w:rPr>
          <w:rFonts w:ascii="Calibri" w:hAnsi="Calibri" w:cs="Calibri"/>
          <w:noProof/>
          <w:color w:val="auto"/>
          <w:sz w:val="24"/>
          <w:szCs w:val="24"/>
        </w:rPr>
      </w:pPr>
      <w:bookmarkStart w:id="7" w:name="_Toc339363683"/>
      <w:bookmarkStart w:id="8" w:name="_Toc353453836"/>
      <w:r w:rsidRPr="00B86F0E">
        <w:rPr>
          <w:rFonts w:ascii="Calibri" w:hAnsi="Calibri" w:cs="Calibri"/>
          <w:noProof/>
          <w:color w:val="auto"/>
          <w:sz w:val="24"/>
          <w:szCs w:val="24"/>
        </w:rPr>
        <w:t>Të ardhurat sipas taksave, tatimeve dhe burimeve të tjera</w:t>
      </w:r>
      <w:bookmarkEnd w:id="7"/>
      <w:bookmarkEnd w:id="8"/>
    </w:p>
    <w:p w:rsidR="00B86F0E" w:rsidRPr="00B86F0E" w:rsidRDefault="00B86F0E" w:rsidP="00B86F0E">
      <w:pPr>
        <w:pStyle w:val="Heading2"/>
        <w:spacing w:before="120" w:after="120"/>
        <w:ind w:left="576" w:hanging="576"/>
        <w:rPr>
          <w:rFonts w:ascii="Calibri" w:hAnsi="Calibri" w:cs="Calibri"/>
          <w:noProof/>
          <w:color w:val="auto"/>
          <w:sz w:val="24"/>
          <w:szCs w:val="24"/>
        </w:rPr>
      </w:pPr>
      <w:bookmarkStart w:id="9" w:name="_Toc339363684"/>
      <w:bookmarkStart w:id="10" w:name="_Toc353453837"/>
      <w:r w:rsidRPr="00B86F0E">
        <w:rPr>
          <w:rFonts w:ascii="Calibri" w:hAnsi="Calibri" w:cs="Calibri"/>
          <w:noProof/>
          <w:color w:val="auto"/>
          <w:sz w:val="24"/>
          <w:szCs w:val="24"/>
        </w:rPr>
        <w:t>Taksimi i konsumit (indirekt)</w:t>
      </w:r>
      <w:bookmarkEnd w:id="9"/>
      <w:bookmarkEnd w:id="10"/>
      <w:r w:rsidR="00591AEF" w:rsidRPr="00B86F0E">
        <w:rPr>
          <w:rFonts w:ascii="Calibri" w:hAnsi="Calibri" w:cs="Calibri"/>
          <w:noProof/>
          <w:color w:val="auto"/>
          <w:sz w:val="24"/>
          <w:szCs w:val="24"/>
        </w:rPr>
        <w:fldChar w:fldCharType="begin"/>
      </w:r>
      <w:r w:rsidRPr="00B86F0E">
        <w:rPr>
          <w:rFonts w:ascii="Calibri" w:hAnsi="Calibri" w:cs="Times New Roman"/>
          <w:color w:val="auto"/>
          <w:sz w:val="24"/>
          <w:szCs w:val="24"/>
        </w:rPr>
        <w:instrText>tc "</w:instrText>
      </w:r>
      <w:bookmarkStart w:id="11" w:name="_Toc314487251"/>
      <w:r w:rsidRPr="00B86F0E">
        <w:rPr>
          <w:rFonts w:ascii="Calibri" w:hAnsi="Calibri" w:cs="Calibri"/>
          <w:noProof/>
          <w:color w:val="auto"/>
          <w:sz w:val="24"/>
          <w:szCs w:val="24"/>
        </w:rPr>
        <w:instrText>Taksimi i konsumit (indirekt)</w:instrText>
      </w:r>
      <w:bookmarkEnd w:id="11"/>
      <w:r w:rsidRPr="00B86F0E">
        <w:rPr>
          <w:rFonts w:ascii="Calibri" w:hAnsi="Calibri" w:cs="Calibri"/>
          <w:color w:val="auto"/>
          <w:sz w:val="24"/>
          <w:szCs w:val="24"/>
        </w:rPr>
        <w:instrText>" \f C \l 00000002</w:instrText>
      </w:r>
      <w:r w:rsidR="00591AEF" w:rsidRPr="00B86F0E">
        <w:rPr>
          <w:rFonts w:ascii="Calibri" w:hAnsi="Calibri" w:cs="Calibri"/>
          <w:noProof/>
          <w:color w:val="auto"/>
          <w:sz w:val="24"/>
          <w:szCs w:val="24"/>
        </w:rPr>
        <w:fldChar w:fldCharType="end"/>
      </w:r>
    </w:p>
    <w:p w:rsidR="00B86F0E" w:rsidRPr="006871FF" w:rsidRDefault="00B86F0E" w:rsidP="00B86F0E">
      <w:pPr>
        <w:jc w:val="left"/>
        <w:rPr>
          <w:rFonts w:cs="Times New Roman"/>
          <w:b/>
          <w:bCs/>
          <w:lang w:val="es-ES_tradnl"/>
        </w:rPr>
      </w:pPr>
      <w:r w:rsidRPr="006871FF">
        <w:rPr>
          <w:b/>
          <w:bCs/>
          <w:lang w:val="es-ES_tradnl"/>
        </w:rPr>
        <w:t>Tatimi mbi Vleren e Shtuar</w:t>
      </w:r>
    </w:p>
    <w:p w:rsidR="00B86F0E" w:rsidRPr="006871FF" w:rsidRDefault="00B86F0E" w:rsidP="00B86F0E">
      <w:pPr>
        <w:jc w:val="left"/>
        <w:rPr>
          <w:rFonts w:cs="Times New Roman"/>
          <w:lang w:val="sq-AL"/>
        </w:rPr>
      </w:pPr>
      <w:r w:rsidRPr="006871FF">
        <w:rPr>
          <w:lang w:val="es-ES_tradnl"/>
        </w:rPr>
        <w:t xml:space="preserve">Tatimi mbi Vlerën e Shtuar </w:t>
      </w:r>
      <w:r w:rsidR="00B039F2">
        <w:rPr>
          <w:lang w:val="es-ES_tradnl"/>
        </w:rPr>
        <w:t xml:space="preserve">eshte nje nga zerat me problematike per periudhen, me ulje te te ardhurave te mbledhura per periudhen 5.4 perqind mbi baza vjetore, duke qene ne nivelin 42.7 miliarde leke, duke rene ne nivelin e vitit 2009. </w:t>
      </w:r>
    </w:p>
    <w:p w:rsidR="00D15A41" w:rsidRPr="006871FF" w:rsidRDefault="00B86F0E" w:rsidP="00D15A41">
      <w:pPr>
        <w:rPr>
          <w:lang w:val="da-DK"/>
        </w:rPr>
      </w:pPr>
      <w:r w:rsidRPr="006871FF">
        <w:rPr>
          <w:lang w:val="es-ES_tradnl"/>
        </w:rPr>
        <w:t>Te ardhurat e mbledhura nga importet ishin nen nivelin,</w:t>
      </w:r>
      <w:r w:rsidR="00B039F2" w:rsidRPr="00B039F2">
        <w:rPr>
          <w:bCs/>
          <w:iCs/>
          <w:lang w:val="es-ES_tradnl"/>
        </w:rPr>
        <w:t xml:space="preserve"> 33.3</w:t>
      </w:r>
      <w:r w:rsidR="00D15A41">
        <w:rPr>
          <w:lang w:val="sq-AL"/>
        </w:rPr>
        <w:t xml:space="preserve"> miliardë lekë TVSH nga 35.5</w:t>
      </w:r>
      <w:r w:rsidRPr="006871FF">
        <w:rPr>
          <w:lang w:val="sq-AL"/>
        </w:rPr>
        <w:t xml:space="preserve"> miliarde te p</w:t>
      </w:r>
      <w:r w:rsidR="00D15A41">
        <w:rPr>
          <w:lang w:val="sq-AL"/>
        </w:rPr>
        <w:t>arashikuara</w:t>
      </w:r>
      <w:r w:rsidRPr="006871FF">
        <w:rPr>
          <w:lang w:val="sq-AL"/>
        </w:rPr>
        <w:t>. Për këtë periudhë, të ardhurat nga TVSH-</w:t>
      </w:r>
      <w:r w:rsidR="00D15A41">
        <w:rPr>
          <w:lang w:val="sq-AL"/>
        </w:rPr>
        <w:t>ja në doganë përbëjnë rreth 78</w:t>
      </w:r>
      <w:r w:rsidRPr="006871FF">
        <w:rPr>
          <w:lang w:val="sq-AL"/>
        </w:rPr>
        <w:t xml:space="preserve"> përqind të të ardhurave gjithsej nga TVSH-ja. Ndërsa krahasuar me të njëtën periudhë të vitit të k</w:t>
      </w:r>
      <w:r w:rsidR="00D15A41">
        <w:rPr>
          <w:lang w:val="sq-AL"/>
        </w:rPr>
        <w:t>aluar ato rezultojnë të jenë 1.9 miliardë lekë më pak ose -5.3</w:t>
      </w:r>
      <w:r w:rsidRPr="006871FF">
        <w:rPr>
          <w:lang w:val="sq-AL"/>
        </w:rPr>
        <w:t xml:space="preserve"> përqind. </w:t>
      </w:r>
      <w:r w:rsidR="00D15A41">
        <w:rPr>
          <w:lang w:val="da-DK"/>
        </w:rPr>
        <w:t xml:space="preserve">Nga te dhenat e Drejtorise se Pergjithshme te Doganave rezulton se nga fillimi i aplikimit te perjashtimit nga TVSH te makinerive dhe pajisjeve bazuar ne ligjin 125/2012 rezulton nje shume TVSH e perjashtuar prej rreth 65 milione leke per muajin maj. </w:t>
      </w:r>
    </w:p>
    <w:p w:rsidR="00B86F0E" w:rsidRDefault="00B86F0E" w:rsidP="00B86F0E">
      <w:pPr>
        <w:rPr>
          <w:lang w:val="da-DK"/>
        </w:rPr>
      </w:pPr>
      <w:r w:rsidRPr="006871FF">
        <w:rPr>
          <w:lang w:val="da-DK"/>
        </w:rPr>
        <w:t xml:space="preserve">Te ardhurat e mbledhura mbi furnizimet e brendshme jane </w:t>
      </w:r>
      <w:r w:rsidR="00D15A41">
        <w:rPr>
          <w:lang w:val="da-DK"/>
        </w:rPr>
        <w:t>9.5</w:t>
      </w:r>
      <w:r w:rsidRPr="006871FF">
        <w:rPr>
          <w:lang w:val="da-DK"/>
        </w:rPr>
        <w:t xml:space="preserve"> miliardë lek</w:t>
      </w:r>
      <w:r w:rsidR="00D15A41">
        <w:rPr>
          <w:lang w:val="da-DK"/>
        </w:rPr>
        <w:t>ë TVSH per periudhen janar-maj</w:t>
      </w:r>
      <w:r w:rsidRPr="006871FF">
        <w:rPr>
          <w:lang w:val="da-DK"/>
        </w:rPr>
        <w:t>, me renie vjetore ne nivelin -5</w:t>
      </w:r>
      <w:r w:rsidR="00D15A41">
        <w:rPr>
          <w:lang w:val="da-DK"/>
        </w:rPr>
        <w:t>.6</w:t>
      </w:r>
      <w:r w:rsidRPr="006871FF">
        <w:rPr>
          <w:lang w:val="da-DK"/>
        </w:rPr>
        <w:t xml:space="preserve"> përqind. </w:t>
      </w:r>
      <w:r w:rsidRPr="006871FF">
        <w:rPr>
          <w:noProof/>
          <w:lang w:val="da-DK"/>
        </w:rPr>
        <w:t>Rimb</w:t>
      </w:r>
      <w:r w:rsidR="00D15A41">
        <w:rPr>
          <w:noProof/>
          <w:lang w:val="da-DK"/>
        </w:rPr>
        <w:t>ursimi i TVSH-së për periudhën 5</w:t>
      </w:r>
      <w:r w:rsidRPr="006871FF">
        <w:rPr>
          <w:noProof/>
          <w:lang w:val="da-DK"/>
        </w:rPr>
        <w:t xml:space="preserve"> mujore nga tatimet </w:t>
      </w:r>
      <w:r w:rsidR="007F3E8A">
        <w:rPr>
          <w:noProof/>
          <w:lang w:val="da-DK"/>
        </w:rPr>
        <w:t>ka arritur 3.5</w:t>
      </w:r>
      <w:r w:rsidRPr="006871FF">
        <w:rPr>
          <w:noProof/>
          <w:lang w:val="da-DK"/>
        </w:rPr>
        <w:t xml:space="preserve"> miliardë lekë me një rritje vjetore prej </w:t>
      </w:r>
      <w:r w:rsidR="007F3E8A">
        <w:rPr>
          <w:noProof/>
          <w:lang w:val="da-DK"/>
        </w:rPr>
        <w:t>35</w:t>
      </w:r>
      <w:r w:rsidR="003E22F0">
        <w:rPr>
          <w:noProof/>
          <w:lang w:val="da-DK"/>
        </w:rPr>
        <w:t xml:space="preserve"> perqind</w:t>
      </w:r>
      <w:r w:rsidR="00A31C49">
        <w:rPr>
          <w:lang w:val="da-DK"/>
        </w:rPr>
        <w:t xml:space="preserve">. </w:t>
      </w:r>
      <w:r w:rsidRPr="006871FF">
        <w:rPr>
          <w:lang w:val="da-DK"/>
        </w:rPr>
        <w:t xml:space="preserve">Në strukturën e të ardhurave tatimore që mbledhin tatimet, vihet re </w:t>
      </w:r>
      <w:r>
        <w:rPr>
          <w:lang w:val="da-DK"/>
        </w:rPr>
        <w:t>mos ndryshimi i</w:t>
      </w:r>
      <w:r w:rsidRPr="006871FF">
        <w:rPr>
          <w:lang w:val="da-DK"/>
        </w:rPr>
        <w:t xml:space="preserve"> peshës specifike të TVSH-së ndaj totalit, </w:t>
      </w:r>
      <w:r>
        <w:rPr>
          <w:lang w:val="da-DK"/>
        </w:rPr>
        <w:t>ne</w:t>
      </w:r>
      <w:r w:rsidR="00A31C49">
        <w:rPr>
          <w:lang w:val="da-DK"/>
        </w:rPr>
        <w:t xml:space="preserve"> 22.6 përqind në 5</w:t>
      </w:r>
      <w:r w:rsidRPr="006871FF">
        <w:rPr>
          <w:lang w:val="da-DK"/>
        </w:rPr>
        <w:t xml:space="preserve"> mujorin 2012</w:t>
      </w:r>
      <w:r>
        <w:rPr>
          <w:lang w:val="da-DK"/>
        </w:rPr>
        <w:t xml:space="preserve"> dhe 2013.</w:t>
      </w:r>
      <w:r w:rsidRPr="006871FF">
        <w:rPr>
          <w:lang w:val="da-DK"/>
        </w:rPr>
        <w:t xml:space="preserve"> </w:t>
      </w:r>
    </w:p>
    <w:p w:rsidR="00595EA2" w:rsidRDefault="00595EA2" w:rsidP="00B86F0E">
      <w:pPr>
        <w:rPr>
          <w:lang w:val="da-DK"/>
        </w:rPr>
      </w:pPr>
      <w:r>
        <w:rPr>
          <w:lang w:val="da-DK"/>
        </w:rPr>
        <w:t>Tabela 2</w:t>
      </w:r>
    </w:p>
    <w:p w:rsidR="003E22F0" w:rsidRDefault="00F70412" w:rsidP="00B86F0E">
      <w:pPr>
        <w:rPr>
          <w:lang w:val="da-DK"/>
        </w:rPr>
      </w:pPr>
      <w:r w:rsidRPr="00F70412">
        <w:rPr>
          <w:noProof/>
        </w:rPr>
        <w:drawing>
          <wp:inline distT="0" distB="0" distL="0" distR="0">
            <wp:extent cx="5053882" cy="2164978"/>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056422" cy="2166066"/>
                    </a:xfrm>
                    <a:prstGeom prst="rect">
                      <a:avLst/>
                    </a:prstGeom>
                    <a:noFill/>
                    <a:ln w="9525">
                      <a:noFill/>
                      <a:miter lim="800000"/>
                      <a:headEnd/>
                      <a:tailEnd/>
                    </a:ln>
                  </pic:spPr>
                </pic:pic>
              </a:graphicData>
            </a:graphic>
          </wp:inline>
        </w:drawing>
      </w:r>
    </w:p>
    <w:p w:rsidR="000672E0" w:rsidRDefault="000672E0" w:rsidP="00B86F0E">
      <w:pPr>
        <w:rPr>
          <w:b/>
          <w:bCs/>
          <w:lang w:val="es-ES_tradnl"/>
        </w:rPr>
      </w:pPr>
    </w:p>
    <w:p w:rsidR="00B86F0E" w:rsidRPr="00093F24" w:rsidRDefault="00B86F0E" w:rsidP="00B86F0E">
      <w:pPr>
        <w:rPr>
          <w:rFonts w:cs="Times New Roman"/>
          <w:b/>
          <w:bCs/>
          <w:lang w:val="es-ES_tradnl"/>
        </w:rPr>
      </w:pPr>
      <w:r w:rsidRPr="00093F24">
        <w:rPr>
          <w:b/>
          <w:bCs/>
          <w:lang w:val="es-ES_tradnl"/>
        </w:rPr>
        <w:lastRenderedPageBreak/>
        <w:t>Akcizat</w:t>
      </w:r>
    </w:p>
    <w:p w:rsidR="00B86F0E" w:rsidRDefault="00B86F0E" w:rsidP="00B86F0E">
      <w:pPr>
        <w:rPr>
          <w:lang w:val="es-ES_tradnl"/>
        </w:rPr>
      </w:pPr>
      <w:r w:rsidRPr="00093F24">
        <w:rPr>
          <w:lang w:val="es-ES_tradnl"/>
        </w:rPr>
        <w:t>Të ardhurat gjithsej nga Ak</w:t>
      </w:r>
      <w:r w:rsidR="007B7B6F">
        <w:rPr>
          <w:lang w:val="es-ES_tradnl"/>
        </w:rPr>
        <w:t>ciza për periudhën Janar – Maj arritën në rreth 13</w:t>
      </w:r>
      <w:r w:rsidRPr="00093F24">
        <w:rPr>
          <w:lang w:val="es-ES_tradnl"/>
        </w:rPr>
        <w:t xml:space="preserve"> miliardë lekë; krahasuar me të njëjtën periudhë të vitit 2012, të ardhurat nga</w:t>
      </w:r>
      <w:r w:rsidR="007B7B6F">
        <w:rPr>
          <w:lang w:val="es-ES_tradnl"/>
        </w:rPr>
        <w:t xml:space="preserve"> kjo taksë kanë rënë në masën -4</w:t>
      </w:r>
      <w:r w:rsidRPr="00093F24">
        <w:rPr>
          <w:lang w:val="es-ES_tradnl"/>
        </w:rPr>
        <w:t xml:space="preserve"> përqind. </w:t>
      </w:r>
      <w:r w:rsidR="006F6A7A">
        <w:rPr>
          <w:lang w:val="es-ES_tradnl"/>
        </w:rPr>
        <w:t>Akciza administrohet dhe mblidhet teresisht nga Administrata Doganore.</w:t>
      </w:r>
    </w:p>
    <w:p w:rsidR="00177A81" w:rsidRDefault="00177A81" w:rsidP="00B86F0E">
      <w:pPr>
        <w:rPr>
          <w:lang w:val="es-ES_tradnl"/>
        </w:rPr>
      </w:pPr>
      <w:r>
        <w:rPr>
          <w:lang w:val="es-ES_tradnl"/>
        </w:rPr>
        <w:t>Ne tabelen ne vijim paraqitet situata e mbledhjes se te ardhurave nga Akciza sipas grup mallrav</w:t>
      </w:r>
      <w:r w:rsidR="00595EA2">
        <w:rPr>
          <w:lang w:val="es-ES_tradnl"/>
        </w:rPr>
        <w:t>e kryesore dhe krahasimi me pese</w:t>
      </w:r>
      <w:r>
        <w:rPr>
          <w:lang w:val="es-ES_tradnl"/>
        </w:rPr>
        <w:t xml:space="preserve">mujorin e nje viti me pare </w:t>
      </w:r>
    </w:p>
    <w:p w:rsidR="00595EA2" w:rsidRDefault="00595EA2"/>
    <w:p w:rsidR="00595EA2" w:rsidRDefault="00595EA2">
      <w:r>
        <w:t xml:space="preserve">Tabela 3. Akciza sipas grup mallrave </w:t>
      </w:r>
      <w:r>
        <w:rPr>
          <w:lang w:val="es-ES_tradnl"/>
        </w:rPr>
        <w:t>(ne milione leke)</w:t>
      </w:r>
    </w:p>
    <w:tbl>
      <w:tblPr>
        <w:tblStyle w:val="TableColumns5"/>
        <w:tblW w:w="0" w:type="auto"/>
        <w:tblLook w:val="04A0"/>
      </w:tblPr>
      <w:tblGrid>
        <w:gridCol w:w="1433"/>
        <w:gridCol w:w="1012"/>
        <w:gridCol w:w="1012"/>
        <w:gridCol w:w="1465"/>
      </w:tblGrid>
      <w:tr w:rsidR="00177A81" w:rsidRPr="00094CD9" w:rsidTr="00B039F2">
        <w:trPr>
          <w:cnfStyle w:val="100000000000"/>
        </w:trPr>
        <w:tc>
          <w:tcPr>
            <w:cnfStyle w:val="001000000000"/>
            <w:tcW w:w="0" w:type="auto"/>
          </w:tcPr>
          <w:p w:rsidR="00177A81" w:rsidRPr="0003300C" w:rsidRDefault="00177A81" w:rsidP="00B039F2">
            <w:pPr>
              <w:spacing w:before="0" w:after="0"/>
              <w:contextualSpacing/>
              <w:jc w:val="left"/>
              <w:rPr>
                <w:bCs w:val="0"/>
                <w:i w:val="0"/>
                <w:iCs w:val="0"/>
              </w:rPr>
            </w:pPr>
            <w:r>
              <w:rPr>
                <w:bCs w:val="0"/>
                <w:i w:val="0"/>
                <w:iCs w:val="0"/>
              </w:rPr>
              <w:t>Emertimi</w:t>
            </w:r>
          </w:p>
        </w:tc>
        <w:tc>
          <w:tcPr>
            <w:tcW w:w="0" w:type="auto"/>
          </w:tcPr>
          <w:p w:rsidR="00177A81" w:rsidRPr="00183E30" w:rsidRDefault="00177A81" w:rsidP="00595EA2">
            <w:pPr>
              <w:spacing w:after="0"/>
              <w:contextualSpacing/>
              <w:cnfStyle w:val="100000000000"/>
              <w:rPr>
                <w:bCs w:val="0"/>
                <w:i w:val="0"/>
                <w:iCs w:val="0"/>
              </w:rPr>
            </w:pPr>
            <w:r w:rsidRPr="00183E30">
              <w:rPr>
                <w:bCs w:val="0"/>
                <w:i w:val="0"/>
                <w:iCs w:val="0"/>
              </w:rPr>
              <w:t>2012</w:t>
            </w:r>
            <w:r w:rsidR="00595EA2">
              <w:rPr>
                <w:bCs w:val="0"/>
                <w:i w:val="0"/>
                <w:iCs w:val="0"/>
              </w:rPr>
              <w:t xml:space="preserve"> 5M</w:t>
            </w:r>
          </w:p>
        </w:tc>
        <w:tc>
          <w:tcPr>
            <w:tcW w:w="0" w:type="auto"/>
          </w:tcPr>
          <w:p w:rsidR="00177A81" w:rsidRPr="00183E30" w:rsidRDefault="00177A81" w:rsidP="00595EA2">
            <w:pPr>
              <w:spacing w:after="0"/>
              <w:contextualSpacing/>
              <w:cnfStyle w:val="100000000000"/>
              <w:rPr>
                <w:bCs w:val="0"/>
                <w:i w:val="0"/>
                <w:iCs w:val="0"/>
              </w:rPr>
            </w:pPr>
            <w:r w:rsidRPr="00183E30">
              <w:rPr>
                <w:bCs w:val="0"/>
                <w:i w:val="0"/>
                <w:iCs w:val="0"/>
              </w:rPr>
              <w:t>2013</w:t>
            </w:r>
            <w:r w:rsidR="00595EA2">
              <w:rPr>
                <w:bCs w:val="0"/>
                <w:i w:val="0"/>
                <w:iCs w:val="0"/>
              </w:rPr>
              <w:t xml:space="preserve"> 5M</w:t>
            </w:r>
          </w:p>
        </w:tc>
        <w:tc>
          <w:tcPr>
            <w:tcW w:w="0" w:type="auto"/>
          </w:tcPr>
          <w:p w:rsidR="00177A81" w:rsidRPr="0003300C" w:rsidRDefault="00177A81" w:rsidP="00B039F2">
            <w:pPr>
              <w:spacing w:before="0" w:after="0"/>
              <w:contextualSpacing/>
              <w:jc w:val="left"/>
              <w:cnfStyle w:val="100000000000"/>
              <w:rPr>
                <w:bCs w:val="0"/>
                <w:i w:val="0"/>
                <w:iCs w:val="0"/>
              </w:rPr>
            </w:pPr>
            <w:r>
              <w:rPr>
                <w:bCs w:val="0"/>
                <w:i w:val="0"/>
                <w:iCs w:val="0"/>
              </w:rPr>
              <w:t>Diferenca (%)</w:t>
            </w:r>
          </w:p>
        </w:tc>
      </w:tr>
      <w:tr w:rsidR="00177A81" w:rsidRPr="00094CD9" w:rsidTr="00B039F2">
        <w:tc>
          <w:tcPr>
            <w:cnfStyle w:val="001000000000"/>
            <w:tcW w:w="0" w:type="auto"/>
            <w:vAlign w:val="center"/>
          </w:tcPr>
          <w:p w:rsidR="00177A81" w:rsidRPr="003829A6" w:rsidRDefault="00177A81" w:rsidP="00B039F2">
            <w:pPr>
              <w:spacing w:before="0" w:after="0"/>
              <w:jc w:val="left"/>
              <w:rPr>
                <w:b w:val="0"/>
                <w:color w:val="000000"/>
              </w:rPr>
            </w:pPr>
            <w:r w:rsidRPr="003829A6">
              <w:rPr>
                <w:b w:val="0"/>
                <w:color w:val="000000"/>
              </w:rPr>
              <w:t xml:space="preserve">Karburantet </w:t>
            </w:r>
          </w:p>
        </w:tc>
        <w:tc>
          <w:tcPr>
            <w:tcW w:w="0" w:type="auto"/>
          </w:tcPr>
          <w:p w:rsidR="00177A81" w:rsidRPr="003829A6" w:rsidRDefault="00550E7F" w:rsidP="00B039F2">
            <w:pPr>
              <w:spacing w:before="0" w:after="0"/>
              <w:contextualSpacing/>
              <w:jc w:val="left"/>
              <w:cnfStyle w:val="000000000000"/>
              <w:rPr>
                <w:rFonts w:cs="Arial"/>
              </w:rPr>
            </w:pPr>
            <w:r>
              <w:rPr>
                <w:rFonts w:cs="Arial"/>
              </w:rPr>
              <w:t>6,490</w:t>
            </w:r>
          </w:p>
        </w:tc>
        <w:tc>
          <w:tcPr>
            <w:tcW w:w="0" w:type="auto"/>
          </w:tcPr>
          <w:p w:rsidR="00177A81" w:rsidRPr="003829A6" w:rsidRDefault="00550E7F" w:rsidP="00B039F2">
            <w:pPr>
              <w:spacing w:before="0" w:after="0"/>
              <w:contextualSpacing/>
              <w:jc w:val="left"/>
              <w:cnfStyle w:val="000000000000"/>
              <w:rPr>
                <w:rFonts w:cs="Arial"/>
              </w:rPr>
            </w:pPr>
            <w:r>
              <w:rPr>
                <w:rFonts w:cs="Arial"/>
              </w:rPr>
              <w:t>8,635</w:t>
            </w:r>
          </w:p>
        </w:tc>
        <w:tc>
          <w:tcPr>
            <w:tcW w:w="0" w:type="auto"/>
          </w:tcPr>
          <w:p w:rsidR="00177A81" w:rsidRPr="003829A6" w:rsidRDefault="00287C2F" w:rsidP="00B039F2">
            <w:pPr>
              <w:spacing w:before="0" w:after="0"/>
              <w:contextualSpacing/>
              <w:jc w:val="left"/>
              <w:cnfStyle w:val="000000000000"/>
              <w:rPr>
                <w:rFonts w:cs="Arial"/>
              </w:rPr>
            </w:pPr>
            <w:r>
              <w:rPr>
                <w:rFonts w:cs="Arial"/>
              </w:rPr>
              <w:t>+</w:t>
            </w:r>
            <w:r w:rsidR="00685065">
              <w:rPr>
                <w:rFonts w:cs="Arial"/>
              </w:rPr>
              <w:t>33</w:t>
            </w:r>
          </w:p>
        </w:tc>
      </w:tr>
      <w:tr w:rsidR="00177A81" w:rsidRPr="00094CD9" w:rsidTr="00B039F2">
        <w:tc>
          <w:tcPr>
            <w:cnfStyle w:val="001000000000"/>
            <w:tcW w:w="0" w:type="auto"/>
            <w:vAlign w:val="center"/>
          </w:tcPr>
          <w:p w:rsidR="00177A81" w:rsidRPr="003829A6" w:rsidRDefault="00177A81" w:rsidP="00B039F2">
            <w:pPr>
              <w:spacing w:before="0" w:after="0"/>
              <w:jc w:val="left"/>
              <w:rPr>
                <w:b w:val="0"/>
                <w:color w:val="000000"/>
              </w:rPr>
            </w:pPr>
            <w:r w:rsidRPr="003829A6">
              <w:rPr>
                <w:b w:val="0"/>
                <w:color w:val="000000"/>
              </w:rPr>
              <w:t>-vendi</w:t>
            </w:r>
          </w:p>
        </w:tc>
        <w:tc>
          <w:tcPr>
            <w:tcW w:w="0" w:type="auto"/>
          </w:tcPr>
          <w:p w:rsidR="00177A81" w:rsidRPr="003829A6" w:rsidRDefault="00550E7F" w:rsidP="00B039F2">
            <w:pPr>
              <w:spacing w:before="0" w:after="0"/>
              <w:contextualSpacing/>
              <w:jc w:val="left"/>
              <w:cnfStyle w:val="000000000000"/>
              <w:rPr>
                <w:rFonts w:cs="Arial"/>
              </w:rPr>
            </w:pPr>
            <w:r>
              <w:rPr>
                <w:rFonts w:cs="Arial"/>
              </w:rPr>
              <w:t>290</w:t>
            </w:r>
          </w:p>
        </w:tc>
        <w:tc>
          <w:tcPr>
            <w:tcW w:w="0" w:type="auto"/>
          </w:tcPr>
          <w:p w:rsidR="00177A81" w:rsidRPr="003829A6" w:rsidRDefault="00550E7F" w:rsidP="00B039F2">
            <w:pPr>
              <w:spacing w:before="0" w:after="0"/>
              <w:contextualSpacing/>
              <w:jc w:val="left"/>
              <w:cnfStyle w:val="000000000000"/>
              <w:rPr>
                <w:rFonts w:cs="Arial"/>
              </w:rPr>
            </w:pPr>
            <w:r>
              <w:rPr>
                <w:rFonts w:cs="Arial"/>
              </w:rPr>
              <w:t>1,402</w:t>
            </w:r>
          </w:p>
        </w:tc>
        <w:tc>
          <w:tcPr>
            <w:tcW w:w="0" w:type="auto"/>
          </w:tcPr>
          <w:p w:rsidR="00177A81" w:rsidRPr="003829A6" w:rsidRDefault="00287C2F" w:rsidP="00B039F2">
            <w:pPr>
              <w:spacing w:before="0" w:after="0"/>
              <w:contextualSpacing/>
              <w:jc w:val="left"/>
              <w:cnfStyle w:val="000000000000"/>
              <w:rPr>
                <w:rFonts w:cs="Arial"/>
              </w:rPr>
            </w:pPr>
            <w:r>
              <w:rPr>
                <w:rFonts w:cs="Arial"/>
              </w:rPr>
              <w:t>+</w:t>
            </w:r>
            <w:r w:rsidR="00685065">
              <w:rPr>
                <w:rFonts w:cs="Arial"/>
              </w:rPr>
              <w:t>383</w:t>
            </w:r>
          </w:p>
        </w:tc>
      </w:tr>
      <w:tr w:rsidR="00177A81" w:rsidRPr="00094CD9" w:rsidTr="00B039F2">
        <w:tc>
          <w:tcPr>
            <w:cnfStyle w:val="001000000000"/>
            <w:tcW w:w="0" w:type="auto"/>
            <w:vAlign w:val="center"/>
          </w:tcPr>
          <w:p w:rsidR="00177A81" w:rsidRPr="003829A6" w:rsidRDefault="00177A81" w:rsidP="00B039F2">
            <w:pPr>
              <w:spacing w:before="0" w:after="0"/>
              <w:jc w:val="left"/>
              <w:rPr>
                <w:b w:val="0"/>
                <w:color w:val="000000"/>
              </w:rPr>
            </w:pPr>
            <w:r w:rsidRPr="003829A6">
              <w:rPr>
                <w:b w:val="0"/>
                <w:color w:val="000000"/>
              </w:rPr>
              <w:t>-importi</w:t>
            </w:r>
          </w:p>
        </w:tc>
        <w:tc>
          <w:tcPr>
            <w:tcW w:w="0" w:type="auto"/>
          </w:tcPr>
          <w:p w:rsidR="00177A81" w:rsidRPr="003829A6" w:rsidRDefault="00550E7F" w:rsidP="00B039F2">
            <w:pPr>
              <w:spacing w:before="0" w:after="0"/>
              <w:contextualSpacing/>
              <w:jc w:val="left"/>
              <w:cnfStyle w:val="000000000000"/>
              <w:rPr>
                <w:rFonts w:cs="Arial"/>
              </w:rPr>
            </w:pPr>
            <w:r>
              <w:rPr>
                <w:rFonts w:cs="Arial"/>
              </w:rPr>
              <w:t>6,200</w:t>
            </w:r>
          </w:p>
        </w:tc>
        <w:tc>
          <w:tcPr>
            <w:tcW w:w="0" w:type="auto"/>
          </w:tcPr>
          <w:p w:rsidR="00177A81" w:rsidRPr="003829A6" w:rsidRDefault="00550E7F" w:rsidP="00B039F2">
            <w:pPr>
              <w:spacing w:before="0" w:after="0"/>
              <w:contextualSpacing/>
              <w:jc w:val="left"/>
              <w:cnfStyle w:val="000000000000"/>
              <w:rPr>
                <w:rFonts w:cs="Arial"/>
              </w:rPr>
            </w:pPr>
            <w:r>
              <w:rPr>
                <w:rFonts w:cs="Arial"/>
              </w:rPr>
              <w:t>7,233</w:t>
            </w:r>
          </w:p>
        </w:tc>
        <w:tc>
          <w:tcPr>
            <w:tcW w:w="0" w:type="auto"/>
          </w:tcPr>
          <w:p w:rsidR="00177A81" w:rsidRPr="003829A6" w:rsidRDefault="00287C2F" w:rsidP="00B039F2">
            <w:pPr>
              <w:spacing w:before="0" w:after="0"/>
              <w:contextualSpacing/>
              <w:jc w:val="left"/>
              <w:cnfStyle w:val="000000000000"/>
              <w:rPr>
                <w:rFonts w:cs="Arial"/>
              </w:rPr>
            </w:pPr>
            <w:r>
              <w:rPr>
                <w:rFonts w:cs="Arial"/>
              </w:rPr>
              <w:t>+</w:t>
            </w:r>
            <w:r w:rsidR="00685065">
              <w:rPr>
                <w:rFonts w:cs="Arial"/>
              </w:rPr>
              <w:t>16.7</w:t>
            </w:r>
          </w:p>
        </w:tc>
      </w:tr>
      <w:tr w:rsidR="00177A81" w:rsidRPr="00094CD9" w:rsidTr="00B039F2">
        <w:tc>
          <w:tcPr>
            <w:cnfStyle w:val="001000000000"/>
            <w:tcW w:w="0" w:type="auto"/>
            <w:vAlign w:val="center"/>
          </w:tcPr>
          <w:p w:rsidR="00177A81" w:rsidRPr="003829A6" w:rsidRDefault="00177A81" w:rsidP="00B039F2">
            <w:pPr>
              <w:spacing w:before="0" w:after="0"/>
              <w:jc w:val="left"/>
              <w:rPr>
                <w:b w:val="0"/>
                <w:color w:val="000000"/>
              </w:rPr>
            </w:pPr>
            <w:r w:rsidRPr="003829A6">
              <w:rPr>
                <w:b w:val="0"/>
                <w:color w:val="000000"/>
              </w:rPr>
              <w:t>Pije alkoolike</w:t>
            </w:r>
          </w:p>
        </w:tc>
        <w:tc>
          <w:tcPr>
            <w:tcW w:w="0" w:type="auto"/>
          </w:tcPr>
          <w:p w:rsidR="00177A81" w:rsidRPr="003829A6" w:rsidRDefault="00550E7F" w:rsidP="00B039F2">
            <w:pPr>
              <w:spacing w:before="0" w:after="0"/>
              <w:contextualSpacing/>
              <w:jc w:val="left"/>
              <w:cnfStyle w:val="000000000000"/>
              <w:rPr>
                <w:rFonts w:cs="Arial"/>
              </w:rPr>
            </w:pPr>
            <w:r>
              <w:rPr>
                <w:rFonts w:cs="Arial"/>
              </w:rPr>
              <w:t>535</w:t>
            </w:r>
          </w:p>
        </w:tc>
        <w:tc>
          <w:tcPr>
            <w:tcW w:w="0" w:type="auto"/>
          </w:tcPr>
          <w:p w:rsidR="00177A81" w:rsidRPr="003829A6" w:rsidRDefault="00550E7F" w:rsidP="00B039F2">
            <w:pPr>
              <w:spacing w:before="0" w:after="0"/>
              <w:contextualSpacing/>
              <w:jc w:val="left"/>
              <w:cnfStyle w:val="000000000000"/>
              <w:rPr>
                <w:rFonts w:cs="Arial"/>
              </w:rPr>
            </w:pPr>
            <w:r>
              <w:rPr>
                <w:rFonts w:cs="Arial"/>
              </w:rPr>
              <w:t>298</w:t>
            </w:r>
          </w:p>
        </w:tc>
        <w:tc>
          <w:tcPr>
            <w:tcW w:w="0" w:type="auto"/>
          </w:tcPr>
          <w:p w:rsidR="00177A81" w:rsidRPr="003829A6" w:rsidRDefault="00287C2F" w:rsidP="00B039F2">
            <w:pPr>
              <w:spacing w:before="0" w:after="0"/>
              <w:contextualSpacing/>
              <w:jc w:val="left"/>
              <w:cnfStyle w:val="000000000000"/>
              <w:rPr>
                <w:rFonts w:cs="Arial"/>
              </w:rPr>
            </w:pPr>
            <w:r>
              <w:rPr>
                <w:rFonts w:cs="Arial"/>
              </w:rPr>
              <w:t>-</w:t>
            </w:r>
            <w:r w:rsidR="00685065">
              <w:rPr>
                <w:rFonts w:cs="Arial"/>
              </w:rPr>
              <w:t>44</w:t>
            </w:r>
          </w:p>
        </w:tc>
      </w:tr>
      <w:tr w:rsidR="00177A81" w:rsidRPr="00094CD9" w:rsidTr="00B039F2">
        <w:tc>
          <w:tcPr>
            <w:cnfStyle w:val="001000000000"/>
            <w:tcW w:w="0" w:type="auto"/>
            <w:vAlign w:val="center"/>
          </w:tcPr>
          <w:p w:rsidR="00177A81" w:rsidRPr="003829A6" w:rsidRDefault="00177A81" w:rsidP="00B039F2">
            <w:pPr>
              <w:spacing w:before="0" w:after="0"/>
              <w:jc w:val="left"/>
              <w:rPr>
                <w:b w:val="0"/>
                <w:color w:val="000000"/>
              </w:rPr>
            </w:pPr>
            <w:r w:rsidRPr="003829A6">
              <w:rPr>
                <w:b w:val="0"/>
                <w:color w:val="000000"/>
              </w:rPr>
              <w:t xml:space="preserve">Cigare </w:t>
            </w:r>
          </w:p>
        </w:tc>
        <w:tc>
          <w:tcPr>
            <w:tcW w:w="0" w:type="auto"/>
          </w:tcPr>
          <w:p w:rsidR="00177A81" w:rsidRPr="003829A6" w:rsidRDefault="00550E7F" w:rsidP="00B039F2">
            <w:pPr>
              <w:spacing w:before="0" w:after="0"/>
              <w:contextualSpacing/>
              <w:jc w:val="left"/>
              <w:cnfStyle w:val="000000000000"/>
              <w:rPr>
                <w:rFonts w:cs="Arial"/>
              </w:rPr>
            </w:pPr>
            <w:r>
              <w:rPr>
                <w:rFonts w:cs="Arial"/>
              </w:rPr>
              <w:t>5,434</w:t>
            </w:r>
          </w:p>
        </w:tc>
        <w:tc>
          <w:tcPr>
            <w:tcW w:w="0" w:type="auto"/>
          </w:tcPr>
          <w:p w:rsidR="00177A81" w:rsidRPr="003829A6" w:rsidRDefault="00287C2F" w:rsidP="00B039F2">
            <w:pPr>
              <w:spacing w:before="0" w:after="0"/>
              <w:contextualSpacing/>
              <w:jc w:val="left"/>
              <w:cnfStyle w:val="000000000000"/>
              <w:rPr>
                <w:rFonts w:cs="Arial"/>
              </w:rPr>
            </w:pPr>
            <w:r>
              <w:rPr>
                <w:rFonts w:cs="Arial"/>
              </w:rPr>
              <w:t>2,</w:t>
            </w:r>
            <w:r w:rsidR="00550E7F">
              <w:rPr>
                <w:rFonts w:cs="Arial"/>
              </w:rPr>
              <w:t>997</w:t>
            </w:r>
          </w:p>
        </w:tc>
        <w:tc>
          <w:tcPr>
            <w:tcW w:w="0" w:type="auto"/>
          </w:tcPr>
          <w:p w:rsidR="00177A81" w:rsidRPr="003829A6" w:rsidRDefault="00287C2F" w:rsidP="00B039F2">
            <w:pPr>
              <w:spacing w:before="0" w:after="0"/>
              <w:contextualSpacing/>
              <w:jc w:val="left"/>
              <w:cnfStyle w:val="000000000000"/>
              <w:rPr>
                <w:rFonts w:cs="Arial"/>
              </w:rPr>
            </w:pPr>
            <w:r>
              <w:rPr>
                <w:rFonts w:cs="Arial"/>
              </w:rPr>
              <w:t>-</w:t>
            </w:r>
            <w:r w:rsidR="00685065">
              <w:rPr>
                <w:rFonts w:cs="Arial"/>
              </w:rPr>
              <w:t>44.8</w:t>
            </w:r>
          </w:p>
        </w:tc>
      </w:tr>
    </w:tbl>
    <w:p w:rsidR="00177A81" w:rsidRDefault="00177A81" w:rsidP="00B86F0E">
      <w:pPr>
        <w:rPr>
          <w:lang w:val="es-ES_tradnl"/>
        </w:rPr>
      </w:pPr>
    </w:p>
    <w:p w:rsidR="00B86F0E" w:rsidRPr="00B86F0E" w:rsidRDefault="00B86F0E" w:rsidP="00B86F0E">
      <w:pPr>
        <w:pStyle w:val="Heading2"/>
        <w:rPr>
          <w:rFonts w:ascii="Calibri" w:hAnsi="Calibri" w:cs="Calibri"/>
          <w:noProof/>
          <w:color w:val="auto"/>
          <w:sz w:val="24"/>
          <w:szCs w:val="24"/>
        </w:rPr>
      </w:pPr>
      <w:bookmarkStart w:id="12" w:name="_Toc339363685"/>
      <w:bookmarkStart w:id="13" w:name="_Toc353453838"/>
      <w:r w:rsidRPr="00B86F0E">
        <w:rPr>
          <w:rFonts w:ascii="Calibri" w:hAnsi="Calibri" w:cs="Calibri"/>
          <w:noProof/>
          <w:color w:val="auto"/>
          <w:sz w:val="24"/>
          <w:szCs w:val="24"/>
        </w:rPr>
        <w:t>Taksimi direkt</w:t>
      </w:r>
      <w:bookmarkEnd w:id="12"/>
      <w:bookmarkEnd w:id="13"/>
      <w:r w:rsidR="00591AEF" w:rsidRPr="00B86F0E">
        <w:rPr>
          <w:rFonts w:ascii="Calibri" w:hAnsi="Calibri" w:cs="Calibri"/>
          <w:noProof/>
          <w:color w:val="auto"/>
          <w:sz w:val="24"/>
          <w:szCs w:val="24"/>
        </w:rPr>
        <w:fldChar w:fldCharType="begin"/>
      </w:r>
      <w:r w:rsidRPr="00B86F0E">
        <w:rPr>
          <w:rFonts w:ascii="Calibri" w:hAnsi="Calibri" w:cs="Times New Roman"/>
          <w:noProof/>
          <w:color w:val="auto"/>
          <w:sz w:val="24"/>
          <w:szCs w:val="24"/>
        </w:rPr>
        <w:instrText>tc "</w:instrText>
      </w:r>
      <w:bookmarkStart w:id="14" w:name="_Toc314487252"/>
      <w:r w:rsidRPr="00B86F0E">
        <w:rPr>
          <w:rFonts w:ascii="Calibri" w:hAnsi="Calibri" w:cs="Calibri"/>
          <w:noProof/>
          <w:color w:val="auto"/>
          <w:sz w:val="24"/>
          <w:szCs w:val="24"/>
        </w:rPr>
        <w:instrText>Taksimi direkt</w:instrText>
      </w:r>
      <w:bookmarkEnd w:id="14"/>
      <w:r w:rsidRPr="00B86F0E">
        <w:rPr>
          <w:rFonts w:ascii="Calibri" w:hAnsi="Calibri" w:cs="Calibri"/>
          <w:noProof/>
          <w:color w:val="auto"/>
          <w:sz w:val="24"/>
          <w:szCs w:val="24"/>
        </w:rPr>
        <w:instrText>" \f C \l 002</w:instrText>
      </w:r>
      <w:r w:rsidR="00591AEF" w:rsidRPr="00B86F0E">
        <w:rPr>
          <w:rFonts w:ascii="Calibri" w:hAnsi="Calibri" w:cs="Calibri"/>
          <w:noProof/>
          <w:color w:val="auto"/>
          <w:sz w:val="24"/>
          <w:szCs w:val="24"/>
        </w:rPr>
        <w:fldChar w:fldCharType="end"/>
      </w:r>
    </w:p>
    <w:p w:rsidR="00B86F0E" w:rsidRPr="00093F24" w:rsidRDefault="00B86F0E" w:rsidP="00B86F0E">
      <w:pPr>
        <w:rPr>
          <w:b/>
          <w:bCs/>
          <w:noProof/>
          <w:lang w:val="sq-AL"/>
        </w:rPr>
      </w:pPr>
      <w:r w:rsidRPr="00093F24">
        <w:rPr>
          <w:b/>
          <w:bCs/>
          <w:noProof/>
          <w:lang w:val="sq-AL"/>
        </w:rPr>
        <w:t>Tatimi mbi të ardhurat personale</w:t>
      </w:r>
    </w:p>
    <w:p w:rsidR="00B86F0E" w:rsidRDefault="00B86F0E" w:rsidP="00B86F0E">
      <w:pPr>
        <w:rPr>
          <w:lang w:val="es-ES_tradnl"/>
        </w:rPr>
      </w:pPr>
      <w:r w:rsidRPr="00093F24">
        <w:rPr>
          <w:lang w:val="es-ES_tradnl"/>
        </w:rPr>
        <w:t>Të ardhurat nga tatimi mbi të a</w:t>
      </w:r>
      <w:r w:rsidR="00AB0C82">
        <w:rPr>
          <w:lang w:val="es-ES_tradnl"/>
        </w:rPr>
        <w:t>rdhurat personale arritën në 12</w:t>
      </w:r>
      <w:r w:rsidRPr="00093F24">
        <w:rPr>
          <w:lang w:val="es-ES_tradnl"/>
        </w:rPr>
        <w:t xml:space="preserve"> miliard</w:t>
      </w:r>
      <w:r w:rsidR="00AB0C82">
        <w:rPr>
          <w:lang w:val="es-ES_tradnl"/>
        </w:rPr>
        <w:t>ë lekë për periudhën janar-maj, ose 8.7 perqind me shume se 5</w:t>
      </w:r>
      <w:r w:rsidRPr="00093F24">
        <w:rPr>
          <w:lang w:val="es-ES_tradnl"/>
        </w:rPr>
        <w:t xml:space="preserve"> mujorin e një viti më parë dhe me realizim të plan</w:t>
      </w:r>
      <w:r w:rsidR="00AB0C82">
        <w:rPr>
          <w:lang w:val="es-ES_tradnl"/>
        </w:rPr>
        <w:t>it për vitin 2013 në masën 103.3</w:t>
      </w:r>
      <w:r w:rsidRPr="00093F24">
        <w:rPr>
          <w:lang w:val="es-ES_tradnl"/>
        </w:rPr>
        <w:t xml:space="preserve"> përqind. </w:t>
      </w:r>
      <w:r w:rsidR="001C563D">
        <w:rPr>
          <w:lang w:val="es-ES_tradnl"/>
        </w:rPr>
        <w:t>Vitin e e kaluar</w:t>
      </w:r>
      <w:r w:rsidR="00640FE3">
        <w:rPr>
          <w:lang w:val="es-ES_tradnl"/>
        </w:rPr>
        <w:t>,</w:t>
      </w:r>
      <w:r w:rsidR="001C563D">
        <w:rPr>
          <w:lang w:val="es-ES_tradnl"/>
        </w:rPr>
        <w:t xml:space="preserve"> per </w:t>
      </w:r>
      <w:r w:rsidR="00AB0C82">
        <w:rPr>
          <w:lang w:val="es-ES_tradnl"/>
        </w:rPr>
        <w:t>5</w:t>
      </w:r>
      <w:r w:rsidR="001C563D">
        <w:rPr>
          <w:lang w:val="es-ES_tradnl"/>
        </w:rPr>
        <w:t>M 2012</w:t>
      </w:r>
      <w:r w:rsidR="00640FE3">
        <w:rPr>
          <w:lang w:val="es-ES_tradnl"/>
        </w:rPr>
        <w:t>,</w:t>
      </w:r>
      <w:r w:rsidR="001C563D">
        <w:rPr>
          <w:lang w:val="es-ES_tradnl"/>
        </w:rPr>
        <w:t xml:space="preserve"> kane qene n</w:t>
      </w:r>
      <w:r w:rsidR="00AB0C82">
        <w:rPr>
          <w:lang w:val="es-ES_tradnl"/>
        </w:rPr>
        <w:t>e fuqi pagat e references. Per 5</w:t>
      </w:r>
      <w:r w:rsidR="001C563D">
        <w:rPr>
          <w:lang w:val="es-ES_tradnl"/>
        </w:rPr>
        <w:t>M 2013 pagat e references jane shfuqizuar qe do te thote se TAP eshte pagua</w:t>
      </w:r>
      <w:r w:rsidR="00AB0C82">
        <w:rPr>
          <w:lang w:val="es-ES_tradnl"/>
        </w:rPr>
        <w:t>r me pagat reale. Fakti qe per 5M 2013, ky tatim</w:t>
      </w:r>
      <w:r w:rsidR="001C563D">
        <w:rPr>
          <w:lang w:val="es-ES_tradnl"/>
        </w:rPr>
        <w:t xml:space="preserve"> ka ecur mire do te thote se pagat e references kane qene reale.</w:t>
      </w:r>
      <w:r w:rsidR="00640FE3">
        <w:rPr>
          <w:lang w:val="es-ES_tradnl"/>
        </w:rPr>
        <w:t xml:space="preserve"> Per nje ilustrim me te qarte te ecurise se ketij tatimi, ne tabelen me poshte pasqyrohen te ardhurat sipas burimeve kryesore te te ardhurave individuale (milione leke)</w:t>
      </w:r>
    </w:p>
    <w:p w:rsidR="00C271F3" w:rsidRDefault="00C271F3" w:rsidP="00B86F0E">
      <w:pPr>
        <w:rPr>
          <w:lang w:val="es-ES_tradnl"/>
        </w:rPr>
      </w:pPr>
      <w:r>
        <w:rPr>
          <w:lang w:val="es-ES_tradnl"/>
        </w:rPr>
        <w:t>Tabela 4. TAP sipas burimit te te ardhurave</w:t>
      </w:r>
    </w:p>
    <w:tbl>
      <w:tblPr>
        <w:tblStyle w:val="TableColumns5"/>
        <w:tblW w:w="0" w:type="auto"/>
        <w:tblLook w:val="04A0"/>
      </w:tblPr>
      <w:tblGrid>
        <w:gridCol w:w="2802"/>
        <w:gridCol w:w="1715"/>
        <w:gridCol w:w="1715"/>
        <w:gridCol w:w="1715"/>
      </w:tblGrid>
      <w:tr w:rsidR="00F43177" w:rsidRPr="00F72EE4" w:rsidTr="00B039F2">
        <w:trPr>
          <w:cnfStyle w:val="100000000000"/>
        </w:trPr>
        <w:tc>
          <w:tcPr>
            <w:cnfStyle w:val="001000000000"/>
            <w:tcW w:w="2802" w:type="dxa"/>
          </w:tcPr>
          <w:p w:rsidR="00F43177" w:rsidRPr="00E02338" w:rsidRDefault="00F43177" w:rsidP="00B039F2">
            <w:pPr>
              <w:spacing w:before="0" w:after="0"/>
              <w:rPr>
                <w:i w:val="0"/>
                <w:lang w:val="en-GB"/>
              </w:rPr>
            </w:pPr>
            <w:r>
              <w:rPr>
                <w:i w:val="0"/>
                <w:lang w:val="en-GB"/>
              </w:rPr>
              <w:t>Emërtimi</w:t>
            </w:r>
          </w:p>
        </w:tc>
        <w:tc>
          <w:tcPr>
            <w:tcW w:w="1715" w:type="dxa"/>
          </w:tcPr>
          <w:p w:rsidR="00F43177" w:rsidRPr="00E02338" w:rsidRDefault="007C2354" w:rsidP="00B039F2">
            <w:pPr>
              <w:spacing w:before="0" w:after="0"/>
              <w:jc w:val="left"/>
              <w:cnfStyle w:val="100000000000"/>
              <w:rPr>
                <w:i w:val="0"/>
                <w:lang w:val="nl-NL"/>
              </w:rPr>
            </w:pPr>
            <w:r>
              <w:rPr>
                <w:i w:val="0"/>
                <w:lang w:val="nl-NL"/>
              </w:rPr>
              <w:t xml:space="preserve">5M </w:t>
            </w:r>
            <w:r w:rsidR="00F43177">
              <w:rPr>
                <w:i w:val="0"/>
                <w:lang w:val="nl-NL"/>
              </w:rPr>
              <w:t>2012 (mln)</w:t>
            </w:r>
          </w:p>
        </w:tc>
        <w:tc>
          <w:tcPr>
            <w:tcW w:w="1715" w:type="dxa"/>
          </w:tcPr>
          <w:p w:rsidR="00F43177" w:rsidRPr="00E02338" w:rsidRDefault="007C2354" w:rsidP="00B039F2">
            <w:pPr>
              <w:spacing w:before="0" w:after="0"/>
              <w:jc w:val="left"/>
              <w:cnfStyle w:val="100000000000"/>
              <w:rPr>
                <w:i w:val="0"/>
                <w:lang w:val="nl-NL"/>
              </w:rPr>
            </w:pPr>
            <w:r>
              <w:rPr>
                <w:i w:val="0"/>
                <w:lang w:val="nl-NL"/>
              </w:rPr>
              <w:t xml:space="preserve">5M </w:t>
            </w:r>
            <w:r w:rsidR="00F43177">
              <w:rPr>
                <w:i w:val="0"/>
                <w:lang w:val="nl-NL"/>
              </w:rPr>
              <w:t>2013 (mln)</w:t>
            </w:r>
          </w:p>
        </w:tc>
        <w:tc>
          <w:tcPr>
            <w:tcW w:w="1715" w:type="dxa"/>
          </w:tcPr>
          <w:p w:rsidR="00F43177" w:rsidRDefault="00F43177" w:rsidP="00B039F2">
            <w:pPr>
              <w:spacing w:before="0" w:after="0"/>
              <w:jc w:val="left"/>
              <w:cnfStyle w:val="100000000000"/>
              <w:rPr>
                <w:i w:val="0"/>
                <w:lang w:val="nl-NL"/>
              </w:rPr>
            </w:pPr>
            <w:r>
              <w:rPr>
                <w:i w:val="0"/>
                <w:lang w:val="nl-NL"/>
              </w:rPr>
              <w:t>Ndryshimi %</w:t>
            </w:r>
          </w:p>
        </w:tc>
      </w:tr>
      <w:tr w:rsidR="00F43177" w:rsidRPr="00F72EE4" w:rsidTr="00B039F2">
        <w:tc>
          <w:tcPr>
            <w:cnfStyle w:val="001000000000"/>
            <w:tcW w:w="2802" w:type="dxa"/>
          </w:tcPr>
          <w:p w:rsidR="00F43177" w:rsidRPr="00E02338" w:rsidRDefault="00F43177" w:rsidP="00B039F2">
            <w:pPr>
              <w:spacing w:before="0" w:after="0"/>
              <w:rPr>
                <w:lang w:val="nl-NL"/>
              </w:rPr>
            </w:pPr>
            <w:r>
              <w:rPr>
                <w:lang w:val="nl-NL"/>
              </w:rPr>
              <w:t>Tatim mbi të ardhurat personale</w:t>
            </w:r>
          </w:p>
        </w:tc>
        <w:tc>
          <w:tcPr>
            <w:tcW w:w="1715" w:type="dxa"/>
          </w:tcPr>
          <w:p w:rsidR="00F43177" w:rsidRPr="00F72EE4" w:rsidRDefault="007C2354" w:rsidP="00B039F2">
            <w:pPr>
              <w:spacing w:before="0" w:after="0"/>
              <w:cnfStyle w:val="000000000000"/>
              <w:rPr>
                <w:b/>
                <w:lang w:val="nl-NL"/>
              </w:rPr>
            </w:pPr>
            <w:r>
              <w:rPr>
                <w:b/>
                <w:lang w:val="nl-NL"/>
              </w:rPr>
              <w:t>11030</w:t>
            </w:r>
          </w:p>
        </w:tc>
        <w:tc>
          <w:tcPr>
            <w:tcW w:w="1715" w:type="dxa"/>
          </w:tcPr>
          <w:p w:rsidR="00F43177" w:rsidRPr="00F72EE4" w:rsidRDefault="007C2354" w:rsidP="00B039F2">
            <w:pPr>
              <w:spacing w:before="0" w:after="0"/>
              <w:cnfStyle w:val="000000000000"/>
              <w:rPr>
                <w:b/>
                <w:lang w:val="nl-NL"/>
              </w:rPr>
            </w:pPr>
            <w:r>
              <w:rPr>
                <w:b/>
                <w:lang w:val="nl-NL"/>
              </w:rPr>
              <w:t>11987</w:t>
            </w:r>
          </w:p>
        </w:tc>
        <w:tc>
          <w:tcPr>
            <w:tcW w:w="1715" w:type="dxa"/>
          </w:tcPr>
          <w:p w:rsidR="00F43177" w:rsidRPr="00F72EE4" w:rsidRDefault="00E87CD3" w:rsidP="007C2354">
            <w:pPr>
              <w:spacing w:before="0" w:after="0"/>
              <w:cnfStyle w:val="000000000000"/>
              <w:rPr>
                <w:b/>
                <w:lang w:val="nl-NL"/>
              </w:rPr>
            </w:pPr>
            <w:r>
              <w:rPr>
                <w:b/>
                <w:lang w:val="nl-NL"/>
              </w:rPr>
              <w:t>+</w:t>
            </w:r>
            <w:r w:rsidR="007C2354">
              <w:rPr>
                <w:b/>
                <w:lang w:val="nl-NL"/>
              </w:rPr>
              <w:t>8.7</w:t>
            </w:r>
          </w:p>
        </w:tc>
      </w:tr>
      <w:tr w:rsidR="00F43177" w:rsidRPr="00F72EE4" w:rsidTr="00B039F2">
        <w:tc>
          <w:tcPr>
            <w:cnfStyle w:val="001000000000"/>
            <w:tcW w:w="2802" w:type="dxa"/>
          </w:tcPr>
          <w:p w:rsidR="00F43177" w:rsidRPr="00E02338" w:rsidRDefault="00F43177" w:rsidP="00B039F2">
            <w:pPr>
              <w:spacing w:before="0" w:after="0"/>
              <w:rPr>
                <w:b w:val="0"/>
                <w:lang w:val="nl-NL"/>
              </w:rPr>
            </w:pPr>
            <w:r>
              <w:rPr>
                <w:b w:val="0"/>
                <w:lang w:val="nl-NL"/>
              </w:rPr>
              <w:t>Paga sektorit publik</w:t>
            </w:r>
          </w:p>
        </w:tc>
        <w:tc>
          <w:tcPr>
            <w:tcW w:w="1715" w:type="dxa"/>
          </w:tcPr>
          <w:p w:rsidR="00F43177" w:rsidRPr="00F72EE4" w:rsidRDefault="007C2354" w:rsidP="00B039F2">
            <w:pPr>
              <w:spacing w:before="0" w:after="0"/>
              <w:cnfStyle w:val="000000000000"/>
              <w:rPr>
                <w:lang w:val="nl-NL"/>
              </w:rPr>
            </w:pPr>
            <w:r>
              <w:rPr>
                <w:lang w:val="nl-NL"/>
              </w:rPr>
              <w:t>3720</w:t>
            </w:r>
          </w:p>
        </w:tc>
        <w:tc>
          <w:tcPr>
            <w:tcW w:w="1715" w:type="dxa"/>
          </w:tcPr>
          <w:p w:rsidR="00F43177" w:rsidRPr="00F72EE4" w:rsidRDefault="00F43177" w:rsidP="007C2354">
            <w:pPr>
              <w:spacing w:before="0" w:after="0"/>
              <w:cnfStyle w:val="000000000000"/>
              <w:rPr>
                <w:lang w:val="nl-NL"/>
              </w:rPr>
            </w:pPr>
            <w:r>
              <w:rPr>
                <w:lang w:val="nl-NL"/>
              </w:rPr>
              <w:t>3,</w:t>
            </w:r>
            <w:r w:rsidR="007C2354">
              <w:rPr>
                <w:lang w:val="nl-NL"/>
              </w:rPr>
              <w:t>892</w:t>
            </w:r>
          </w:p>
        </w:tc>
        <w:tc>
          <w:tcPr>
            <w:tcW w:w="1715" w:type="dxa"/>
          </w:tcPr>
          <w:p w:rsidR="00F43177" w:rsidRPr="00F72EE4" w:rsidRDefault="00E87CD3" w:rsidP="00B039F2">
            <w:pPr>
              <w:spacing w:before="0" w:after="0"/>
              <w:cnfStyle w:val="000000000000"/>
              <w:rPr>
                <w:lang w:val="nl-NL"/>
              </w:rPr>
            </w:pPr>
            <w:r>
              <w:rPr>
                <w:lang w:val="nl-NL"/>
              </w:rPr>
              <w:t>+</w:t>
            </w:r>
            <w:r w:rsidR="007C2354">
              <w:rPr>
                <w:lang w:val="nl-NL"/>
              </w:rPr>
              <w:t>4.6</w:t>
            </w:r>
          </w:p>
        </w:tc>
      </w:tr>
      <w:tr w:rsidR="00F43177" w:rsidRPr="00F72EE4" w:rsidTr="00B039F2">
        <w:tc>
          <w:tcPr>
            <w:cnfStyle w:val="001000000000"/>
            <w:tcW w:w="2802" w:type="dxa"/>
          </w:tcPr>
          <w:p w:rsidR="00F43177" w:rsidRPr="00E02338" w:rsidRDefault="00F43177" w:rsidP="00B039F2">
            <w:pPr>
              <w:spacing w:before="0" w:after="0"/>
              <w:rPr>
                <w:b w:val="0"/>
                <w:lang w:val="nl-NL"/>
              </w:rPr>
            </w:pPr>
            <w:r>
              <w:rPr>
                <w:b w:val="0"/>
                <w:lang w:val="nl-NL"/>
              </w:rPr>
              <w:t>Paga sektorit privat</w:t>
            </w:r>
          </w:p>
        </w:tc>
        <w:tc>
          <w:tcPr>
            <w:tcW w:w="1715" w:type="dxa"/>
          </w:tcPr>
          <w:p w:rsidR="00F43177" w:rsidRPr="00F72EE4" w:rsidRDefault="007C2354" w:rsidP="00B039F2">
            <w:pPr>
              <w:spacing w:before="0" w:after="0"/>
              <w:cnfStyle w:val="000000000000"/>
              <w:rPr>
                <w:lang w:val="nl-NL"/>
              </w:rPr>
            </w:pPr>
            <w:r>
              <w:rPr>
                <w:lang w:val="nl-NL"/>
              </w:rPr>
              <w:t>3918</w:t>
            </w:r>
          </w:p>
        </w:tc>
        <w:tc>
          <w:tcPr>
            <w:tcW w:w="1715" w:type="dxa"/>
          </w:tcPr>
          <w:p w:rsidR="00F43177" w:rsidRPr="00F72EE4" w:rsidRDefault="00F43177" w:rsidP="00B039F2">
            <w:pPr>
              <w:spacing w:before="0" w:after="0"/>
              <w:cnfStyle w:val="000000000000"/>
              <w:rPr>
                <w:lang w:val="nl-NL"/>
              </w:rPr>
            </w:pPr>
            <w:r>
              <w:rPr>
                <w:lang w:val="nl-NL"/>
              </w:rPr>
              <w:t>3,</w:t>
            </w:r>
            <w:r w:rsidR="007C2354">
              <w:rPr>
                <w:lang w:val="nl-NL"/>
              </w:rPr>
              <w:t>946</w:t>
            </w:r>
          </w:p>
        </w:tc>
        <w:tc>
          <w:tcPr>
            <w:tcW w:w="1715" w:type="dxa"/>
          </w:tcPr>
          <w:p w:rsidR="00F43177" w:rsidRPr="00F72EE4" w:rsidRDefault="00E87CD3" w:rsidP="007C2354">
            <w:pPr>
              <w:spacing w:before="0" w:after="0"/>
              <w:cnfStyle w:val="000000000000"/>
              <w:rPr>
                <w:lang w:val="nl-NL"/>
              </w:rPr>
            </w:pPr>
            <w:r>
              <w:rPr>
                <w:lang w:val="nl-NL"/>
              </w:rPr>
              <w:t>+</w:t>
            </w:r>
            <w:r w:rsidR="007C2354">
              <w:rPr>
                <w:lang w:val="nl-NL"/>
              </w:rPr>
              <w:t>0.7</w:t>
            </w:r>
          </w:p>
        </w:tc>
      </w:tr>
      <w:tr w:rsidR="00F43177" w:rsidRPr="00F72EE4" w:rsidTr="00B039F2">
        <w:tc>
          <w:tcPr>
            <w:cnfStyle w:val="001000000000"/>
            <w:tcW w:w="2802" w:type="dxa"/>
          </w:tcPr>
          <w:p w:rsidR="00F43177" w:rsidRPr="00E02338" w:rsidRDefault="00F43177" w:rsidP="00B039F2">
            <w:pPr>
              <w:spacing w:before="0" w:after="0"/>
              <w:rPr>
                <w:b w:val="0"/>
                <w:lang w:val="nl-NL"/>
              </w:rPr>
            </w:pPr>
            <w:r>
              <w:rPr>
                <w:b w:val="0"/>
                <w:lang w:val="nl-NL"/>
              </w:rPr>
              <w:t>Të ardhura nga interesat</w:t>
            </w:r>
          </w:p>
        </w:tc>
        <w:tc>
          <w:tcPr>
            <w:tcW w:w="1715" w:type="dxa"/>
          </w:tcPr>
          <w:p w:rsidR="00F43177" w:rsidRPr="00F72EE4" w:rsidRDefault="007C2354" w:rsidP="00B039F2">
            <w:pPr>
              <w:spacing w:before="0" w:after="0"/>
              <w:cnfStyle w:val="000000000000"/>
              <w:rPr>
                <w:lang w:val="nl-NL"/>
              </w:rPr>
            </w:pPr>
            <w:r>
              <w:rPr>
                <w:lang w:val="nl-NL"/>
              </w:rPr>
              <w:t>1300</w:t>
            </w:r>
          </w:p>
        </w:tc>
        <w:tc>
          <w:tcPr>
            <w:tcW w:w="1715" w:type="dxa"/>
          </w:tcPr>
          <w:p w:rsidR="007C2354" w:rsidRPr="00F72EE4" w:rsidRDefault="00F43177" w:rsidP="00B039F2">
            <w:pPr>
              <w:spacing w:before="0" w:after="0"/>
              <w:cnfStyle w:val="000000000000"/>
              <w:rPr>
                <w:lang w:val="nl-NL"/>
              </w:rPr>
            </w:pPr>
            <w:r>
              <w:rPr>
                <w:lang w:val="nl-NL"/>
              </w:rPr>
              <w:t>1,</w:t>
            </w:r>
            <w:r w:rsidR="007C2354">
              <w:rPr>
                <w:lang w:val="nl-NL"/>
              </w:rPr>
              <w:t>383</w:t>
            </w:r>
          </w:p>
        </w:tc>
        <w:tc>
          <w:tcPr>
            <w:tcW w:w="1715" w:type="dxa"/>
          </w:tcPr>
          <w:p w:rsidR="00F43177" w:rsidRPr="00F72EE4" w:rsidRDefault="00E87CD3" w:rsidP="007C2354">
            <w:pPr>
              <w:spacing w:before="0" w:after="0"/>
              <w:cnfStyle w:val="000000000000"/>
              <w:rPr>
                <w:lang w:val="nl-NL"/>
              </w:rPr>
            </w:pPr>
            <w:r>
              <w:rPr>
                <w:lang w:val="nl-NL"/>
              </w:rPr>
              <w:t>+</w:t>
            </w:r>
            <w:r w:rsidR="007C2354">
              <w:rPr>
                <w:lang w:val="nl-NL"/>
              </w:rPr>
              <w:t>6.4</w:t>
            </w:r>
          </w:p>
        </w:tc>
      </w:tr>
      <w:tr w:rsidR="00F43177" w:rsidRPr="00F72EE4" w:rsidTr="00B039F2">
        <w:tc>
          <w:tcPr>
            <w:cnfStyle w:val="001000000000"/>
            <w:tcW w:w="2802" w:type="dxa"/>
          </w:tcPr>
          <w:p w:rsidR="00F43177" w:rsidRPr="00E02338" w:rsidRDefault="00F43177" w:rsidP="00B039F2">
            <w:pPr>
              <w:spacing w:before="0" w:after="0"/>
              <w:rPr>
                <w:b w:val="0"/>
                <w:lang w:val="nl-NL"/>
              </w:rPr>
            </w:pPr>
            <w:r>
              <w:rPr>
                <w:b w:val="0"/>
                <w:lang w:val="nl-NL"/>
              </w:rPr>
              <w:t>Të ardhura nga dividenti</w:t>
            </w:r>
          </w:p>
        </w:tc>
        <w:tc>
          <w:tcPr>
            <w:tcW w:w="1715" w:type="dxa"/>
          </w:tcPr>
          <w:p w:rsidR="00F43177" w:rsidRPr="00F72EE4" w:rsidRDefault="007C2354" w:rsidP="00B039F2">
            <w:pPr>
              <w:spacing w:before="0" w:after="0"/>
              <w:cnfStyle w:val="000000000000"/>
              <w:rPr>
                <w:lang w:val="nl-NL"/>
              </w:rPr>
            </w:pPr>
            <w:r>
              <w:rPr>
                <w:lang w:val="nl-NL"/>
              </w:rPr>
              <w:t>368</w:t>
            </w:r>
          </w:p>
        </w:tc>
        <w:tc>
          <w:tcPr>
            <w:tcW w:w="1715" w:type="dxa"/>
          </w:tcPr>
          <w:p w:rsidR="00F43177" w:rsidRPr="00F72EE4" w:rsidRDefault="007C2354" w:rsidP="00B039F2">
            <w:pPr>
              <w:spacing w:before="0" w:after="0"/>
              <w:cnfStyle w:val="000000000000"/>
              <w:rPr>
                <w:lang w:val="nl-NL"/>
              </w:rPr>
            </w:pPr>
            <w:r>
              <w:rPr>
                <w:lang w:val="nl-NL"/>
              </w:rPr>
              <w:t>549</w:t>
            </w:r>
          </w:p>
        </w:tc>
        <w:tc>
          <w:tcPr>
            <w:tcW w:w="1715" w:type="dxa"/>
          </w:tcPr>
          <w:p w:rsidR="00F43177" w:rsidRPr="00F72EE4" w:rsidRDefault="00E87CD3" w:rsidP="007C2354">
            <w:pPr>
              <w:spacing w:before="0" w:after="0"/>
              <w:cnfStyle w:val="000000000000"/>
              <w:rPr>
                <w:lang w:val="nl-NL"/>
              </w:rPr>
            </w:pPr>
            <w:r>
              <w:rPr>
                <w:lang w:val="nl-NL"/>
              </w:rPr>
              <w:t>+</w:t>
            </w:r>
            <w:r w:rsidR="007C2354">
              <w:rPr>
                <w:lang w:val="nl-NL"/>
              </w:rPr>
              <w:t>49</w:t>
            </w:r>
          </w:p>
        </w:tc>
      </w:tr>
      <w:tr w:rsidR="00F43177" w:rsidRPr="00F72EE4" w:rsidTr="00B039F2">
        <w:tc>
          <w:tcPr>
            <w:cnfStyle w:val="001000000000"/>
            <w:tcW w:w="2802" w:type="dxa"/>
          </w:tcPr>
          <w:p w:rsidR="00F43177" w:rsidRPr="00F43177" w:rsidRDefault="00F43177" w:rsidP="00B039F2">
            <w:pPr>
              <w:spacing w:before="0" w:after="0"/>
              <w:rPr>
                <w:b w:val="0"/>
              </w:rPr>
            </w:pPr>
            <w:r w:rsidRPr="00F43177">
              <w:rPr>
                <w:b w:val="0"/>
              </w:rPr>
              <w:t>Të ardhura nga shitja e pasurisë së paluajtshme</w:t>
            </w:r>
          </w:p>
        </w:tc>
        <w:tc>
          <w:tcPr>
            <w:tcW w:w="1715" w:type="dxa"/>
          </w:tcPr>
          <w:p w:rsidR="00F43177" w:rsidRPr="00F72EE4" w:rsidRDefault="007C2354" w:rsidP="00B039F2">
            <w:pPr>
              <w:spacing w:before="0" w:after="0"/>
              <w:cnfStyle w:val="000000000000"/>
              <w:rPr>
                <w:lang w:val="nl-NL"/>
              </w:rPr>
            </w:pPr>
            <w:r>
              <w:rPr>
                <w:lang w:val="nl-NL"/>
              </w:rPr>
              <w:t>143</w:t>
            </w:r>
          </w:p>
        </w:tc>
        <w:tc>
          <w:tcPr>
            <w:tcW w:w="1715" w:type="dxa"/>
          </w:tcPr>
          <w:p w:rsidR="00F43177" w:rsidRPr="00F72EE4" w:rsidRDefault="007C2354" w:rsidP="00B039F2">
            <w:pPr>
              <w:spacing w:before="0" w:after="0"/>
              <w:cnfStyle w:val="000000000000"/>
              <w:rPr>
                <w:lang w:val="nl-NL"/>
              </w:rPr>
            </w:pPr>
            <w:r>
              <w:rPr>
                <w:lang w:val="nl-NL"/>
              </w:rPr>
              <w:t>489</w:t>
            </w:r>
          </w:p>
        </w:tc>
        <w:tc>
          <w:tcPr>
            <w:tcW w:w="1715" w:type="dxa"/>
          </w:tcPr>
          <w:p w:rsidR="00F43177" w:rsidRPr="00F72EE4" w:rsidRDefault="00E87CD3" w:rsidP="007C2354">
            <w:pPr>
              <w:spacing w:before="0" w:after="0"/>
              <w:cnfStyle w:val="000000000000"/>
              <w:rPr>
                <w:lang w:val="nl-NL"/>
              </w:rPr>
            </w:pPr>
            <w:r>
              <w:rPr>
                <w:lang w:val="nl-NL"/>
              </w:rPr>
              <w:t>+</w:t>
            </w:r>
            <w:r w:rsidR="007C2354">
              <w:rPr>
                <w:lang w:val="nl-NL"/>
              </w:rPr>
              <w:t>242</w:t>
            </w:r>
          </w:p>
        </w:tc>
      </w:tr>
      <w:tr w:rsidR="00F43177" w:rsidRPr="00F72EE4" w:rsidTr="00B039F2">
        <w:tc>
          <w:tcPr>
            <w:cnfStyle w:val="001000000000"/>
            <w:tcW w:w="2802" w:type="dxa"/>
          </w:tcPr>
          <w:p w:rsidR="00F43177" w:rsidRPr="00E02338" w:rsidRDefault="00F43177" w:rsidP="00B039F2">
            <w:pPr>
              <w:spacing w:before="0" w:after="0"/>
              <w:rPr>
                <w:b w:val="0"/>
                <w:lang w:val="nl-NL"/>
              </w:rPr>
            </w:pPr>
            <w:r>
              <w:rPr>
                <w:b w:val="0"/>
                <w:lang w:val="nl-NL"/>
              </w:rPr>
              <w:t>Të tjera</w:t>
            </w:r>
          </w:p>
        </w:tc>
        <w:tc>
          <w:tcPr>
            <w:tcW w:w="1715" w:type="dxa"/>
          </w:tcPr>
          <w:p w:rsidR="00F43177" w:rsidRPr="00F72EE4" w:rsidRDefault="007C2354" w:rsidP="00B039F2">
            <w:pPr>
              <w:spacing w:before="0" w:after="0"/>
              <w:cnfStyle w:val="000000000000"/>
              <w:rPr>
                <w:lang w:val="nl-NL"/>
              </w:rPr>
            </w:pPr>
            <w:r>
              <w:rPr>
                <w:lang w:val="nl-NL"/>
              </w:rPr>
              <w:t>1581</w:t>
            </w:r>
          </w:p>
        </w:tc>
        <w:tc>
          <w:tcPr>
            <w:tcW w:w="1715" w:type="dxa"/>
          </w:tcPr>
          <w:p w:rsidR="00F43177" w:rsidRPr="00F72EE4" w:rsidRDefault="007C2354" w:rsidP="00B039F2">
            <w:pPr>
              <w:spacing w:before="0" w:after="0"/>
              <w:cnfStyle w:val="000000000000"/>
              <w:rPr>
                <w:lang w:val="nl-NL"/>
              </w:rPr>
            </w:pPr>
            <w:r>
              <w:rPr>
                <w:lang w:val="nl-NL"/>
              </w:rPr>
              <w:t>1728</w:t>
            </w:r>
          </w:p>
        </w:tc>
        <w:tc>
          <w:tcPr>
            <w:tcW w:w="1715" w:type="dxa"/>
          </w:tcPr>
          <w:p w:rsidR="00F43177" w:rsidRPr="00F72EE4" w:rsidRDefault="00E87CD3" w:rsidP="007C2354">
            <w:pPr>
              <w:spacing w:before="0" w:after="0"/>
              <w:cnfStyle w:val="000000000000"/>
              <w:rPr>
                <w:lang w:val="nl-NL"/>
              </w:rPr>
            </w:pPr>
            <w:r>
              <w:rPr>
                <w:lang w:val="nl-NL"/>
              </w:rPr>
              <w:t>+</w:t>
            </w:r>
            <w:r w:rsidR="007C2354">
              <w:rPr>
                <w:lang w:val="nl-NL"/>
              </w:rPr>
              <w:t>9.3</w:t>
            </w:r>
          </w:p>
        </w:tc>
      </w:tr>
    </w:tbl>
    <w:p w:rsidR="00640FE3" w:rsidRDefault="00640FE3" w:rsidP="00B86F0E">
      <w:pPr>
        <w:rPr>
          <w:b/>
          <w:bCs/>
          <w:noProof/>
          <w:lang w:val="sq-AL"/>
        </w:rPr>
      </w:pPr>
    </w:p>
    <w:p w:rsidR="00B86F0E" w:rsidRPr="00093F24" w:rsidRDefault="00B86F0E" w:rsidP="00B86F0E">
      <w:pPr>
        <w:rPr>
          <w:b/>
          <w:bCs/>
          <w:noProof/>
          <w:lang w:val="sq-AL"/>
        </w:rPr>
      </w:pPr>
      <w:r w:rsidRPr="00093F24">
        <w:rPr>
          <w:b/>
          <w:bCs/>
          <w:noProof/>
          <w:lang w:val="sq-AL"/>
        </w:rPr>
        <w:t>Tatimet mbi të ardhurat nga biznesi</w:t>
      </w:r>
    </w:p>
    <w:p w:rsidR="00B86F0E" w:rsidRPr="004824B5" w:rsidRDefault="00B86F0E" w:rsidP="00B86F0E">
      <w:pPr>
        <w:rPr>
          <w:i/>
          <w:iCs/>
          <w:sz w:val="20"/>
          <w:szCs w:val="20"/>
          <w:highlight w:val="yellow"/>
          <w:lang w:val="es-ES_tradnl"/>
        </w:rPr>
      </w:pPr>
      <w:r w:rsidRPr="00093F24">
        <w:rPr>
          <w:lang w:val="sq-AL"/>
        </w:rPr>
        <w:t>Të ardhu</w:t>
      </w:r>
      <w:r w:rsidR="00342F8B">
        <w:rPr>
          <w:lang w:val="sq-AL"/>
        </w:rPr>
        <w:t>rat nga tatimi mbi fitimin për 5</w:t>
      </w:r>
      <w:r w:rsidRPr="00093F24">
        <w:rPr>
          <w:lang w:val="sq-AL"/>
        </w:rPr>
        <w:t xml:space="preserve"> mujorin 2013 arritën në rreth </w:t>
      </w:r>
      <w:r w:rsidR="00342F8B">
        <w:rPr>
          <w:lang w:val="sq-AL"/>
        </w:rPr>
        <w:t>7.6 miliardë lekë nga 7.7</w:t>
      </w:r>
      <w:r w:rsidRPr="00093F24">
        <w:rPr>
          <w:lang w:val="sq-AL"/>
        </w:rPr>
        <w:t xml:space="preserve"> miliardë të mbledhura një vit më parë, me një </w:t>
      </w:r>
      <w:r w:rsidR="00342F8B">
        <w:rPr>
          <w:lang w:val="sq-AL"/>
        </w:rPr>
        <w:t>renie</w:t>
      </w:r>
      <w:r w:rsidRPr="00093F24">
        <w:rPr>
          <w:lang w:val="sq-AL"/>
        </w:rPr>
        <w:t xml:space="preserve"> </w:t>
      </w:r>
      <w:r w:rsidR="00342F8B">
        <w:rPr>
          <w:lang w:val="sq-AL"/>
        </w:rPr>
        <w:t>1.4 përqind, dhe 16.6</w:t>
      </w:r>
      <w:r w:rsidRPr="00093F24">
        <w:rPr>
          <w:lang w:val="sq-AL"/>
        </w:rPr>
        <w:t xml:space="preserve"> % më shume </w:t>
      </w:r>
      <w:r w:rsidR="00342F8B">
        <w:rPr>
          <w:lang w:val="sq-AL"/>
        </w:rPr>
        <w:t>se parashikimi i periudhës Janar-Maj</w:t>
      </w:r>
      <w:r w:rsidRPr="00093F24">
        <w:rPr>
          <w:lang w:val="sq-AL"/>
        </w:rPr>
        <w:t xml:space="preserve"> 2013. </w:t>
      </w:r>
    </w:p>
    <w:p w:rsidR="00B86F0E" w:rsidRDefault="00B86F0E" w:rsidP="00B86F0E">
      <w:pPr>
        <w:rPr>
          <w:lang w:val="es-ES_tradnl"/>
        </w:rPr>
      </w:pPr>
      <w:r w:rsidRPr="00093F24">
        <w:rPr>
          <w:lang w:val="es-ES_tradnl"/>
        </w:rPr>
        <w:t>Të ardhurat nga taksa vendore mbi biznesin e vogël arritën në 1</w:t>
      </w:r>
      <w:r w:rsidR="00E30F3C">
        <w:rPr>
          <w:lang w:val="es-ES_tradnl"/>
        </w:rPr>
        <w:t>.1 miliardë lekë, me renie vjetore prej 1.9</w:t>
      </w:r>
      <w:r w:rsidRPr="00093F24">
        <w:rPr>
          <w:lang w:val="es-ES_tradnl"/>
        </w:rPr>
        <w:t xml:space="preserve"> përqind. </w:t>
      </w:r>
      <w:r w:rsidR="00C15255">
        <w:rPr>
          <w:lang w:val="es-ES_tradnl"/>
        </w:rPr>
        <w:t xml:space="preserve">Biznesi i vogel ka paguar te ardhura personale ne shumen </w:t>
      </w:r>
      <w:r w:rsidR="00E30F3C">
        <w:rPr>
          <w:lang w:val="es-ES_tradnl"/>
        </w:rPr>
        <w:t>193</w:t>
      </w:r>
      <w:r w:rsidR="00C15255">
        <w:rPr>
          <w:lang w:val="es-ES_tradnl"/>
        </w:rPr>
        <w:t xml:space="preserve"> </w:t>
      </w:r>
      <w:r w:rsidR="00C15255">
        <w:rPr>
          <w:lang w:val="es-ES_tradnl"/>
        </w:rPr>
        <w:lastRenderedPageBreak/>
        <w:t xml:space="preserve">milione leke per </w:t>
      </w:r>
      <w:r w:rsidR="00E30F3C">
        <w:rPr>
          <w:lang w:val="es-ES_tradnl"/>
        </w:rPr>
        <w:t>pesemujorin janar-maj 2013 nga 150</w:t>
      </w:r>
      <w:r w:rsidR="00C15255">
        <w:rPr>
          <w:lang w:val="es-ES_tradnl"/>
        </w:rPr>
        <w:t xml:space="preserve"> milione te vitit te kaluar</w:t>
      </w:r>
      <w:r w:rsidR="00E30F3C">
        <w:rPr>
          <w:lang w:val="es-ES_tradnl"/>
        </w:rPr>
        <w:t xml:space="preserve"> ose 28.7 perqind</w:t>
      </w:r>
      <w:r w:rsidR="00C15255">
        <w:rPr>
          <w:lang w:val="es-ES_tradnl"/>
        </w:rPr>
        <w:t>.</w:t>
      </w:r>
    </w:p>
    <w:p w:rsidR="00552D26" w:rsidRDefault="00552D26" w:rsidP="00B86F0E">
      <w:pPr>
        <w:rPr>
          <w:b/>
          <w:bCs/>
          <w:noProof/>
          <w:lang w:val="sq-AL"/>
        </w:rPr>
      </w:pPr>
    </w:p>
    <w:p w:rsidR="00B86F0E" w:rsidRPr="00093F24" w:rsidRDefault="00B86F0E" w:rsidP="00B86F0E">
      <w:pPr>
        <w:rPr>
          <w:b/>
          <w:bCs/>
          <w:noProof/>
          <w:lang w:val="sq-AL"/>
        </w:rPr>
      </w:pPr>
      <w:r w:rsidRPr="00093F24">
        <w:rPr>
          <w:b/>
          <w:bCs/>
          <w:noProof/>
          <w:lang w:val="sq-AL"/>
        </w:rPr>
        <w:t>Taksimi i pasurisë</w:t>
      </w:r>
    </w:p>
    <w:p w:rsidR="00B86F0E" w:rsidRPr="00093F24" w:rsidRDefault="00E30F3C" w:rsidP="00B86F0E">
      <w:pPr>
        <w:rPr>
          <w:rFonts w:cs="Times New Roman"/>
          <w:noProof/>
          <w:lang w:val="sq-AL"/>
        </w:rPr>
      </w:pPr>
      <w:r>
        <w:rPr>
          <w:noProof/>
          <w:lang w:val="sq-AL"/>
        </w:rPr>
        <w:t>Për 5</w:t>
      </w:r>
      <w:r w:rsidR="00B86F0E" w:rsidRPr="00093F24">
        <w:rPr>
          <w:noProof/>
          <w:lang w:val="sq-AL"/>
        </w:rPr>
        <w:t xml:space="preserve"> mujorin tak</w:t>
      </w:r>
      <w:r>
        <w:rPr>
          <w:noProof/>
          <w:lang w:val="sq-AL"/>
        </w:rPr>
        <w:t>sat mbi pasurinë arrijnë në 1.3 miliardë lekë nga 1.</w:t>
      </w:r>
      <w:r w:rsidR="00B86F0E" w:rsidRPr="00093F24">
        <w:rPr>
          <w:noProof/>
          <w:lang w:val="sq-AL"/>
        </w:rPr>
        <w:t>4 miliardë lekë të parashikuara dhe -</w:t>
      </w:r>
      <w:r>
        <w:rPr>
          <w:noProof/>
          <w:lang w:val="sq-AL"/>
        </w:rPr>
        <w:t>5.1</w:t>
      </w:r>
      <w:r w:rsidR="00B86F0E" w:rsidRPr="00093F24">
        <w:rPr>
          <w:noProof/>
          <w:lang w:val="sq-AL"/>
        </w:rPr>
        <w:t xml:space="preserve"> përqind më të uleta se një vit më parë.</w:t>
      </w:r>
    </w:p>
    <w:p w:rsidR="00B86F0E" w:rsidRPr="00093F24" w:rsidRDefault="00B86F0E" w:rsidP="00B86F0E">
      <w:pPr>
        <w:rPr>
          <w:b/>
          <w:bCs/>
          <w:noProof/>
          <w:lang w:val="sq-AL"/>
        </w:rPr>
      </w:pPr>
      <w:r w:rsidRPr="00093F24">
        <w:rPr>
          <w:b/>
          <w:bCs/>
          <w:noProof/>
          <w:lang w:val="sq-AL"/>
        </w:rPr>
        <w:t>Taksat nacionale</w:t>
      </w:r>
    </w:p>
    <w:p w:rsidR="00C15255" w:rsidRDefault="00B86F0E" w:rsidP="00B86F0E">
      <w:pPr>
        <w:rPr>
          <w:lang w:val="es-ES_tradnl"/>
        </w:rPr>
      </w:pPr>
      <w:r w:rsidRPr="00093F24">
        <w:rPr>
          <w:lang w:val="es-ES_tradnl"/>
        </w:rPr>
        <w:t>Të ardhurat nga taksat naciona</w:t>
      </w:r>
      <w:r w:rsidR="0034062E">
        <w:rPr>
          <w:lang w:val="es-ES_tradnl"/>
        </w:rPr>
        <w:t>le në total për periudhën janë 10</w:t>
      </w:r>
      <w:r w:rsidRPr="00093F24">
        <w:rPr>
          <w:lang w:val="es-ES_tradnl"/>
        </w:rPr>
        <w:t xml:space="preserve">.7 miliardë lekë </w:t>
      </w:r>
      <w:r w:rsidR="0034062E">
        <w:rPr>
          <w:lang w:val="es-ES_tradnl"/>
        </w:rPr>
        <w:t xml:space="preserve">me </w:t>
      </w:r>
      <w:r w:rsidRPr="00093F24">
        <w:rPr>
          <w:lang w:val="es-ES_tradnl"/>
        </w:rPr>
        <w:t xml:space="preserve">renie </w:t>
      </w:r>
      <w:r w:rsidR="0034062E">
        <w:rPr>
          <w:lang w:val="es-ES_tradnl"/>
        </w:rPr>
        <w:t xml:space="preserve">vjetore </w:t>
      </w:r>
      <w:r w:rsidRPr="00093F24">
        <w:rPr>
          <w:lang w:val="es-ES_tradnl"/>
        </w:rPr>
        <w:t>prej -</w:t>
      </w:r>
      <w:r w:rsidR="0034062E">
        <w:rPr>
          <w:lang w:val="es-ES_tradnl"/>
        </w:rPr>
        <w:t>4.7</w:t>
      </w:r>
      <w:r w:rsidRPr="00093F24">
        <w:rPr>
          <w:lang w:val="es-ES_tradnl"/>
        </w:rPr>
        <w:t xml:space="preserve"> përqind.</w:t>
      </w:r>
      <w:r w:rsidR="001C563D">
        <w:rPr>
          <w:lang w:val="es-ES_tradnl"/>
        </w:rPr>
        <w:t xml:space="preserve"> </w:t>
      </w:r>
    </w:p>
    <w:p w:rsidR="006A0E11" w:rsidRDefault="00C15255" w:rsidP="00B86F0E">
      <w:pPr>
        <w:rPr>
          <w:lang w:val="es-ES_tradnl"/>
        </w:rPr>
      </w:pPr>
      <w:r>
        <w:rPr>
          <w:lang w:val="es-ES_tradnl"/>
        </w:rPr>
        <w:t xml:space="preserve">Per kete grup taksash, se pari veme ne dukje se ne </w:t>
      </w:r>
      <w:r w:rsidR="000B35A7">
        <w:rPr>
          <w:lang w:val="es-ES_tradnl"/>
        </w:rPr>
        <w:t>pese</w:t>
      </w:r>
      <w:r>
        <w:rPr>
          <w:lang w:val="es-ES_tradnl"/>
        </w:rPr>
        <w:t>mujorin e nje viti me pare, u perfshine edhe te ardhurat e realiz</w:t>
      </w:r>
      <w:r w:rsidR="0077486F">
        <w:rPr>
          <w:lang w:val="es-ES_tradnl"/>
        </w:rPr>
        <w:t>u</w:t>
      </w:r>
      <w:r>
        <w:rPr>
          <w:lang w:val="es-ES_tradnl"/>
        </w:rPr>
        <w:t>ara nga procesi i rivleresimit te pasurive te paluajtshme nga individet, ne shumen 1.1 miliarde leke. Persa i takon taksave kryesore te ketij grupi verejme se:</w:t>
      </w:r>
      <w:r w:rsidR="00C02A8B">
        <w:rPr>
          <w:lang w:val="es-ES_tradnl"/>
        </w:rPr>
        <w:t xml:space="preserve"> renta minerare ka pesuar rritje ne terma te te ardhurave te mbledhura me </w:t>
      </w:r>
      <w:r w:rsidR="000B35A7">
        <w:rPr>
          <w:lang w:val="es-ES_tradnl"/>
        </w:rPr>
        <w:t>18</w:t>
      </w:r>
      <w:r w:rsidR="00C02A8B">
        <w:rPr>
          <w:lang w:val="es-ES_tradnl"/>
        </w:rPr>
        <w:t xml:space="preserve"> perqind mbi baza vjetore; po ashtu dhe taksa e karbonit ka mbledhur </w:t>
      </w:r>
      <w:r w:rsidR="000B35A7">
        <w:rPr>
          <w:lang w:val="es-ES_tradnl"/>
        </w:rPr>
        <w:t>42</w:t>
      </w:r>
      <w:r w:rsidR="00C02A8B">
        <w:rPr>
          <w:lang w:val="es-ES_tradnl"/>
        </w:rPr>
        <w:t xml:space="preserve"> perqind me shume te ardhura; jane ulur te ardhurat e mbledhura nga mjetet e perdorura te transportit me rreth </w:t>
      </w:r>
      <w:r w:rsidR="000B35A7">
        <w:rPr>
          <w:lang w:val="es-ES_tradnl"/>
        </w:rPr>
        <w:t>19</w:t>
      </w:r>
      <w:r w:rsidR="00C02A8B">
        <w:rPr>
          <w:lang w:val="es-ES_tradnl"/>
        </w:rPr>
        <w:t xml:space="preserve"> perqind; nga taksa e qarkullimit mbi benzinen dhe gazoilin jane mbledhu</w:t>
      </w:r>
      <w:r w:rsidR="000B35A7">
        <w:rPr>
          <w:lang w:val="es-ES_tradnl"/>
        </w:rPr>
        <w:t xml:space="preserve">r per kete pesemujor rreth 1.8 </w:t>
      </w:r>
      <w:r w:rsidR="00C02A8B">
        <w:rPr>
          <w:lang w:val="es-ES_tradnl"/>
        </w:rPr>
        <w:t>miliarde leke</w:t>
      </w:r>
      <w:r w:rsidR="000B35A7">
        <w:rPr>
          <w:lang w:val="es-ES_tradnl"/>
        </w:rPr>
        <w:t xml:space="preserve"> nga 1.2 te nje viti me pare</w:t>
      </w:r>
      <w:r w:rsidR="00C02A8B">
        <w:rPr>
          <w:lang w:val="es-ES_tradnl"/>
        </w:rPr>
        <w:t xml:space="preserve">. </w:t>
      </w:r>
    </w:p>
    <w:p w:rsidR="006A0E11" w:rsidRDefault="006A0E11" w:rsidP="00B86F0E">
      <w:pPr>
        <w:rPr>
          <w:lang w:val="es-ES_tradnl"/>
        </w:rPr>
      </w:pPr>
    </w:p>
    <w:p w:rsidR="00B86F0E" w:rsidRPr="00093F24" w:rsidRDefault="00B86F0E" w:rsidP="00B86F0E">
      <w:pPr>
        <w:rPr>
          <w:b/>
          <w:bCs/>
          <w:lang w:val="sq-AL"/>
        </w:rPr>
      </w:pPr>
      <w:r w:rsidRPr="00093F24">
        <w:rPr>
          <w:b/>
          <w:bCs/>
          <w:lang w:val="sq-AL"/>
        </w:rPr>
        <w:t>Taksa doganore</w:t>
      </w:r>
    </w:p>
    <w:p w:rsidR="00B86F0E" w:rsidRPr="00093F24" w:rsidRDefault="00B86F0E" w:rsidP="00B86F0E">
      <w:pPr>
        <w:rPr>
          <w:rFonts w:cs="Times New Roman"/>
          <w:noProof/>
          <w:lang w:val="sq-AL"/>
        </w:rPr>
      </w:pPr>
      <w:r w:rsidRPr="00093F24">
        <w:rPr>
          <w:noProof/>
          <w:lang w:val="sq-AL"/>
        </w:rPr>
        <w:t>Të ardhurat nga taksa doga</w:t>
      </w:r>
      <w:r w:rsidR="000B5DCB">
        <w:rPr>
          <w:noProof/>
          <w:lang w:val="sq-AL"/>
        </w:rPr>
        <w:t>nore për periudhën janar – maj janë rreth 2.1 miliardë lekë, -12.2</w:t>
      </w:r>
      <w:r w:rsidRPr="00093F24">
        <w:rPr>
          <w:noProof/>
          <w:lang w:val="sq-AL"/>
        </w:rPr>
        <w:t xml:space="preserve"> përqind më pak se parashikimi; krahasuar me të njëjtën periudhë të vitit 2012, të ardhura</w:t>
      </w:r>
      <w:r w:rsidR="000B5DCB">
        <w:rPr>
          <w:noProof/>
          <w:lang w:val="sq-AL"/>
        </w:rPr>
        <w:t>t nga kjo taksë janë ulur me 191 milionë lekë, ose -8.3</w:t>
      </w:r>
      <w:r w:rsidRPr="00093F24">
        <w:rPr>
          <w:noProof/>
          <w:lang w:val="sq-AL"/>
        </w:rPr>
        <w:t xml:space="preserve"> përqind. Nga të dhënat e Drejtorisë së Përgjithshme të Doganave, taksa mesatare doganore për periudhën ka qenë 1.41 përqind nga 1.52 përqind e një viti më parë.</w:t>
      </w:r>
    </w:p>
    <w:p w:rsidR="00640FE3" w:rsidRDefault="00640FE3" w:rsidP="00B86F0E">
      <w:pPr>
        <w:rPr>
          <w:b/>
          <w:bCs/>
          <w:lang w:val="es-ES_tradnl"/>
        </w:rPr>
      </w:pPr>
    </w:p>
    <w:p w:rsidR="00B86F0E" w:rsidRPr="00093F24" w:rsidRDefault="00B86F0E" w:rsidP="00B86F0E">
      <w:pPr>
        <w:rPr>
          <w:b/>
          <w:bCs/>
          <w:lang w:val="es-ES_tradnl"/>
        </w:rPr>
      </w:pPr>
      <w:r w:rsidRPr="00093F24">
        <w:rPr>
          <w:b/>
          <w:bCs/>
          <w:lang w:val="es-ES_tradnl"/>
        </w:rPr>
        <w:t>Të ardhura të tjera nga pushteti vendor</w:t>
      </w:r>
    </w:p>
    <w:p w:rsidR="00B86F0E" w:rsidRPr="004824B5" w:rsidRDefault="00B86F0E" w:rsidP="00B86F0E">
      <w:pPr>
        <w:rPr>
          <w:rFonts w:cs="Times New Roman"/>
          <w:highlight w:val="yellow"/>
          <w:lang w:val="es-ES_tradnl"/>
        </w:rPr>
      </w:pPr>
      <w:r w:rsidRPr="00093F24">
        <w:rPr>
          <w:lang w:val="es-ES_tradnl"/>
        </w:rPr>
        <w:t>Të ardhurat e mbledhura nga taksat ven</w:t>
      </w:r>
      <w:r w:rsidR="00BE7012">
        <w:rPr>
          <w:lang w:val="es-ES_tradnl"/>
        </w:rPr>
        <w:t>dore për periudhën janar – maj arritën në 5</w:t>
      </w:r>
      <w:r w:rsidRPr="00093F24">
        <w:rPr>
          <w:lang w:val="es-ES_tradnl"/>
        </w:rPr>
        <w:t xml:space="preserve"> mil</w:t>
      </w:r>
      <w:r w:rsidR="00BE7012">
        <w:rPr>
          <w:lang w:val="es-ES_tradnl"/>
        </w:rPr>
        <w:t>iardë lekë nga 5.7</w:t>
      </w:r>
      <w:r w:rsidRPr="00093F24">
        <w:rPr>
          <w:lang w:val="es-ES_tradnl"/>
        </w:rPr>
        <w:t xml:space="preserve"> miliardë lekë të</w:t>
      </w:r>
      <w:r w:rsidR="00BE7012">
        <w:rPr>
          <w:lang w:val="es-ES_tradnl"/>
        </w:rPr>
        <w:t xml:space="preserve"> planifikuara, ndërsa kundrejt 5 </w:t>
      </w:r>
      <w:r w:rsidRPr="00093F24">
        <w:rPr>
          <w:lang w:val="es-ES_tradnl"/>
        </w:rPr>
        <w:t>mujorit të vitit 201</w:t>
      </w:r>
      <w:r w:rsidR="00BE7012">
        <w:rPr>
          <w:lang w:val="es-ES_tradnl"/>
        </w:rPr>
        <w:t>2 të ardhurat janë ulur  me -715</w:t>
      </w:r>
      <w:r w:rsidRPr="00093F24">
        <w:rPr>
          <w:lang w:val="es-ES_tradnl"/>
        </w:rPr>
        <w:t xml:space="preserve"> milionë lekë (rreth -</w:t>
      </w:r>
      <w:r w:rsidR="00BE7012">
        <w:rPr>
          <w:lang w:val="es-ES_tradnl"/>
        </w:rPr>
        <w:t>12.4</w:t>
      </w:r>
      <w:r w:rsidRPr="00093F24">
        <w:rPr>
          <w:lang w:val="es-ES_tradnl"/>
        </w:rPr>
        <w:t xml:space="preserve"> përqind më pak). Taksat e tjera vendore (pa taksën e biznesit të vogel dhe taksat mbi pasurinë të cilat përmenden m</w:t>
      </w:r>
      <w:r w:rsidR="00DE7967">
        <w:rPr>
          <w:lang w:val="es-ES_tradnl"/>
        </w:rPr>
        <w:t>ë sipër) kanë mbledhur rreth 2.6 miliardë lekë nga 3.3</w:t>
      </w:r>
      <w:r w:rsidRPr="00093F24">
        <w:rPr>
          <w:lang w:val="es-ES_tradnl"/>
        </w:rPr>
        <w:t xml:space="preserve"> miliardë lekë të parashikuara, ndërsa krahasuar me të njëjtën periudhë të vitit të kaluar këto taksa </w:t>
      </w:r>
      <w:r w:rsidR="00DE7967">
        <w:rPr>
          <w:lang w:val="es-ES_tradnl"/>
        </w:rPr>
        <w:t>kanë pësuar një rënie prej -19.2</w:t>
      </w:r>
      <w:r w:rsidRPr="00093F24">
        <w:rPr>
          <w:lang w:val="es-ES_tradnl"/>
        </w:rPr>
        <w:t xml:space="preserve"> përqind.</w:t>
      </w:r>
    </w:p>
    <w:p w:rsidR="00640FE3" w:rsidRDefault="00640FE3" w:rsidP="00B86F0E">
      <w:pPr>
        <w:rPr>
          <w:b/>
          <w:bCs/>
          <w:noProof/>
          <w:lang w:val="sq-AL"/>
        </w:rPr>
      </w:pPr>
    </w:p>
    <w:p w:rsidR="00B86F0E" w:rsidRPr="007143FB" w:rsidRDefault="00B86F0E" w:rsidP="00B86F0E">
      <w:pPr>
        <w:rPr>
          <w:b/>
          <w:bCs/>
          <w:noProof/>
          <w:lang w:val="sq-AL"/>
        </w:rPr>
      </w:pPr>
      <w:r w:rsidRPr="007143FB">
        <w:rPr>
          <w:b/>
          <w:bCs/>
          <w:noProof/>
          <w:lang w:val="sq-AL"/>
        </w:rPr>
        <w:t>Të ardhurat e fondeve speciale</w:t>
      </w:r>
    </w:p>
    <w:p w:rsidR="00B86F0E" w:rsidRPr="00AD115E" w:rsidRDefault="00B86F0E" w:rsidP="00B86F0E">
      <w:pPr>
        <w:rPr>
          <w:lang w:val="es-ES_tradnl"/>
        </w:rPr>
      </w:pPr>
      <w:r w:rsidRPr="007143FB">
        <w:rPr>
          <w:lang w:val="es-ES_tradnl"/>
        </w:rPr>
        <w:t>Të ardhurat nga fondet spec</w:t>
      </w:r>
      <w:r w:rsidR="00F059F6">
        <w:rPr>
          <w:lang w:val="es-ES_tradnl"/>
        </w:rPr>
        <w:t>iale për periudhën janar – maj 2013 arritën në 25</w:t>
      </w:r>
      <w:r w:rsidRPr="007143FB">
        <w:rPr>
          <w:lang w:val="es-ES_tradnl"/>
        </w:rPr>
        <w:t xml:space="preserve"> miliardë lek</w:t>
      </w:r>
      <w:r w:rsidR="00F059F6">
        <w:rPr>
          <w:lang w:val="es-ES_tradnl"/>
        </w:rPr>
        <w:t>ë, me një rritje te lehte prej 1</w:t>
      </w:r>
      <w:r w:rsidRPr="007143FB">
        <w:rPr>
          <w:lang w:val="es-ES_tradnl"/>
        </w:rPr>
        <w:t>.4 përqind kundrejt të njëjtës periu</w:t>
      </w:r>
      <w:r w:rsidR="00F059F6">
        <w:rPr>
          <w:lang w:val="es-ES_tradnl"/>
        </w:rPr>
        <w:t>dhë të një viti më parë dhe ne linje me</w:t>
      </w:r>
      <w:r w:rsidRPr="007143FB">
        <w:rPr>
          <w:lang w:val="es-ES_tradnl"/>
        </w:rPr>
        <w:t xml:space="preserve"> parashikimi</w:t>
      </w:r>
      <w:r w:rsidR="00F059F6">
        <w:rPr>
          <w:lang w:val="es-ES_tradnl"/>
        </w:rPr>
        <w:t>n</w:t>
      </w:r>
      <w:r w:rsidRPr="007143FB">
        <w:rPr>
          <w:lang w:val="es-ES_tradnl"/>
        </w:rPr>
        <w:t xml:space="preserve"> për periudhën. Ky grup të ardhur</w:t>
      </w:r>
      <w:r w:rsidR="00F059F6">
        <w:rPr>
          <w:lang w:val="es-ES_tradnl"/>
        </w:rPr>
        <w:t>ash përbën rreth 21</w:t>
      </w:r>
      <w:r w:rsidRPr="007143FB">
        <w:rPr>
          <w:lang w:val="es-ES_tradnl"/>
        </w:rPr>
        <w:t xml:space="preserve"> përqind të të ardhurave tati</w:t>
      </w:r>
      <w:r w:rsidR="00F059F6">
        <w:rPr>
          <w:lang w:val="es-ES_tradnl"/>
        </w:rPr>
        <w:t>more gjithsej për këtë periudh.</w:t>
      </w:r>
      <w:r w:rsidRPr="00AD115E">
        <w:rPr>
          <w:lang w:val="es-ES_tradnl"/>
        </w:rPr>
        <w:t xml:space="preserve"> Nga total</w:t>
      </w:r>
      <w:r w:rsidR="00F059F6">
        <w:rPr>
          <w:lang w:val="es-ES_tradnl"/>
        </w:rPr>
        <w:t>i i fondeve speciale, rreth 24</w:t>
      </w:r>
      <w:r w:rsidRPr="00AD115E">
        <w:rPr>
          <w:lang w:val="es-ES_tradnl"/>
        </w:rPr>
        <w:t xml:space="preserve"> miliardë lekë janë kontribute të sigurimeve sh</w:t>
      </w:r>
      <w:r w:rsidR="00F059F6">
        <w:rPr>
          <w:lang w:val="es-ES_tradnl"/>
        </w:rPr>
        <w:t>oqërore dhe shëndetësore dhe 0.8</w:t>
      </w:r>
      <w:r w:rsidRPr="00AD115E">
        <w:rPr>
          <w:lang w:val="es-ES_tradnl"/>
        </w:rPr>
        <w:t xml:space="preserve"> miliarde lekë të ardhura për kompensimin në vlerë të pronarëve. </w:t>
      </w:r>
    </w:p>
    <w:p w:rsidR="00B86F0E" w:rsidRDefault="00B86F0E" w:rsidP="00B86F0E">
      <w:pPr>
        <w:rPr>
          <w:lang w:val="es-ES_tradnl"/>
        </w:rPr>
      </w:pPr>
      <w:r w:rsidRPr="00AD115E">
        <w:rPr>
          <w:lang w:val="es-ES_tradnl"/>
        </w:rPr>
        <w:t>Nga sigu</w:t>
      </w:r>
      <w:r w:rsidR="00F059F6">
        <w:rPr>
          <w:lang w:val="es-ES_tradnl"/>
        </w:rPr>
        <w:t>rimet shoqërore janë mbledhur 20.7</w:t>
      </w:r>
      <w:r w:rsidRPr="00AD115E">
        <w:rPr>
          <w:lang w:val="es-ES_tradnl"/>
        </w:rPr>
        <w:t xml:space="preserve"> mili</w:t>
      </w:r>
      <w:r w:rsidR="00F059F6">
        <w:rPr>
          <w:lang w:val="es-ES_tradnl"/>
        </w:rPr>
        <w:t>ardë lekë, me renie vjetore -0.4</w:t>
      </w:r>
      <w:r w:rsidRPr="00AD115E">
        <w:rPr>
          <w:lang w:val="es-ES_tradnl"/>
        </w:rPr>
        <w:t xml:space="preserve"> përqind; nga sigurime</w:t>
      </w:r>
      <w:r w:rsidR="00F059F6">
        <w:rPr>
          <w:lang w:val="es-ES_tradnl"/>
        </w:rPr>
        <w:t>t shëndetësore janë mbledhur 3.4</w:t>
      </w:r>
      <w:r w:rsidRPr="00AD115E">
        <w:rPr>
          <w:lang w:val="es-ES_tradnl"/>
        </w:rPr>
        <w:t xml:space="preserve"> miliardë lekë, </w:t>
      </w:r>
      <w:r w:rsidR="00F059F6">
        <w:rPr>
          <w:lang w:val="es-ES_tradnl"/>
        </w:rPr>
        <w:t>9.6 përqind më shume se 5</w:t>
      </w:r>
      <w:r w:rsidRPr="00AD115E">
        <w:rPr>
          <w:lang w:val="es-ES_tradnl"/>
        </w:rPr>
        <w:t xml:space="preserve"> mujori i një viti më parë.</w:t>
      </w:r>
    </w:p>
    <w:p w:rsidR="00E22B41" w:rsidRDefault="00E22B41" w:rsidP="00B86F0E">
      <w:pPr>
        <w:rPr>
          <w:lang w:val="es-ES_tradnl"/>
        </w:rPr>
      </w:pPr>
    </w:p>
    <w:p w:rsidR="004544C5" w:rsidRPr="00841E98" w:rsidRDefault="004544C5" w:rsidP="004544C5">
      <w:pPr>
        <w:pStyle w:val="Heading1"/>
        <w:ind w:left="432" w:hanging="432"/>
        <w:jc w:val="both"/>
        <w:rPr>
          <w:rStyle w:val="MessageHeaderLabel"/>
          <w:rFonts w:ascii="Calibri" w:hAnsi="Calibri" w:cs="Times New Roman"/>
          <w:noProof/>
          <w:sz w:val="24"/>
          <w:szCs w:val="24"/>
          <w:lang w:val="sq-AL"/>
        </w:rPr>
      </w:pPr>
      <w:r>
        <w:rPr>
          <w:rStyle w:val="MessageHeaderLabel"/>
          <w:rFonts w:ascii="Calibri" w:hAnsi="Calibri" w:cs="Calibri"/>
          <w:noProof/>
          <w:sz w:val="24"/>
          <w:szCs w:val="24"/>
          <w:lang w:val="sq-AL"/>
        </w:rPr>
        <w:t>parashikimi i te ardhurave per pjesen e mbetur te vitit ne vijim</w:t>
      </w:r>
      <w:r w:rsidRPr="00841E98">
        <w:rPr>
          <w:rStyle w:val="MessageHeaderLabel"/>
          <w:rFonts w:ascii="Calibri" w:hAnsi="Calibri" w:cs="Calibri"/>
          <w:noProof/>
          <w:sz w:val="24"/>
          <w:szCs w:val="24"/>
          <w:lang w:val="sq-AL"/>
        </w:rPr>
        <w:t xml:space="preserve"> </w:t>
      </w:r>
      <w:r w:rsidR="00591AEF">
        <w:rPr>
          <w:rStyle w:val="MessageHeaderLabel"/>
          <w:rFonts w:ascii="Calibri" w:hAnsi="Calibri" w:cs="Calibri"/>
          <w:noProof/>
          <w:sz w:val="24"/>
          <w:szCs w:val="24"/>
          <w:lang w:val="sq-AL"/>
        </w:rPr>
        <w:fldChar w:fldCharType="begin"/>
      </w:r>
      <w:r w:rsidRPr="00841E98">
        <w:rPr>
          <w:rFonts w:cs="Times New Roman"/>
          <w:noProof/>
          <w:lang w:val="sq-AL"/>
        </w:rPr>
        <w:instrText>tc "</w:instrText>
      </w:r>
      <w:r>
        <w:rPr>
          <w:rStyle w:val="MessageHeaderLabel"/>
          <w:rFonts w:ascii="Calibri" w:hAnsi="Calibri" w:cs="Calibri"/>
          <w:noProof/>
          <w:sz w:val="24"/>
          <w:szCs w:val="24"/>
          <w:lang w:val="sq-AL"/>
        </w:rPr>
        <w:instrText>parashikimi i te ardhurave per pjesen e mbetur te vitit ne vijim</w:instrText>
      </w:r>
      <w:r w:rsidRPr="00841E98">
        <w:rPr>
          <w:rFonts w:cs="Times New Roman"/>
          <w:noProof/>
          <w:lang w:val="sq-AL"/>
        </w:rPr>
        <w:instrText>" \f C \l 0</w:instrText>
      </w:r>
      <w:r w:rsidRPr="00841E98">
        <w:rPr>
          <w:noProof/>
          <w:lang w:val="sq-AL"/>
        </w:rPr>
        <w:instrText>0000000001</w:instrText>
      </w:r>
      <w:r w:rsidR="00591AEF">
        <w:rPr>
          <w:rStyle w:val="MessageHeaderLabel"/>
          <w:rFonts w:ascii="Calibri" w:hAnsi="Calibri" w:cs="Calibri"/>
          <w:noProof/>
          <w:sz w:val="24"/>
          <w:szCs w:val="24"/>
          <w:lang w:val="sq-AL"/>
        </w:rPr>
        <w:fldChar w:fldCharType="end"/>
      </w:r>
    </w:p>
    <w:p w:rsidR="004544C5" w:rsidRDefault="00545A17" w:rsidP="00B86F0E">
      <w:pPr>
        <w:rPr>
          <w:lang w:val="es-ES_tradnl"/>
        </w:rPr>
      </w:pPr>
      <w:r>
        <w:rPr>
          <w:lang w:val="es-ES_tradnl"/>
        </w:rPr>
        <w:t xml:space="preserve">Politika tatimore e ndermarre ne fund tevitit 2012 dhe ne fillim te vitit 2013 do te ushtroje efektet e saj ne te ardhurat e mbledhura ne pjesen e mbetur te vitit 2013, per periudhen qershor-dhjetor. </w:t>
      </w:r>
      <w:r w:rsidRPr="00545A17">
        <w:rPr>
          <w:lang w:val="es-ES_tradnl"/>
        </w:rPr>
        <w:t xml:space="preserve">Efekti i perjashtimit nga TVSH per makineri </w:t>
      </w:r>
      <w:r>
        <w:rPr>
          <w:lang w:val="es-ES_tradnl"/>
        </w:rPr>
        <w:t>dh</w:t>
      </w:r>
      <w:r w:rsidRPr="00545A17">
        <w:rPr>
          <w:lang w:val="es-ES_tradnl"/>
        </w:rPr>
        <w:t>e pa</w:t>
      </w:r>
      <w:r>
        <w:rPr>
          <w:lang w:val="es-ES_tradnl"/>
        </w:rPr>
        <w:t xml:space="preserve">jisje eshte vleresuar fillimisht ne rreth 850 milion lek per </w:t>
      </w:r>
      <w:r w:rsidRPr="00545A17">
        <w:rPr>
          <w:lang w:val="es-ES_tradnl"/>
        </w:rPr>
        <w:t>prill-dhjetor 2013</w:t>
      </w:r>
      <w:r>
        <w:rPr>
          <w:lang w:val="es-ES_tradnl"/>
        </w:rPr>
        <w:t>. Nga te dhenat e DPD per periudhen 19 Prill (hyrja ne fuqi) deri ne 31 Maj</w:t>
      </w:r>
      <w:r w:rsidR="002C4239">
        <w:rPr>
          <w:lang w:val="es-ES_tradnl"/>
        </w:rPr>
        <w:t xml:space="preserve">, ky efekt ka qene rreth 66 milione leke. Gjykojme qe efekti negativ deri ne fund te vitit do te jete me i vogel se ai i parashikuar. </w:t>
      </w:r>
    </w:p>
    <w:p w:rsidR="002C4239" w:rsidRDefault="002C4239" w:rsidP="00B86F0E">
      <w:pPr>
        <w:rPr>
          <w:lang w:val="es-ES_tradnl"/>
        </w:rPr>
      </w:pPr>
      <w:r>
        <w:rPr>
          <w:lang w:val="es-ES_tradnl"/>
        </w:rPr>
        <w:t>Nje tjeter mase me efekt ka qene pergjysmimi i takses mbi automjetet e perdorura, hyre ne fuqi ne date 22 Maj 2013. Efekti i vleresuar eshte rreth 2.7 miliarde leke per periudhen qershor-dhjetor 2013.</w:t>
      </w:r>
      <w:r w:rsidR="00AA61B8">
        <w:rPr>
          <w:lang w:val="es-ES_tradnl"/>
        </w:rPr>
        <w:t xml:space="preserve"> </w:t>
      </w:r>
      <w:r>
        <w:rPr>
          <w:lang w:val="es-ES_tradnl"/>
        </w:rPr>
        <w:t xml:space="preserve">Ndryshimi i struktures se tatimit mbi pagat, duke rritur pragun e perjashtimit ne 30 000 leke, vleresohet te </w:t>
      </w:r>
      <w:r w:rsidR="00AA61B8">
        <w:rPr>
          <w:lang w:val="es-ES_tradnl"/>
        </w:rPr>
        <w:t xml:space="preserve">sjelle ne buxhet rreth 1.4 miliarde leke me pak. Se fundi, heqja e tatimit mbi token bujqesore vleresohet te kete impakt buxhetor ne masen 300 milione leke. </w:t>
      </w:r>
    </w:p>
    <w:p w:rsidR="00E22B41" w:rsidRDefault="00AA61B8" w:rsidP="00B86F0E">
      <w:pPr>
        <w:rPr>
          <w:lang w:val="es-ES_tradnl"/>
        </w:rPr>
      </w:pPr>
      <w:r>
        <w:rPr>
          <w:lang w:val="es-ES_tradnl"/>
        </w:rPr>
        <w:t>Nisur nga efektet buxhetore te politikave tatimore te ndermarra muajt e fundit dhe bazuar ne ecurine e deritanishme te te ardhurave ne buxhet, kemi bere nje parashikim te te ardhurave te pritshme per vitin 2013, duke rishikuar ne ulje pjesen me te madhe te zerave te te ardhurave ne Buxhetin e Konsoliduar. Rezultatet e ketij rishikimi permblidhen ne tabelen ne vijim.</w:t>
      </w:r>
      <w:r w:rsidR="00404E7D">
        <w:rPr>
          <w:lang w:val="es-ES_tradnl"/>
        </w:rPr>
        <w:t xml:space="preserve"> Ne total pritet te arketohen ne buxhet rreth 33.5 miliarde leke me pak se parashikimi fillestar ne Buxhetin e vitit 2013, </w:t>
      </w:r>
      <w:r w:rsidR="00C271F3">
        <w:rPr>
          <w:lang w:val="es-ES_tradnl"/>
        </w:rPr>
        <w:t>me nje vlere totale 327 miliarde, ose 1 perqind me pak se viti 2012. Zerat e tjere jane specifkuar me detaje ne Tabele.</w:t>
      </w:r>
    </w:p>
    <w:p w:rsidR="00C271F3" w:rsidRDefault="00C271F3" w:rsidP="00B86F0E">
      <w:pPr>
        <w:rPr>
          <w:lang w:val="es-ES_tradnl"/>
        </w:rPr>
      </w:pPr>
      <w:r>
        <w:rPr>
          <w:lang w:val="es-ES_tradnl"/>
        </w:rPr>
        <w:t>Tabela 5 Rishikimi i te ardhurave ne Buxhetin e Konsoliduar per vitin 2013</w:t>
      </w:r>
    </w:p>
    <w:p w:rsidR="00AA61B8" w:rsidRDefault="00404E7D" w:rsidP="00B86F0E">
      <w:pPr>
        <w:rPr>
          <w:lang w:val="es-ES_tradnl"/>
        </w:rPr>
      </w:pPr>
      <w:r w:rsidRPr="00404E7D">
        <w:rPr>
          <w:noProof/>
        </w:rPr>
        <w:lastRenderedPageBreak/>
        <w:drawing>
          <wp:inline distT="0" distB="0" distL="0" distR="0">
            <wp:extent cx="5943600" cy="460731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4607313"/>
                    </a:xfrm>
                    <a:prstGeom prst="rect">
                      <a:avLst/>
                    </a:prstGeom>
                    <a:noFill/>
                    <a:ln w="9525">
                      <a:noFill/>
                      <a:miter lim="800000"/>
                      <a:headEnd/>
                      <a:tailEnd/>
                    </a:ln>
                  </pic:spPr>
                </pic:pic>
              </a:graphicData>
            </a:graphic>
          </wp:inline>
        </w:drawing>
      </w:r>
    </w:p>
    <w:p w:rsidR="00404E7D" w:rsidRDefault="00404E7D" w:rsidP="00B86F0E">
      <w:pPr>
        <w:rPr>
          <w:lang w:val="es-ES_tradnl"/>
        </w:rPr>
      </w:pPr>
    </w:p>
    <w:sectPr w:rsidR="00404E7D" w:rsidSect="00AB40A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8D2" w:rsidRPr="00910A86" w:rsidRDefault="002558D2" w:rsidP="00865860">
      <w:pPr>
        <w:spacing w:before="0" w:after="0"/>
        <w:rPr>
          <w:rFonts w:ascii="Arial" w:hAnsi="Arial" w:cs="Arial"/>
          <w:sz w:val="20"/>
        </w:rPr>
      </w:pPr>
      <w:r>
        <w:separator/>
      </w:r>
    </w:p>
  </w:endnote>
  <w:endnote w:type="continuationSeparator" w:id="1">
    <w:p w:rsidR="002558D2" w:rsidRPr="00910A86" w:rsidRDefault="002558D2" w:rsidP="00865860">
      <w:pPr>
        <w:spacing w:before="0" w:after="0"/>
        <w:rPr>
          <w:rFonts w:ascii="Arial" w:hAnsi="Arial" w:cs="Arial"/>
          <w:sz w:val="20"/>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264827"/>
      <w:docPartObj>
        <w:docPartGallery w:val="Page Numbers (Bottom of Page)"/>
        <w:docPartUnique/>
      </w:docPartObj>
    </w:sdtPr>
    <w:sdtContent>
      <w:p w:rsidR="002C4239" w:rsidRDefault="00591AEF">
        <w:pPr>
          <w:pStyle w:val="Footer"/>
          <w:jc w:val="center"/>
        </w:pPr>
        <w:fldSimple w:instr=" PAGE   \* MERGEFORMAT ">
          <w:r w:rsidR="0061484F">
            <w:rPr>
              <w:noProof/>
            </w:rPr>
            <w:t>7</w:t>
          </w:r>
        </w:fldSimple>
      </w:p>
    </w:sdtContent>
  </w:sdt>
  <w:p w:rsidR="002C4239" w:rsidRDefault="002C4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8D2" w:rsidRPr="00910A86" w:rsidRDefault="002558D2" w:rsidP="00865860">
      <w:pPr>
        <w:spacing w:before="0" w:after="0"/>
        <w:rPr>
          <w:rFonts w:ascii="Arial" w:hAnsi="Arial" w:cs="Arial"/>
          <w:sz w:val="20"/>
        </w:rPr>
      </w:pPr>
      <w:r>
        <w:separator/>
      </w:r>
    </w:p>
  </w:footnote>
  <w:footnote w:type="continuationSeparator" w:id="1">
    <w:p w:rsidR="002558D2" w:rsidRPr="00910A86" w:rsidRDefault="002558D2" w:rsidP="00865860">
      <w:pPr>
        <w:spacing w:before="0" w:after="0"/>
        <w:rPr>
          <w:rFonts w:ascii="Arial" w:hAnsi="Arial" w:cs="Arial"/>
          <w:sz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54F82"/>
    <w:multiLevelType w:val="hybridMultilevel"/>
    <w:tmpl w:val="C7DA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C4E09"/>
    <w:multiLevelType w:val="hybridMultilevel"/>
    <w:tmpl w:val="F9D0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032D6"/>
    <w:multiLevelType w:val="hybridMultilevel"/>
    <w:tmpl w:val="0F6AC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E332E54"/>
    <w:multiLevelType w:val="hybridMultilevel"/>
    <w:tmpl w:val="EFE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B695C"/>
    <w:rsid w:val="00021AB1"/>
    <w:rsid w:val="00023D18"/>
    <w:rsid w:val="000672E0"/>
    <w:rsid w:val="000703FF"/>
    <w:rsid w:val="000857F7"/>
    <w:rsid w:val="000B35A7"/>
    <w:rsid w:val="000B5DCB"/>
    <w:rsid w:val="000C1AE6"/>
    <w:rsid w:val="000D2F18"/>
    <w:rsid w:val="000D52CF"/>
    <w:rsid w:val="000E0091"/>
    <w:rsid w:val="000F3F45"/>
    <w:rsid w:val="00105F11"/>
    <w:rsid w:val="00177A81"/>
    <w:rsid w:val="00187A88"/>
    <w:rsid w:val="001A1999"/>
    <w:rsid w:val="001A71EF"/>
    <w:rsid w:val="001C563D"/>
    <w:rsid w:val="001D37E9"/>
    <w:rsid w:val="001D3D45"/>
    <w:rsid w:val="002025F6"/>
    <w:rsid w:val="00227D98"/>
    <w:rsid w:val="00247EEE"/>
    <w:rsid w:val="002543FD"/>
    <w:rsid w:val="002558D2"/>
    <w:rsid w:val="002655BF"/>
    <w:rsid w:val="0027444B"/>
    <w:rsid w:val="0028575C"/>
    <w:rsid w:val="00287C2F"/>
    <w:rsid w:val="002B79C7"/>
    <w:rsid w:val="002C206A"/>
    <w:rsid w:val="002C4239"/>
    <w:rsid w:val="002D18D7"/>
    <w:rsid w:val="002D2C91"/>
    <w:rsid w:val="002D7140"/>
    <w:rsid w:val="002E65B1"/>
    <w:rsid w:val="00331A2C"/>
    <w:rsid w:val="0034062E"/>
    <w:rsid w:val="00342F8B"/>
    <w:rsid w:val="00352AFB"/>
    <w:rsid w:val="00356987"/>
    <w:rsid w:val="003616D4"/>
    <w:rsid w:val="003A6507"/>
    <w:rsid w:val="003B544B"/>
    <w:rsid w:val="003C3B01"/>
    <w:rsid w:val="003E22F0"/>
    <w:rsid w:val="00400588"/>
    <w:rsid w:val="00403897"/>
    <w:rsid w:val="00404E7D"/>
    <w:rsid w:val="004403BE"/>
    <w:rsid w:val="004479A2"/>
    <w:rsid w:val="004544C5"/>
    <w:rsid w:val="00471EDE"/>
    <w:rsid w:val="00476D2C"/>
    <w:rsid w:val="00495C07"/>
    <w:rsid w:val="004A731D"/>
    <w:rsid w:val="004D39CE"/>
    <w:rsid w:val="005146E3"/>
    <w:rsid w:val="005370A0"/>
    <w:rsid w:val="00545A17"/>
    <w:rsid w:val="00550E7F"/>
    <w:rsid w:val="00552D26"/>
    <w:rsid w:val="00583F93"/>
    <w:rsid w:val="00591AEF"/>
    <w:rsid w:val="005957E6"/>
    <w:rsid w:val="00595EA2"/>
    <w:rsid w:val="005F3070"/>
    <w:rsid w:val="0061484F"/>
    <w:rsid w:val="006164A5"/>
    <w:rsid w:val="006210CF"/>
    <w:rsid w:val="00626A5F"/>
    <w:rsid w:val="00640FE3"/>
    <w:rsid w:val="006446C2"/>
    <w:rsid w:val="00647311"/>
    <w:rsid w:val="006548A6"/>
    <w:rsid w:val="00656BF2"/>
    <w:rsid w:val="00660541"/>
    <w:rsid w:val="00672903"/>
    <w:rsid w:val="00685065"/>
    <w:rsid w:val="006A0E11"/>
    <w:rsid w:val="006A6EA3"/>
    <w:rsid w:val="006F50A9"/>
    <w:rsid w:val="006F6A7A"/>
    <w:rsid w:val="00703691"/>
    <w:rsid w:val="007042A6"/>
    <w:rsid w:val="007127A8"/>
    <w:rsid w:val="00716217"/>
    <w:rsid w:val="00726496"/>
    <w:rsid w:val="0073056A"/>
    <w:rsid w:val="007378A0"/>
    <w:rsid w:val="00743CA3"/>
    <w:rsid w:val="00762973"/>
    <w:rsid w:val="00765FF0"/>
    <w:rsid w:val="00773AA4"/>
    <w:rsid w:val="0077486F"/>
    <w:rsid w:val="0078047C"/>
    <w:rsid w:val="007826F1"/>
    <w:rsid w:val="007830CD"/>
    <w:rsid w:val="007B1524"/>
    <w:rsid w:val="007B1557"/>
    <w:rsid w:val="007B7B6F"/>
    <w:rsid w:val="007C2354"/>
    <w:rsid w:val="007D6132"/>
    <w:rsid w:val="007F3E8A"/>
    <w:rsid w:val="00816C05"/>
    <w:rsid w:val="00865860"/>
    <w:rsid w:val="00874774"/>
    <w:rsid w:val="008854FF"/>
    <w:rsid w:val="00887B61"/>
    <w:rsid w:val="008A3E1E"/>
    <w:rsid w:val="008B7DF6"/>
    <w:rsid w:val="008D75FD"/>
    <w:rsid w:val="0092305E"/>
    <w:rsid w:val="00924564"/>
    <w:rsid w:val="00945529"/>
    <w:rsid w:val="00947343"/>
    <w:rsid w:val="00965871"/>
    <w:rsid w:val="00985CF4"/>
    <w:rsid w:val="009A7468"/>
    <w:rsid w:val="009E2309"/>
    <w:rsid w:val="009E6B30"/>
    <w:rsid w:val="009F770D"/>
    <w:rsid w:val="00A07FFD"/>
    <w:rsid w:val="00A31C49"/>
    <w:rsid w:val="00A33573"/>
    <w:rsid w:val="00A56C21"/>
    <w:rsid w:val="00A64499"/>
    <w:rsid w:val="00AA3896"/>
    <w:rsid w:val="00AA487B"/>
    <w:rsid w:val="00AA61B8"/>
    <w:rsid w:val="00AB0C82"/>
    <w:rsid w:val="00AB16C0"/>
    <w:rsid w:val="00AB40A7"/>
    <w:rsid w:val="00AD4B54"/>
    <w:rsid w:val="00AD6747"/>
    <w:rsid w:val="00AE28CF"/>
    <w:rsid w:val="00AF32F2"/>
    <w:rsid w:val="00AF7586"/>
    <w:rsid w:val="00B007E6"/>
    <w:rsid w:val="00B039F2"/>
    <w:rsid w:val="00B1523A"/>
    <w:rsid w:val="00B4782C"/>
    <w:rsid w:val="00B86F0E"/>
    <w:rsid w:val="00B94212"/>
    <w:rsid w:val="00B9628F"/>
    <w:rsid w:val="00BA02F9"/>
    <w:rsid w:val="00BA2B85"/>
    <w:rsid w:val="00BB007C"/>
    <w:rsid w:val="00BB36A8"/>
    <w:rsid w:val="00BE7012"/>
    <w:rsid w:val="00BF7934"/>
    <w:rsid w:val="00C02A8B"/>
    <w:rsid w:val="00C15255"/>
    <w:rsid w:val="00C271F3"/>
    <w:rsid w:val="00C3107B"/>
    <w:rsid w:val="00C34CDC"/>
    <w:rsid w:val="00C4048B"/>
    <w:rsid w:val="00C57B6F"/>
    <w:rsid w:val="00C61BAC"/>
    <w:rsid w:val="00C857A6"/>
    <w:rsid w:val="00C871B9"/>
    <w:rsid w:val="00C92C91"/>
    <w:rsid w:val="00C959AD"/>
    <w:rsid w:val="00CA0A08"/>
    <w:rsid w:val="00CA65A5"/>
    <w:rsid w:val="00CD164F"/>
    <w:rsid w:val="00CD53C6"/>
    <w:rsid w:val="00D15A41"/>
    <w:rsid w:val="00D27FAC"/>
    <w:rsid w:val="00D45094"/>
    <w:rsid w:val="00D73DB4"/>
    <w:rsid w:val="00D82B04"/>
    <w:rsid w:val="00DB4058"/>
    <w:rsid w:val="00DB695C"/>
    <w:rsid w:val="00DC3792"/>
    <w:rsid w:val="00DC73A2"/>
    <w:rsid w:val="00DD2284"/>
    <w:rsid w:val="00DE4011"/>
    <w:rsid w:val="00DE607B"/>
    <w:rsid w:val="00DE7967"/>
    <w:rsid w:val="00DF5E25"/>
    <w:rsid w:val="00E1195D"/>
    <w:rsid w:val="00E21ABE"/>
    <w:rsid w:val="00E22B41"/>
    <w:rsid w:val="00E30F3C"/>
    <w:rsid w:val="00E375DF"/>
    <w:rsid w:val="00E4724D"/>
    <w:rsid w:val="00E87CD3"/>
    <w:rsid w:val="00EC14D6"/>
    <w:rsid w:val="00ED1251"/>
    <w:rsid w:val="00F059F6"/>
    <w:rsid w:val="00F43177"/>
    <w:rsid w:val="00F50258"/>
    <w:rsid w:val="00F505A8"/>
    <w:rsid w:val="00F61A3B"/>
    <w:rsid w:val="00F70412"/>
    <w:rsid w:val="00F95C50"/>
    <w:rsid w:val="00F95E03"/>
    <w:rsid w:val="00FB45E5"/>
    <w:rsid w:val="00FD14EA"/>
    <w:rsid w:val="00FD4E3E"/>
    <w:rsid w:val="00FF1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Columns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C0"/>
    <w:pPr>
      <w:spacing w:before="120" w:after="120" w:line="240" w:lineRule="auto"/>
      <w:jc w:val="both"/>
    </w:pPr>
    <w:rPr>
      <w:rFonts w:ascii="Trebuchet MS" w:hAnsi="Trebuchet MS"/>
    </w:rPr>
  </w:style>
  <w:style w:type="paragraph" w:styleId="Heading1">
    <w:name w:val="heading 1"/>
    <w:basedOn w:val="Normal"/>
    <w:next w:val="Normal"/>
    <w:link w:val="Heading1Char"/>
    <w:uiPriority w:val="99"/>
    <w:qFormat/>
    <w:rsid w:val="002B79C7"/>
    <w:pPr>
      <w:keepNext/>
      <w:tabs>
        <w:tab w:val="center" w:pos="5954"/>
      </w:tabs>
      <w:ind w:right="-1"/>
      <w:jc w:val="right"/>
      <w:outlineLvl w:val="0"/>
    </w:pPr>
    <w:rPr>
      <w:rFonts w:eastAsia="Times New Roman" w:cs="Trebuchet MS"/>
      <w:b/>
      <w:bCs/>
      <w:caps/>
      <w:lang w:val="it-IT"/>
    </w:rPr>
  </w:style>
  <w:style w:type="paragraph" w:styleId="Heading2">
    <w:name w:val="heading 2"/>
    <w:basedOn w:val="Normal"/>
    <w:next w:val="Normal"/>
    <w:link w:val="Heading2Char"/>
    <w:uiPriority w:val="9"/>
    <w:semiHidden/>
    <w:unhideWhenUsed/>
    <w:qFormat/>
    <w:rsid w:val="00B86F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uiPriority w:val="99"/>
    <w:rsid w:val="00DB695C"/>
    <w:rPr>
      <w:rFonts w:ascii="Arial Black" w:hAnsi="Arial Black"/>
      <w:spacing w:val="-10"/>
      <w:sz w:val="18"/>
    </w:rPr>
  </w:style>
  <w:style w:type="paragraph" w:styleId="ListParagraph">
    <w:name w:val="List Paragraph"/>
    <w:basedOn w:val="Normal"/>
    <w:qFormat/>
    <w:rsid w:val="00476D2C"/>
    <w:pPr>
      <w:ind w:left="720"/>
    </w:pPr>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476D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2C"/>
    <w:rPr>
      <w:rFonts w:ascii="Tahoma" w:hAnsi="Tahoma" w:cs="Tahoma"/>
      <w:sz w:val="16"/>
      <w:szCs w:val="16"/>
    </w:rPr>
  </w:style>
  <w:style w:type="table" w:styleId="TableGrid">
    <w:name w:val="Table Grid"/>
    <w:basedOn w:val="TableNormal"/>
    <w:uiPriority w:val="59"/>
    <w:rsid w:val="009F77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860"/>
    <w:pPr>
      <w:tabs>
        <w:tab w:val="center" w:pos="4680"/>
        <w:tab w:val="right" w:pos="9360"/>
      </w:tabs>
      <w:spacing w:before="0" w:after="0"/>
    </w:pPr>
  </w:style>
  <w:style w:type="character" w:customStyle="1" w:styleId="HeaderChar">
    <w:name w:val="Header Char"/>
    <w:basedOn w:val="DefaultParagraphFont"/>
    <w:link w:val="Header"/>
    <w:uiPriority w:val="99"/>
    <w:semiHidden/>
    <w:rsid w:val="00865860"/>
  </w:style>
  <w:style w:type="paragraph" w:styleId="Footer">
    <w:name w:val="footer"/>
    <w:basedOn w:val="Normal"/>
    <w:link w:val="FooterChar"/>
    <w:uiPriority w:val="99"/>
    <w:unhideWhenUsed/>
    <w:rsid w:val="00865860"/>
    <w:pPr>
      <w:tabs>
        <w:tab w:val="center" w:pos="4680"/>
        <w:tab w:val="right" w:pos="9360"/>
      </w:tabs>
      <w:spacing w:before="0" w:after="0"/>
    </w:pPr>
  </w:style>
  <w:style w:type="character" w:customStyle="1" w:styleId="FooterChar">
    <w:name w:val="Footer Char"/>
    <w:basedOn w:val="DefaultParagraphFont"/>
    <w:link w:val="Footer"/>
    <w:uiPriority w:val="99"/>
    <w:rsid w:val="00865860"/>
  </w:style>
  <w:style w:type="character" w:customStyle="1" w:styleId="Heading1Char">
    <w:name w:val="Heading 1 Char"/>
    <w:basedOn w:val="DefaultParagraphFont"/>
    <w:link w:val="Heading1"/>
    <w:uiPriority w:val="99"/>
    <w:rsid w:val="002B79C7"/>
    <w:rPr>
      <w:rFonts w:ascii="Trebuchet MS" w:eastAsia="Times New Roman" w:hAnsi="Trebuchet MS" w:cs="Trebuchet MS"/>
      <w:b/>
      <w:bCs/>
      <w:caps/>
      <w:lang w:val="it-IT"/>
    </w:rPr>
  </w:style>
  <w:style w:type="paragraph" w:styleId="Subtitle">
    <w:name w:val="Subtitle"/>
    <w:basedOn w:val="Normal"/>
    <w:link w:val="SubtitleChar"/>
    <w:uiPriority w:val="99"/>
    <w:qFormat/>
    <w:rsid w:val="002B79C7"/>
    <w:pPr>
      <w:jc w:val="center"/>
    </w:pPr>
    <w:rPr>
      <w:rFonts w:eastAsia="Times New Roman" w:cs="Trebuchet MS"/>
      <w:b/>
      <w:bCs/>
      <w:lang w:val="it-IT"/>
    </w:rPr>
  </w:style>
  <w:style w:type="character" w:customStyle="1" w:styleId="SubtitleChar">
    <w:name w:val="Subtitle Char"/>
    <w:basedOn w:val="DefaultParagraphFont"/>
    <w:link w:val="Subtitle"/>
    <w:uiPriority w:val="99"/>
    <w:rsid w:val="002B79C7"/>
    <w:rPr>
      <w:rFonts w:ascii="Trebuchet MS" w:eastAsia="Times New Roman" w:hAnsi="Trebuchet MS" w:cs="Trebuchet MS"/>
      <w:b/>
      <w:bCs/>
      <w:lang w:val="it-IT"/>
    </w:rPr>
  </w:style>
  <w:style w:type="character" w:customStyle="1" w:styleId="Heading2Char">
    <w:name w:val="Heading 2 Char"/>
    <w:basedOn w:val="DefaultParagraphFont"/>
    <w:link w:val="Heading2"/>
    <w:uiPriority w:val="9"/>
    <w:semiHidden/>
    <w:rsid w:val="00B86F0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D14EA"/>
    <w:rPr>
      <w:sz w:val="16"/>
      <w:szCs w:val="16"/>
    </w:rPr>
  </w:style>
  <w:style w:type="paragraph" w:styleId="CommentText">
    <w:name w:val="annotation text"/>
    <w:basedOn w:val="Normal"/>
    <w:link w:val="CommentTextChar"/>
    <w:uiPriority w:val="99"/>
    <w:semiHidden/>
    <w:unhideWhenUsed/>
    <w:rsid w:val="00FD14EA"/>
    <w:rPr>
      <w:sz w:val="20"/>
      <w:szCs w:val="20"/>
    </w:rPr>
  </w:style>
  <w:style w:type="character" w:customStyle="1" w:styleId="CommentTextChar">
    <w:name w:val="Comment Text Char"/>
    <w:basedOn w:val="DefaultParagraphFont"/>
    <w:link w:val="CommentText"/>
    <w:uiPriority w:val="99"/>
    <w:semiHidden/>
    <w:rsid w:val="00FD14EA"/>
    <w:rPr>
      <w:sz w:val="20"/>
      <w:szCs w:val="20"/>
    </w:rPr>
  </w:style>
  <w:style w:type="paragraph" w:styleId="CommentSubject">
    <w:name w:val="annotation subject"/>
    <w:basedOn w:val="CommentText"/>
    <w:next w:val="CommentText"/>
    <w:link w:val="CommentSubjectChar"/>
    <w:uiPriority w:val="99"/>
    <w:semiHidden/>
    <w:unhideWhenUsed/>
    <w:rsid w:val="00FD14EA"/>
    <w:rPr>
      <w:b/>
      <w:bCs/>
    </w:rPr>
  </w:style>
  <w:style w:type="character" w:customStyle="1" w:styleId="CommentSubjectChar">
    <w:name w:val="Comment Subject Char"/>
    <w:basedOn w:val="CommentTextChar"/>
    <w:link w:val="CommentSubject"/>
    <w:uiPriority w:val="99"/>
    <w:semiHidden/>
    <w:rsid w:val="00FD14EA"/>
    <w:rPr>
      <w:b/>
      <w:bCs/>
    </w:rPr>
  </w:style>
  <w:style w:type="table" w:styleId="TableColumns5">
    <w:name w:val="Table Columns 5"/>
    <w:basedOn w:val="TableNormal"/>
    <w:rsid w:val="00177A81"/>
    <w:pPr>
      <w:spacing w:before="120" w:after="12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sigitagjoka</dc:creator>
  <cp:keywords/>
  <dc:description/>
  <cp:lastModifiedBy>Sigita.Gjoka</cp:lastModifiedBy>
  <cp:revision>5</cp:revision>
  <cp:lastPrinted>2013-07-05T07:31:00Z</cp:lastPrinted>
  <dcterms:created xsi:type="dcterms:W3CDTF">2013-07-03T07:59:00Z</dcterms:created>
  <dcterms:modified xsi:type="dcterms:W3CDTF">2013-07-05T07:33:00Z</dcterms:modified>
</cp:coreProperties>
</file>