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tblLook w:val="00A0"/>
      </w:tblPr>
      <w:tblGrid>
        <w:gridCol w:w="1445"/>
        <w:gridCol w:w="2530"/>
      </w:tblGrid>
      <w:tr w:rsidR="00EF17A9" w:rsidRPr="001F505E" w:rsidTr="00B66F31">
        <w:trPr>
          <w:trHeight w:val="2820"/>
        </w:trPr>
        <w:tc>
          <w:tcPr>
            <w:tcW w:w="1445" w:type="dxa"/>
            <w:tcBorders>
              <w:right w:val="single" w:sz="4" w:space="0" w:color="000000"/>
            </w:tcBorders>
          </w:tcPr>
          <w:p w:rsidR="00EF17A9" w:rsidRPr="001F505E" w:rsidRDefault="00EF17A9" w:rsidP="00B66F31">
            <w:pPr>
              <w:rPr>
                <w:noProof/>
                <w:lang w:val="sq-AL"/>
              </w:rPr>
            </w:pPr>
          </w:p>
        </w:tc>
        <w:tc>
          <w:tcPr>
            <w:tcW w:w="2530" w:type="dxa"/>
            <w:tcBorders>
              <w:left w:val="single" w:sz="4" w:space="0" w:color="000000"/>
            </w:tcBorders>
            <w:vAlign w:val="center"/>
          </w:tcPr>
          <w:p w:rsidR="00EF17A9" w:rsidRPr="001F505E" w:rsidRDefault="00EF17A9" w:rsidP="00B66F31">
            <w:pPr>
              <w:pStyle w:val="NoSpacing"/>
              <w:jc w:val="both"/>
              <w:rPr>
                <w:noProof/>
                <w:color w:val="76923C"/>
                <w:sz w:val="96"/>
                <w:szCs w:val="96"/>
                <w:lang w:val="sq-AL"/>
              </w:rPr>
            </w:pPr>
            <w:r w:rsidRPr="001F505E">
              <w:rPr>
                <w:noProof/>
                <w:color w:val="76923C"/>
                <w:sz w:val="96"/>
                <w:szCs w:val="96"/>
                <w:lang w:val="sq-AL"/>
              </w:rPr>
              <w:t>2013</w:t>
            </w:r>
          </w:p>
        </w:tc>
      </w:tr>
    </w:tbl>
    <w:p w:rsidR="00EF17A9" w:rsidRPr="001F505E" w:rsidRDefault="00EF17A9" w:rsidP="00EF17A9">
      <w:pPr>
        <w:rPr>
          <w:noProof/>
          <w:lang w:val="sq-AL"/>
        </w:rPr>
      </w:pPr>
    </w:p>
    <w:p w:rsidR="00EF17A9" w:rsidRPr="001F505E" w:rsidRDefault="00EF17A9" w:rsidP="00EF17A9">
      <w:pPr>
        <w:rPr>
          <w:noProof/>
          <w:lang w:val="sq-AL"/>
        </w:rPr>
      </w:pPr>
    </w:p>
    <w:p w:rsidR="00EF17A9" w:rsidRPr="001F505E" w:rsidRDefault="008E3C2C" w:rsidP="00EF17A9">
      <w:pPr>
        <w:rPr>
          <w:noProof/>
          <w:lang w:val="sq-AL"/>
        </w:rPr>
      </w:pPr>
      <w:r>
        <w:rPr>
          <w:rFonts w:cs="Calibri"/>
          <w:noProof/>
          <w:lang w:val="sq-AL" w:eastAsia="sq-AL"/>
        </w:rPr>
        <w:drawing>
          <wp:anchor distT="0" distB="0" distL="114300" distR="114300" simplePos="0" relativeHeight="251657216" behindDoc="1" locked="0" layoutInCell="1" allowOverlap="1">
            <wp:simplePos x="0" y="0"/>
            <wp:positionH relativeFrom="column">
              <wp:posOffset>573405</wp:posOffset>
            </wp:positionH>
            <wp:positionV relativeFrom="paragraph">
              <wp:posOffset>238760</wp:posOffset>
            </wp:positionV>
            <wp:extent cx="1524000" cy="1036320"/>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24000" cy="1036320"/>
                    </a:xfrm>
                    <a:prstGeom prst="rect">
                      <a:avLst/>
                    </a:prstGeom>
                    <a:noFill/>
                    <a:ln w="9525">
                      <a:noFill/>
                      <a:miter lim="800000"/>
                      <a:headEnd/>
                      <a:tailEnd/>
                    </a:ln>
                  </pic:spPr>
                </pic:pic>
              </a:graphicData>
            </a:graphic>
          </wp:anchor>
        </w:drawing>
      </w:r>
    </w:p>
    <w:tbl>
      <w:tblPr>
        <w:tblpPr w:leftFromText="187" w:rightFromText="187" w:horzAnchor="margin" w:tblpXSpec="center" w:tblpYSpec="bottom"/>
        <w:tblW w:w="5000" w:type="pct"/>
        <w:tblLook w:val="00A0"/>
      </w:tblPr>
      <w:tblGrid>
        <w:gridCol w:w="9620"/>
      </w:tblGrid>
      <w:tr w:rsidR="00EF17A9" w:rsidRPr="001F505E" w:rsidTr="00B66F31">
        <w:tc>
          <w:tcPr>
            <w:tcW w:w="0" w:type="auto"/>
          </w:tcPr>
          <w:p w:rsidR="003F4270" w:rsidRPr="001F505E" w:rsidRDefault="003F4270" w:rsidP="00B66F31">
            <w:pPr>
              <w:pStyle w:val="NoSpacing"/>
              <w:jc w:val="both"/>
              <w:rPr>
                <w:b/>
                <w:bCs/>
                <w:caps/>
                <w:noProof/>
                <w:sz w:val="72"/>
                <w:szCs w:val="72"/>
                <w:lang w:val="sq-AL"/>
              </w:rPr>
            </w:pPr>
          </w:p>
        </w:tc>
      </w:tr>
      <w:tr w:rsidR="00EF17A9" w:rsidRPr="001F505E" w:rsidTr="00B66F31">
        <w:tc>
          <w:tcPr>
            <w:tcW w:w="0" w:type="auto"/>
          </w:tcPr>
          <w:p w:rsidR="00EF17A9" w:rsidRPr="001F505E" w:rsidRDefault="00EF17A9" w:rsidP="00B66F31">
            <w:pPr>
              <w:pStyle w:val="NoSpacing"/>
              <w:jc w:val="both"/>
              <w:rPr>
                <w:noProof/>
                <w:color w:val="7F7F7F"/>
                <w:lang w:val="sq-AL"/>
              </w:rPr>
            </w:pPr>
          </w:p>
        </w:tc>
      </w:tr>
    </w:tbl>
    <w:p w:rsidR="00EF17A9" w:rsidRPr="001F505E" w:rsidRDefault="00EF17A9" w:rsidP="00EF17A9">
      <w:pPr>
        <w:rPr>
          <w:noProof/>
          <w:lang w:val="sq-AL"/>
        </w:rPr>
      </w:pPr>
    </w:p>
    <w:tbl>
      <w:tblPr>
        <w:tblpPr w:leftFromText="187" w:rightFromText="187" w:vertAnchor="page" w:horzAnchor="margin" w:tblpXSpec="center" w:tblpY="6631"/>
        <w:tblW w:w="4216" w:type="pct"/>
        <w:tblBorders>
          <w:left w:val="single" w:sz="18" w:space="0" w:color="4F81BD"/>
        </w:tblBorders>
        <w:tblLook w:val="00A0"/>
      </w:tblPr>
      <w:tblGrid>
        <w:gridCol w:w="8123"/>
      </w:tblGrid>
      <w:tr w:rsidR="00EF17A9" w:rsidRPr="001F505E" w:rsidTr="00B66F31">
        <w:trPr>
          <w:trHeight w:val="267"/>
        </w:trPr>
        <w:tc>
          <w:tcPr>
            <w:tcW w:w="7484" w:type="dxa"/>
            <w:tcMar>
              <w:top w:w="216" w:type="dxa"/>
              <w:left w:w="115" w:type="dxa"/>
              <w:bottom w:w="216" w:type="dxa"/>
              <w:right w:w="115" w:type="dxa"/>
            </w:tcMar>
          </w:tcPr>
          <w:p w:rsidR="00EF17A9" w:rsidRPr="001F505E" w:rsidRDefault="00EF17A9" w:rsidP="00B66F31">
            <w:pPr>
              <w:pStyle w:val="NoSpacing"/>
              <w:jc w:val="both"/>
              <w:rPr>
                <w:rFonts w:ascii="Cambria" w:hAnsi="Cambria" w:cs="Cambria"/>
                <w:noProof/>
                <w:lang w:val="sq-AL"/>
              </w:rPr>
            </w:pPr>
          </w:p>
        </w:tc>
      </w:tr>
      <w:tr w:rsidR="00EF17A9" w:rsidRPr="001F505E" w:rsidTr="00B66F31">
        <w:trPr>
          <w:trHeight w:val="1652"/>
        </w:trPr>
        <w:tc>
          <w:tcPr>
            <w:tcW w:w="7484" w:type="dxa"/>
          </w:tcPr>
          <w:p w:rsidR="00EF17A9" w:rsidRPr="001F505E" w:rsidRDefault="00EF17A9" w:rsidP="00B66F31">
            <w:pPr>
              <w:pStyle w:val="NoSpacing"/>
              <w:jc w:val="both"/>
              <w:rPr>
                <w:noProof/>
                <w:color w:val="4F81BD"/>
                <w:sz w:val="80"/>
                <w:szCs w:val="80"/>
                <w:lang w:val="sq-AL"/>
              </w:rPr>
            </w:pPr>
            <w:r w:rsidRPr="001F505E">
              <w:rPr>
                <w:noProof/>
                <w:color w:val="4F81BD"/>
                <w:sz w:val="80"/>
                <w:szCs w:val="80"/>
                <w:lang w:val="sq-AL"/>
              </w:rPr>
              <w:t>Raporti fiskal mujor</w:t>
            </w:r>
          </w:p>
        </w:tc>
      </w:tr>
      <w:tr w:rsidR="00EF17A9" w:rsidRPr="001F505E" w:rsidTr="00B66F31">
        <w:trPr>
          <w:trHeight w:val="623"/>
        </w:trPr>
        <w:tc>
          <w:tcPr>
            <w:tcW w:w="7484" w:type="dxa"/>
            <w:tcMar>
              <w:top w:w="216" w:type="dxa"/>
              <w:left w:w="115" w:type="dxa"/>
              <w:bottom w:w="216" w:type="dxa"/>
              <w:right w:w="115" w:type="dxa"/>
            </w:tcMar>
          </w:tcPr>
          <w:p w:rsidR="00EF17A9" w:rsidRPr="001F505E" w:rsidRDefault="00EF17A9" w:rsidP="00B66F31">
            <w:pPr>
              <w:pStyle w:val="NoSpacing"/>
              <w:ind w:left="720"/>
              <w:jc w:val="both"/>
              <w:rPr>
                <w:i/>
                <w:iCs/>
                <w:noProof/>
                <w:color w:val="4F81BD"/>
                <w:sz w:val="36"/>
                <w:szCs w:val="36"/>
                <w:lang w:val="sq-AL"/>
              </w:rPr>
            </w:pPr>
          </w:p>
          <w:p w:rsidR="00EF17A9" w:rsidRPr="001F505E" w:rsidRDefault="00EF17A9" w:rsidP="00B66F31">
            <w:pPr>
              <w:pStyle w:val="NoSpacing"/>
              <w:ind w:left="720"/>
              <w:jc w:val="both"/>
              <w:rPr>
                <w:i/>
                <w:iCs/>
                <w:noProof/>
                <w:color w:val="4F81BD"/>
                <w:sz w:val="36"/>
                <w:szCs w:val="36"/>
                <w:lang w:val="sq-AL"/>
              </w:rPr>
            </w:pPr>
          </w:p>
          <w:p w:rsidR="00EF17A9" w:rsidRPr="001F505E" w:rsidRDefault="00EF17A9" w:rsidP="00B66F31">
            <w:pPr>
              <w:pStyle w:val="NoSpacing"/>
              <w:rPr>
                <w:i/>
                <w:iCs/>
                <w:noProof/>
                <w:color w:val="4F81BD"/>
                <w:sz w:val="36"/>
                <w:szCs w:val="36"/>
                <w:lang w:val="sq-AL"/>
              </w:rPr>
            </w:pPr>
            <w:r w:rsidRPr="001F505E">
              <w:rPr>
                <w:i/>
                <w:iCs/>
                <w:noProof/>
                <w:color w:val="4F81BD"/>
                <w:sz w:val="36"/>
                <w:szCs w:val="36"/>
                <w:lang w:val="sq-AL"/>
              </w:rPr>
              <w:t xml:space="preserve">                           Janar - </w:t>
            </w:r>
            <w:r w:rsidR="001706E2" w:rsidRPr="001F505E">
              <w:rPr>
                <w:i/>
                <w:iCs/>
                <w:noProof/>
                <w:color w:val="4F81BD"/>
                <w:sz w:val="36"/>
                <w:szCs w:val="36"/>
                <w:lang w:val="sq-AL"/>
              </w:rPr>
              <w:t>Korrik</w:t>
            </w:r>
            <w:r w:rsidRPr="001F505E">
              <w:rPr>
                <w:i/>
                <w:iCs/>
                <w:noProof/>
                <w:color w:val="4F81BD"/>
                <w:sz w:val="36"/>
                <w:szCs w:val="36"/>
                <w:lang w:val="sq-AL"/>
              </w:rPr>
              <w:t>, 2013</w:t>
            </w:r>
          </w:p>
          <w:p w:rsidR="00EF17A9" w:rsidRPr="001F505E" w:rsidRDefault="00EF17A9" w:rsidP="00B66F31">
            <w:pPr>
              <w:pStyle w:val="NoSpacing"/>
              <w:jc w:val="both"/>
              <w:rPr>
                <w:noProof/>
                <w:lang w:val="sq-AL"/>
              </w:rPr>
            </w:pPr>
          </w:p>
        </w:tc>
      </w:tr>
    </w:tbl>
    <w:p w:rsidR="00A82520" w:rsidRPr="001F505E" w:rsidRDefault="00A82520">
      <w:pPr>
        <w:rPr>
          <w:lang w:val="sq-AL"/>
        </w:rPr>
      </w:pPr>
    </w:p>
    <w:p w:rsidR="00EF17A9" w:rsidRPr="001F505E" w:rsidRDefault="00EF17A9" w:rsidP="00EF17A9">
      <w:pPr>
        <w:rPr>
          <w:rFonts w:ascii="Calibri" w:hAnsi="Calibri"/>
          <w:sz w:val="28"/>
          <w:szCs w:val="28"/>
          <w:lang w:val="sq-AL" w:eastAsia="en-US"/>
        </w:rPr>
      </w:pPr>
    </w:p>
    <w:p w:rsidR="00EF17A9" w:rsidRPr="001F505E" w:rsidRDefault="00EF17A9" w:rsidP="00EF17A9">
      <w:pPr>
        <w:rPr>
          <w:rFonts w:ascii="Calibri" w:hAnsi="Calibri"/>
          <w:sz w:val="28"/>
          <w:szCs w:val="28"/>
          <w:lang w:val="sq-AL" w:eastAsia="en-US"/>
        </w:rPr>
      </w:pPr>
    </w:p>
    <w:p w:rsidR="00EF17A9" w:rsidRPr="001F505E" w:rsidRDefault="00EF17A9" w:rsidP="00EF17A9">
      <w:pPr>
        <w:jc w:val="center"/>
        <w:rPr>
          <w:rFonts w:ascii="Calibri" w:hAnsi="Calibri"/>
          <w:b/>
          <w:sz w:val="28"/>
          <w:szCs w:val="28"/>
          <w:lang w:val="sq-AL" w:eastAsia="en-US"/>
        </w:rPr>
      </w:pPr>
      <w:r w:rsidRPr="001F505E">
        <w:rPr>
          <w:rFonts w:ascii="Calibri" w:hAnsi="Calibri"/>
          <w:b/>
          <w:sz w:val="28"/>
          <w:szCs w:val="28"/>
          <w:lang w:val="sq-AL" w:eastAsia="en-US"/>
        </w:rPr>
        <w:t>REPUBLIKA E SHQIP</w:t>
      </w:r>
      <w:r w:rsidR="00B154BF" w:rsidRPr="001F505E">
        <w:rPr>
          <w:rFonts w:ascii="Calibri" w:hAnsi="Calibri"/>
          <w:b/>
          <w:sz w:val="28"/>
          <w:szCs w:val="28"/>
          <w:lang w:val="sq-AL" w:eastAsia="en-US"/>
        </w:rPr>
        <w:t>Ë</w:t>
      </w:r>
      <w:r w:rsidRPr="001F505E">
        <w:rPr>
          <w:rFonts w:ascii="Calibri" w:hAnsi="Calibri"/>
          <w:b/>
          <w:sz w:val="28"/>
          <w:szCs w:val="28"/>
          <w:lang w:val="sq-AL" w:eastAsia="en-US"/>
        </w:rPr>
        <w:t>RIS</w:t>
      </w:r>
      <w:r w:rsidR="00B154BF" w:rsidRPr="001F505E">
        <w:rPr>
          <w:rFonts w:ascii="Calibri" w:hAnsi="Calibri"/>
          <w:b/>
          <w:sz w:val="28"/>
          <w:szCs w:val="28"/>
          <w:lang w:val="sq-AL" w:eastAsia="en-US"/>
        </w:rPr>
        <w:t>Ë</w:t>
      </w:r>
    </w:p>
    <w:p w:rsidR="00EF17A9" w:rsidRPr="001F505E" w:rsidRDefault="00EF17A9" w:rsidP="00EF17A9">
      <w:pPr>
        <w:jc w:val="center"/>
        <w:rPr>
          <w:rFonts w:ascii="Calibri" w:hAnsi="Calibri"/>
          <w:b/>
          <w:sz w:val="28"/>
          <w:szCs w:val="28"/>
          <w:lang w:val="sq-AL" w:eastAsia="en-US"/>
        </w:rPr>
      </w:pPr>
      <w:r w:rsidRPr="001F505E">
        <w:rPr>
          <w:rFonts w:ascii="Calibri" w:hAnsi="Calibri"/>
          <w:b/>
          <w:sz w:val="28"/>
          <w:szCs w:val="28"/>
          <w:lang w:val="sq-AL" w:eastAsia="en-US"/>
        </w:rPr>
        <w:t>MINISTRIA E FINANCAVE</w:t>
      </w:r>
    </w:p>
    <w:p w:rsidR="00EF17A9" w:rsidRPr="001F505E" w:rsidRDefault="00EF17A9" w:rsidP="00EF17A9">
      <w:pPr>
        <w:rPr>
          <w:rFonts w:ascii="Calibri" w:hAnsi="Calibri"/>
          <w:sz w:val="28"/>
          <w:szCs w:val="28"/>
          <w:lang w:val="sq-AL" w:eastAsia="en-US"/>
        </w:rPr>
      </w:pPr>
    </w:p>
    <w:p w:rsidR="00EF17A9" w:rsidRPr="001F505E" w:rsidRDefault="00EF17A9" w:rsidP="00EF17A9">
      <w:pPr>
        <w:rPr>
          <w:rFonts w:ascii="Calibri" w:hAnsi="Calibri"/>
          <w:sz w:val="28"/>
          <w:szCs w:val="28"/>
          <w:lang w:val="sq-AL" w:eastAsia="en-US"/>
        </w:rPr>
      </w:pPr>
    </w:p>
    <w:p w:rsidR="00EF17A9" w:rsidRPr="001F505E" w:rsidRDefault="00EF17A9" w:rsidP="00EF17A9">
      <w:pPr>
        <w:rPr>
          <w:rFonts w:ascii="Calibri" w:hAnsi="Calibri"/>
          <w:sz w:val="28"/>
          <w:szCs w:val="28"/>
          <w:lang w:val="sq-AL" w:eastAsia="en-US"/>
        </w:rPr>
      </w:pPr>
    </w:p>
    <w:p w:rsidR="003F4270" w:rsidRPr="001F505E" w:rsidRDefault="00A82520" w:rsidP="003F4270">
      <w:pPr>
        <w:rPr>
          <w:lang w:val="sq-AL"/>
        </w:rPr>
      </w:pPr>
      <w:r w:rsidRPr="001F505E">
        <w:rPr>
          <w:rFonts w:ascii="Calibri" w:hAnsi="Calibri"/>
          <w:sz w:val="28"/>
          <w:szCs w:val="28"/>
          <w:lang w:val="sq-AL" w:eastAsia="en-US"/>
        </w:rPr>
        <w:br w:type="page"/>
      </w:r>
    </w:p>
    <w:p w:rsidR="003F4270" w:rsidRDefault="00180AE9">
      <w:pPr>
        <w:pStyle w:val="TOCHeading"/>
        <w:rPr>
          <w:lang w:val="sq-AL"/>
        </w:rPr>
      </w:pPr>
      <w:r w:rsidRPr="001F505E">
        <w:rPr>
          <w:lang w:val="sq-AL"/>
        </w:rPr>
        <w:lastRenderedPageBreak/>
        <w:t>Tabela e përmbajtjes</w:t>
      </w:r>
    </w:p>
    <w:p w:rsidR="00FE1C84" w:rsidRDefault="00FE1C84" w:rsidP="00FE1C84">
      <w:pPr>
        <w:rPr>
          <w:lang w:val="sq-AL" w:eastAsia="en-US"/>
        </w:rPr>
      </w:pPr>
    </w:p>
    <w:p w:rsidR="00FE1C84" w:rsidRPr="00FE1C84" w:rsidRDefault="00FE1C84" w:rsidP="00FE1C84">
      <w:pPr>
        <w:rPr>
          <w:lang w:val="sq-AL" w:eastAsia="en-US"/>
        </w:rPr>
      </w:pPr>
    </w:p>
    <w:p w:rsidR="00F12D7B" w:rsidRDefault="00DF3656">
      <w:pPr>
        <w:pStyle w:val="TOC1"/>
        <w:tabs>
          <w:tab w:val="right" w:leader="dot" w:pos="9394"/>
        </w:tabs>
        <w:rPr>
          <w:rFonts w:ascii="Calibri" w:eastAsia="Times New Roman" w:hAnsi="Calibri"/>
          <w:noProof/>
          <w:lang w:val="en-US" w:eastAsia="en-US"/>
        </w:rPr>
      </w:pPr>
      <w:r w:rsidRPr="001F505E">
        <w:rPr>
          <w:lang w:val="sq-AL"/>
        </w:rPr>
        <w:fldChar w:fldCharType="begin"/>
      </w:r>
      <w:r w:rsidR="003F4270" w:rsidRPr="001F505E">
        <w:rPr>
          <w:lang w:val="sq-AL"/>
        </w:rPr>
        <w:instrText xml:space="preserve"> TOC \o "1-3" \h \z \u </w:instrText>
      </w:r>
      <w:r w:rsidRPr="001F505E">
        <w:rPr>
          <w:lang w:val="sq-AL"/>
        </w:rPr>
        <w:fldChar w:fldCharType="separate"/>
      </w:r>
      <w:hyperlink w:anchor="_Toc367712680" w:history="1">
        <w:r w:rsidR="00F12D7B" w:rsidRPr="00122AC0">
          <w:rPr>
            <w:rStyle w:val="Hyperlink"/>
            <w:noProof/>
            <w:lang w:val="sq-AL"/>
          </w:rPr>
          <w:t>1 Analizë e përgjithshme</w:t>
        </w:r>
        <w:r w:rsidR="00F12D7B">
          <w:rPr>
            <w:noProof/>
            <w:webHidden/>
          </w:rPr>
          <w:tab/>
        </w:r>
        <w:r>
          <w:rPr>
            <w:noProof/>
            <w:webHidden/>
          </w:rPr>
          <w:fldChar w:fldCharType="begin"/>
        </w:r>
        <w:r w:rsidR="00F12D7B">
          <w:rPr>
            <w:noProof/>
            <w:webHidden/>
          </w:rPr>
          <w:instrText xml:space="preserve"> PAGEREF _Toc367712680 \h </w:instrText>
        </w:r>
        <w:r>
          <w:rPr>
            <w:noProof/>
            <w:webHidden/>
          </w:rPr>
        </w:r>
        <w:r>
          <w:rPr>
            <w:noProof/>
            <w:webHidden/>
          </w:rPr>
          <w:fldChar w:fldCharType="separate"/>
        </w:r>
        <w:r w:rsidR="00390052">
          <w:rPr>
            <w:noProof/>
            <w:webHidden/>
          </w:rPr>
          <w:t>3</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1" w:history="1">
        <w:r w:rsidR="00F12D7B" w:rsidRPr="00122AC0">
          <w:rPr>
            <w:rStyle w:val="Hyperlink"/>
            <w:noProof/>
            <w:lang w:val="sq-AL"/>
          </w:rPr>
          <w:t>Buxheti i konsoliduar</w:t>
        </w:r>
        <w:r w:rsidR="00F12D7B">
          <w:rPr>
            <w:noProof/>
            <w:webHidden/>
          </w:rPr>
          <w:tab/>
        </w:r>
        <w:r>
          <w:rPr>
            <w:noProof/>
            <w:webHidden/>
          </w:rPr>
          <w:fldChar w:fldCharType="begin"/>
        </w:r>
        <w:r w:rsidR="00F12D7B">
          <w:rPr>
            <w:noProof/>
            <w:webHidden/>
          </w:rPr>
          <w:instrText xml:space="preserve"> PAGEREF _Toc367712681 \h </w:instrText>
        </w:r>
        <w:r>
          <w:rPr>
            <w:noProof/>
            <w:webHidden/>
          </w:rPr>
        </w:r>
        <w:r>
          <w:rPr>
            <w:noProof/>
            <w:webHidden/>
          </w:rPr>
          <w:fldChar w:fldCharType="separate"/>
        </w:r>
        <w:r w:rsidR="00390052">
          <w:rPr>
            <w:noProof/>
            <w:webHidden/>
          </w:rPr>
          <w:t>3</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2" w:history="1">
        <w:r w:rsidR="00F12D7B" w:rsidRPr="00122AC0">
          <w:rPr>
            <w:rStyle w:val="Hyperlink"/>
            <w:noProof/>
            <w:lang w:val="sq-AL"/>
          </w:rPr>
          <w:t>Shpërndarja e të ardhurave sipas burimit</w:t>
        </w:r>
        <w:r w:rsidR="00F12D7B">
          <w:rPr>
            <w:noProof/>
            <w:webHidden/>
          </w:rPr>
          <w:tab/>
        </w:r>
        <w:r>
          <w:rPr>
            <w:noProof/>
            <w:webHidden/>
          </w:rPr>
          <w:fldChar w:fldCharType="begin"/>
        </w:r>
        <w:r w:rsidR="00F12D7B">
          <w:rPr>
            <w:noProof/>
            <w:webHidden/>
          </w:rPr>
          <w:instrText xml:space="preserve"> PAGEREF _Toc367712682 \h </w:instrText>
        </w:r>
        <w:r>
          <w:rPr>
            <w:noProof/>
            <w:webHidden/>
          </w:rPr>
        </w:r>
        <w:r>
          <w:rPr>
            <w:noProof/>
            <w:webHidden/>
          </w:rPr>
          <w:fldChar w:fldCharType="separate"/>
        </w:r>
        <w:r w:rsidR="00390052">
          <w:rPr>
            <w:noProof/>
            <w:webHidden/>
          </w:rPr>
          <w:t>5</w:t>
        </w:r>
        <w:r>
          <w:rPr>
            <w:noProof/>
            <w:webHidden/>
          </w:rPr>
          <w:fldChar w:fldCharType="end"/>
        </w:r>
      </w:hyperlink>
    </w:p>
    <w:p w:rsidR="00F12D7B" w:rsidRDefault="00DF3656">
      <w:pPr>
        <w:pStyle w:val="TOC1"/>
        <w:tabs>
          <w:tab w:val="right" w:leader="dot" w:pos="9394"/>
        </w:tabs>
        <w:rPr>
          <w:rFonts w:ascii="Calibri" w:eastAsia="Times New Roman" w:hAnsi="Calibri"/>
          <w:noProof/>
          <w:lang w:val="en-US" w:eastAsia="en-US"/>
        </w:rPr>
      </w:pPr>
      <w:hyperlink w:anchor="_Toc367712683" w:history="1">
        <w:r w:rsidR="00F12D7B" w:rsidRPr="00122AC0">
          <w:rPr>
            <w:rStyle w:val="Hyperlink"/>
            <w:noProof/>
            <w:lang w:val="sq-AL"/>
          </w:rPr>
          <w:t>2 Analiza sipas t</w:t>
        </w:r>
        <w:r w:rsidR="00F12D7B">
          <w:rPr>
            <w:rStyle w:val="Hyperlink"/>
            <w:noProof/>
            <w:lang w:val="sq-AL"/>
          </w:rPr>
          <w:t>ë</w:t>
        </w:r>
        <w:r w:rsidR="00F12D7B" w:rsidRPr="00122AC0">
          <w:rPr>
            <w:rStyle w:val="Hyperlink"/>
            <w:noProof/>
            <w:lang w:val="sq-AL"/>
          </w:rPr>
          <w:t xml:space="preserve"> ardhurave</w:t>
        </w:r>
        <w:r w:rsidR="00F12D7B">
          <w:rPr>
            <w:noProof/>
            <w:webHidden/>
          </w:rPr>
          <w:tab/>
        </w:r>
        <w:r>
          <w:rPr>
            <w:noProof/>
            <w:webHidden/>
          </w:rPr>
          <w:fldChar w:fldCharType="begin"/>
        </w:r>
        <w:r w:rsidR="00F12D7B">
          <w:rPr>
            <w:noProof/>
            <w:webHidden/>
          </w:rPr>
          <w:instrText xml:space="preserve"> PAGEREF _Toc367712683 \h </w:instrText>
        </w:r>
        <w:r>
          <w:rPr>
            <w:noProof/>
            <w:webHidden/>
          </w:rPr>
        </w:r>
        <w:r>
          <w:rPr>
            <w:noProof/>
            <w:webHidden/>
          </w:rPr>
          <w:fldChar w:fldCharType="separate"/>
        </w:r>
        <w:r w:rsidR="00390052">
          <w:rPr>
            <w:noProof/>
            <w:webHidden/>
          </w:rPr>
          <w:t>7</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4" w:history="1">
        <w:r w:rsidR="00F12D7B" w:rsidRPr="00122AC0">
          <w:rPr>
            <w:rStyle w:val="Hyperlink"/>
            <w:noProof/>
            <w:lang w:val="sq-AL"/>
          </w:rPr>
          <w:t>Tatimet mbi konsumin: Tatimi mbi Vlerën e shtuar</w:t>
        </w:r>
        <w:r w:rsidR="00F12D7B">
          <w:rPr>
            <w:noProof/>
            <w:webHidden/>
          </w:rPr>
          <w:tab/>
        </w:r>
        <w:r>
          <w:rPr>
            <w:noProof/>
            <w:webHidden/>
          </w:rPr>
          <w:fldChar w:fldCharType="begin"/>
        </w:r>
        <w:r w:rsidR="00F12D7B">
          <w:rPr>
            <w:noProof/>
            <w:webHidden/>
          </w:rPr>
          <w:instrText xml:space="preserve"> PAGEREF _Toc367712684 \h </w:instrText>
        </w:r>
        <w:r>
          <w:rPr>
            <w:noProof/>
            <w:webHidden/>
          </w:rPr>
        </w:r>
        <w:r>
          <w:rPr>
            <w:noProof/>
            <w:webHidden/>
          </w:rPr>
          <w:fldChar w:fldCharType="separate"/>
        </w:r>
        <w:r w:rsidR="00390052">
          <w:rPr>
            <w:noProof/>
            <w:webHidden/>
          </w:rPr>
          <w:t>7</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5" w:history="1">
        <w:r w:rsidR="00F12D7B" w:rsidRPr="00122AC0">
          <w:rPr>
            <w:rStyle w:val="Hyperlink"/>
            <w:noProof/>
            <w:lang w:val="sq-AL"/>
          </w:rPr>
          <w:t>Tatimet mbi konsumin: Akciza</w:t>
        </w:r>
        <w:r w:rsidR="00F12D7B">
          <w:rPr>
            <w:noProof/>
            <w:webHidden/>
          </w:rPr>
          <w:tab/>
        </w:r>
        <w:r>
          <w:rPr>
            <w:noProof/>
            <w:webHidden/>
          </w:rPr>
          <w:fldChar w:fldCharType="begin"/>
        </w:r>
        <w:r w:rsidR="00F12D7B">
          <w:rPr>
            <w:noProof/>
            <w:webHidden/>
          </w:rPr>
          <w:instrText xml:space="preserve"> PAGEREF _Toc367712685 \h </w:instrText>
        </w:r>
        <w:r>
          <w:rPr>
            <w:noProof/>
            <w:webHidden/>
          </w:rPr>
        </w:r>
        <w:r>
          <w:rPr>
            <w:noProof/>
            <w:webHidden/>
          </w:rPr>
          <w:fldChar w:fldCharType="separate"/>
        </w:r>
        <w:r w:rsidR="00390052">
          <w:rPr>
            <w:noProof/>
            <w:webHidden/>
          </w:rPr>
          <w:t>8</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6" w:history="1">
        <w:r w:rsidR="00F12D7B" w:rsidRPr="00122AC0">
          <w:rPr>
            <w:rStyle w:val="Hyperlink"/>
            <w:noProof/>
            <w:lang w:val="sq-AL"/>
          </w:rPr>
          <w:t>Taksimi i tregtisë ndërkombëtare: Taksa doganore</w:t>
        </w:r>
        <w:r w:rsidR="00F12D7B">
          <w:rPr>
            <w:noProof/>
            <w:webHidden/>
          </w:rPr>
          <w:tab/>
        </w:r>
        <w:r>
          <w:rPr>
            <w:noProof/>
            <w:webHidden/>
          </w:rPr>
          <w:fldChar w:fldCharType="begin"/>
        </w:r>
        <w:r w:rsidR="00F12D7B">
          <w:rPr>
            <w:noProof/>
            <w:webHidden/>
          </w:rPr>
          <w:instrText xml:space="preserve"> PAGEREF _Toc367712686 \h </w:instrText>
        </w:r>
        <w:r>
          <w:rPr>
            <w:noProof/>
            <w:webHidden/>
          </w:rPr>
        </w:r>
        <w:r>
          <w:rPr>
            <w:noProof/>
            <w:webHidden/>
          </w:rPr>
          <w:fldChar w:fldCharType="separate"/>
        </w:r>
        <w:r w:rsidR="00390052">
          <w:rPr>
            <w:noProof/>
            <w:webHidden/>
          </w:rPr>
          <w:t>9</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7" w:history="1">
        <w:r w:rsidR="00F12D7B" w:rsidRPr="00122AC0">
          <w:rPr>
            <w:rStyle w:val="Hyperlink"/>
            <w:noProof/>
            <w:lang w:val="sq-AL"/>
          </w:rPr>
          <w:t>Taksimi i të ardhurave</w:t>
        </w:r>
        <w:r w:rsidR="00F12D7B">
          <w:rPr>
            <w:noProof/>
            <w:webHidden/>
          </w:rPr>
          <w:tab/>
        </w:r>
        <w:r>
          <w:rPr>
            <w:noProof/>
            <w:webHidden/>
          </w:rPr>
          <w:fldChar w:fldCharType="begin"/>
        </w:r>
        <w:r w:rsidR="00F12D7B">
          <w:rPr>
            <w:noProof/>
            <w:webHidden/>
          </w:rPr>
          <w:instrText xml:space="preserve"> PAGEREF _Toc367712687 \h </w:instrText>
        </w:r>
        <w:r>
          <w:rPr>
            <w:noProof/>
            <w:webHidden/>
          </w:rPr>
        </w:r>
        <w:r>
          <w:rPr>
            <w:noProof/>
            <w:webHidden/>
          </w:rPr>
          <w:fldChar w:fldCharType="separate"/>
        </w:r>
        <w:r w:rsidR="00390052">
          <w:rPr>
            <w:noProof/>
            <w:webHidden/>
          </w:rPr>
          <w:t>9</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8" w:history="1">
        <w:r w:rsidR="00F12D7B" w:rsidRPr="00122AC0">
          <w:rPr>
            <w:rStyle w:val="Hyperlink"/>
            <w:noProof/>
            <w:lang w:val="sq-AL"/>
          </w:rPr>
          <w:t>Taksat nacionale</w:t>
        </w:r>
        <w:r w:rsidR="00F12D7B">
          <w:rPr>
            <w:noProof/>
            <w:webHidden/>
          </w:rPr>
          <w:tab/>
        </w:r>
        <w:r>
          <w:rPr>
            <w:noProof/>
            <w:webHidden/>
          </w:rPr>
          <w:fldChar w:fldCharType="begin"/>
        </w:r>
        <w:r w:rsidR="00F12D7B">
          <w:rPr>
            <w:noProof/>
            <w:webHidden/>
          </w:rPr>
          <w:instrText xml:space="preserve"> PAGEREF _Toc367712688 \h </w:instrText>
        </w:r>
        <w:r>
          <w:rPr>
            <w:noProof/>
            <w:webHidden/>
          </w:rPr>
        </w:r>
        <w:r>
          <w:rPr>
            <w:noProof/>
            <w:webHidden/>
          </w:rPr>
          <w:fldChar w:fldCharType="separate"/>
        </w:r>
        <w:r w:rsidR="00390052">
          <w:rPr>
            <w:noProof/>
            <w:webHidden/>
          </w:rPr>
          <w:t>11</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89" w:history="1">
        <w:r w:rsidR="00F12D7B" w:rsidRPr="00122AC0">
          <w:rPr>
            <w:rStyle w:val="Hyperlink"/>
            <w:noProof/>
            <w:lang w:val="sq-AL"/>
          </w:rPr>
          <w:t>Kontributet e sigurimeve shoqërore dhe shëndetësore</w:t>
        </w:r>
        <w:r w:rsidR="00F12D7B">
          <w:rPr>
            <w:noProof/>
            <w:webHidden/>
          </w:rPr>
          <w:tab/>
        </w:r>
        <w:r>
          <w:rPr>
            <w:noProof/>
            <w:webHidden/>
          </w:rPr>
          <w:fldChar w:fldCharType="begin"/>
        </w:r>
        <w:r w:rsidR="00F12D7B">
          <w:rPr>
            <w:noProof/>
            <w:webHidden/>
          </w:rPr>
          <w:instrText xml:space="preserve"> PAGEREF _Toc367712689 \h </w:instrText>
        </w:r>
        <w:r>
          <w:rPr>
            <w:noProof/>
            <w:webHidden/>
          </w:rPr>
        </w:r>
        <w:r>
          <w:rPr>
            <w:noProof/>
            <w:webHidden/>
          </w:rPr>
          <w:fldChar w:fldCharType="separate"/>
        </w:r>
        <w:r w:rsidR="00390052">
          <w:rPr>
            <w:noProof/>
            <w:webHidden/>
          </w:rPr>
          <w:t>11</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90" w:history="1">
        <w:r w:rsidR="00F12D7B" w:rsidRPr="00122AC0">
          <w:rPr>
            <w:rStyle w:val="Hyperlink"/>
            <w:noProof/>
            <w:lang w:val="sq-AL"/>
          </w:rPr>
          <w:t>Të ardhura të tjera vendore</w:t>
        </w:r>
        <w:r w:rsidR="00F12D7B">
          <w:rPr>
            <w:noProof/>
            <w:webHidden/>
          </w:rPr>
          <w:tab/>
        </w:r>
        <w:r>
          <w:rPr>
            <w:noProof/>
            <w:webHidden/>
          </w:rPr>
          <w:fldChar w:fldCharType="begin"/>
        </w:r>
        <w:r w:rsidR="00F12D7B">
          <w:rPr>
            <w:noProof/>
            <w:webHidden/>
          </w:rPr>
          <w:instrText xml:space="preserve"> PAGEREF _Toc367712690 \h </w:instrText>
        </w:r>
        <w:r>
          <w:rPr>
            <w:noProof/>
            <w:webHidden/>
          </w:rPr>
        </w:r>
        <w:r>
          <w:rPr>
            <w:noProof/>
            <w:webHidden/>
          </w:rPr>
          <w:fldChar w:fldCharType="separate"/>
        </w:r>
        <w:r w:rsidR="00390052">
          <w:rPr>
            <w:noProof/>
            <w:webHidden/>
          </w:rPr>
          <w:t>12</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91" w:history="1">
        <w:r w:rsidR="00F12D7B" w:rsidRPr="00122AC0">
          <w:rPr>
            <w:rStyle w:val="Hyperlink"/>
            <w:noProof/>
            <w:lang w:val="sq-AL"/>
          </w:rPr>
          <w:t>Të ardhura jo tatimore</w:t>
        </w:r>
        <w:r w:rsidR="00F12D7B">
          <w:rPr>
            <w:noProof/>
            <w:webHidden/>
          </w:rPr>
          <w:tab/>
        </w:r>
        <w:r>
          <w:rPr>
            <w:noProof/>
            <w:webHidden/>
          </w:rPr>
          <w:fldChar w:fldCharType="begin"/>
        </w:r>
        <w:r w:rsidR="00F12D7B">
          <w:rPr>
            <w:noProof/>
            <w:webHidden/>
          </w:rPr>
          <w:instrText xml:space="preserve"> PAGEREF _Toc367712691 \h </w:instrText>
        </w:r>
        <w:r>
          <w:rPr>
            <w:noProof/>
            <w:webHidden/>
          </w:rPr>
        </w:r>
        <w:r>
          <w:rPr>
            <w:noProof/>
            <w:webHidden/>
          </w:rPr>
          <w:fldChar w:fldCharType="separate"/>
        </w:r>
        <w:r w:rsidR="00390052">
          <w:rPr>
            <w:noProof/>
            <w:webHidden/>
          </w:rPr>
          <w:t>12</w:t>
        </w:r>
        <w:r>
          <w:rPr>
            <w:noProof/>
            <w:webHidden/>
          </w:rPr>
          <w:fldChar w:fldCharType="end"/>
        </w:r>
      </w:hyperlink>
    </w:p>
    <w:p w:rsidR="00F12D7B" w:rsidRDefault="00DF3656">
      <w:pPr>
        <w:pStyle w:val="TOC1"/>
        <w:tabs>
          <w:tab w:val="right" w:leader="dot" w:pos="9394"/>
        </w:tabs>
        <w:rPr>
          <w:rFonts w:ascii="Calibri" w:eastAsia="Times New Roman" w:hAnsi="Calibri"/>
          <w:noProof/>
          <w:lang w:val="en-US" w:eastAsia="en-US"/>
        </w:rPr>
      </w:pPr>
      <w:hyperlink w:anchor="_Toc367712692" w:history="1">
        <w:r w:rsidR="00F12D7B" w:rsidRPr="00122AC0">
          <w:rPr>
            <w:rStyle w:val="Hyperlink"/>
            <w:noProof/>
            <w:lang w:val="sq-AL"/>
          </w:rPr>
          <w:t>3 Analiza e shpenzimeve p</w:t>
        </w:r>
        <w:r w:rsidR="006A0DFC">
          <w:rPr>
            <w:rStyle w:val="Hyperlink"/>
            <w:noProof/>
            <w:lang w:val="sq-AL"/>
          </w:rPr>
          <w:t>ë</w:t>
        </w:r>
        <w:r w:rsidR="00F12D7B" w:rsidRPr="00122AC0">
          <w:rPr>
            <w:rStyle w:val="Hyperlink"/>
            <w:noProof/>
            <w:lang w:val="sq-AL"/>
          </w:rPr>
          <w:t>r periudh</w:t>
        </w:r>
        <w:r w:rsidR="006A0DFC">
          <w:rPr>
            <w:rStyle w:val="Hyperlink"/>
            <w:noProof/>
            <w:lang w:val="sq-AL"/>
          </w:rPr>
          <w:t>ë</w:t>
        </w:r>
        <w:r w:rsidR="00F12D7B" w:rsidRPr="00122AC0">
          <w:rPr>
            <w:rStyle w:val="Hyperlink"/>
            <w:noProof/>
            <w:lang w:val="sq-AL"/>
          </w:rPr>
          <w:t>n janar-korrik 2013</w:t>
        </w:r>
        <w:r w:rsidR="00F12D7B">
          <w:rPr>
            <w:noProof/>
            <w:webHidden/>
          </w:rPr>
          <w:tab/>
        </w:r>
        <w:r>
          <w:rPr>
            <w:noProof/>
            <w:webHidden/>
          </w:rPr>
          <w:fldChar w:fldCharType="begin"/>
        </w:r>
        <w:r w:rsidR="00F12D7B">
          <w:rPr>
            <w:noProof/>
            <w:webHidden/>
          </w:rPr>
          <w:instrText xml:space="preserve"> PAGEREF _Toc367712692 \h </w:instrText>
        </w:r>
        <w:r>
          <w:rPr>
            <w:noProof/>
            <w:webHidden/>
          </w:rPr>
        </w:r>
        <w:r>
          <w:rPr>
            <w:noProof/>
            <w:webHidden/>
          </w:rPr>
          <w:fldChar w:fldCharType="separate"/>
        </w:r>
        <w:r w:rsidR="00390052">
          <w:rPr>
            <w:noProof/>
            <w:webHidden/>
          </w:rPr>
          <w:t>13</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93" w:history="1">
        <w:r w:rsidR="00F12D7B" w:rsidRPr="00122AC0">
          <w:rPr>
            <w:rStyle w:val="Hyperlink"/>
            <w:noProof/>
            <w:lang w:val="sq-AL"/>
          </w:rPr>
          <w:t>Vështrim i përgjithshem</w:t>
        </w:r>
        <w:r w:rsidR="00F12D7B">
          <w:rPr>
            <w:noProof/>
            <w:webHidden/>
          </w:rPr>
          <w:tab/>
        </w:r>
        <w:r>
          <w:rPr>
            <w:noProof/>
            <w:webHidden/>
          </w:rPr>
          <w:fldChar w:fldCharType="begin"/>
        </w:r>
        <w:r w:rsidR="00F12D7B">
          <w:rPr>
            <w:noProof/>
            <w:webHidden/>
          </w:rPr>
          <w:instrText xml:space="preserve"> PAGEREF _Toc367712693 \h </w:instrText>
        </w:r>
        <w:r>
          <w:rPr>
            <w:noProof/>
            <w:webHidden/>
          </w:rPr>
        </w:r>
        <w:r>
          <w:rPr>
            <w:noProof/>
            <w:webHidden/>
          </w:rPr>
          <w:fldChar w:fldCharType="separate"/>
        </w:r>
        <w:r w:rsidR="00390052">
          <w:rPr>
            <w:noProof/>
            <w:webHidden/>
          </w:rPr>
          <w:t>13</w:t>
        </w:r>
        <w:r>
          <w:rPr>
            <w:noProof/>
            <w:webHidden/>
          </w:rPr>
          <w:fldChar w:fldCharType="end"/>
        </w:r>
      </w:hyperlink>
    </w:p>
    <w:p w:rsidR="00F12D7B" w:rsidRDefault="00DF3656">
      <w:pPr>
        <w:pStyle w:val="TOC3"/>
        <w:tabs>
          <w:tab w:val="right" w:leader="dot" w:pos="9394"/>
        </w:tabs>
        <w:rPr>
          <w:rFonts w:ascii="Calibri" w:eastAsia="Times New Roman" w:hAnsi="Calibri"/>
          <w:noProof/>
          <w:lang w:val="en-US" w:eastAsia="en-US"/>
        </w:rPr>
      </w:pPr>
      <w:hyperlink w:anchor="_Toc367712694" w:history="1">
        <w:r w:rsidR="00F12D7B" w:rsidRPr="00122AC0">
          <w:rPr>
            <w:rStyle w:val="Hyperlink"/>
            <w:noProof/>
            <w:lang w:val="sq-AL"/>
          </w:rPr>
          <w:t>Shpenzimet Korrente</w:t>
        </w:r>
        <w:r w:rsidR="00F12D7B">
          <w:rPr>
            <w:noProof/>
            <w:webHidden/>
          </w:rPr>
          <w:tab/>
        </w:r>
        <w:r>
          <w:rPr>
            <w:noProof/>
            <w:webHidden/>
          </w:rPr>
          <w:fldChar w:fldCharType="begin"/>
        </w:r>
        <w:r w:rsidR="00F12D7B">
          <w:rPr>
            <w:noProof/>
            <w:webHidden/>
          </w:rPr>
          <w:instrText xml:space="preserve"> PAGEREF _Toc367712694 \h </w:instrText>
        </w:r>
        <w:r>
          <w:rPr>
            <w:noProof/>
            <w:webHidden/>
          </w:rPr>
        </w:r>
        <w:r>
          <w:rPr>
            <w:noProof/>
            <w:webHidden/>
          </w:rPr>
          <w:fldChar w:fldCharType="separate"/>
        </w:r>
        <w:r w:rsidR="00390052">
          <w:rPr>
            <w:noProof/>
            <w:webHidden/>
          </w:rPr>
          <w:t>13</w:t>
        </w:r>
        <w:r>
          <w:rPr>
            <w:noProof/>
            <w:webHidden/>
          </w:rPr>
          <w:fldChar w:fldCharType="end"/>
        </w:r>
      </w:hyperlink>
    </w:p>
    <w:p w:rsidR="003F4270" w:rsidRPr="001F505E" w:rsidRDefault="00DF3656">
      <w:pPr>
        <w:rPr>
          <w:lang w:val="sq-AL"/>
        </w:rPr>
      </w:pPr>
      <w:r w:rsidRPr="001F505E">
        <w:rPr>
          <w:lang w:val="sq-AL"/>
        </w:rPr>
        <w:fldChar w:fldCharType="end"/>
      </w:r>
    </w:p>
    <w:p w:rsidR="003F4270" w:rsidRPr="001F505E" w:rsidRDefault="003F4270" w:rsidP="003F4270">
      <w:pPr>
        <w:rPr>
          <w:lang w:val="sq-AL"/>
        </w:rPr>
      </w:pPr>
    </w:p>
    <w:p w:rsidR="003F4270" w:rsidRPr="001F505E" w:rsidRDefault="003F4270" w:rsidP="003F4270">
      <w:pPr>
        <w:rPr>
          <w:rFonts w:cs="Arial"/>
          <w:kern w:val="32"/>
          <w:sz w:val="24"/>
          <w:szCs w:val="24"/>
          <w:lang w:val="sq-AL" w:eastAsia="en-US"/>
        </w:rPr>
      </w:pPr>
      <w:r w:rsidRPr="001F505E">
        <w:rPr>
          <w:lang w:val="sq-AL"/>
        </w:rPr>
        <w:br w:type="page"/>
      </w:r>
    </w:p>
    <w:p w:rsidR="00CF7A3B" w:rsidRPr="001F505E" w:rsidRDefault="003F4270" w:rsidP="003F4270">
      <w:pPr>
        <w:pStyle w:val="Heading1"/>
        <w:rPr>
          <w:lang w:val="sq-AL"/>
        </w:rPr>
      </w:pPr>
      <w:bookmarkStart w:id="0" w:name="_Toc367712680"/>
      <w:r w:rsidRPr="001F505E">
        <w:rPr>
          <w:lang w:val="sq-AL"/>
        </w:rPr>
        <w:lastRenderedPageBreak/>
        <w:t>Analiz</w:t>
      </w:r>
      <w:r w:rsidR="004B355A">
        <w:rPr>
          <w:lang w:val="sq-AL"/>
        </w:rPr>
        <w:t>ë</w:t>
      </w:r>
      <w:r w:rsidR="00E14D11" w:rsidRPr="001F505E">
        <w:rPr>
          <w:lang w:val="sq-AL"/>
        </w:rPr>
        <w:t xml:space="preserve"> e p</w:t>
      </w:r>
      <w:r w:rsidR="004B355A">
        <w:rPr>
          <w:lang w:val="sq-AL"/>
        </w:rPr>
        <w:t>ë</w:t>
      </w:r>
      <w:r w:rsidR="00E14D11" w:rsidRPr="001F505E">
        <w:rPr>
          <w:lang w:val="sq-AL"/>
        </w:rPr>
        <w:t>rgjithshme</w:t>
      </w:r>
      <w:bookmarkEnd w:id="0"/>
      <w:r w:rsidR="00E14D11" w:rsidRPr="001F505E">
        <w:rPr>
          <w:lang w:val="sq-AL"/>
        </w:rPr>
        <w:t xml:space="preserve"> </w:t>
      </w:r>
      <w:r w:rsidRPr="001F505E">
        <w:rPr>
          <w:lang w:val="sq-AL"/>
        </w:rPr>
        <w:t xml:space="preserve"> </w:t>
      </w:r>
    </w:p>
    <w:p w:rsidR="006D6D67" w:rsidRPr="001F505E" w:rsidRDefault="008D51D5" w:rsidP="003F4270">
      <w:pPr>
        <w:pStyle w:val="Heading3"/>
        <w:rPr>
          <w:lang w:val="sq-AL"/>
        </w:rPr>
      </w:pPr>
      <w:bookmarkStart w:id="1" w:name="_Toc367712681"/>
      <w:r w:rsidRPr="001F505E">
        <w:rPr>
          <w:lang w:val="sq-AL"/>
        </w:rPr>
        <w:t>Buxheti i konsoliduar</w:t>
      </w:r>
      <w:bookmarkEnd w:id="1"/>
      <w:r w:rsidRPr="001F505E">
        <w:rPr>
          <w:lang w:val="sq-AL"/>
        </w:rPr>
        <w:t xml:space="preserve"> </w:t>
      </w:r>
    </w:p>
    <w:p w:rsidR="004222D3" w:rsidRPr="001F505E" w:rsidRDefault="004222D3" w:rsidP="004222D3">
      <w:pPr>
        <w:rPr>
          <w:lang w:val="sq-AL"/>
        </w:rPr>
      </w:pPr>
      <w:r w:rsidRPr="001F505E">
        <w:rPr>
          <w:noProof/>
          <w:lang w:val="sq-AL"/>
        </w:rPr>
        <w:t xml:space="preserve">Të ardhurat e buxhetit të konsoliduar për periudhën </w:t>
      </w:r>
      <w:r w:rsidR="00E14D11" w:rsidRPr="001F505E">
        <w:rPr>
          <w:noProof/>
          <w:lang w:val="sq-AL"/>
        </w:rPr>
        <w:t>7</w:t>
      </w:r>
      <w:r w:rsidRPr="001F505E">
        <w:rPr>
          <w:noProof/>
          <w:lang w:val="sq-AL"/>
        </w:rPr>
        <w:t xml:space="preserve"> mujore arritën në </w:t>
      </w:r>
      <w:r w:rsidR="00E14D11" w:rsidRPr="001F505E">
        <w:rPr>
          <w:noProof/>
          <w:lang w:val="sq-AL"/>
        </w:rPr>
        <w:t>185.4</w:t>
      </w:r>
      <w:r w:rsidRPr="001F505E">
        <w:rPr>
          <w:noProof/>
          <w:lang w:val="sq-AL"/>
        </w:rPr>
        <w:t xml:space="preserve"> miliardë lekë, -5.</w:t>
      </w:r>
      <w:r w:rsidR="00E14D11" w:rsidRPr="001F505E">
        <w:rPr>
          <w:noProof/>
          <w:lang w:val="sq-AL"/>
        </w:rPr>
        <w:t>9</w:t>
      </w:r>
      <w:r w:rsidRPr="001F505E">
        <w:rPr>
          <w:noProof/>
          <w:lang w:val="sq-AL"/>
        </w:rPr>
        <w:t xml:space="preserve"> përqind më pak se parashikimi për </w:t>
      </w:r>
      <w:r w:rsidR="00E14D11" w:rsidRPr="001F505E">
        <w:rPr>
          <w:noProof/>
          <w:lang w:val="sq-AL"/>
        </w:rPr>
        <w:t>7</w:t>
      </w:r>
      <w:r w:rsidRPr="001F505E">
        <w:rPr>
          <w:noProof/>
          <w:lang w:val="sq-AL"/>
        </w:rPr>
        <w:t xml:space="preserve"> mujorin e vitit 2013 dhe </w:t>
      </w:r>
      <w:r w:rsidR="00E14D11" w:rsidRPr="001F505E">
        <w:rPr>
          <w:noProof/>
          <w:lang w:val="sq-AL"/>
        </w:rPr>
        <w:t>2</w:t>
      </w:r>
      <w:r w:rsidRPr="001F505E">
        <w:rPr>
          <w:noProof/>
          <w:lang w:val="sq-AL"/>
        </w:rPr>
        <w:t xml:space="preserve">.6 përqind më pak se një vit më parë </w:t>
      </w:r>
      <w:r w:rsidR="00E14D11" w:rsidRPr="001F505E">
        <w:rPr>
          <w:noProof/>
          <w:lang w:val="sq-AL"/>
        </w:rPr>
        <w:t>(</w:t>
      </w:r>
      <w:r w:rsidR="006F0B55" w:rsidRPr="001F505E">
        <w:rPr>
          <w:lang w:val="sq-AL"/>
        </w:rPr>
        <w:t>Tabela1)</w:t>
      </w:r>
      <w:r w:rsidRPr="001F505E">
        <w:rPr>
          <w:lang w:val="sq-AL"/>
        </w:rPr>
        <w:t>.</w:t>
      </w:r>
    </w:p>
    <w:p w:rsidR="00AB1B3F" w:rsidRPr="001F505E" w:rsidRDefault="004222D3" w:rsidP="004222D3">
      <w:pPr>
        <w:rPr>
          <w:noProof/>
          <w:lang w:val="sq-AL"/>
        </w:rPr>
      </w:pPr>
      <w:r w:rsidRPr="001F505E">
        <w:rPr>
          <w:noProof/>
          <w:lang w:val="sq-AL"/>
        </w:rPr>
        <w:t xml:space="preserve">Të ardhurat nga tatimet dhe doganat ishin në nivelin </w:t>
      </w:r>
      <w:r w:rsidR="00E14D11" w:rsidRPr="001F505E">
        <w:rPr>
          <w:noProof/>
          <w:lang w:val="sq-AL"/>
        </w:rPr>
        <w:t>126 miliardë lekë, ose rreth 9.5</w:t>
      </w:r>
      <w:r w:rsidRPr="001F505E">
        <w:rPr>
          <w:noProof/>
          <w:lang w:val="sq-AL"/>
        </w:rPr>
        <w:t xml:space="preserve"> miliardë lekë më pak nga rreth </w:t>
      </w:r>
      <w:r w:rsidR="00E14D11" w:rsidRPr="001F505E">
        <w:rPr>
          <w:noProof/>
          <w:lang w:val="sq-AL"/>
        </w:rPr>
        <w:t>139.2</w:t>
      </w:r>
      <w:r w:rsidRPr="001F505E">
        <w:rPr>
          <w:noProof/>
          <w:lang w:val="sq-AL"/>
        </w:rPr>
        <w:t xml:space="preserve"> miliardë lekë të planifikuara për periudhën, dhe </w:t>
      </w:r>
      <w:r w:rsidR="00E14D11" w:rsidRPr="001F505E">
        <w:rPr>
          <w:noProof/>
          <w:lang w:val="sq-AL"/>
        </w:rPr>
        <w:t>4.1</w:t>
      </w:r>
      <w:r w:rsidRPr="001F505E">
        <w:rPr>
          <w:noProof/>
          <w:lang w:val="sq-AL"/>
        </w:rPr>
        <w:t xml:space="preserve"> përqind më pak krahasuar me </w:t>
      </w:r>
      <w:r w:rsidR="00180AE9" w:rsidRPr="001F505E">
        <w:rPr>
          <w:noProof/>
          <w:lang w:val="sq-AL"/>
        </w:rPr>
        <w:t>t</w:t>
      </w:r>
      <w:r w:rsidR="004753F0" w:rsidRPr="001F505E">
        <w:rPr>
          <w:noProof/>
          <w:lang w:val="sq-AL"/>
        </w:rPr>
        <w:t>ë</w:t>
      </w:r>
      <w:r w:rsidR="00180AE9" w:rsidRPr="001F505E">
        <w:rPr>
          <w:noProof/>
          <w:lang w:val="sq-AL"/>
        </w:rPr>
        <w:t xml:space="preserve"> nj</w:t>
      </w:r>
      <w:r w:rsidR="004753F0" w:rsidRPr="001F505E">
        <w:rPr>
          <w:noProof/>
          <w:lang w:val="sq-AL"/>
        </w:rPr>
        <w:t>ë</w:t>
      </w:r>
      <w:r w:rsidR="00180AE9" w:rsidRPr="001F505E">
        <w:rPr>
          <w:noProof/>
          <w:lang w:val="sq-AL"/>
        </w:rPr>
        <w:t xml:space="preserve">jtin </w:t>
      </w:r>
      <w:r w:rsidR="00E14D11" w:rsidRPr="001F505E">
        <w:rPr>
          <w:noProof/>
          <w:lang w:val="sq-AL"/>
        </w:rPr>
        <w:t>7</w:t>
      </w:r>
      <w:r w:rsidR="00180AE9" w:rsidRPr="001F505E">
        <w:rPr>
          <w:noProof/>
          <w:lang w:val="sq-AL"/>
        </w:rPr>
        <w:t>-</w:t>
      </w:r>
      <w:r w:rsidRPr="001F505E">
        <w:rPr>
          <w:noProof/>
          <w:lang w:val="sq-AL"/>
        </w:rPr>
        <w:t xml:space="preserve">mujor </w:t>
      </w:r>
      <w:r w:rsidR="00180AE9" w:rsidRPr="001F505E">
        <w:rPr>
          <w:noProof/>
          <w:lang w:val="sq-AL"/>
        </w:rPr>
        <w:t>t</w:t>
      </w:r>
      <w:r w:rsidR="0075160E" w:rsidRPr="001F505E">
        <w:rPr>
          <w:noProof/>
          <w:lang w:val="sq-AL"/>
        </w:rPr>
        <w:t>ë</w:t>
      </w:r>
      <w:r w:rsidRPr="001F505E">
        <w:rPr>
          <w:noProof/>
          <w:lang w:val="sq-AL"/>
        </w:rPr>
        <w:t xml:space="preserve"> një viti më parë</w:t>
      </w:r>
      <w:r w:rsidR="00180AE9" w:rsidRPr="001F505E">
        <w:rPr>
          <w:noProof/>
          <w:lang w:val="sq-AL"/>
        </w:rPr>
        <w:t>,</w:t>
      </w:r>
      <w:r w:rsidR="00E14D11" w:rsidRPr="001F505E">
        <w:rPr>
          <w:noProof/>
          <w:lang w:val="sq-AL"/>
        </w:rPr>
        <w:t xml:space="preserve"> ose 5.3</w:t>
      </w:r>
      <w:r w:rsidRPr="001F505E">
        <w:rPr>
          <w:noProof/>
          <w:lang w:val="sq-AL"/>
        </w:rPr>
        <w:t xml:space="preserve"> miliard</w:t>
      </w:r>
      <w:r w:rsidR="0075160E" w:rsidRPr="001F505E">
        <w:rPr>
          <w:noProof/>
          <w:lang w:val="sq-AL"/>
        </w:rPr>
        <w:t>ë</w:t>
      </w:r>
      <w:r w:rsidRPr="001F505E">
        <w:rPr>
          <w:noProof/>
          <w:lang w:val="sq-AL"/>
        </w:rPr>
        <w:t xml:space="preserve"> lek</w:t>
      </w:r>
      <w:r w:rsidR="0075160E" w:rsidRPr="001F505E">
        <w:rPr>
          <w:noProof/>
          <w:lang w:val="sq-AL"/>
        </w:rPr>
        <w:t>ë</w:t>
      </w:r>
      <w:r w:rsidRPr="001F505E">
        <w:rPr>
          <w:noProof/>
          <w:lang w:val="sq-AL"/>
        </w:rPr>
        <w:t xml:space="preserve"> n</w:t>
      </w:r>
      <w:r w:rsidR="0075160E" w:rsidRPr="001F505E">
        <w:rPr>
          <w:noProof/>
          <w:lang w:val="sq-AL"/>
        </w:rPr>
        <w:t>ë</w:t>
      </w:r>
      <w:r w:rsidRPr="001F505E">
        <w:rPr>
          <w:noProof/>
          <w:lang w:val="sq-AL"/>
        </w:rPr>
        <w:t xml:space="preserve"> vler</w:t>
      </w:r>
      <w:r w:rsidR="0075160E" w:rsidRPr="001F505E">
        <w:rPr>
          <w:noProof/>
          <w:lang w:val="sq-AL"/>
        </w:rPr>
        <w:t>ë</w:t>
      </w:r>
      <w:r w:rsidRPr="001F505E">
        <w:rPr>
          <w:noProof/>
          <w:lang w:val="sq-AL"/>
        </w:rPr>
        <w:t xml:space="preserve"> absolute; të ardhurat nga pushteti vendor arritën në </w:t>
      </w:r>
      <w:r w:rsidR="00E14D11" w:rsidRPr="001F505E">
        <w:rPr>
          <w:noProof/>
          <w:lang w:val="sq-AL"/>
        </w:rPr>
        <w:t>6.4</w:t>
      </w:r>
      <w:r w:rsidRPr="001F505E">
        <w:rPr>
          <w:noProof/>
          <w:lang w:val="sq-AL"/>
        </w:rPr>
        <w:t xml:space="preserve"> miliardë lekë nga </w:t>
      </w:r>
      <w:r w:rsidR="00E14D11" w:rsidRPr="001F505E">
        <w:rPr>
          <w:noProof/>
          <w:lang w:val="sq-AL"/>
        </w:rPr>
        <w:t>7.6</w:t>
      </w:r>
      <w:r w:rsidRPr="001F505E">
        <w:rPr>
          <w:noProof/>
          <w:lang w:val="sq-AL"/>
        </w:rPr>
        <w:t xml:space="preserve"> miliardë lekë të p</w:t>
      </w:r>
      <w:r w:rsidR="00E14D11" w:rsidRPr="001F505E">
        <w:rPr>
          <w:noProof/>
          <w:lang w:val="sq-AL"/>
        </w:rPr>
        <w:t>lanifikuara për këtë periudhë (15.8</w:t>
      </w:r>
      <w:r w:rsidR="0075160E" w:rsidRPr="001F505E">
        <w:rPr>
          <w:noProof/>
          <w:lang w:val="sq-AL"/>
        </w:rPr>
        <w:t xml:space="preserve"> </w:t>
      </w:r>
      <w:r w:rsidRPr="001F505E">
        <w:rPr>
          <w:noProof/>
          <w:lang w:val="sq-AL"/>
        </w:rPr>
        <w:t>% më pak) dhe me rënie vjetore prej -</w:t>
      </w:r>
      <w:r w:rsidR="00E14D11" w:rsidRPr="001F505E">
        <w:rPr>
          <w:noProof/>
          <w:lang w:val="sq-AL"/>
        </w:rPr>
        <w:t>13.9</w:t>
      </w:r>
      <w:r w:rsidRPr="001F505E">
        <w:rPr>
          <w:noProof/>
          <w:lang w:val="sq-AL"/>
        </w:rPr>
        <w:t xml:space="preserve"> përqind; të ardhurat nga fondet speciale arritën </w:t>
      </w:r>
      <w:r w:rsidR="00E14D11" w:rsidRPr="001F505E">
        <w:rPr>
          <w:noProof/>
          <w:lang w:val="sq-AL"/>
        </w:rPr>
        <w:t>35</w:t>
      </w:r>
      <w:r w:rsidRPr="001F505E">
        <w:rPr>
          <w:noProof/>
          <w:lang w:val="sq-AL"/>
        </w:rPr>
        <w:t xml:space="preserve"> miliardë lekë </w:t>
      </w:r>
      <w:r w:rsidR="00E14D11" w:rsidRPr="001F505E">
        <w:rPr>
          <w:noProof/>
          <w:lang w:val="sq-AL"/>
        </w:rPr>
        <w:t>brenda parashikimeve</w:t>
      </w:r>
      <w:r w:rsidRPr="001F505E">
        <w:rPr>
          <w:noProof/>
          <w:lang w:val="sq-AL"/>
        </w:rPr>
        <w:t>, me r</w:t>
      </w:r>
      <w:r w:rsidR="00E14D11" w:rsidRPr="001F505E">
        <w:rPr>
          <w:noProof/>
          <w:lang w:val="sq-AL"/>
        </w:rPr>
        <w:t>ritje</w:t>
      </w:r>
      <w:r w:rsidRPr="001F505E">
        <w:rPr>
          <w:noProof/>
          <w:lang w:val="sq-AL"/>
        </w:rPr>
        <w:t xml:space="preserve"> vjetore </w:t>
      </w:r>
      <w:r w:rsidR="00E14D11" w:rsidRPr="001F505E">
        <w:rPr>
          <w:noProof/>
          <w:lang w:val="sq-AL"/>
        </w:rPr>
        <w:t>2.6</w:t>
      </w:r>
      <w:r w:rsidRPr="001F505E">
        <w:rPr>
          <w:noProof/>
          <w:lang w:val="sq-AL"/>
        </w:rPr>
        <w:t>%</w:t>
      </w:r>
      <w:r w:rsidR="00E14D11" w:rsidRPr="001F505E">
        <w:rPr>
          <w:noProof/>
          <w:lang w:val="sq-AL"/>
        </w:rPr>
        <w:t>;</w:t>
      </w:r>
      <w:r w:rsidRPr="001F505E">
        <w:rPr>
          <w:noProof/>
          <w:lang w:val="sq-AL"/>
        </w:rPr>
        <w:t xml:space="preserve"> të ardhurat nga ndihmat rezultojnë për periudhën </w:t>
      </w:r>
      <w:r w:rsidR="00E14D11" w:rsidRPr="001F505E">
        <w:rPr>
          <w:noProof/>
          <w:lang w:val="sq-AL"/>
        </w:rPr>
        <w:t>2.5</w:t>
      </w:r>
      <w:r w:rsidRPr="001F505E">
        <w:rPr>
          <w:noProof/>
          <w:lang w:val="sq-AL"/>
        </w:rPr>
        <w:t xml:space="preserve"> miliardë lekë </w:t>
      </w:r>
      <w:r w:rsidR="00E14D11" w:rsidRPr="001F505E">
        <w:rPr>
          <w:noProof/>
          <w:lang w:val="sq-AL"/>
        </w:rPr>
        <w:t>me rritje vjetore 28.5%</w:t>
      </w:r>
      <w:r w:rsidRPr="001F505E">
        <w:rPr>
          <w:noProof/>
          <w:lang w:val="sq-AL"/>
        </w:rPr>
        <w:t>; të ardhurat jo-tatimore kanë q</w:t>
      </w:r>
      <w:r w:rsidR="0025063A" w:rsidRPr="001F505E">
        <w:rPr>
          <w:noProof/>
          <w:lang w:val="sq-AL"/>
        </w:rPr>
        <w:t>e</w:t>
      </w:r>
      <w:r w:rsidRPr="001F505E">
        <w:rPr>
          <w:noProof/>
          <w:lang w:val="sq-AL"/>
        </w:rPr>
        <w:t xml:space="preserve">në për këtë periudhë </w:t>
      </w:r>
      <w:r w:rsidR="00E14D11" w:rsidRPr="001F505E">
        <w:rPr>
          <w:noProof/>
          <w:lang w:val="sq-AL"/>
        </w:rPr>
        <w:t>15.3 miliardë lekë me nj</w:t>
      </w:r>
      <w:r w:rsidR="004B355A">
        <w:rPr>
          <w:noProof/>
          <w:lang w:val="sq-AL"/>
        </w:rPr>
        <w:t>ë</w:t>
      </w:r>
      <w:r w:rsidR="00E14D11" w:rsidRPr="001F505E">
        <w:rPr>
          <w:noProof/>
          <w:lang w:val="sq-AL"/>
        </w:rPr>
        <w:t xml:space="preserve"> tejkalim t</w:t>
      </w:r>
      <w:r w:rsidR="004B355A">
        <w:rPr>
          <w:noProof/>
          <w:lang w:val="sq-AL"/>
        </w:rPr>
        <w:t>ë</w:t>
      </w:r>
      <w:r w:rsidR="00E14D11" w:rsidRPr="001F505E">
        <w:rPr>
          <w:noProof/>
          <w:lang w:val="sq-AL"/>
        </w:rPr>
        <w:t xml:space="preserve"> ndjesh</w:t>
      </w:r>
      <w:r w:rsidR="004B355A">
        <w:rPr>
          <w:noProof/>
          <w:lang w:val="sq-AL"/>
        </w:rPr>
        <w:t>ë</w:t>
      </w:r>
      <w:r w:rsidR="00E14D11" w:rsidRPr="001F505E">
        <w:rPr>
          <w:noProof/>
          <w:lang w:val="sq-AL"/>
        </w:rPr>
        <w:t>m ndaj parashikimit prej 40.1% dhe</w:t>
      </w:r>
      <w:r w:rsidRPr="001F505E">
        <w:rPr>
          <w:noProof/>
          <w:lang w:val="sq-AL"/>
        </w:rPr>
        <w:t xml:space="preserve"> me rritje vjetore </w:t>
      </w:r>
      <w:r w:rsidR="00E14D11" w:rsidRPr="001F505E">
        <w:rPr>
          <w:noProof/>
          <w:lang w:val="sq-AL"/>
        </w:rPr>
        <w:t>0.4</w:t>
      </w:r>
      <w:r w:rsidRPr="001F505E">
        <w:rPr>
          <w:noProof/>
          <w:lang w:val="sq-AL"/>
        </w:rPr>
        <w:t xml:space="preserve"> përqind</w:t>
      </w:r>
      <w:r w:rsidR="00AB1B3F" w:rsidRPr="001F505E">
        <w:rPr>
          <w:noProof/>
          <w:lang w:val="sq-AL"/>
        </w:rPr>
        <w:t>.</w:t>
      </w:r>
    </w:p>
    <w:p w:rsidR="004222D3" w:rsidRPr="001F505E" w:rsidRDefault="004222D3" w:rsidP="004222D3">
      <w:pPr>
        <w:rPr>
          <w:lang w:val="sq-AL"/>
        </w:rPr>
      </w:pPr>
      <w:r w:rsidRPr="001F505E">
        <w:rPr>
          <w:noProof/>
          <w:lang w:val="sq-AL"/>
        </w:rPr>
        <w:t xml:space="preserve">Sipas agjencive të mbledhjes, administrata doganore ka mbledhur </w:t>
      </w:r>
      <w:r w:rsidR="00AB1B3F" w:rsidRPr="001F505E">
        <w:rPr>
          <w:noProof/>
          <w:lang w:val="sq-AL"/>
        </w:rPr>
        <w:t>75.1</w:t>
      </w:r>
      <w:r w:rsidRPr="001F505E">
        <w:rPr>
          <w:noProof/>
          <w:lang w:val="sq-AL"/>
        </w:rPr>
        <w:t xml:space="preserve"> miliardë lekë, </w:t>
      </w:r>
      <w:r w:rsidR="00AB1B3F" w:rsidRPr="001F505E">
        <w:rPr>
          <w:noProof/>
          <w:lang w:val="sq-AL"/>
        </w:rPr>
        <w:t>me rritje vjetore 8.1 p</w:t>
      </w:r>
      <w:r w:rsidR="004B355A">
        <w:rPr>
          <w:noProof/>
          <w:lang w:val="sq-AL"/>
        </w:rPr>
        <w:t>ë</w:t>
      </w:r>
      <w:r w:rsidR="00AB1B3F" w:rsidRPr="001F505E">
        <w:rPr>
          <w:noProof/>
          <w:lang w:val="sq-AL"/>
        </w:rPr>
        <w:t>rqind</w:t>
      </w:r>
      <w:r w:rsidRPr="001F505E">
        <w:rPr>
          <w:noProof/>
          <w:lang w:val="sq-AL"/>
        </w:rPr>
        <w:t>. Sipas zërave të të ardhurave që mbledhin doganat, dy z</w:t>
      </w:r>
      <w:r w:rsidR="00481DA0" w:rsidRPr="001F505E">
        <w:rPr>
          <w:noProof/>
          <w:lang w:val="sq-AL"/>
        </w:rPr>
        <w:t>ë</w:t>
      </w:r>
      <w:r w:rsidRPr="001F505E">
        <w:rPr>
          <w:noProof/>
          <w:lang w:val="sq-AL"/>
        </w:rPr>
        <w:t>rat me rritje jan</w:t>
      </w:r>
      <w:r w:rsidR="00481DA0" w:rsidRPr="001F505E">
        <w:rPr>
          <w:noProof/>
          <w:lang w:val="sq-AL"/>
        </w:rPr>
        <w:t>ë</w:t>
      </w:r>
      <w:r w:rsidRPr="001F505E">
        <w:rPr>
          <w:noProof/>
          <w:lang w:val="sq-AL"/>
        </w:rPr>
        <w:t xml:space="preserve"> akciza dhe renta minerare në eksport, që jane rritur mbi baza vjetore p</w:t>
      </w:r>
      <w:r w:rsidR="00481DA0" w:rsidRPr="001F505E">
        <w:rPr>
          <w:noProof/>
          <w:lang w:val="sq-AL"/>
        </w:rPr>
        <w:t>ë</w:t>
      </w:r>
      <w:r w:rsidRPr="001F505E">
        <w:rPr>
          <w:noProof/>
          <w:lang w:val="sq-AL"/>
        </w:rPr>
        <w:t>rkat</w:t>
      </w:r>
      <w:r w:rsidR="00481DA0" w:rsidRPr="001F505E">
        <w:rPr>
          <w:noProof/>
          <w:lang w:val="sq-AL"/>
        </w:rPr>
        <w:t>ë</w:t>
      </w:r>
      <w:r w:rsidRPr="001F505E">
        <w:rPr>
          <w:noProof/>
          <w:lang w:val="sq-AL"/>
        </w:rPr>
        <w:t xml:space="preserve">sisht </w:t>
      </w:r>
      <w:r w:rsidR="00AB1B3F" w:rsidRPr="001F505E">
        <w:rPr>
          <w:noProof/>
          <w:lang w:val="sq-AL"/>
        </w:rPr>
        <w:t>68.7</w:t>
      </w:r>
      <w:r w:rsidRPr="001F505E">
        <w:rPr>
          <w:noProof/>
          <w:lang w:val="sq-AL"/>
        </w:rPr>
        <w:t xml:space="preserve"> dhe </w:t>
      </w:r>
      <w:r w:rsidR="00AB1B3F" w:rsidRPr="001F505E">
        <w:rPr>
          <w:noProof/>
          <w:lang w:val="sq-AL"/>
        </w:rPr>
        <w:t>49.3</w:t>
      </w:r>
      <w:r w:rsidRPr="001F505E">
        <w:rPr>
          <w:noProof/>
          <w:lang w:val="sq-AL"/>
        </w:rPr>
        <w:t xml:space="preserve"> përqind. </w:t>
      </w:r>
      <w:r w:rsidR="00AB1B3F" w:rsidRPr="001F505E">
        <w:rPr>
          <w:noProof/>
          <w:lang w:val="sq-AL"/>
        </w:rPr>
        <w:t>Rritja e ndjeshme e t</w:t>
      </w:r>
      <w:r w:rsidR="004B355A">
        <w:rPr>
          <w:noProof/>
          <w:lang w:val="sq-AL"/>
        </w:rPr>
        <w:t>ë</w:t>
      </w:r>
      <w:r w:rsidR="00AB1B3F" w:rsidRPr="001F505E">
        <w:rPr>
          <w:noProof/>
          <w:lang w:val="sq-AL"/>
        </w:rPr>
        <w:t xml:space="preserve"> ardhurave nga akciza lidhet me kalimin </w:t>
      </w:r>
      <w:r w:rsidR="002C519F" w:rsidRPr="001F505E">
        <w:rPr>
          <w:noProof/>
          <w:lang w:val="sq-AL"/>
        </w:rPr>
        <w:t>e mbledhjes s</w:t>
      </w:r>
      <w:r w:rsidR="004B355A">
        <w:rPr>
          <w:noProof/>
          <w:lang w:val="sq-AL"/>
        </w:rPr>
        <w:t>ë</w:t>
      </w:r>
      <w:r w:rsidR="002C519F" w:rsidRPr="001F505E">
        <w:rPr>
          <w:noProof/>
          <w:lang w:val="sq-AL"/>
        </w:rPr>
        <w:t xml:space="preserve"> akciz</w:t>
      </w:r>
      <w:r w:rsidR="004B355A">
        <w:rPr>
          <w:noProof/>
          <w:lang w:val="sq-AL"/>
        </w:rPr>
        <w:t>ë</w:t>
      </w:r>
      <w:r w:rsidR="002C519F" w:rsidRPr="001F505E">
        <w:rPr>
          <w:noProof/>
          <w:lang w:val="sq-AL"/>
        </w:rPr>
        <w:t>s t</w:t>
      </w:r>
      <w:r w:rsidR="004B355A">
        <w:rPr>
          <w:noProof/>
          <w:lang w:val="sq-AL"/>
        </w:rPr>
        <w:t>ë</w:t>
      </w:r>
      <w:r w:rsidR="002C519F" w:rsidRPr="001F505E">
        <w:rPr>
          <w:noProof/>
          <w:lang w:val="sq-AL"/>
        </w:rPr>
        <w:t>r</w:t>
      </w:r>
      <w:r w:rsidR="004B355A">
        <w:rPr>
          <w:noProof/>
          <w:lang w:val="sq-AL"/>
        </w:rPr>
        <w:t>ë</w:t>
      </w:r>
      <w:r w:rsidR="002C519F" w:rsidRPr="001F505E">
        <w:rPr>
          <w:noProof/>
          <w:lang w:val="sq-AL"/>
        </w:rPr>
        <w:t xml:space="preserve">sisht tek administrata doganore, nga muaji tetor 2012. </w:t>
      </w:r>
      <w:r w:rsidRPr="001F505E">
        <w:rPr>
          <w:noProof/>
          <w:lang w:val="sq-AL"/>
        </w:rPr>
        <w:t>Të ar</w:t>
      </w:r>
      <w:r w:rsidR="002C519F" w:rsidRPr="001F505E">
        <w:rPr>
          <w:noProof/>
          <w:lang w:val="sq-AL"/>
        </w:rPr>
        <w:t xml:space="preserve">dhurat nga TVSH në import janë 47.7 </w:t>
      </w:r>
      <w:r w:rsidRPr="001F505E">
        <w:rPr>
          <w:noProof/>
          <w:lang w:val="sq-AL"/>
        </w:rPr>
        <w:t>miliard</w:t>
      </w:r>
      <w:r w:rsidR="00481DA0" w:rsidRPr="001F505E">
        <w:rPr>
          <w:noProof/>
          <w:lang w:val="sq-AL"/>
        </w:rPr>
        <w:t>ë</w:t>
      </w:r>
      <w:r w:rsidRPr="001F505E">
        <w:rPr>
          <w:noProof/>
          <w:lang w:val="sq-AL"/>
        </w:rPr>
        <w:t xml:space="preserve"> lek</w:t>
      </w:r>
      <w:r w:rsidR="00481DA0" w:rsidRPr="001F505E">
        <w:rPr>
          <w:noProof/>
          <w:lang w:val="sq-AL"/>
        </w:rPr>
        <w:t>ë</w:t>
      </w:r>
      <w:r w:rsidRPr="001F505E">
        <w:rPr>
          <w:noProof/>
          <w:lang w:val="sq-AL"/>
        </w:rPr>
        <w:t xml:space="preserve"> m</w:t>
      </w:r>
      <w:r w:rsidR="002C519F" w:rsidRPr="001F505E">
        <w:rPr>
          <w:noProof/>
          <w:lang w:val="sq-AL"/>
        </w:rPr>
        <w:t>e r</w:t>
      </w:r>
      <w:r w:rsidR="004B355A">
        <w:rPr>
          <w:noProof/>
          <w:lang w:val="sq-AL"/>
        </w:rPr>
        <w:t>ë</w:t>
      </w:r>
      <w:r w:rsidR="002C519F" w:rsidRPr="001F505E">
        <w:rPr>
          <w:noProof/>
          <w:lang w:val="sq-AL"/>
        </w:rPr>
        <w:t>nie vjetore 7.2 p</w:t>
      </w:r>
      <w:r w:rsidR="004B355A">
        <w:rPr>
          <w:noProof/>
          <w:lang w:val="sq-AL"/>
        </w:rPr>
        <w:t>ë</w:t>
      </w:r>
      <w:r w:rsidR="002C519F" w:rsidRPr="001F505E">
        <w:rPr>
          <w:noProof/>
          <w:lang w:val="sq-AL"/>
        </w:rPr>
        <w:t>rqind</w:t>
      </w:r>
      <w:r w:rsidR="00B12BD5" w:rsidRPr="001F505E">
        <w:rPr>
          <w:lang w:val="sq-AL"/>
        </w:rPr>
        <w:t>.</w:t>
      </w:r>
    </w:p>
    <w:p w:rsidR="00F7093A" w:rsidRDefault="00F7093A" w:rsidP="00893EBF">
      <w:pPr>
        <w:rPr>
          <w:color w:val="000000"/>
          <w:sz w:val="20"/>
          <w:szCs w:val="20"/>
          <w:lang w:val="sq-AL"/>
        </w:rPr>
      </w:pPr>
    </w:p>
    <w:p w:rsidR="00893EBF" w:rsidRPr="001F505E" w:rsidRDefault="002C519F" w:rsidP="00893EBF">
      <w:pPr>
        <w:rPr>
          <w:color w:val="000000"/>
          <w:sz w:val="20"/>
          <w:szCs w:val="20"/>
          <w:lang w:val="sq-AL"/>
        </w:rPr>
      </w:pPr>
      <w:r w:rsidRPr="001F505E">
        <w:rPr>
          <w:color w:val="000000"/>
          <w:sz w:val="20"/>
          <w:szCs w:val="20"/>
          <w:lang w:val="sq-AL"/>
        </w:rPr>
        <w:t>Tab.</w:t>
      </w:r>
      <w:r w:rsidR="00893EBF" w:rsidRPr="001F505E">
        <w:rPr>
          <w:color w:val="000000"/>
          <w:sz w:val="20"/>
          <w:szCs w:val="20"/>
          <w:lang w:val="sq-AL"/>
        </w:rPr>
        <w:t>1. Indikator</w:t>
      </w:r>
      <w:r w:rsidR="0099340E" w:rsidRPr="001F505E">
        <w:rPr>
          <w:color w:val="000000"/>
          <w:sz w:val="20"/>
          <w:szCs w:val="20"/>
          <w:lang w:val="sq-AL"/>
        </w:rPr>
        <w:t>ë</w:t>
      </w:r>
      <w:r w:rsidR="00893EBF" w:rsidRPr="001F505E">
        <w:rPr>
          <w:color w:val="000000"/>
          <w:sz w:val="20"/>
          <w:szCs w:val="20"/>
          <w:lang w:val="sq-AL"/>
        </w:rPr>
        <w:t>t fiskal</w:t>
      </w:r>
      <w:r w:rsidR="0099340E" w:rsidRPr="001F505E">
        <w:rPr>
          <w:color w:val="000000"/>
          <w:sz w:val="20"/>
          <w:szCs w:val="20"/>
          <w:lang w:val="sq-AL"/>
        </w:rPr>
        <w:t>ë</w:t>
      </w:r>
      <w:r w:rsidR="00893EBF" w:rsidRPr="001F505E">
        <w:rPr>
          <w:color w:val="000000"/>
          <w:sz w:val="20"/>
          <w:szCs w:val="20"/>
          <w:lang w:val="sq-AL"/>
        </w:rPr>
        <w:t xml:space="preserve"> </w:t>
      </w:r>
      <w:r w:rsidRPr="001F505E">
        <w:rPr>
          <w:color w:val="000000"/>
          <w:sz w:val="20"/>
          <w:szCs w:val="20"/>
          <w:lang w:val="sq-AL"/>
        </w:rPr>
        <w:t>7</w:t>
      </w:r>
      <w:r w:rsidR="00893EBF" w:rsidRPr="001F505E">
        <w:rPr>
          <w:color w:val="000000"/>
          <w:sz w:val="20"/>
          <w:szCs w:val="20"/>
          <w:lang w:val="sq-AL"/>
        </w:rPr>
        <w:t>mujor</w:t>
      </w:r>
      <w:r w:rsidR="0099340E" w:rsidRPr="001F505E">
        <w:rPr>
          <w:color w:val="000000"/>
          <w:sz w:val="20"/>
          <w:szCs w:val="20"/>
          <w:lang w:val="sq-AL"/>
        </w:rPr>
        <w:t>ë</w:t>
      </w:r>
      <w:r w:rsidR="00893EBF" w:rsidRPr="001F505E">
        <w:rPr>
          <w:color w:val="000000"/>
          <w:sz w:val="20"/>
          <w:szCs w:val="20"/>
          <w:lang w:val="sq-AL"/>
        </w:rPr>
        <w:t xml:space="preserve"> </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3307"/>
        <w:gridCol w:w="759"/>
        <w:gridCol w:w="759"/>
        <w:gridCol w:w="759"/>
        <w:gridCol w:w="759"/>
        <w:gridCol w:w="759"/>
      </w:tblGrid>
      <w:tr w:rsidR="001706E2" w:rsidRPr="001F505E" w:rsidTr="008557CB">
        <w:trPr>
          <w:trHeight w:val="300"/>
        </w:trPr>
        <w:tc>
          <w:tcPr>
            <w:tcW w:w="0" w:type="auto"/>
            <w:tcBorders>
              <w:bottom w:val="single" w:sz="6" w:space="0" w:color="808080"/>
            </w:tcBorders>
            <w:noWrap/>
          </w:tcPr>
          <w:p w:rsidR="00893EBF" w:rsidRPr="001F505E" w:rsidRDefault="00893EBF" w:rsidP="008557CB">
            <w:pPr>
              <w:spacing w:before="0" w:after="0"/>
              <w:contextualSpacing/>
              <w:jc w:val="left"/>
              <w:rPr>
                <w:b/>
                <w:bCs/>
                <w:i/>
                <w:iCs/>
                <w:sz w:val="20"/>
                <w:szCs w:val="20"/>
                <w:lang w:val="sq-AL"/>
              </w:rPr>
            </w:pPr>
            <w:r w:rsidRPr="001F505E">
              <w:rPr>
                <w:bCs/>
                <w:iCs/>
                <w:sz w:val="20"/>
                <w:szCs w:val="20"/>
                <w:lang w:val="sq-AL"/>
              </w:rPr>
              <w:t>Miliard</w:t>
            </w:r>
            <w:r w:rsidR="0099340E" w:rsidRPr="001F505E">
              <w:rPr>
                <w:bCs/>
                <w:iCs/>
                <w:sz w:val="20"/>
                <w:szCs w:val="20"/>
                <w:lang w:val="sq-AL"/>
              </w:rPr>
              <w:t>ë</w:t>
            </w:r>
            <w:r w:rsidRPr="001F505E">
              <w:rPr>
                <w:bCs/>
                <w:iCs/>
                <w:sz w:val="20"/>
                <w:szCs w:val="20"/>
                <w:lang w:val="sq-AL"/>
              </w:rPr>
              <w:t xml:space="preserve"> lek</w:t>
            </w:r>
            <w:r w:rsidR="0099340E" w:rsidRPr="001F505E">
              <w:rPr>
                <w:bCs/>
                <w:iCs/>
                <w:sz w:val="20"/>
                <w:szCs w:val="20"/>
                <w:lang w:val="sq-AL"/>
              </w:rPr>
              <w:t>ë</w:t>
            </w:r>
          </w:p>
        </w:tc>
        <w:tc>
          <w:tcPr>
            <w:tcW w:w="0" w:type="auto"/>
            <w:tcBorders>
              <w:bottom w:val="single" w:sz="6" w:space="0" w:color="808080"/>
            </w:tcBorders>
            <w:noWrap/>
          </w:tcPr>
          <w:p w:rsidR="00893EBF" w:rsidRPr="001F505E" w:rsidRDefault="002C519F" w:rsidP="002C519F">
            <w:pPr>
              <w:spacing w:before="0" w:after="0"/>
              <w:contextualSpacing/>
              <w:jc w:val="left"/>
              <w:rPr>
                <w:b/>
                <w:bCs/>
                <w:i/>
                <w:iCs/>
                <w:sz w:val="20"/>
                <w:szCs w:val="20"/>
                <w:lang w:val="sq-AL"/>
              </w:rPr>
            </w:pPr>
            <w:r w:rsidRPr="001F505E">
              <w:rPr>
                <w:b/>
                <w:bCs/>
                <w:iCs/>
                <w:sz w:val="20"/>
                <w:szCs w:val="20"/>
                <w:lang w:val="sq-AL"/>
              </w:rPr>
              <w:t>2009</w:t>
            </w:r>
          </w:p>
        </w:tc>
        <w:tc>
          <w:tcPr>
            <w:tcW w:w="0" w:type="auto"/>
            <w:tcBorders>
              <w:bottom w:val="single" w:sz="6" w:space="0" w:color="808080"/>
            </w:tcBorders>
            <w:noWrap/>
          </w:tcPr>
          <w:p w:rsidR="00893EBF" w:rsidRPr="001F505E" w:rsidRDefault="00893EBF" w:rsidP="008557CB">
            <w:pPr>
              <w:spacing w:before="0" w:after="0"/>
              <w:contextualSpacing/>
              <w:jc w:val="left"/>
              <w:rPr>
                <w:b/>
                <w:bCs/>
                <w:i/>
                <w:iCs/>
                <w:sz w:val="20"/>
                <w:szCs w:val="20"/>
                <w:lang w:val="sq-AL"/>
              </w:rPr>
            </w:pPr>
            <w:r w:rsidRPr="001F505E">
              <w:rPr>
                <w:b/>
                <w:bCs/>
                <w:iCs/>
                <w:sz w:val="20"/>
                <w:szCs w:val="20"/>
                <w:lang w:val="sq-AL"/>
              </w:rPr>
              <w:t>201</w:t>
            </w:r>
            <w:r w:rsidR="002C519F" w:rsidRPr="001F505E">
              <w:rPr>
                <w:b/>
                <w:bCs/>
                <w:iCs/>
                <w:sz w:val="20"/>
                <w:szCs w:val="20"/>
                <w:lang w:val="sq-AL"/>
              </w:rPr>
              <w:t>0</w:t>
            </w:r>
          </w:p>
        </w:tc>
        <w:tc>
          <w:tcPr>
            <w:tcW w:w="0" w:type="auto"/>
            <w:tcBorders>
              <w:bottom w:val="single" w:sz="6" w:space="0" w:color="808080"/>
            </w:tcBorders>
            <w:noWrap/>
          </w:tcPr>
          <w:p w:rsidR="00893EBF" w:rsidRPr="001F505E" w:rsidRDefault="00893EBF" w:rsidP="008557CB">
            <w:pPr>
              <w:spacing w:before="0" w:after="0"/>
              <w:contextualSpacing/>
              <w:jc w:val="left"/>
              <w:rPr>
                <w:b/>
                <w:bCs/>
                <w:i/>
                <w:iCs/>
                <w:sz w:val="20"/>
                <w:szCs w:val="20"/>
                <w:lang w:val="sq-AL"/>
              </w:rPr>
            </w:pPr>
            <w:r w:rsidRPr="001F505E">
              <w:rPr>
                <w:b/>
                <w:bCs/>
                <w:iCs/>
                <w:sz w:val="20"/>
                <w:szCs w:val="20"/>
                <w:lang w:val="sq-AL"/>
              </w:rPr>
              <w:t>201</w:t>
            </w:r>
            <w:r w:rsidR="002C519F" w:rsidRPr="001F505E">
              <w:rPr>
                <w:b/>
                <w:bCs/>
                <w:iCs/>
                <w:sz w:val="20"/>
                <w:szCs w:val="20"/>
                <w:lang w:val="sq-AL"/>
              </w:rPr>
              <w:t>1</w:t>
            </w:r>
          </w:p>
        </w:tc>
        <w:tc>
          <w:tcPr>
            <w:tcW w:w="0" w:type="auto"/>
            <w:tcBorders>
              <w:bottom w:val="single" w:sz="6" w:space="0" w:color="808080"/>
            </w:tcBorders>
            <w:noWrap/>
          </w:tcPr>
          <w:p w:rsidR="00893EBF" w:rsidRPr="001F505E" w:rsidRDefault="00893EBF" w:rsidP="008557CB">
            <w:pPr>
              <w:spacing w:before="0" w:after="0"/>
              <w:contextualSpacing/>
              <w:jc w:val="left"/>
              <w:rPr>
                <w:b/>
                <w:bCs/>
                <w:i/>
                <w:iCs/>
                <w:sz w:val="20"/>
                <w:szCs w:val="20"/>
                <w:lang w:val="sq-AL"/>
              </w:rPr>
            </w:pPr>
            <w:r w:rsidRPr="001F505E">
              <w:rPr>
                <w:b/>
                <w:bCs/>
                <w:iCs/>
                <w:sz w:val="20"/>
                <w:szCs w:val="20"/>
                <w:lang w:val="sq-AL"/>
              </w:rPr>
              <w:t>2012</w:t>
            </w:r>
          </w:p>
        </w:tc>
        <w:tc>
          <w:tcPr>
            <w:tcW w:w="0" w:type="auto"/>
            <w:tcBorders>
              <w:bottom w:val="single" w:sz="6" w:space="0" w:color="808080"/>
            </w:tcBorders>
            <w:noWrap/>
          </w:tcPr>
          <w:p w:rsidR="00893EBF" w:rsidRPr="001F505E" w:rsidRDefault="00893EBF" w:rsidP="008557CB">
            <w:pPr>
              <w:spacing w:before="0" w:after="0"/>
              <w:contextualSpacing/>
              <w:jc w:val="left"/>
              <w:rPr>
                <w:b/>
                <w:bCs/>
                <w:i/>
                <w:iCs/>
                <w:sz w:val="20"/>
                <w:szCs w:val="20"/>
                <w:lang w:val="sq-AL"/>
              </w:rPr>
            </w:pPr>
            <w:r w:rsidRPr="001F505E">
              <w:rPr>
                <w:b/>
                <w:bCs/>
                <w:iCs/>
                <w:sz w:val="20"/>
                <w:szCs w:val="20"/>
                <w:lang w:val="sq-AL"/>
              </w:rPr>
              <w:t>2013</w:t>
            </w:r>
          </w:p>
        </w:tc>
      </w:tr>
      <w:tr w:rsidR="001706E2" w:rsidRPr="001F505E" w:rsidTr="008557CB">
        <w:trPr>
          <w:trHeight w:val="300"/>
        </w:trPr>
        <w:tc>
          <w:tcPr>
            <w:tcW w:w="0" w:type="auto"/>
            <w:noWrap/>
          </w:tcPr>
          <w:p w:rsidR="00893EBF" w:rsidRPr="001F505E" w:rsidRDefault="00893EBF" w:rsidP="008557CB">
            <w:pPr>
              <w:spacing w:before="0" w:after="0"/>
              <w:jc w:val="left"/>
              <w:rPr>
                <w:rFonts w:cs="Arial"/>
                <w:b/>
                <w:bCs/>
                <w:sz w:val="20"/>
                <w:szCs w:val="20"/>
                <w:lang w:val="sq-AL"/>
              </w:rPr>
            </w:pPr>
            <w:r w:rsidRPr="001F505E">
              <w:rPr>
                <w:rFonts w:cs="Arial"/>
                <w:b/>
                <w:sz w:val="20"/>
                <w:szCs w:val="20"/>
                <w:lang w:val="sq-AL"/>
              </w:rPr>
              <w:t>T</w:t>
            </w:r>
            <w:r w:rsidR="0099340E" w:rsidRPr="001F505E">
              <w:rPr>
                <w:rFonts w:cs="Arial"/>
                <w:b/>
                <w:sz w:val="20"/>
                <w:szCs w:val="20"/>
                <w:lang w:val="sq-AL"/>
              </w:rPr>
              <w:t>Ë</w:t>
            </w:r>
            <w:r w:rsidRPr="001F505E">
              <w:rPr>
                <w:rFonts w:cs="Arial"/>
                <w:b/>
                <w:sz w:val="20"/>
                <w:szCs w:val="20"/>
                <w:lang w:val="sq-AL"/>
              </w:rPr>
              <w:t xml:space="preserve"> ARDHURAT TOTALE</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169.8</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178.2</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182.7</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190.2</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185.4</w:t>
            </w:r>
          </w:p>
        </w:tc>
      </w:tr>
      <w:tr w:rsidR="001706E2" w:rsidRPr="001F505E" w:rsidTr="008557CB">
        <w:trPr>
          <w:trHeight w:val="300"/>
        </w:trPr>
        <w:tc>
          <w:tcPr>
            <w:tcW w:w="0" w:type="auto"/>
            <w:noWrap/>
          </w:tcPr>
          <w:p w:rsidR="00893EBF" w:rsidRPr="001F505E" w:rsidRDefault="00893EBF" w:rsidP="008557CB">
            <w:pPr>
              <w:spacing w:before="0" w:after="0"/>
              <w:jc w:val="left"/>
              <w:rPr>
                <w:rFonts w:cs="Arial"/>
                <w:b/>
                <w:bCs/>
                <w:sz w:val="20"/>
                <w:szCs w:val="20"/>
                <w:lang w:val="sq-AL"/>
              </w:rPr>
            </w:pPr>
            <w:r w:rsidRPr="001F505E">
              <w:rPr>
                <w:rFonts w:cs="Arial"/>
                <w:b/>
                <w:sz w:val="20"/>
                <w:szCs w:val="20"/>
                <w:lang w:val="sq-AL"/>
              </w:rPr>
              <w:t>SHPENZIMET TOTALE</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211.4</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201.0</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213.5</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211.1</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233.1</w:t>
            </w:r>
          </w:p>
        </w:tc>
      </w:tr>
      <w:tr w:rsidR="001706E2" w:rsidRPr="001F505E" w:rsidTr="008557CB">
        <w:trPr>
          <w:trHeight w:val="300"/>
        </w:trPr>
        <w:tc>
          <w:tcPr>
            <w:tcW w:w="0" w:type="auto"/>
            <w:noWrap/>
          </w:tcPr>
          <w:p w:rsidR="00893EBF" w:rsidRPr="001F505E" w:rsidRDefault="00893EBF" w:rsidP="008557CB">
            <w:pPr>
              <w:spacing w:before="0" w:after="0"/>
              <w:jc w:val="left"/>
              <w:rPr>
                <w:rFonts w:cs="Arial"/>
                <w:b/>
                <w:bCs/>
                <w:sz w:val="20"/>
                <w:szCs w:val="20"/>
                <w:lang w:val="sq-AL"/>
              </w:rPr>
            </w:pPr>
            <w:r w:rsidRPr="001F505E">
              <w:rPr>
                <w:rFonts w:cs="Arial"/>
                <w:sz w:val="20"/>
                <w:szCs w:val="20"/>
                <w:lang w:val="sq-AL"/>
              </w:rPr>
              <w:t>Nga t</w:t>
            </w:r>
            <w:r w:rsidR="0099340E" w:rsidRPr="001F505E">
              <w:rPr>
                <w:rFonts w:cs="Arial"/>
                <w:sz w:val="20"/>
                <w:szCs w:val="20"/>
                <w:lang w:val="sq-AL"/>
              </w:rPr>
              <w:t>ë</w:t>
            </w:r>
            <w:r w:rsidRPr="001F505E">
              <w:rPr>
                <w:rFonts w:cs="Arial"/>
                <w:sz w:val="20"/>
                <w:szCs w:val="20"/>
                <w:lang w:val="sq-AL"/>
              </w:rPr>
              <w:t xml:space="preserve"> cilat SHPENZIME KOR</w:t>
            </w:r>
            <w:r w:rsidR="0099340E" w:rsidRPr="001F505E">
              <w:rPr>
                <w:rFonts w:cs="Arial"/>
                <w:sz w:val="20"/>
                <w:szCs w:val="20"/>
                <w:lang w:val="sq-AL"/>
              </w:rPr>
              <w:t>R</w:t>
            </w:r>
            <w:r w:rsidRPr="001F505E">
              <w:rPr>
                <w:rFonts w:cs="Arial"/>
                <w:sz w:val="20"/>
                <w:szCs w:val="20"/>
                <w:lang w:val="sq-AL"/>
              </w:rPr>
              <w:t>ENTE</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154.8</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165.7</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174.9</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177.3</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189.1</w:t>
            </w:r>
          </w:p>
        </w:tc>
      </w:tr>
      <w:tr w:rsidR="001706E2" w:rsidRPr="001F505E" w:rsidTr="008557CB">
        <w:trPr>
          <w:trHeight w:val="300"/>
        </w:trPr>
        <w:tc>
          <w:tcPr>
            <w:tcW w:w="0" w:type="auto"/>
            <w:noWrap/>
          </w:tcPr>
          <w:p w:rsidR="00893EBF" w:rsidRPr="001F505E" w:rsidRDefault="00893EBF" w:rsidP="008557CB">
            <w:pPr>
              <w:spacing w:before="0" w:after="0"/>
              <w:jc w:val="left"/>
              <w:rPr>
                <w:rFonts w:cs="Arial"/>
                <w:b/>
                <w:bCs/>
                <w:sz w:val="20"/>
                <w:szCs w:val="20"/>
                <w:lang w:val="sq-AL"/>
              </w:rPr>
            </w:pPr>
            <w:r w:rsidRPr="001F505E">
              <w:rPr>
                <w:rFonts w:cs="Arial"/>
                <w:sz w:val="20"/>
                <w:szCs w:val="20"/>
                <w:lang w:val="sq-AL"/>
              </w:rPr>
              <w:t>Nga t</w:t>
            </w:r>
            <w:r w:rsidR="003F06ED" w:rsidRPr="001F505E">
              <w:rPr>
                <w:rFonts w:cs="Arial"/>
                <w:sz w:val="20"/>
                <w:szCs w:val="20"/>
                <w:lang w:val="sq-AL"/>
              </w:rPr>
              <w:t>ë</w:t>
            </w:r>
            <w:r w:rsidRPr="001F505E">
              <w:rPr>
                <w:rFonts w:cs="Arial"/>
                <w:sz w:val="20"/>
                <w:szCs w:val="20"/>
                <w:lang w:val="sq-AL"/>
              </w:rPr>
              <w:t xml:space="preserve"> cilat SHPENZIME KAPITALE</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56.5</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37.2</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38.5</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31.9</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43.9</w:t>
            </w:r>
          </w:p>
        </w:tc>
      </w:tr>
      <w:tr w:rsidR="001706E2" w:rsidRPr="001F505E" w:rsidTr="008557CB">
        <w:trPr>
          <w:trHeight w:val="300"/>
        </w:trPr>
        <w:tc>
          <w:tcPr>
            <w:tcW w:w="0" w:type="auto"/>
            <w:noWrap/>
          </w:tcPr>
          <w:p w:rsidR="00893EBF" w:rsidRPr="001F505E" w:rsidRDefault="00E67A8D" w:rsidP="008557CB">
            <w:pPr>
              <w:spacing w:before="0" w:after="0"/>
              <w:jc w:val="left"/>
              <w:rPr>
                <w:rFonts w:cs="Arial"/>
                <w:b/>
                <w:bCs/>
                <w:sz w:val="20"/>
                <w:szCs w:val="20"/>
                <w:lang w:val="sq-AL"/>
              </w:rPr>
            </w:pPr>
            <w:r w:rsidRPr="001F505E">
              <w:rPr>
                <w:rFonts w:cs="Arial"/>
                <w:b/>
                <w:sz w:val="20"/>
                <w:szCs w:val="20"/>
                <w:lang w:val="sq-AL"/>
              </w:rPr>
              <w:t>BALANCA</w:t>
            </w:r>
            <w:r w:rsidR="00893EBF" w:rsidRPr="001F505E">
              <w:rPr>
                <w:rFonts w:cs="Arial"/>
                <w:b/>
                <w:sz w:val="20"/>
                <w:szCs w:val="20"/>
                <w:lang w:val="sq-AL"/>
              </w:rPr>
              <w:t xml:space="preserve"> FISKAL</w:t>
            </w:r>
            <w:r w:rsidRPr="001F505E">
              <w:rPr>
                <w:rFonts w:cs="Arial"/>
                <w:b/>
                <w:sz w:val="20"/>
                <w:szCs w:val="20"/>
                <w:lang w:val="sq-AL"/>
              </w:rPr>
              <w:t>E</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-41.6</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-22.8</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-30.8</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-20.9</w:t>
            </w:r>
          </w:p>
        </w:tc>
        <w:tc>
          <w:tcPr>
            <w:tcW w:w="0" w:type="auto"/>
            <w:noWrap/>
          </w:tcPr>
          <w:p w:rsidR="00893EBF" w:rsidRPr="001F505E" w:rsidRDefault="00E67A8D" w:rsidP="008557CB">
            <w:pPr>
              <w:spacing w:before="0" w:after="0"/>
              <w:jc w:val="left"/>
              <w:rPr>
                <w:rFonts w:cs="Arial"/>
                <w:b/>
                <w:sz w:val="20"/>
                <w:szCs w:val="20"/>
                <w:lang w:val="sq-AL"/>
              </w:rPr>
            </w:pPr>
            <w:r w:rsidRPr="001F505E">
              <w:rPr>
                <w:rFonts w:cs="Arial"/>
                <w:b/>
                <w:sz w:val="20"/>
                <w:szCs w:val="20"/>
                <w:lang w:val="sq-AL"/>
              </w:rPr>
              <w:t>-47.7</w:t>
            </w:r>
          </w:p>
        </w:tc>
      </w:tr>
      <w:tr w:rsidR="001706E2" w:rsidRPr="001F505E" w:rsidTr="008557CB">
        <w:trPr>
          <w:trHeight w:val="300"/>
        </w:trPr>
        <w:tc>
          <w:tcPr>
            <w:tcW w:w="0" w:type="auto"/>
            <w:noWrap/>
          </w:tcPr>
          <w:p w:rsidR="00893EBF" w:rsidRPr="001F505E" w:rsidRDefault="00893EBF" w:rsidP="008557CB">
            <w:pPr>
              <w:spacing w:before="0" w:after="0"/>
              <w:jc w:val="left"/>
              <w:rPr>
                <w:rFonts w:cs="Arial"/>
                <w:b/>
                <w:bCs/>
                <w:sz w:val="20"/>
                <w:szCs w:val="20"/>
                <w:lang w:val="sq-AL"/>
              </w:rPr>
            </w:pPr>
            <w:r w:rsidRPr="001F505E">
              <w:rPr>
                <w:rFonts w:cs="Arial"/>
                <w:sz w:val="20"/>
                <w:szCs w:val="20"/>
                <w:lang w:val="sq-AL"/>
              </w:rPr>
              <w:t>BALANCA PRIMARE</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-20.6</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 xml:space="preserve">    0.5</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-8.3</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+1.9</w:t>
            </w:r>
          </w:p>
        </w:tc>
        <w:tc>
          <w:tcPr>
            <w:tcW w:w="0" w:type="auto"/>
            <w:noWrap/>
          </w:tcPr>
          <w:p w:rsidR="00893EBF" w:rsidRPr="001F505E" w:rsidRDefault="00E67A8D" w:rsidP="008557CB">
            <w:pPr>
              <w:spacing w:before="0" w:after="0"/>
              <w:jc w:val="left"/>
              <w:rPr>
                <w:rFonts w:cs="Arial"/>
                <w:sz w:val="20"/>
                <w:szCs w:val="20"/>
                <w:lang w:val="sq-AL"/>
              </w:rPr>
            </w:pPr>
            <w:r w:rsidRPr="001F505E">
              <w:rPr>
                <w:rFonts w:cs="Arial"/>
                <w:sz w:val="20"/>
                <w:szCs w:val="20"/>
                <w:lang w:val="sq-AL"/>
              </w:rPr>
              <w:t>-23.9</w:t>
            </w:r>
          </w:p>
        </w:tc>
      </w:tr>
    </w:tbl>
    <w:p w:rsidR="00893EBF" w:rsidRPr="001F505E" w:rsidRDefault="00893EBF" w:rsidP="00893EBF">
      <w:pPr>
        <w:rPr>
          <w:sz w:val="20"/>
          <w:szCs w:val="20"/>
          <w:lang w:val="sq-AL"/>
        </w:rPr>
      </w:pPr>
      <w:r w:rsidRPr="001F505E">
        <w:rPr>
          <w:sz w:val="20"/>
          <w:szCs w:val="20"/>
          <w:lang w:val="sq-AL"/>
        </w:rPr>
        <w:t>Burimi: Ministria e Financave</w:t>
      </w:r>
    </w:p>
    <w:p w:rsidR="00F7093A" w:rsidRDefault="00F7093A" w:rsidP="001A094A">
      <w:pPr>
        <w:rPr>
          <w:noProof/>
          <w:lang w:val="sq-AL"/>
        </w:rPr>
      </w:pPr>
    </w:p>
    <w:p w:rsidR="001A094A" w:rsidRPr="001F505E" w:rsidRDefault="00B12BD5" w:rsidP="001A094A">
      <w:pPr>
        <w:rPr>
          <w:noProof/>
          <w:lang w:val="sq-AL"/>
        </w:rPr>
      </w:pPr>
      <w:r w:rsidRPr="001F505E">
        <w:rPr>
          <w:noProof/>
          <w:lang w:val="sq-AL"/>
        </w:rPr>
        <w:t>Administrata tatimore ka mbledhur (</w:t>
      </w:r>
      <w:r w:rsidR="00D25F0D" w:rsidRPr="001F505E">
        <w:rPr>
          <w:noProof/>
          <w:lang w:val="sq-AL"/>
        </w:rPr>
        <w:t xml:space="preserve">pa </w:t>
      </w:r>
      <w:r w:rsidRPr="001F505E">
        <w:rPr>
          <w:noProof/>
          <w:lang w:val="sq-AL"/>
        </w:rPr>
        <w:t xml:space="preserve">përfshirë kontributet) </w:t>
      </w:r>
      <w:r w:rsidR="00E67A8D" w:rsidRPr="001F505E">
        <w:rPr>
          <w:noProof/>
          <w:lang w:val="sq-AL"/>
        </w:rPr>
        <w:t>51</w:t>
      </w:r>
      <w:r w:rsidRPr="001F505E">
        <w:rPr>
          <w:noProof/>
          <w:lang w:val="sq-AL"/>
        </w:rPr>
        <w:t xml:space="preserve"> miliardë lekë, rreth </w:t>
      </w:r>
      <w:r w:rsidR="00D25F0D" w:rsidRPr="001F505E">
        <w:rPr>
          <w:noProof/>
          <w:lang w:val="sq-AL"/>
        </w:rPr>
        <w:t>17.6</w:t>
      </w:r>
      <w:r w:rsidRPr="001F505E">
        <w:rPr>
          <w:noProof/>
          <w:lang w:val="sq-AL"/>
        </w:rPr>
        <w:t xml:space="preserve"> përqind më pak </w:t>
      </w:r>
      <w:r w:rsidR="00D25F0D" w:rsidRPr="001F505E">
        <w:rPr>
          <w:noProof/>
          <w:lang w:val="sq-AL"/>
        </w:rPr>
        <w:t>të ardhura se 7</w:t>
      </w:r>
      <w:r w:rsidRPr="001F505E">
        <w:rPr>
          <w:noProof/>
          <w:lang w:val="sq-AL"/>
        </w:rPr>
        <w:t xml:space="preserve"> mujori i vitit 2012</w:t>
      </w:r>
      <w:r w:rsidR="00F85E7D" w:rsidRPr="001F505E">
        <w:rPr>
          <w:noProof/>
          <w:lang w:val="sq-AL"/>
        </w:rPr>
        <w:t>,</w:t>
      </w:r>
      <w:r w:rsidRPr="001F505E">
        <w:rPr>
          <w:noProof/>
          <w:lang w:val="sq-AL"/>
        </w:rPr>
        <w:t xml:space="preserve"> ose -</w:t>
      </w:r>
      <w:r w:rsidR="00D25F0D" w:rsidRPr="001F505E">
        <w:rPr>
          <w:noProof/>
          <w:lang w:val="sq-AL"/>
        </w:rPr>
        <w:t>11 miliardë lekë më pak</w:t>
      </w:r>
      <w:r w:rsidRPr="001F505E">
        <w:rPr>
          <w:noProof/>
          <w:lang w:val="sq-AL"/>
        </w:rPr>
        <w:t xml:space="preserve">. </w:t>
      </w:r>
      <w:r w:rsidR="00D25F0D" w:rsidRPr="001F505E">
        <w:rPr>
          <w:noProof/>
          <w:lang w:val="sq-AL"/>
        </w:rPr>
        <w:t>T</w:t>
      </w:r>
      <w:r w:rsidRPr="001F505E">
        <w:rPr>
          <w:noProof/>
          <w:lang w:val="sq-AL"/>
        </w:rPr>
        <w:t xml:space="preserve">ë ardhurat nga kontributet janë rritur me </w:t>
      </w:r>
      <w:r w:rsidR="00D25F0D" w:rsidRPr="001F505E">
        <w:rPr>
          <w:noProof/>
          <w:lang w:val="sq-AL"/>
        </w:rPr>
        <w:t>2.4</w:t>
      </w:r>
      <w:r w:rsidRPr="001F505E">
        <w:rPr>
          <w:noProof/>
          <w:lang w:val="sq-AL"/>
        </w:rPr>
        <w:t xml:space="preserve"> përqind mbi baza vjetore. Ecuri pozitive ka</w:t>
      </w:r>
      <w:r w:rsidR="00D25F0D" w:rsidRPr="001F505E">
        <w:rPr>
          <w:noProof/>
          <w:lang w:val="sq-AL"/>
        </w:rPr>
        <w:t xml:space="preserve"> patur për këtë periudhë vetëm Tatimi mbi të Ardhurat Personale </w:t>
      </w:r>
      <w:r w:rsidRPr="001F505E">
        <w:rPr>
          <w:noProof/>
          <w:lang w:val="sq-AL"/>
        </w:rPr>
        <w:t>q</w:t>
      </w:r>
      <w:r w:rsidR="00B05F53" w:rsidRPr="001F505E">
        <w:rPr>
          <w:noProof/>
          <w:lang w:val="sq-AL"/>
        </w:rPr>
        <w:t>ë</w:t>
      </w:r>
      <w:r w:rsidR="00D25F0D" w:rsidRPr="001F505E">
        <w:rPr>
          <w:noProof/>
          <w:lang w:val="sq-AL"/>
        </w:rPr>
        <w:t xml:space="preserve"> ka</w:t>
      </w:r>
      <w:r w:rsidRPr="001F505E">
        <w:rPr>
          <w:noProof/>
          <w:lang w:val="sq-AL"/>
        </w:rPr>
        <w:t xml:space="preserve"> pësuar </w:t>
      </w:r>
      <w:r w:rsidR="00D25F0D" w:rsidRPr="001F505E">
        <w:rPr>
          <w:noProof/>
          <w:lang w:val="sq-AL"/>
        </w:rPr>
        <w:t xml:space="preserve">një </w:t>
      </w:r>
      <w:r w:rsidRPr="001F505E">
        <w:rPr>
          <w:noProof/>
          <w:lang w:val="sq-AL"/>
        </w:rPr>
        <w:t xml:space="preserve">rritje prej </w:t>
      </w:r>
      <w:r w:rsidR="00D25F0D" w:rsidRPr="001F505E">
        <w:rPr>
          <w:noProof/>
          <w:lang w:val="sq-AL"/>
        </w:rPr>
        <w:t>8.3</w:t>
      </w:r>
      <w:r w:rsidRPr="001F505E">
        <w:rPr>
          <w:noProof/>
          <w:lang w:val="sq-AL"/>
        </w:rPr>
        <w:t xml:space="preserve"> përqind në krahasim me të njëjtën periudhë të një viti më parë; </w:t>
      </w:r>
      <w:r w:rsidR="00D25F0D" w:rsidRPr="001F505E">
        <w:rPr>
          <w:noProof/>
          <w:lang w:val="sq-AL"/>
        </w:rPr>
        <w:t xml:space="preserve">ndërsa </w:t>
      </w:r>
      <w:r w:rsidRPr="001F505E">
        <w:rPr>
          <w:noProof/>
          <w:lang w:val="sq-AL"/>
        </w:rPr>
        <w:t>T</w:t>
      </w:r>
      <w:r w:rsidR="00D25F0D" w:rsidRPr="001F505E">
        <w:rPr>
          <w:noProof/>
          <w:lang w:val="sq-AL"/>
        </w:rPr>
        <w:t xml:space="preserve">atimi mbi </w:t>
      </w:r>
      <w:r w:rsidRPr="001F505E">
        <w:rPr>
          <w:noProof/>
          <w:lang w:val="sq-AL"/>
        </w:rPr>
        <w:t>V</w:t>
      </w:r>
      <w:r w:rsidR="00D25F0D" w:rsidRPr="001F505E">
        <w:rPr>
          <w:noProof/>
          <w:lang w:val="sq-AL"/>
        </w:rPr>
        <w:t>lerën e Shtuar ka rënë me -1.3 përqind në krahasim me të njejtën periudh</w:t>
      </w:r>
      <w:r w:rsidR="00D25F0D" w:rsidRPr="001F505E">
        <w:rPr>
          <w:rFonts w:ascii="Arial" w:eastAsia="Times New Roman" w:hAnsi="Arial" w:cs="Arial"/>
          <w:noProof/>
          <w:lang w:val="sq-AL" w:eastAsia="ja-JP"/>
        </w:rPr>
        <w:t>ë në vitin 2012</w:t>
      </w:r>
      <w:r w:rsidRPr="001F505E">
        <w:rPr>
          <w:noProof/>
          <w:lang w:val="sq-AL"/>
        </w:rPr>
        <w:t>.</w:t>
      </w:r>
    </w:p>
    <w:p w:rsidR="0083686D" w:rsidRPr="001F505E" w:rsidRDefault="0083686D" w:rsidP="001A094A">
      <w:pPr>
        <w:rPr>
          <w:noProof/>
          <w:lang w:val="sq-AL"/>
        </w:rPr>
      </w:pPr>
    </w:p>
    <w:p w:rsidR="00407A66" w:rsidRPr="001F505E" w:rsidRDefault="00407A66" w:rsidP="001A094A">
      <w:pPr>
        <w:rPr>
          <w:noProof/>
          <w:lang w:val="sq-AL"/>
        </w:rPr>
      </w:pPr>
    </w:p>
    <w:p w:rsidR="00F95BFC" w:rsidRPr="001F505E" w:rsidRDefault="00F95BFC" w:rsidP="0083686D">
      <w:pPr>
        <w:spacing w:after="0"/>
        <w:rPr>
          <w:sz w:val="20"/>
          <w:szCs w:val="20"/>
          <w:lang w:val="sq-AL"/>
        </w:rPr>
      </w:pPr>
    </w:p>
    <w:p w:rsidR="00F95BFC" w:rsidRPr="001F505E" w:rsidRDefault="00F95BFC" w:rsidP="0083686D">
      <w:pPr>
        <w:spacing w:after="0"/>
        <w:rPr>
          <w:sz w:val="20"/>
          <w:szCs w:val="20"/>
          <w:lang w:val="sq-AL"/>
        </w:rPr>
      </w:pPr>
    </w:p>
    <w:p w:rsidR="00F95BFC" w:rsidRPr="001F505E" w:rsidRDefault="00F95BFC" w:rsidP="0083686D">
      <w:pPr>
        <w:spacing w:after="0"/>
        <w:rPr>
          <w:sz w:val="20"/>
          <w:szCs w:val="20"/>
          <w:lang w:val="sq-AL"/>
        </w:rPr>
      </w:pPr>
    </w:p>
    <w:p w:rsidR="00F95BFC" w:rsidRPr="001F505E" w:rsidRDefault="00F95BFC" w:rsidP="0083686D">
      <w:pPr>
        <w:spacing w:after="0"/>
        <w:rPr>
          <w:sz w:val="20"/>
          <w:szCs w:val="20"/>
          <w:lang w:val="sq-AL"/>
        </w:rPr>
      </w:pPr>
    </w:p>
    <w:p w:rsidR="004526A7" w:rsidRPr="001F505E" w:rsidRDefault="00B12BD5" w:rsidP="0083686D">
      <w:pPr>
        <w:spacing w:after="0"/>
        <w:rPr>
          <w:sz w:val="20"/>
          <w:szCs w:val="20"/>
          <w:lang w:val="sq-AL"/>
        </w:rPr>
      </w:pPr>
      <w:r w:rsidRPr="001F505E">
        <w:rPr>
          <w:sz w:val="20"/>
          <w:szCs w:val="20"/>
          <w:lang w:val="sq-AL"/>
        </w:rPr>
        <w:t xml:space="preserve">Tabela </w:t>
      </w:r>
      <w:r w:rsidR="00F7093A">
        <w:rPr>
          <w:sz w:val="20"/>
          <w:szCs w:val="20"/>
          <w:lang w:val="sq-AL"/>
        </w:rPr>
        <w:t>2</w:t>
      </w:r>
      <w:r w:rsidRPr="001F505E">
        <w:rPr>
          <w:sz w:val="20"/>
          <w:szCs w:val="20"/>
          <w:lang w:val="sq-AL"/>
        </w:rPr>
        <w:t>. T</w:t>
      </w:r>
      <w:r w:rsidR="001A44CE" w:rsidRPr="001F505E">
        <w:rPr>
          <w:sz w:val="20"/>
          <w:szCs w:val="20"/>
          <w:lang w:val="sq-AL"/>
        </w:rPr>
        <w:t>ë</w:t>
      </w:r>
      <w:r w:rsidRPr="001F505E">
        <w:rPr>
          <w:sz w:val="20"/>
          <w:szCs w:val="20"/>
          <w:lang w:val="sq-AL"/>
        </w:rPr>
        <w:t xml:space="preserve"> ardhurat n</w:t>
      </w:r>
      <w:r w:rsidR="001A44CE" w:rsidRPr="001F505E">
        <w:rPr>
          <w:sz w:val="20"/>
          <w:szCs w:val="20"/>
          <w:lang w:val="sq-AL"/>
        </w:rPr>
        <w:t>ë</w:t>
      </w:r>
      <w:r w:rsidRPr="001F505E">
        <w:rPr>
          <w:sz w:val="20"/>
          <w:szCs w:val="20"/>
          <w:lang w:val="sq-AL"/>
        </w:rPr>
        <w:t xml:space="preserve"> buxhetin e konsoliduar (miliard</w:t>
      </w:r>
      <w:r w:rsidR="001A44CE" w:rsidRPr="001F505E">
        <w:rPr>
          <w:sz w:val="20"/>
          <w:szCs w:val="20"/>
          <w:lang w:val="sq-AL"/>
        </w:rPr>
        <w:t>ë</w:t>
      </w:r>
      <w:r w:rsidRPr="001F505E">
        <w:rPr>
          <w:sz w:val="20"/>
          <w:szCs w:val="20"/>
          <w:lang w:val="sq-AL"/>
        </w:rPr>
        <w:t xml:space="preserve"> Lek</w:t>
      </w:r>
      <w:r w:rsidR="001A44CE" w:rsidRPr="001F505E">
        <w:rPr>
          <w:sz w:val="20"/>
          <w:szCs w:val="20"/>
          <w:lang w:val="sq-AL"/>
        </w:rPr>
        <w:t>ë</w:t>
      </w:r>
      <w:r w:rsidRPr="001F505E">
        <w:rPr>
          <w:sz w:val="20"/>
          <w:szCs w:val="20"/>
          <w:lang w:val="sq-AL"/>
        </w:rPr>
        <w:t>)</w:t>
      </w:r>
    </w:p>
    <w:p w:rsidR="004526A7" w:rsidRPr="001F505E" w:rsidRDefault="004526A7" w:rsidP="0083686D">
      <w:pPr>
        <w:spacing w:after="0"/>
        <w:rPr>
          <w:sz w:val="20"/>
          <w:szCs w:val="20"/>
          <w:lang w:val="sq-AL"/>
        </w:rPr>
      </w:pPr>
    </w:p>
    <w:tbl>
      <w:tblPr>
        <w:tblW w:w="0" w:type="auto"/>
        <w:tblInd w:w="108" w:type="dxa"/>
        <w:tblLook w:val="04A0"/>
      </w:tblPr>
      <w:tblGrid>
        <w:gridCol w:w="751"/>
        <w:gridCol w:w="3425"/>
        <w:gridCol w:w="799"/>
        <w:gridCol w:w="799"/>
        <w:gridCol w:w="799"/>
        <w:gridCol w:w="799"/>
        <w:gridCol w:w="799"/>
      </w:tblGrid>
      <w:tr w:rsidR="004526A7" w:rsidRPr="004526A7" w:rsidTr="004526A7">
        <w:trPr>
          <w:trHeight w:val="435"/>
        </w:trPr>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center"/>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Nr.</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B355A" w:rsidP="004526A7">
            <w:pPr>
              <w:spacing w:before="0" w:after="0"/>
              <w:jc w:val="center"/>
              <w:rPr>
                <w:rFonts w:ascii="Arial Narrow" w:eastAsia="Times New Roman" w:hAnsi="Arial Narrow" w:cs="Arial"/>
                <w:b/>
                <w:bCs/>
                <w:sz w:val="18"/>
                <w:szCs w:val="18"/>
                <w:lang w:val="sq-AL" w:eastAsia="en-US"/>
              </w:rPr>
            </w:pPr>
            <w:r>
              <w:rPr>
                <w:rFonts w:ascii="Arial Narrow" w:eastAsia="Times New Roman" w:hAnsi="Arial Narrow" w:cs="Arial"/>
                <w:b/>
                <w:bCs/>
                <w:sz w:val="18"/>
                <w:szCs w:val="18"/>
                <w:lang w:val="sq-AL" w:eastAsia="en-US"/>
              </w:rPr>
              <w:t>E  M  Ë</w:t>
            </w:r>
            <w:r w:rsidR="004526A7" w:rsidRPr="004526A7">
              <w:rPr>
                <w:rFonts w:ascii="Arial Narrow" w:eastAsia="Times New Roman" w:hAnsi="Arial Narrow" w:cs="Arial"/>
                <w:b/>
                <w:bCs/>
                <w:sz w:val="18"/>
                <w:szCs w:val="18"/>
                <w:lang w:val="sq-AL" w:eastAsia="en-US"/>
              </w:rPr>
              <w:t xml:space="preserve">  R  T  I  M  I</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7M-2009</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7M-2010</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7M-2011</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7M-2012</w:t>
            </w:r>
          </w:p>
        </w:tc>
        <w:tc>
          <w:tcPr>
            <w:tcW w:w="0" w:type="auto"/>
            <w:tcBorders>
              <w:top w:val="single" w:sz="8" w:space="0" w:color="auto"/>
              <w:left w:val="nil"/>
              <w:bottom w:val="single" w:sz="8" w:space="0" w:color="auto"/>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7M-2013</w:t>
            </w:r>
          </w:p>
        </w:tc>
      </w:tr>
      <w:tr w:rsidR="004526A7" w:rsidRPr="004526A7" w:rsidTr="004526A7">
        <w:trPr>
          <w:trHeight w:val="42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b/>
                <w:bCs/>
                <w:sz w:val="18"/>
                <w:szCs w:val="18"/>
                <w:lang w:val="sq-AL" w:eastAsia="en-US"/>
              </w:rPr>
            </w:pPr>
            <w:r>
              <w:rPr>
                <w:rFonts w:ascii="Arial Narrow" w:eastAsia="Times New Roman" w:hAnsi="Arial Narrow" w:cs="Arial"/>
                <w:b/>
                <w:bCs/>
                <w:sz w:val="18"/>
                <w:szCs w:val="18"/>
                <w:lang w:val="sq-AL" w:eastAsia="en-US"/>
              </w:rPr>
              <w:t>TOTALI TË</w:t>
            </w:r>
            <w:r w:rsidR="004526A7" w:rsidRPr="004526A7">
              <w:rPr>
                <w:rFonts w:ascii="Arial Narrow" w:eastAsia="Times New Roman" w:hAnsi="Arial Narrow" w:cs="Arial"/>
                <w:b/>
                <w:bCs/>
                <w:sz w:val="18"/>
                <w:szCs w:val="18"/>
                <w:lang w:val="sq-AL" w:eastAsia="en-US"/>
              </w:rPr>
              <w:t xml:space="preserve"> ARDHURAVE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169,763</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178,244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182,701</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190,241</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185,370</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Te ardhura nga ndihmat</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1,196</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1,847</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1,357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1,936</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2,487</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II.</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Te ardhura tatimore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156,160</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162,144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168,864</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173,059</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167,572</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II.1</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Nga Tatimet dhe Doganat</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118,254</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123,455</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128,379</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131,393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126,059</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1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Tatimi mbi Vlerë</w:t>
            </w:r>
            <w:r w:rsidR="004526A7" w:rsidRPr="004526A7">
              <w:rPr>
                <w:rFonts w:ascii="Arial Narrow" w:eastAsia="Times New Roman" w:hAnsi="Arial Narrow" w:cs="Arial"/>
                <w:sz w:val="18"/>
                <w:szCs w:val="18"/>
                <w:lang w:val="sq-AL" w:eastAsia="en-US"/>
              </w:rPr>
              <w:t>n e Shtuar</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61,739</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63,933</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63,570</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64,567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60,704</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2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Tatimi mbi Fitimin</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10,357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9,757</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12,549</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9,867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9,445</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3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Akcizat</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18,244</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21,031</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21,023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21,113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20,072</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4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Tatimi mbi të</w:t>
            </w:r>
            <w:r w:rsidR="004526A7" w:rsidRPr="004526A7">
              <w:rPr>
                <w:rFonts w:ascii="Arial Narrow" w:eastAsia="Times New Roman" w:hAnsi="Arial Narrow" w:cs="Arial"/>
                <w:sz w:val="18"/>
                <w:szCs w:val="18"/>
                <w:lang w:val="sq-AL" w:eastAsia="en-US"/>
              </w:rPr>
              <w:t xml:space="preserve"> Ardhurat Personale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16,141</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15,201</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16,215</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15,788</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17,099</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5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Taksa Nacionale dhe të</w:t>
            </w:r>
            <w:r w:rsidR="004526A7" w:rsidRPr="004526A7">
              <w:rPr>
                <w:rFonts w:ascii="Arial Narrow" w:eastAsia="Times New Roman" w:hAnsi="Arial Narrow" w:cs="Arial"/>
                <w:sz w:val="18"/>
                <w:szCs w:val="18"/>
                <w:lang w:val="sq-AL" w:eastAsia="en-US"/>
              </w:rPr>
              <w:t xml:space="preserve"> tjera</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7,573</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9,625</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11,135</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16,615</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15,646</w:t>
            </w:r>
          </w:p>
        </w:tc>
      </w:tr>
      <w:tr w:rsidR="004526A7" w:rsidRPr="004526A7" w:rsidTr="004526A7">
        <w:trPr>
          <w:trHeight w:val="255"/>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6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Taksa Doganore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4,201</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3,908</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3,887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3,443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3,093</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II.2</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b/>
                <w:bCs/>
                <w:sz w:val="18"/>
                <w:szCs w:val="18"/>
                <w:lang w:val="sq-AL" w:eastAsia="en-US"/>
              </w:rPr>
            </w:pPr>
            <w:r>
              <w:rPr>
                <w:rFonts w:ascii="Arial Narrow" w:eastAsia="Times New Roman" w:hAnsi="Arial Narrow" w:cs="Arial"/>
                <w:b/>
                <w:bCs/>
                <w:sz w:val="18"/>
                <w:szCs w:val="18"/>
                <w:lang w:val="sq-AL" w:eastAsia="en-US"/>
              </w:rPr>
              <w:t>Të</w:t>
            </w:r>
            <w:r w:rsidR="004526A7" w:rsidRPr="004526A7">
              <w:rPr>
                <w:rFonts w:ascii="Arial Narrow" w:eastAsia="Times New Roman" w:hAnsi="Arial Narrow" w:cs="Arial"/>
                <w:b/>
                <w:bCs/>
                <w:sz w:val="18"/>
                <w:szCs w:val="18"/>
                <w:lang w:val="sq-AL" w:eastAsia="en-US"/>
              </w:rPr>
              <w:t xml:space="preserve"> ardhura nga Pushteti Vendor</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8,045</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7,284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7,438</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7,469</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6,429</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1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Taksë mbi Pasurinë(ndë</w:t>
            </w:r>
            <w:r w:rsidR="004526A7" w:rsidRPr="004526A7">
              <w:rPr>
                <w:rFonts w:ascii="Arial Narrow" w:eastAsia="Times New Roman" w:hAnsi="Arial Narrow" w:cs="Arial"/>
                <w:sz w:val="18"/>
                <w:szCs w:val="18"/>
                <w:lang w:val="sq-AL" w:eastAsia="en-US"/>
              </w:rPr>
              <w:t>rtesat)</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967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1,297</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1,147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1,812</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1,629</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2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Taksë mbi Biznesin e vogë</w:t>
            </w:r>
            <w:r w:rsidR="004526A7" w:rsidRPr="004526A7">
              <w:rPr>
                <w:rFonts w:ascii="Arial Narrow" w:eastAsia="Times New Roman" w:hAnsi="Arial Narrow" w:cs="Arial"/>
                <w:sz w:val="18"/>
                <w:szCs w:val="18"/>
                <w:lang w:val="sq-AL" w:eastAsia="en-US"/>
              </w:rPr>
              <w:t>l</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1,782</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1,701</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2,023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1,502</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1,426</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3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Taksa Lokale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5,297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4,286</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4,268</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4,155</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3,374</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II.3</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b/>
                <w:bCs/>
                <w:sz w:val="18"/>
                <w:szCs w:val="18"/>
                <w:lang w:val="sq-AL" w:eastAsia="en-US"/>
              </w:rPr>
            </w:pPr>
            <w:r>
              <w:rPr>
                <w:rFonts w:ascii="Arial Narrow" w:eastAsia="Times New Roman" w:hAnsi="Arial Narrow" w:cs="Arial"/>
                <w:b/>
                <w:bCs/>
                <w:sz w:val="18"/>
                <w:szCs w:val="18"/>
                <w:lang w:val="sq-AL" w:eastAsia="en-US"/>
              </w:rPr>
              <w:t>Të</w:t>
            </w:r>
            <w:r w:rsidR="004526A7" w:rsidRPr="004526A7">
              <w:rPr>
                <w:rFonts w:ascii="Arial Narrow" w:eastAsia="Times New Roman" w:hAnsi="Arial Narrow" w:cs="Arial"/>
                <w:b/>
                <w:bCs/>
                <w:sz w:val="18"/>
                <w:szCs w:val="18"/>
                <w:lang w:val="sq-AL" w:eastAsia="en-US"/>
              </w:rPr>
              <w:t xml:space="preserve"> ardh nga fondet speciale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29,861</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31,404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33,047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34,197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35,084</w:t>
            </w:r>
          </w:p>
        </w:tc>
      </w:tr>
      <w:tr w:rsidR="004526A7" w:rsidRPr="004526A7" w:rsidTr="004526A7">
        <w:trPr>
          <w:trHeight w:val="270"/>
        </w:trPr>
        <w:tc>
          <w:tcPr>
            <w:tcW w:w="0" w:type="auto"/>
            <w:tcBorders>
              <w:top w:val="nil"/>
              <w:left w:val="nil"/>
              <w:bottom w:val="nil"/>
              <w:right w:val="nil"/>
            </w:tcBorders>
            <w:shd w:val="clear" w:color="auto" w:fill="auto"/>
            <w:noWrap/>
            <w:vAlign w:val="bottom"/>
            <w:hideMark/>
          </w:tcPr>
          <w:p w:rsidR="004526A7" w:rsidRPr="004526A7" w:rsidRDefault="008E3C2C" w:rsidP="004526A7">
            <w:pPr>
              <w:spacing w:before="0" w:after="0"/>
              <w:jc w:val="left"/>
              <w:rPr>
                <w:rFonts w:ascii="Arial" w:eastAsia="Times New Roman" w:hAnsi="Arial" w:cs="Arial"/>
                <w:sz w:val="18"/>
                <w:szCs w:val="18"/>
                <w:lang w:val="sq-AL" w:eastAsia="en-US"/>
              </w:rPr>
            </w:pPr>
            <w:r>
              <w:rPr>
                <w:rFonts w:ascii="Arial" w:eastAsia="Times New Roman" w:hAnsi="Arial" w:cs="Arial"/>
                <w:noProof/>
                <w:sz w:val="18"/>
                <w:szCs w:val="18"/>
                <w:lang w:val="sq-AL" w:eastAsia="sq-AL"/>
              </w:rPr>
              <w:drawing>
                <wp:anchor distT="0" distB="0" distL="114300" distR="114300" simplePos="0" relativeHeight="251658240" behindDoc="0" locked="0" layoutInCell="1" allowOverlap="1">
                  <wp:simplePos x="0" y="0"/>
                  <wp:positionH relativeFrom="column">
                    <wp:posOffset>0</wp:posOffset>
                  </wp:positionH>
                  <wp:positionV relativeFrom="paragraph">
                    <wp:posOffset>142875</wp:posOffset>
                  </wp:positionV>
                  <wp:extent cx="38100" cy="38100"/>
                  <wp:effectExtent l="0" t="0" r="0" b="0"/>
                  <wp:wrapNone/>
                  <wp:docPr id="12" name="Chart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4"/>
                          <pic:cNvPicPr>
                            <a:picLocks noChangeArrowheads="1"/>
                          </pic:cNvPicPr>
                        </pic:nvPicPr>
                        <pic:blipFill>
                          <a:blip r:embed="rId10"/>
                          <a:srcRect/>
                          <a:stretch>
                            <a:fillRect/>
                          </a:stretch>
                        </pic:blipFill>
                        <pic:spPr bwMode="auto">
                          <a:xfrm>
                            <a:off x="0" y="0"/>
                            <a:ext cx="38100" cy="381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530"/>
            </w:tblGrid>
            <w:tr w:rsidR="004526A7" w:rsidRPr="004526A7">
              <w:trPr>
                <w:trHeight w:val="270"/>
                <w:tblCellSpacing w:w="0" w:type="dxa"/>
              </w:trPr>
              <w:tc>
                <w:tcPr>
                  <w:tcW w:w="520" w:type="dxa"/>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1 </w:t>
                  </w:r>
                </w:p>
              </w:tc>
            </w:tr>
          </w:tbl>
          <w:p w:rsidR="004526A7" w:rsidRPr="004526A7" w:rsidRDefault="004526A7" w:rsidP="004526A7">
            <w:pPr>
              <w:spacing w:before="0" w:after="0"/>
              <w:jc w:val="left"/>
              <w:rPr>
                <w:rFonts w:ascii="Arial" w:eastAsia="Times New Roman" w:hAnsi="Arial" w:cs="Arial"/>
                <w:sz w:val="18"/>
                <w:szCs w:val="18"/>
                <w:lang w:val="sq-AL" w:eastAsia="en-US"/>
              </w:rPr>
            </w:pP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Sigurimi Shoqeror</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26,762</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26,471</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28,597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29,171</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29,857</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2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Sigurimi Shë</w:t>
            </w:r>
            <w:r w:rsidR="004526A7" w:rsidRPr="004526A7">
              <w:rPr>
                <w:rFonts w:ascii="Arial Narrow" w:eastAsia="Times New Roman" w:hAnsi="Arial Narrow" w:cs="Arial"/>
                <w:sz w:val="18"/>
                <w:szCs w:val="18"/>
                <w:lang w:val="sq-AL" w:eastAsia="en-US"/>
              </w:rPr>
              <w:t>ndetsor</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3,098</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3,880</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3,407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4,204</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4,096</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3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Të ardhura për kompensim në vlerë të pronarë</w:t>
            </w:r>
            <w:r w:rsidR="004526A7" w:rsidRPr="004526A7">
              <w:rPr>
                <w:rFonts w:ascii="Arial Narrow" w:eastAsia="Times New Roman" w:hAnsi="Arial Narrow" w:cs="Arial"/>
                <w:sz w:val="18"/>
                <w:szCs w:val="18"/>
                <w:lang w:val="sq-AL" w:eastAsia="en-US"/>
              </w:rPr>
              <w:t>ve</w:t>
            </w:r>
          </w:p>
        </w:tc>
        <w:tc>
          <w:tcPr>
            <w:tcW w:w="0" w:type="auto"/>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color w:val="FFFFFF"/>
                <w:sz w:val="18"/>
                <w:szCs w:val="18"/>
                <w:lang w:val="sq-AL" w:eastAsia="en-US"/>
              </w:rPr>
            </w:pPr>
            <w:r w:rsidRPr="004526A7">
              <w:rPr>
                <w:rFonts w:ascii="Arial Narrow" w:eastAsia="Times New Roman" w:hAnsi="Arial Narrow" w:cs="Arial"/>
                <w:color w:val="FFFFFF"/>
                <w:sz w:val="18"/>
                <w:szCs w:val="18"/>
                <w:lang w:val="sq-AL" w:eastAsia="en-US"/>
              </w:rPr>
              <w:t>0</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1,053</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1,043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822</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1,131</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III.</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b/>
                <w:bCs/>
                <w:sz w:val="18"/>
                <w:szCs w:val="18"/>
                <w:lang w:val="sq-AL" w:eastAsia="en-US"/>
              </w:rPr>
            </w:pPr>
            <w:r>
              <w:rPr>
                <w:rFonts w:ascii="Arial Narrow" w:eastAsia="Times New Roman" w:hAnsi="Arial Narrow" w:cs="Arial"/>
                <w:b/>
                <w:bCs/>
                <w:sz w:val="18"/>
                <w:szCs w:val="18"/>
                <w:lang w:val="sq-AL" w:eastAsia="en-US"/>
              </w:rPr>
              <w:t>Të</w:t>
            </w:r>
            <w:r w:rsidR="004526A7" w:rsidRPr="004526A7">
              <w:rPr>
                <w:rFonts w:ascii="Arial Narrow" w:eastAsia="Times New Roman" w:hAnsi="Arial Narrow" w:cs="Arial"/>
                <w:b/>
                <w:bCs/>
                <w:sz w:val="18"/>
                <w:szCs w:val="18"/>
                <w:lang w:val="sq-AL" w:eastAsia="en-US"/>
              </w:rPr>
              <w:t xml:space="preserve"> ardhura Jotatimore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12,407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14,254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12,480</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15,246</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b/>
                <w:bCs/>
                <w:sz w:val="18"/>
                <w:szCs w:val="18"/>
                <w:lang w:val="sq-AL" w:eastAsia="en-US"/>
              </w:rPr>
            </w:pPr>
            <w:r w:rsidRPr="004526A7">
              <w:rPr>
                <w:rFonts w:ascii="Arial Narrow" w:eastAsia="Times New Roman" w:hAnsi="Arial Narrow" w:cs="Arial"/>
                <w:b/>
                <w:bCs/>
                <w:sz w:val="18"/>
                <w:szCs w:val="18"/>
                <w:lang w:val="sq-AL" w:eastAsia="en-US"/>
              </w:rPr>
              <w:t>15,311</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1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Tran.Fitimi nga Banka e Shqipërisë</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2,241</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2,436</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3,810</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3,143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4,023</w:t>
            </w:r>
          </w:p>
        </w:tc>
      </w:tr>
      <w:tr w:rsidR="004526A7" w:rsidRPr="004526A7" w:rsidTr="004526A7">
        <w:trPr>
          <w:trHeight w:val="33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2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Të</w:t>
            </w:r>
            <w:r w:rsidR="004526A7" w:rsidRPr="004526A7">
              <w:rPr>
                <w:rFonts w:ascii="Arial Narrow" w:eastAsia="Times New Roman" w:hAnsi="Arial Narrow" w:cs="Arial"/>
                <w:sz w:val="18"/>
                <w:szCs w:val="18"/>
                <w:lang w:val="sq-AL" w:eastAsia="en-US"/>
              </w:rPr>
              <w:t xml:space="preserve"> ardhura nga Inst.Buxhetore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6,365</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6,362</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5,083</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5,076</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6,888</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3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lef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Dividenti</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1,117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437</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541</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130</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922</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 xml:space="preserve">4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Tarifat shë</w:t>
            </w:r>
            <w:r w:rsidR="004526A7" w:rsidRPr="004526A7">
              <w:rPr>
                <w:rFonts w:ascii="Arial Narrow" w:eastAsia="Times New Roman" w:hAnsi="Arial Narrow" w:cs="Arial"/>
                <w:sz w:val="18"/>
                <w:szCs w:val="18"/>
                <w:lang w:val="sq-AL" w:eastAsia="en-US"/>
              </w:rPr>
              <w:t>rbimeve</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2,347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1,465</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2,037</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2,652</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i/>
                <w:iCs/>
                <w:sz w:val="18"/>
                <w:szCs w:val="18"/>
                <w:lang w:val="sq-AL" w:eastAsia="en-US"/>
              </w:rPr>
            </w:pPr>
            <w:r w:rsidRPr="004526A7">
              <w:rPr>
                <w:rFonts w:ascii="Arial Narrow" w:eastAsia="Times New Roman" w:hAnsi="Arial Narrow" w:cs="Arial"/>
                <w:i/>
                <w:iCs/>
                <w:sz w:val="18"/>
                <w:szCs w:val="18"/>
                <w:lang w:val="sq-AL" w:eastAsia="en-US"/>
              </w:rPr>
              <w:t>1,814</w:t>
            </w:r>
          </w:p>
        </w:tc>
      </w:tr>
      <w:tr w:rsidR="004526A7" w:rsidRPr="004526A7" w:rsidTr="004526A7">
        <w:trPr>
          <w:trHeight w:val="300"/>
        </w:trPr>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 xml:space="preserve">5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B355A" w:rsidP="004526A7">
            <w:pPr>
              <w:spacing w:before="0" w:after="0"/>
              <w:jc w:val="left"/>
              <w:rPr>
                <w:rFonts w:ascii="Arial Narrow" w:eastAsia="Times New Roman" w:hAnsi="Arial Narrow" w:cs="Arial"/>
                <w:sz w:val="18"/>
                <w:szCs w:val="18"/>
                <w:lang w:val="sq-AL" w:eastAsia="en-US"/>
              </w:rPr>
            </w:pPr>
            <w:r>
              <w:rPr>
                <w:rFonts w:ascii="Arial Narrow" w:eastAsia="Times New Roman" w:hAnsi="Arial Narrow" w:cs="Arial"/>
                <w:sz w:val="18"/>
                <w:szCs w:val="18"/>
                <w:lang w:val="sq-AL" w:eastAsia="en-US"/>
              </w:rPr>
              <w:t>Të</w:t>
            </w:r>
            <w:r w:rsidR="004526A7" w:rsidRPr="004526A7">
              <w:rPr>
                <w:rFonts w:ascii="Arial Narrow" w:eastAsia="Times New Roman" w:hAnsi="Arial Narrow" w:cs="Arial"/>
                <w:sz w:val="18"/>
                <w:szCs w:val="18"/>
                <w:lang w:val="sq-AL" w:eastAsia="en-US"/>
              </w:rPr>
              <w:t xml:space="preserve"> tjera </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337</w:t>
            </w:r>
          </w:p>
        </w:tc>
        <w:tc>
          <w:tcPr>
            <w:tcW w:w="0" w:type="auto"/>
            <w:tcBorders>
              <w:top w:val="nil"/>
              <w:left w:val="nil"/>
              <w:bottom w:val="single" w:sz="4" w:space="0" w:color="C0C0C0"/>
              <w:right w:val="single" w:sz="4" w:space="0" w:color="C0C0C0"/>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3,554</w:t>
            </w:r>
          </w:p>
        </w:tc>
        <w:tc>
          <w:tcPr>
            <w:tcW w:w="0" w:type="auto"/>
            <w:tcBorders>
              <w:top w:val="nil"/>
              <w:left w:val="nil"/>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1,009</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4,245</w:t>
            </w:r>
          </w:p>
        </w:tc>
        <w:tc>
          <w:tcPr>
            <w:tcW w:w="0" w:type="auto"/>
            <w:tcBorders>
              <w:top w:val="nil"/>
              <w:left w:val="single" w:sz="4" w:space="0" w:color="C0C0C0"/>
              <w:bottom w:val="single" w:sz="4" w:space="0" w:color="C0C0C0"/>
              <w:right w:val="nil"/>
            </w:tcBorders>
            <w:shd w:val="clear" w:color="auto" w:fill="auto"/>
            <w:noWrap/>
            <w:vAlign w:val="center"/>
            <w:hideMark/>
          </w:tcPr>
          <w:p w:rsidR="004526A7" w:rsidRPr="004526A7" w:rsidRDefault="004526A7" w:rsidP="004526A7">
            <w:pPr>
              <w:spacing w:before="0" w:after="0"/>
              <w:jc w:val="right"/>
              <w:rPr>
                <w:rFonts w:ascii="Arial Narrow" w:eastAsia="Times New Roman" w:hAnsi="Arial Narrow" w:cs="Arial"/>
                <w:sz w:val="18"/>
                <w:szCs w:val="18"/>
                <w:lang w:val="sq-AL" w:eastAsia="en-US"/>
              </w:rPr>
            </w:pPr>
            <w:r w:rsidRPr="004526A7">
              <w:rPr>
                <w:rFonts w:ascii="Arial Narrow" w:eastAsia="Times New Roman" w:hAnsi="Arial Narrow" w:cs="Arial"/>
                <w:sz w:val="18"/>
                <w:szCs w:val="18"/>
                <w:lang w:val="sq-AL" w:eastAsia="en-US"/>
              </w:rPr>
              <w:t>1,664</w:t>
            </w:r>
          </w:p>
        </w:tc>
      </w:tr>
    </w:tbl>
    <w:p w:rsidR="0083686D" w:rsidRPr="001F505E" w:rsidRDefault="0083686D" w:rsidP="0083686D">
      <w:pPr>
        <w:rPr>
          <w:noProof/>
          <w:lang w:val="sq-AL"/>
        </w:rPr>
      </w:pPr>
      <w:r w:rsidRPr="001F505E">
        <w:rPr>
          <w:sz w:val="20"/>
          <w:szCs w:val="20"/>
          <w:lang w:val="sq-AL"/>
        </w:rPr>
        <w:t>Burimi: Ministria e Financave</w:t>
      </w:r>
    </w:p>
    <w:p w:rsidR="004526A7" w:rsidRPr="001F505E" w:rsidRDefault="004526A7" w:rsidP="001A094A">
      <w:pPr>
        <w:rPr>
          <w:lang w:val="sq-AL"/>
        </w:rPr>
      </w:pPr>
    </w:p>
    <w:p w:rsidR="006F0B55" w:rsidRPr="001F505E" w:rsidRDefault="006F0B55" w:rsidP="001A094A">
      <w:pPr>
        <w:rPr>
          <w:lang w:val="sq-AL"/>
        </w:rPr>
      </w:pPr>
      <w:r w:rsidRPr="001F505E">
        <w:rPr>
          <w:lang w:val="sq-AL"/>
        </w:rPr>
        <w:t xml:space="preserve">Shpenzimet e përgjithshme të buxhetit, në fund të muajit </w:t>
      </w:r>
      <w:r w:rsidR="004526A7" w:rsidRPr="001F505E">
        <w:rPr>
          <w:lang w:val="sq-AL"/>
        </w:rPr>
        <w:t xml:space="preserve">Korrik </w:t>
      </w:r>
      <w:r w:rsidRPr="001F505E">
        <w:rPr>
          <w:lang w:val="sq-AL"/>
        </w:rPr>
        <w:t xml:space="preserve">2013 arritën në rreth </w:t>
      </w:r>
      <w:r w:rsidR="004526A7" w:rsidRPr="001F505E">
        <w:rPr>
          <w:lang w:val="sq-AL"/>
        </w:rPr>
        <w:t>233.1</w:t>
      </w:r>
      <w:r w:rsidRPr="001F505E">
        <w:rPr>
          <w:lang w:val="sq-AL"/>
        </w:rPr>
        <w:t xml:space="preserve"> miliardë lekë nga rreth </w:t>
      </w:r>
      <w:r w:rsidR="004526A7" w:rsidRPr="001F505E">
        <w:rPr>
          <w:lang w:val="sq-AL"/>
        </w:rPr>
        <w:t>240.4</w:t>
      </w:r>
      <w:r w:rsidRPr="001F505E">
        <w:rPr>
          <w:lang w:val="sq-AL"/>
        </w:rPr>
        <w:t xml:space="preserve"> miliardë lekë të parashikuara për këtë periudhë, duke u realizuar në rreth </w:t>
      </w:r>
      <w:r w:rsidR="004526A7" w:rsidRPr="001F505E">
        <w:rPr>
          <w:lang w:val="sq-AL"/>
        </w:rPr>
        <w:t>97</w:t>
      </w:r>
      <w:r w:rsidRPr="001F505E">
        <w:rPr>
          <w:lang w:val="sq-AL"/>
        </w:rPr>
        <w:t xml:space="preserve"> përqind të parashikimit të periudhës.</w:t>
      </w:r>
      <w:r w:rsidR="00C975E2" w:rsidRPr="001F505E">
        <w:rPr>
          <w:lang w:val="sq-AL"/>
        </w:rPr>
        <w:t xml:space="preserve"> Krahasuar me </w:t>
      </w:r>
      <w:r w:rsidR="004526A7" w:rsidRPr="001F505E">
        <w:rPr>
          <w:lang w:val="sq-AL"/>
        </w:rPr>
        <w:t>7</w:t>
      </w:r>
      <w:r w:rsidR="00C975E2" w:rsidRPr="001F505E">
        <w:rPr>
          <w:lang w:val="sq-AL"/>
        </w:rPr>
        <w:t>M e parë</w:t>
      </w:r>
      <w:r w:rsidRPr="001F505E">
        <w:rPr>
          <w:lang w:val="sq-AL"/>
        </w:rPr>
        <w:t xml:space="preserve"> t</w:t>
      </w:r>
      <w:r w:rsidR="00C975E2" w:rsidRPr="001F505E">
        <w:rPr>
          <w:lang w:val="sq-AL"/>
        </w:rPr>
        <w:t>ë 2012 shpenzimet e buxhetit të</w:t>
      </w:r>
      <w:r w:rsidRPr="001F505E">
        <w:rPr>
          <w:lang w:val="sq-AL"/>
        </w:rPr>
        <w:t xml:space="preserve"> konsoliduar rezultojn</w:t>
      </w:r>
      <w:r w:rsidR="00C975E2" w:rsidRPr="001F505E">
        <w:rPr>
          <w:lang w:val="sq-AL"/>
        </w:rPr>
        <w:t>ë</w:t>
      </w:r>
      <w:r w:rsidRPr="001F505E">
        <w:rPr>
          <w:lang w:val="sq-AL"/>
        </w:rPr>
        <w:t xml:space="preserve"> </w:t>
      </w:r>
      <w:r w:rsidR="004526A7" w:rsidRPr="001F505E">
        <w:rPr>
          <w:lang w:val="sq-AL"/>
        </w:rPr>
        <w:t>rreth 10 p</w:t>
      </w:r>
      <w:r w:rsidR="004B355A">
        <w:rPr>
          <w:lang w:val="sq-AL"/>
        </w:rPr>
        <w:t>ë</w:t>
      </w:r>
      <w:r w:rsidR="004526A7" w:rsidRPr="001F505E">
        <w:rPr>
          <w:lang w:val="sq-AL"/>
        </w:rPr>
        <w:t>rqind m</w:t>
      </w:r>
      <w:r w:rsidR="004B355A">
        <w:rPr>
          <w:lang w:val="sq-AL"/>
        </w:rPr>
        <w:t>ë</w:t>
      </w:r>
      <w:r w:rsidR="004526A7" w:rsidRPr="001F505E">
        <w:rPr>
          <w:lang w:val="sq-AL"/>
        </w:rPr>
        <w:t xml:space="preserve"> t</w:t>
      </w:r>
      <w:r w:rsidR="004B355A">
        <w:rPr>
          <w:lang w:val="sq-AL"/>
        </w:rPr>
        <w:t>ë</w:t>
      </w:r>
      <w:r w:rsidR="004526A7" w:rsidRPr="001F505E">
        <w:rPr>
          <w:lang w:val="sq-AL"/>
        </w:rPr>
        <w:t xml:space="preserve"> larta</w:t>
      </w:r>
      <w:r w:rsidR="004E5B49" w:rsidRPr="001F505E">
        <w:rPr>
          <w:lang w:val="sq-AL"/>
        </w:rPr>
        <w:t xml:space="preserve">. </w:t>
      </w:r>
      <w:r w:rsidR="00B12BD5" w:rsidRPr="001F505E">
        <w:rPr>
          <w:color w:val="000000"/>
          <w:lang w:val="sq-AL"/>
        </w:rPr>
        <w:t>Shpenzimet korrente ishin 6.</w:t>
      </w:r>
      <w:r w:rsidR="004526A7" w:rsidRPr="001F505E">
        <w:rPr>
          <w:color w:val="000000"/>
          <w:lang w:val="sq-AL"/>
        </w:rPr>
        <w:t>7</w:t>
      </w:r>
      <w:r w:rsidR="004B355A">
        <w:rPr>
          <w:color w:val="000000"/>
          <w:lang w:val="sq-AL"/>
        </w:rPr>
        <w:t xml:space="preserve"> %</w:t>
      </w:r>
      <w:r w:rsidR="00B12BD5" w:rsidRPr="001F505E">
        <w:rPr>
          <w:color w:val="000000"/>
          <w:lang w:val="sq-AL"/>
        </w:rPr>
        <w:t xml:space="preserve"> m</w:t>
      </w:r>
      <w:r w:rsidR="00C975E2" w:rsidRPr="001F505E">
        <w:rPr>
          <w:color w:val="000000"/>
          <w:lang w:val="sq-AL"/>
        </w:rPr>
        <w:t>ë</w:t>
      </w:r>
      <w:r w:rsidR="00B12BD5" w:rsidRPr="001F505E">
        <w:rPr>
          <w:color w:val="000000"/>
          <w:lang w:val="sq-AL"/>
        </w:rPr>
        <w:t xml:space="preserve"> shum</w:t>
      </w:r>
      <w:r w:rsidR="00C975E2" w:rsidRPr="001F505E">
        <w:rPr>
          <w:color w:val="000000"/>
          <w:lang w:val="sq-AL"/>
        </w:rPr>
        <w:t>ë</w:t>
      </w:r>
      <w:r w:rsidR="00B12BD5" w:rsidRPr="001F505E">
        <w:rPr>
          <w:color w:val="000000"/>
          <w:lang w:val="sq-AL"/>
        </w:rPr>
        <w:t xml:space="preserve"> se nj</w:t>
      </w:r>
      <w:r w:rsidR="00C975E2" w:rsidRPr="001F505E">
        <w:rPr>
          <w:color w:val="000000"/>
          <w:lang w:val="sq-AL"/>
        </w:rPr>
        <w:t>ë</w:t>
      </w:r>
      <w:r w:rsidR="00B12BD5" w:rsidRPr="001F505E">
        <w:rPr>
          <w:color w:val="000000"/>
          <w:lang w:val="sq-AL"/>
        </w:rPr>
        <w:t xml:space="preserve"> viti m</w:t>
      </w:r>
      <w:r w:rsidR="00C975E2" w:rsidRPr="001F505E">
        <w:rPr>
          <w:color w:val="000000"/>
          <w:lang w:val="sq-AL"/>
        </w:rPr>
        <w:t>ë</w:t>
      </w:r>
      <w:r w:rsidR="00B12BD5" w:rsidRPr="001F505E">
        <w:rPr>
          <w:color w:val="000000"/>
          <w:lang w:val="sq-AL"/>
        </w:rPr>
        <w:t xml:space="preserve"> pa</w:t>
      </w:r>
      <w:r w:rsidR="00C975E2" w:rsidRPr="001F505E">
        <w:rPr>
          <w:color w:val="000000"/>
          <w:lang w:val="sq-AL"/>
        </w:rPr>
        <w:t>rë</w:t>
      </w:r>
      <w:r w:rsidR="00B12BD5" w:rsidRPr="001F505E">
        <w:rPr>
          <w:color w:val="000000"/>
          <w:lang w:val="sq-AL"/>
        </w:rPr>
        <w:t>, nd</w:t>
      </w:r>
      <w:r w:rsidR="00023844" w:rsidRPr="001F505E">
        <w:rPr>
          <w:color w:val="000000"/>
          <w:lang w:val="sq-AL"/>
        </w:rPr>
        <w:t>ë</w:t>
      </w:r>
      <w:r w:rsidR="00B12BD5" w:rsidRPr="001F505E">
        <w:rPr>
          <w:color w:val="000000"/>
          <w:lang w:val="sq-AL"/>
        </w:rPr>
        <w:t xml:space="preserve">rsa ato kapitale ishin </w:t>
      </w:r>
      <w:r w:rsidR="004526A7" w:rsidRPr="001F505E">
        <w:rPr>
          <w:color w:val="000000"/>
          <w:lang w:val="sq-AL"/>
        </w:rPr>
        <w:t>37.</w:t>
      </w:r>
      <w:r w:rsidR="00B12BD5" w:rsidRPr="001F505E">
        <w:rPr>
          <w:color w:val="000000"/>
          <w:lang w:val="sq-AL"/>
        </w:rPr>
        <w:t>9</w:t>
      </w:r>
      <w:r w:rsidR="004B355A">
        <w:rPr>
          <w:color w:val="000000"/>
          <w:lang w:val="sq-AL"/>
        </w:rPr>
        <w:t xml:space="preserve"> </w:t>
      </w:r>
      <w:r w:rsidR="00B12BD5" w:rsidRPr="001F505E">
        <w:rPr>
          <w:color w:val="000000"/>
          <w:lang w:val="sq-AL"/>
        </w:rPr>
        <w:t>% m</w:t>
      </w:r>
      <w:r w:rsidR="00023844" w:rsidRPr="001F505E">
        <w:rPr>
          <w:color w:val="000000"/>
          <w:lang w:val="sq-AL"/>
        </w:rPr>
        <w:t>ë</w:t>
      </w:r>
      <w:r w:rsidR="00B12BD5" w:rsidRPr="001F505E">
        <w:rPr>
          <w:color w:val="000000"/>
          <w:lang w:val="sq-AL"/>
        </w:rPr>
        <w:t xml:space="preserve"> </w:t>
      </w:r>
      <w:r w:rsidR="004526A7" w:rsidRPr="001F505E">
        <w:rPr>
          <w:color w:val="000000"/>
          <w:lang w:val="sq-AL"/>
        </w:rPr>
        <w:t>shum</w:t>
      </w:r>
      <w:r w:rsidR="004B355A">
        <w:rPr>
          <w:color w:val="000000"/>
          <w:lang w:val="sq-AL"/>
        </w:rPr>
        <w:t>ë</w:t>
      </w:r>
      <w:r w:rsidR="004526A7" w:rsidRPr="001F505E">
        <w:rPr>
          <w:color w:val="000000"/>
          <w:lang w:val="sq-AL"/>
        </w:rPr>
        <w:t xml:space="preserve"> </w:t>
      </w:r>
      <w:r w:rsidR="00077415" w:rsidRPr="001F505E">
        <w:rPr>
          <w:color w:val="000000"/>
          <w:lang w:val="sq-AL"/>
        </w:rPr>
        <w:t>se e nj</w:t>
      </w:r>
      <w:r w:rsidR="004B355A">
        <w:rPr>
          <w:color w:val="000000"/>
          <w:lang w:val="sq-AL"/>
        </w:rPr>
        <w:t>ë</w:t>
      </w:r>
      <w:r w:rsidR="00077415" w:rsidRPr="001F505E">
        <w:rPr>
          <w:color w:val="000000"/>
          <w:lang w:val="sq-AL"/>
        </w:rPr>
        <w:t>jta periudhe e nj</w:t>
      </w:r>
      <w:r w:rsidR="004B355A">
        <w:rPr>
          <w:color w:val="000000"/>
          <w:lang w:val="sq-AL"/>
        </w:rPr>
        <w:t>ë</w:t>
      </w:r>
      <w:r w:rsidR="00077415" w:rsidRPr="001F505E">
        <w:rPr>
          <w:color w:val="000000"/>
          <w:lang w:val="sq-AL"/>
        </w:rPr>
        <w:t xml:space="preserve"> viti m</w:t>
      </w:r>
      <w:r w:rsidR="004B355A">
        <w:rPr>
          <w:color w:val="000000"/>
          <w:lang w:val="sq-AL"/>
        </w:rPr>
        <w:t>ë</w:t>
      </w:r>
      <w:r w:rsidR="00077415" w:rsidRPr="001F505E">
        <w:rPr>
          <w:color w:val="000000"/>
          <w:lang w:val="sq-AL"/>
        </w:rPr>
        <w:t xml:space="preserve"> par</w:t>
      </w:r>
      <w:r w:rsidR="004B355A">
        <w:rPr>
          <w:color w:val="000000"/>
          <w:lang w:val="sq-AL"/>
        </w:rPr>
        <w:t>ë</w:t>
      </w:r>
      <w:r w:rsidR="00077415" w:rsidRPr="001F505E">
        <w:rPr>
          <w:color w:val="000000"/>
          <w:lang w:val="sq-AL"/>
        </w:rPr>
        <w:t xml:space="preserve">. </w:t>
      </w:r>
      <w:r w:rsidRPr="001F505E">
        <w:rPr>
          <w:lang w:val="sq-AL"/>
        </w:rPr>
        <w:t xml:space="preserve">(Tabela </w:t>
      </w:r>
      <w:r w:rsidR="00A36A05" w:rsidRPr="001F505E">
        <w:rPr>
          <w:lang w:val="sq-AL"/>
        </w:rPr>
        <w:t>nr.</w:t>
      </w:r>
      <w:r w:rsidRPr="001F505E">
        <w:rPr>
          <w:lang w:val="sq-AL"/>
        </w:rPr>
        <w:t>1).</w:t>
      </w:r>
      <w:r w:rsidR="00B12BD5" w:rsidRPr="001F505E">
        <w:rPr>
          <w:color w:val="000000"/>
          <w:lang w:val="sq-AL"/>
        </w:rPr>
        <w:t xml:space="preserve"> </w:t>
      </w:r>
    </w:p>
    <w:p w:rsidR="004222D3" w:rsidRPr="001F505E" w:rsidRDefault="004222D3" w:rsidP="004222D3">
      <w:pPr>
        <w:rPr>
          <w:color w:val="000000"/>
          <w:highlight w:val="yellow"/>
          <w:lang w:val="sq-AL"/>
        </w:rPr>
      </w:pPr>
      <w:r w:rsidRPr="001F505E">
        <w:rPr>
          <w:noProof/>
          <w:color w:val="000000"/>
          <w:lang w:val="sq-AL"/>
        </w:rPr>
        <w:t xml:space="preserve">Defiçiti fiskal, i llogaritur si diferenca e të ardhurave me shpenzimet gjithsej të buxhetit të konsoliduar, arriti në këtë </w:t>
      </w:r>
      <w:r w:rsidR="00077415" w:rsidRPr="001F505E">
        <w:rPr>
          <w:noProof/>
          <w:color w:val="000000"/>
          <w:lang w:val="sq-AL"/>
        </w:rPr>
        <w:t>7</w:t>
      </w:r>
      <w:r w:rsidRPr="001F505E">
        <w:rPr>
          <w:noProof/>
          <w:color w:val="000000"/>
          <w:lang w:val="sq-AL"/>
        </w:rPr>
        <w:t xml:space="preserve"> mujor në -</w:t>
      </w:r>
      <w:r w:rsidR="00077415" w:rsidRPr="001F505E">
        <w:rPr>
          <w:noProof/>
          <w:color w:val="000000"/>
          <w:lang w:val="sq-AL"/>
        </w:rPr>
        <w:t>47.7</w:t>
      </w:r>
      <w:r w:rsidRPr="001F505E">
        <w:rPr>
          <w:noProof/>
          <w:color w:val="000000"/>
          <w:lang w:val="sq-AL"/>
        </w:rPr>
        <w:t xml:space="preserve"> miliardë lekë, </w:t>
      </w:r>
      <w:r w:rsidR="00077415" w:rsidRPr="001F505E">
        <w:rPr>
          <w:noProof/>
          <w:color w:val="000000"/>
          <w:lang w:val="sq-AL"/>
        </w:rPr>
        <w:t>4.3</w:t>
      </w:r>
      <w:r w:rsidRPr="001F505E">
        <w:rPr>
          <w:noProof/>
          <w:color w:val="000000"/>
          <w:lang w:val="sq-AL"/>
        </w:rPr>
        <w:t xml:space="preserve"> miliardë lekë më </w:t>
      </w:r>
      <w:r w:rsidR="00077415" w:rsidRPr="001F505E">
        <w:rPr>
          <w:noProof/>
          <w:color w:val="000000"/>
          <w:lang w:val="sq-AL"/>
        </w:rPr>
        <w:t>shum</w:t>
      </w:r>
      <w:r w:rsidR="004B355A">
        <w:rPr>
          <w:noProof/>
          <w:color w:val="000000"/>
          <w:lang w:val="sq-AL"/>
        </w:rPr>
        <w:t>ë</w:t>
      </w:r>
      <w:r w:rsidRPr="001F505E">
        <w:rPr>
          <w:noProof/>
          <w:color w:val="000000"/>
          <w:lang w:val="sq-AL"/>
        </w:rPr>
        <w:t xml:space="preserve"> se planifikimi dhe </w:t>
      </w:r>
      <w:r w:rsidR="00077415" w:rsidRPr="001F505E">
        <w:rPr>
          <w:noProof/>
          <w:color w:val="000000"/>
          <w:lang w:val="sq-AL"/>
        </w:rPr>
        <w:t>26.8</w:t>
      </w:r>
      <w:r w:rsidRPr="001F505E">
        <w:rPr>
          <w:noProof/>
          <w:color w:val="000000"/>
          <w:lang w:val="sq-AL"/>
        </w:rPr>
        <w:t xml:space="preserve"> miliardë më i lart</w:t>
      </w:r>
      <w:r w:rsidR="006D6AD3" w:rsidRPr="001F505E">
        <w:rPr>
          <w:noProof/>
          <w:color w:val="000000"/>
          <w:lang w:val="sq-AL"/>
        </w:rPr>
        <w:t>ë</w:t>
      </w:r>
      <w:r w:rsidRPr="001F505E">
        <w:rPr>
          <w:noProof/>
          <w:color w:val="000000"/>
          <w:lang w:val="sq-AL"/>
        </w:rPr>
        <w:t xml:space="preserve"> se e njëjta periudhë e një viti më parë</w:t>
      </w:r>
      <w:r w:rsidR="006D6AD3" w:rsidRPr="001F505E">
        <w:rPr>
          <w:noProof/>
          <w:color w:val="000000"/>
          <w:lang w:val="sq-AL"/>
        </w:rPr>
        <w:t>,</w:t>
      </w:r>
      <w:r w:rsidR="00893EBF" w:rsidRPr="001F505E">
        <w:rPr>
          <w:noProof/>
          <w:color w:val="000000"/>
          <w:lang w:val="sq-AL"/>
        </w:rPr>
        <w:t xml:space="preserve"> (Tabela </w:t>
      </w:r>
      <w:r w:rsidR="006D6AD3" w:rsidRPr="001F505E">
        <w:rPr>
          <w:noProof/>
          <w:color w:val="000000"/>
          <w:lang w:val="sq-AL"/>
        </w:rPr>
        <w:t>nr.</w:t>
      </w:r>
      <w:r w:rsidR="00893EBF" w:rsidRPr="001F505E">
        <w:rPr>
          <w:noProof/>
          <w:color w:val="000000"/>
          <w:lang w:val="sq-AL"/>
        </w:rPr>
        <w:t>1)</w:t>
      </w:r>
      <w:r w:rsidRPr="001F505E">
        <w:rPr>
          <w:noProof/>
          <w:color w:val="000000"/>
          <w:lang w:val="sq-AL"/>
        </w:rPr>
        <w:t>. Defiçiti është financuar në pjesën më të madhe me burime të br</w:t>
      </w:r>
      <w:r w:rsidR="006D6AD3" w:rsidRPr="001F505E">
        <w:rPr>
          <w:noProof/>
          <w:color w:val="000000"/>
          <w:lang w:val="sq-AL"/>
        </w:rPr>
        <w:t>ë</w:t>
      </w:r>
      <w:r w:rsidRPr="001F505E">
        <w:rPr>
          <w:noProof/>
          <w:color w:val="000000"/>
          <w:lang w:val="sq-AL"/>
        </w:rPr>
        <w:t xml:space="preserve">ndshme (kryesisht huamarrje): </w:t>
      </w:r>
      <w:r w:rsidR="00077415" w:rsidRPr="001F505E">
        <w:rPr>
          <w:noProof/>
          <w:color w:val="000000"/>
          <w:lang w:val="sq-AL"/>
        </w:rPr>
        <w:t>15.9</w:t>
      </w:r>
      <w:r w:rsidRPr="001F505E">
        <w:rPr>
          <w:noProof/>
          <w:color w:val="000000"/>
          <w:lang w:val="sq-AL"/>
        </w:rPr>
        <w:t xml:space="preserve"> miliardë lekë janë të ardhurat nga privatizimi të destinuara për financimin e </w:t>
      </w:r>
      <w:r w:rsidRPr="001F505E">
        <w:rPr>
          <w:noProof/>
          <w:color w:val="000000"/>
          <w:lang w:val="sq-AL"/>
        </w:rPr>
        <w:lastRenderedPageBreak/>
        <w:t xml:space="preserve">defiçitit; </w:t>
      </w:r>
      <w:r w:rsidR="00077415" w:rsidRPr="001F505E">
        <w:rPr>
          <w:noProof/>
          <w:color w:val="000000"/>
          <w:lang w:val="sq-AL"/>
        </w:rPr>
        <w:t>24.7</w:t>
      </w:r>
      <w:r w:rsidRPr="001F505E">
        <w:rPr>
          <w:noProof/>
          <w:color w:val="000000"/>
          <w:lang w:val="sq-AL"/>
        </w:rPr>
        <w:t xml:space="preserve"> miliardë lekë të ardhurat nga huamarrja e br</w:t>
      </w:r>
      <w:r w:rsidR="006D6AD3" w:rsidRPr="001F505E">
        <w:rPr>
          <w:noProof/>
          <w:color w:val="000000"/>
          <w:lang w:val="sq-AL"/>
        </w:rPr>
        <w:t>ë</w:t>
      </w:r>
      <w:r w:rsidRPr="001F505E">
        <w:rPr>
          <w:noProof/>
          <w:color w:val="000000"/>
          <w:lang w:val="sq-AL"/>
        </w:rPr>
        <w:t>ndshme neto</w:t>
      </w:r>
      <w:r w:rsidR="00B077BC" w:rsidRPr="001F505E">
        <w:rPr>
          <w:noProof/>
          <w:color w:val="000000"/>
          <w:lang w:val="sq-AL"/>
        </w:rPr>
        <w:t>, nd</w:t>
      </w:r>
      <w:r w:rsidR="006D6AD3" w:rsidRPr="001F505E">
        <w:rPr>
          <w:noProof/>
          <w:color w:val="000000"/>
          <w:lang w:val="sq-AL"/>
        </w:rPr>
        <w:t>ë</w:t>
      </w:r>
      <w:r w:rsidR="00B077BC" w:rsidRPr="001F505E">
        <w:rPr>
          <w:noProof/>
          <w:color w:val="000000"/>
          <w:lang w:val="sq-AL"/>
        </w:rPr>
        <w:t>rsa</w:t>
      </w:r>
      <w:r w:rsidRPr="001F505E">
        <w:rPr>
          <w:noProof/>
          <w:color w:val="000000"/>
          <w:lang w:val="sq-AL"/>
        </w:rPr>
        <w:t xml:space="preserve"> </w:t>
      </w:r>
      <w:r w:rsidR="00B077BC" w:rsidRPr="001F505E">
        <w:rPr>
          <w:noProof/>
          <w:color w:val="000000"/>
          <w:lang w:val="sq-AL"/>
        </w:rPr>
        <w:t>f</w:t>
      </w:r>
      <w:r w:rsidRPr="001F505E">
        <w:rPr>
          <w:noProof/>
          <w:color w:val="000000"/>
          <w:lang w:val="sq-AL"/>
        </w:rPr>
        <w:t xml:space="preserve">inancimi i huaj neto i defiçitit ka qenë në nivelin rreth </w:t>
      </w:r>
      <w:r w:rsidR="00077415" w:rsidRPr="001F505E">
        <w:rPr>
          <w:noProof/>
          <w:color w:val="000000"/>
          <w:lang w:val="sq-AL"/>
        </w:rPr>
        <w:t>16.9</w:t>
      </w:r>
      <w:r w:rsidRPr="001F505E">
        <w:rPr>
          <w:noProof/>
          <w:color w:val="000000"/>
          <w:lang w:val="sq-AL"/>
        </w:rPr>
        <w:t xml:space="preserve"> miliardë lekë</w:t>
      </w:r>
      <w:r w:rsidR="006D6AD3" w:rsidRPr="001F505E">
        <w:rPr>
          <w:noProof/>
          <w:color w:val="000000"/>
          <w:lang w:val="sq-AL"/>
        </w:rPr>
        <w:t>,</w:t>
      </w:r>
      <w:r w:rsidRPr="001F505E">
        <w:rPr>
          <w:noProof/>
          <w:color w:val="000000"/>
          <w:lang w:val="sq-AL"/>
        </w:rPr>
        <w:t xml:space="preserve"> </w:t>
      </w:r>
      <w:r w:rsidR="00893EBF" w:rsidRPr="001F505E">
        <w:rPr>
          <w:noProof/>
          <w:color w:val="000000"/>
          <w:lang w:val="sq-AL"/>
        </w:rPr>
        <w:t xml:space="preserve">(Tabela </w:t>
      </w:r>
      <w:r w:rsidR="006D6AD3" w:rsidRPr="001F505E">
        <w:rPr>
          <w:noProof/>
          <w:color w:val="000000"/>
          <w:lang w:val="sq-AL"/>
        </w:rPr>
        <w:t>nr.</w:t>
      </w:r>
      <w:r w:rsidR="00893EBF" w:rsidRPr="001F505E">
        <w:rPr>
          <w:noProof/>
          <w:color w:val="000000"/>
          <w:lang w:val="sq-AL"/>
        </w:rPr>
        <w:t>2)</w:t>
      </w:r>
      <w:r w:rsidRPr="001F505E">
        <w:rPr>
          <w:noProof/>
          <w:color w:val="000000"/>
          <w:lang w:val="sq-AL"/>
        </w:rPr>
        <w:t>.</w:t>
      </w:r>
    </w:p>
    <w:p w:rsidR="00F7093A" w:rsidRDefault="00F7093A">
      <w:pPr>
        <w:rPr>
          <w:color w:val="000000"/>
          <w:sz w:val="20"/>
          <w:szCs w:val="20"/>
          <w:lang w:val="sq-AL"/>
        </w:rPr>
      </w:pPr>
    </w:p>
    <w:p w:rsidR="000B0531" w:rsidRPr="001F505E" w:rsidRDefault="0020483D">
      <w:pPr>
        <w:rPr>
          <w:color w:val="000000"/>
          <w:sz w:val="20"/>
          <w:szCs w:val="20"/>
          <w:lang w:val="sq-AL"/>
        </w:rPr>
      </w:pPr>
      <w:r w:rsidRPr="001F505E">
        <w:rPr>
          <w:color w:val="000000"/>
          <w:sz w:val="20"/>
          <w:szCs w:val="20"/>
          <w:lang w:val="sq-AL"/>
        </w:rPr>
        <w:t xml:space="preserve">Tabela </w:t>
      </w:r>
      <w:r w:rsidR="00F7093A">
        <w:rPr>
          <w:color w:val="000000"/>
          <w:sz w:val="20"/>
          <w:szCs w:val="20"/>
          <w:lang w:val="sq-AL"/>
        </w:rPr>
        <w:t>3</w:t>
      </w:r>
      <w:r w:rsidRPr="001F505E">
        <w:rPr>
          <w:color w:val="000000"/>
          <w:sz w:val="20"/>
          <w:szCs w:val="20"/>
          <w:lang w:val="sq-AL"/>
        </w:rPr>
        <w:t>: Financimi i defi</w:t>
      </w:r>
      <w:r w:rsidR="00B81CF2" w:rsidRPr="001F505E">
        <w:rPr>
          <w:color w:val="000000"/>
          <w:sz w:val="20"/>
          <w:szCs w:val="20"/>
          <w:lang w:val="sq-AL"/>
        </w:rPr>
        <w:t>ç</w:t>
      </w:r>
      <w:r w:rsidRPr="001F505E">
        <w:rPr>
          <w:color w:val="000000"/>
          <w:sz w:val="20"/>
          <w:szCs w:val="20"/>
          <w:lang w:val="sq-AL"/>
        </w:rPr>
        <w:t>itit</w:t>
      </w:r>
      <w:r w:rsidR="00F7093A">
        <w:rPr>
          <w:color w:val="000000"/>
          <w:sz w:val="20"/>
          <w:szCs w:val="20"/>
          <w:lang w:val="sq-AL"/>
        </w:rPr>
        <w:t xml:space="preserve"> 7M në vite</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3296"/>
        <w:gridCol w:w="876"/>
        <w:gridCol w:w="876"/>
        <w:gridCol w:w="876"/>
        <w:gridCol w:w="876"/>
        <w:gridCol w:w="876"/>
      </w:tblGrid>
      <w:tr w:rsidR="001706E2" w:rsidRPr="001F505E" w:rsidTr="008557CB">
        <w:tc>
          <w:tcPr>
            <w:tcW w:w="0" w:type="auto"/>
            <w:tcBorders>
              <w:bottom w:val="single" w:sz="6" w:space="0" w:color="808080"/>
            </w:tcBorders>
          </w:tcPr>
          <w:p w:rsidR="005A19A2" w:rsidRPr="001F505E" w:rsidRDefault="00094CD9" w:rsidP="008557CB">
            <w:pPr>
              <w:spacing w:before="0" w:after="0"/>
              <w:contextualSpacing/>
              <w:jc w:val="left"/>
              <w:rPr>
                <w:b/>
                <w:bCs/>
                <w:i/>
                <w:iCs/>
                <w:sz w:val="20"/>
                <w:szCs w:val="20"/>
                <w:lang w:val="sq-AL"/>
              </w:rPr>
            </w:pPr>
            <w:r w:rsidRPr="001F505E">
              <w:rPr>
                <w:b/>
                <w:sz w:val="20"/>
                <w:szCs w:val="20"/>
                <w:lang w:val="sq-AL"/>
              </w:rPr>
              <w:t>Milion</w:t>
            </w:r>
            <w:r w:rsidR="00C54AC7" w:rsidRPr="001F505E">
              <w:rPr>
                <w:b/>
                <w:sz w:val="20"/>
                <w:szCs w:val="20"/>
                <w:lang w:val="sq-AL"/>
              </w:rPr>
              <w:t>ë</w:t>
            </w:r>
            <w:r w:rsidRPr="001F505E">
              <w:rPr>
                <w:b/>
                <w:sz w:val="20"/>
                <w:szCs w:val="20"/>
                <w:lang w:val="sq-AL"/>
              </w:rPr>
              <w:t xml:space="preserve"> lek</w:t>
            </w:r>
            <w:r w:rsidR="00C54AC7" w:rsidRPr="001F505E">
              <w:rPr>
                <w:b/>
                <w:sz w:val="20"/>
                <w:szCs w:val="20"/>
                <w:lang w:val="sq-AL"/>
              </w:rPr>
              <w:t>ë</w:t>
            </w:r>
          </w:p>
        </w:tc>
        <w:tc>
          <w:tcPr>
            <w:tcW w:w="0" w:type="auto"/>
            <w:tcBorders>
              <w:bottom w:val="single" w:sz="6" w:space="0" w:color="808080"/>
            </w:tcBorders>
          </w:tcPr>
          <w:p w:rsidR="005A19A2" w:rsidRPr="001F505E" w:rsidRDefault="00077415" w:rsidP="008557CB">
            <w:pPr>
              <w:spacing w:before="0" w:after="0"/>
              <w:contextualSpacing/>
              <w:jc w:val="left"/>
              <w:rPr>
                <w:b/>
                <w:bCs/>
                <w:iCs/>
                <w:sz w:val="20"/>
                <w:szCs w:val="20"/>
                <w:lang w:val="sq-AL"/>
              </w:rPr>
            </w:pPr>
            <w:r w:rsidRPr="001F505E">
              <w:rPr>
                <w:b/>
                <w:bCs/>
                <w:iCs/>
                <w:sz w:val="20"/>
                <w:szCs w:val="20"/>
                <w:lang w:val="sq-AL"/>
              </w:rPr>
              <w:t>2009</w:t>
            </w:r>
          </w:p>
        </w:tc>
        <w:tc>
          <w:tcPr>
            <w:tcW w:w="0" w:type="auto"/>
            <w:tcBorders>
              <w:bottom w:val="single" w:sz="6" w:space="0" w:color="808080"/>
            </w:tcBorders>
          </w:tcPr>
          <w:p w:rsidR="005A19A2" w:rsidRPr="001F505E" w:rsidRDefault="00077415" w:rsidP="008557CB">
            <w:pPr>
              <w:spacing w:before="0" w:after="0"/>
              <w:contextualSpacing/>
              <w:jc w:val="left"/>
              <w:rPr>
                <w:b/>
                <w:bCs/>
                <w:iCs/>
                <w:sz w:val="20"/>
                <w:szCs w:val="20"/>
                <w:lang w:val="sq-AL"/>
              </w:rPr>
            </w:pPr>
            <w:r w:rsidRPr="001F505E">
              <w:rPr>
                <w:b/>
                <w:bCs/>
                <w:iCs/>
                <w:sz w:val="20"/>
                <w:szCs w:val="20"/>
                <w:lang w:val="sq-AL"/>
              </w:rPr>
              <w:t>2010</w:t>
            </w:r>
          </w:p>
        </w:tc>
        <w:tc>
          <w:tcPr>
            <w:tcW w:w="0" w:type="auto"/>
            <w:tcBorders>
              <w:bottom w:val="single" w:sz="6" w:space="0" w:color="808080"/>
            </w:tcBorders>
          </w:tcPr>
          <w:p w:rsidR="005A19A2" w:rsidRPr="001F505E" w:rsidRDefault="00077415" w:rsidP="008557CB">
            <w:pPr>
              <w:spacing w:before="0" w:after="0"/>
              <w:contextualSpacing/>
              <w:jc w:val="left"/>
              <w:rPr>
                <w:b/>
                <w:bCs/>
                <w:iCs/>
                <w:sz w:val="20"/>
                <w:szCs w:val="20"/>
                <w:lang w:val="sq-AL"/>
              </w:rPr>
            </w:pPr>
            <w:r w:rsidRPr="001F505E">
              <w:rPr>
                <w:b/>
                <w:bCs/>
                <w:iCs/>
                <w:sz w:val="20"/>
                <w:szCs w:val="20"/>
                <w:lang w:val="sq-AL"/>
              </w:rPr>
              <w:t>2011</w:t>
            </w:r>
          </w:p>
        </w:tc>
        <w:tc>
          <w:tcPr>
            <w:tcW w:w="0" w:type="auto"/>
            <w:tcBorders>
              <w:bottom w:val="single" w:sz="6" w:space="0" w:color="808080"/>
            </w:tcBorders>
          </w:tcPr>
          <w:p w:rsidR="005A19A2" w:rsidRPr="001F505E" w:rsidRDefault="00077415" w:rsidP="008557CB">
            <w:pPr>
              <w:spacing w:before="0" w:after="0"/>
              <w:contextualSpacing/>
              <w:jc w:val="left"/>
              <w:rPr>
                <w:b/>
                <w:bCs/>
                <w:iCs/>
                <w:sz w:val="20"/>
                <w:szCs w:val="20"/>
                <w:lang w:val="sq-AL"/>
              </w:rPr>
            </w:pPr>
            <w:r w:rsidRPr="001F505E">
              <w:rPr>
                <w:b/>
                <w:bCs/>
                <w:iCs/>
                <w:sz w:val="20"/>
                <w:szCs w:val="20"/>
                <w:lang w:val="sq-AL"/>
              </w:rPr>
              <w:t>2012</w:t>
            </w:r>
          </w:p>
        </w:tc>
        <w:tc>
          <w:tcPr>
            <w:tcW w:w="0" w:type="auto"/>
            <w:tcBorders>
              <w:bottom w:val="single" w:sz="6" w:space="0" w:color="808080"/>
            </w:tcBorders>
          </w:tcPr>
          <w:p w:rsidR="005A19A2" w:rsidRPr="001F505E" w:rsidRDefault="00077415" w:rsidP="008557CB">
            <w:pPr>
              <w:spacing w:before="0" w:after="0"/>
              <w:contextualSpacing/>
              <w:jc w:val="left"/>
              <w:rPr>
                <w:b/>
                <w:bCs/>
                <w:iCs/>
                <w:sz w:val="20"/>
                <w:szCs w:val="20"/>
                <w:lang w:val="sq-AL"/>
              </w:rPr>
            </w:pPr>
            <w:r w:rsidRPr="001F505E">
              <w:rPr>
                <w:b/>
                <w:bCs/>
                <w:iCs/>
                <w:sz w:val="20"/>
                <w:szCs w:val="20"/>
                <w:lang w:val="sq-AL"/>
              </w:rPr>
              <w:t>2013</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Cs/>
                <w:sz w:val="20"/>
                <w:szCs w:val="20"/>
                <w:lang w:val="sq-AL"/>
              </w:rPr>
              <w:t>Financimi i defi</w:t>
            </w:r>
            <w:r w:rsidR="00C54AC7" w:rsidRPr="001F505E">
              <w:rPr>
                <w:bCs/>
                <w:sz w:val="20"/>
                <w:szCs w:val="20"/>
                <w:lang w:val="sq-AL"/>
              </w:rPr>
              <w:t>ç</w:t>
            </w:r>
            <w:r w:rsidRPr="001F505E">
              <w:rPr>
                <w:bCs/>
                <w:sz w:val="20"/>
                <w:szCs w:val="20"/>
                <w:lang w:val="sq-AL"/>
              </w:rPr>
              <w:t>itit</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41,605</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22,799</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30,764</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20,889</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47,738</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Cs/>
                <w:sz w:val="20"/>
                <w:szCs w:val="20"/>
                <w:lang w:val="sq-AL"/>
              </w:rPr>
              <w:t>I br</w:t>
            </w:r>
            <w:r w:rsidR="00C54AC7" w:rsidRPr="001F505E">
              <w:rPr>
                <w:bCs/>
                <w:sz w:val="20"/>
                <w:szCs w:val="20"/>
                <w:lang w:val="sq-AL"/>
              </w:rPr>
              <w:t>ë</w:t>
            </w:r>
            <w:r w:rsidRPr="001F505E">
              <w:rPr>
                <w:bCs/>
                <w:sz w:val="20"/>
                <w:szCs w:val="20"/>
                <w:lang w:val="sq-AL"/>
              </w:rPr>
              <w:t>ndsh</w:t>
            </w:r>
            <w:r w:rsidR="00C54AC7" w:rsidRPr="001F505E">
              <w:rPr>
                <w:bCs/>
                <w:sz w:val="20"/>
                <w:szCs w:val="20"/>
                <w:lang w:val="sq-AL"/>
              </w:rPr>
              <w:t>ë</w:t>
            </w:r>
            <w:r w:rsidRPr="001F505E">
              <w:rPr>
                <w:bCs/>
                <w:sz w:val="20"/>
                <w:szCs w:val="20"/>
                <w:lang w:val="sq-AL"/>
              </w:rPr>
              <w:t>m</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37,528</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19,237</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25,260</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12,020</w:t>
            </w:r>
          </w:p>
        </w:tc>
        <w:tc>
          <w:tcPr>
            <w:tcW w:w="0" w:type="auto"/>
          </w:tcPr>
          <w:p w:rsidR="00094CD9" w:rsidRPr="001F505E" w:rsidRDefault="00077415" w:rsidP="008557CB">
            <w:pPr>
              <w:spacing w:before="0" w:after="0"/>
              <w:contextualSpacing/>
              <w:jc w:val="left"/>
              <w:rPr>
                <w:rFonts w:cs="Arial"/>
                <w:b/>
                <w:sz w:val="20"/>
                <w:szCs w:val="20"/>
                <w:lang w:val="sq-AL"/>
              </w:rPr>
            </w:pPr>
            <w:r w:rsidRPr="001F505E">
              <w:rPr>
                <w:rFonts w:cs="Arial"/>
                <w:b/>
                <w:sz w:val="20"/>
                <w:szCs w:val="20"/>
                <w:lang w:val="sq-AL"/>
              </w:rPr>
              <w:t>37,052</w:t>
            </w:r>
          </w:p>
        </w:tc>
      </w:tr>
      <w:tr w:rsidR="001706E2" w:rsidRPr="001F505E" w:rsidTr="008557CB">
        <w:tc>
          <w:tcPr>
            <w:tcW w:w="0" w:type="auto"/>
          </w:tcPr>
          <w:p w:rsidR="00094CD9" w:rsidRPr="001F505E" w:rsidRDefault="00C54AC7" w:rsidP="008557CB">
            <w:pPr>
              <w:spacing w:before="0" w:after="0"/>
              <w:contextualSpacing/>
              <w:jc w:val="left"/>
              <w:rPr>
                <w:b/>
                <w:bCs/>
                <w:sz w:val="20"/>
                <w:szCs w:val="20"/>
                <w:lang w:val="sq-AL"/>
              </w:rPr>
            </w:pPr>
            <w:r w:rsidRPr="001F505E">
              <w:rPr>
                <w:b/>
                <w:bCs/>
                <w:sz w:val="20"/>
                <w:szCs w:val="20"/>
                <w:lang w:val="sq-AL"/>
              </w:rPr>
              <w:t>-të</w:t>
            </w:r>
            <w:r w:rsidR="00094CD9" w:rsidRPr="001F505E">
              <w:rPr>
                <w:b/>
                <w:bCs/>
                <w:sz w:val="20"/>
                <w:szCs w:val="20"/>
                <w:lang w:val="sq-AL"/>
              </w:rPr>
              <w:t xml:space="preserve"> ardhura nga privatizimi</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19,390</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203</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328</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702</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15,896</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
                <w:bCs/>
                <w:sz w:val="20"/>
                <w:szCs w:val="20"/>
                <w:lang w:val="sq-AL"/>
              </w:rPr>
              <w:t>-huamarrje</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26,622</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24,242</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29,300</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15,045</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24,738</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
                <w:bCs/>
                <w:sz w:val="20"/>
                <w:szCs w:val="20"/>
                <w:lang w:val="sq-AL"/>
              </w:rPr>
              <w:t>-t</w:t>
            </w:r>
            <w:r w:rsidR="00C62E36" w:rsidRPr="001F505E">
              <w:rPr>
                <w:b/>
                <w:bCs/>
                <w:sz w:val="20"/>
                <w:szCs w:val="20"/>
                <w:lang w:val="sq-AL"/>
              </w:rPr>
              <w:t>ë</w:t>
            </w:r>
            <w:r w:rsidRPr="001F505E">
              <w:rPr>
                <w:b/>
                <w:bCs/>
                <w:sz w:val="20"/>
                <w:szCs w:val="20"/>
                <w:lang w:val="sq-AL"/>
              </w:rPr>
              <w:t xml:space="preserve"> tjera</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-8,483</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-5,208</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-4,368</w:t>
            </w:r>
          </w:p>
        </w:tc>
        <w:tc>
          <w:tcPr>
            <w:tcW w:w="0" w:type="auto"/>
          </w:tcPr>
          <w:p w:rsidR="00094CD9" w:rsidRPr="001F505E" w:rsidRDefault="00077415" w:rsidP="008557CB">
            <w:pPr>
              <w:spacing w:before="0" w:after="0"/>
              <w:contextualSpacing/>
              <w:jc w:val="left"/>
              <w:rPr>
                <w:rFonts w:cs="Arial"/>
                <w:sz w:val="20"/>
                <w:szCs w:val="20"/>
                <w:lang w:val="sq-AL"/>
              </w:rPr>
            </w:pPr>
            <w:r w:rsidRPr="001F505E">
              <w:rPr>
                <w:rFonts w:cs="Arial"/>
                <w:sz w:val="20"/>
                <w:szCs w:val="20"/>
                <w:lang w:val="sq-AL"/>
              </w:rPr>
              <w:t>-3,727</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-3,582</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Cs/>
                <w:sz w:val="20"/>
                <w:szCs w:val="20"/>
                <w:lang w:val="sq-AL"/>
              </w:rPr>
              <w:t>I huaj</w:t>
            </w:r>
          </w:p>
        </w:tc>
        <w:tc>
          <w:tcPr>
            <w:tcW w:w="0" w:type="auto"/>
          </w:tcPr>
          <w:p w:rsidR="00094CD9" w:rsidRPr="001F505E" w:rsidRDefault="00C84F71" w:rsidP="008557CB">
            <w:pPr>
              <w:spacing w:before="0" w:after="0"/>
              <w:contextualSpacing/>
              <w:jc w:val="left"/>
              <w:rPr>
                <w:rFonts w:cs="Arial"/>
                <w:b/>
                <w:sz w:val="20"/>
                <w:szCs w:val="20"/>
                <w:lang w:val="sq-AL"/>
              </w:rPr>
            </w:pPr>
            <w:r w:rsidRPr="001F505E">
              <w:rPr>
                <w:rFonts w:cs="Arial"/>
                <w:b/>
                <w:sz w:val="20"/>
                <w:szCs w:val="20"/>
                <w:lang w:val="sq-AL"/>
              </w:rPr>
              <w:t>4,077</w:t>
            </w:r>
          </w:p>
        </w:tc>
        <w:tc>
          <w:tcPr>
            <w:tcW w:w="0" w:type="auto"/>
          </w:tcPr>
          <w:p w:rsidR="00094CD9" w:rsidRPr="001F505E" w:rsidRDefault="00C84F71" w:rsidP="008557CB">
            <w:pPr>
              <w:spacing w:before="0" w:after="0"/>
              <w:contextualSpacing/>
              <w:jc w:val="left"/>
              <w:rPr>
                <w:rFonts w:cs="Arial"/>
                <w:b/>
                <w:sz w:val="20"/>
                <w:szCs w:val="20"/>
                <w:lang w:val="sq-AL"/>
              </w:rPr>
            </w:pPr>
            <w:r w:rsidRPr="001F505E">
              <w:rPr>
                <w:rFonts w:cs="Arial"/>
                <w:b/>
                <w:sz w:val="20"/>
                <w:szCs w:val="20"/>
                <w:lang w:val="sq-AL"/>
              </w:rPr>
              <w:t>3,562</w:t>
            </w:r>
          </w:p>
        </w:tc>
        <w:tc>
          <w:tcPr>
            <w:tcW w:w="0" w:type="auto"/>
          </w:tcPr>
          <w:p w:rsidR="00094CD9" w:rsidRPr="001F505E" w:rsidRDefault="00C84F71" w:rsidP="008557CB">
            <w:pPr>
              <w:spacing w:before="0" w:after="0"/>
              <w:contextualSpacing/>
              <w:jc w:val="left"/>
              <w:rPr>
                <w:rFonts w:cs="Arial"/>
                <w:b/>
                <w:sz w:val="20"/>
                <w:szCs w:val="20"/>
                <w:lang w:val="sq-AL"/>
              </w:rPr>
            </w:pPr>
            <w:r w:rsidRPr="001F505E">
              <w:rPr>
                <w:rFonts w:cs="Arial"/>
                <w:b/>
                <w:sz w:val="20"/>
                <w:szCs w:val="20"/>
                <w:lang w:val="sq-AL"/>
              </w:rPr>
              <w:t>5,504</w:t>
            </w:r>
          </w:p>
        </w:tc>
        <w:tc>
          <w:tcPr>
            <w:tcW w:w="0" w:type="auto"/>
          </w:tcPr>
          <w:p w:rsidR="00094CD9" w:rsidRPr="001F505E" w:rsidRDefault="00C84F71" w:rsidP="008557CB">
            <w:pPr>
              <w:spacing w:before="0" w:after="0"/>
              <w:contextualSpacing/>
              <w:jc w:val="left"/>
              <w:rPr>
                <w:rFonts w:cs="Arial"/>
                <w:b/>
                <w:sz w:val="20"/>
                <w:szCs w:val="20"/>
                <w:lang w:val="sq-AL"/>
              </w:rPr>
            </w:pPr>
            <w:r w:rsidRPr="001F505E">
              <w:rPr>
                <w:rFonts w:cs="Arial"/>
                <w:b/>
                <w:sz w:val="20"/>
                <w:szCs w:val="20"/>
                <w:lang w:val="sq-AL"/>
              </w:rPr>
              <w:t>8,869</w:t>
            </w:r>
          </w:p>
        </w:tc>
        <w:tc>
          <w:tcPr>
            <w:tcW w:w="0" w:type="auto"/>
          </w:tcPr>
          <w:p w:rsidR="00094CD9" w:rsidRPr="001F505E" w:rsidRDefault="00C84F71" w:rsidP="008557CB">
            <w:pPr>
              <w:spacing w:before="0" w:after="0"/>
              <w:contextualSpacing/>
              <w:jc w:val="left"/>
              <w:rPr>
                <w:rFonts w:cs="Arial"/>
                <w:b/>
                <w:sz w:val="20"/>
                <w:szCs w:val="20"/>
                <w:lang w:val="sq-AL"/>
              </w:rPr>
            </w:pPr>
            <w:r w:rsidRPr="001F505E">
              <w:rPr>
                <w:rFonts w:cs="Arial"/>
                <w:b/>
                <w:sz w:val="20"/>
                <w:szCs w:val="20"/>
                <w:lang w:val="sq-AL"/>
              </w:rPr>
              <w:t>10,686</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
                <w:bCs/>
                <w:sz w:val="20"/>
                <w:szCs w:val="20"/>
                <w:lang w:val="sq-AL"/>
              </w:rPr>
              <w:t>-huamarrje afatgjat</w:t>
            </w:r>
            <w:r w:rsidR="00C62E36" w:rsidRPr="001F505E">
              <w:rPr>
                <w:b/>
                <w:bCs/>
                <w:sz w:val="20"/>
                <w:szCs w:val="20"/>
                <w:lang w:val="sq-AL"/>
              </w:rPr>
              <w:t>ë</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7,985</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9,671</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8,791</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16,775</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16,901</w:t>
            </w:r>
          </w:p>
        </w:tc>
      </w:tr>
      <w:tr w:rsidR="001706E2" w:rsidRPr="001F505E" w:rsidTr="008557CB">
        <w:tc>
          <w:tcPr>
            <w:tcW w:w="0" w:type="auto"/>
          </w:tcPr>
          <w:p w:rsidR="00094CD9" w:rsidRPr="001F505E" w:rsidRDefault="004B355A" w:rsidP="008557CB">
            <w:pPr>
              <w:spacing w:before="0" w:after="0"/>
              <w:contextualSpacing/>
              <w:jc w:val="left"/>
              <w:rPr>
                <w:b/>
                <w:bCs/>
                <w:sz w:val="20"/>
                <w:szCs w:val="20"/>
                <w:lang w:val="sq-AL"/>
              </w:rPr>
            </w:pPr>
            <w:r>
              <w:rPr>
                <w:b/>
                <w:bCs/>
                <w:sz w:val="20"/>
                <w:szCs w:val="20"/>
                <w:lang w:val="sq-AL"/>
              </w:rPr>
              <w:t>-ndryshimi i</w:t>
            </w:r>
            <w:r w:rsidR="00094CD9" w:rsidRPr="001F505E">
              <w:rPr>
                <w:b/>
                <w:bCs/>
                <w:sz w:val="20"/>
                <w:szCs w:val="20"/>
                <w:lang w:val="sq-AL"/>
              </w:rPr>
              <w:t xml:space="preserve"> gj</w:t>
            </w:r>
            <w:r w:rsidR="00C62E36" w:rsidRPr="001F505E">
              <w:rPr>
                <w:b/>
                <w:bCs/>
                <w:sz w:val="20"/>
                <w:szCs w:val="20"/>
                <w:lang w:val="sq-AL"/>
              </w:rPr>
              <w:t>ë</w:t>
            </w:r>
            <w:r w:rsidR="00094CD9" w:rsidRPr="001F505E">
              <w:rPr>
                <w:b/>
                <w:bCs/>
                <w:sz w:val="20"/>
                <w:szCs w:val="20"/>
                <w:lang w:val="sq-AL"/>
              </w:rPr>
              <w:t>ndjes s</w:t>
            </w:r>
            <w:r w:rsidR="00C62E36" w:rsidRPr="001F505E">
              <w:rPr>
                <w:b/>
                <w:bCs/>
                <w:sz w:val="20"/>
                <w:szCs w:val="20"/>
                <w:lang w:val="sq-AL"/>
              </w:rPr>
              <w:t>ë</w:t>
            </w:r>
            <w:r w:rsidR="00094CD9" w:rsidRPr="001F505E">
              <w:rPr>
                <w:b/>
                <w:bCs/>
                <w:sz w:val="20"/>
                <w:szCs w:val="20"/>
                <w:lang w:val="sq-AL"/>
              </w:rPr>
              <w:t xml:space="preserve"> llogaris</w:t>
            </w:r>
            <w:r w:rsidR="00C62E36" w:rsidRPr="001F505E">
              <w:rPr>
                <w:b/>
                <w:bCs/>
                <w:sz w:val="20"/>
                <w:szCs w:val="20"/>
                <w:lang w:val="sq-AL"/>
              </w:rPr>
              <w:t>ë</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-859</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-2,620</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620</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-2,748</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-252</w:t>
            </w:r>
          </w:p>
        </w:tc>
      </w:tr>
      <w:tr w:rsidR="001706E2" w:rsidRPr="001F505E" w:rsidTr="008557CB">
        <w:tc>
          <w:tcPr>
            <w:tcW w:w="0" w:type="auto"/>
          </w:tcPr>
          <w:p w:rsidR="00094CD9" w:rsidRPr="001F505E" w:rsidRDefault="00094CD9" w:rsidP="008557CB">
            <w:pPr>
              <w:spacing w:before="0" w:after="0"/>
              <w:contextualSpacing/>
              <w:jc w:val="left"/>
              <w:rPr>
                <w:b/>
                <w:bCs/>
                <w:sz w:val="20"/>
                <w:szCs w:val="20"/>
                <w:lang w:val="sq-AL"/>
              </w:rPr>
            </w:pPr>
            <w:r w:rsidRPr="001F505E">
              <w:rPr>
                <w:b/>
                <w:bCs/>
                <w:sz w:val="20"/>
                <w:szCs w:val="20"/>
                <w:lang w:val="sq-AL"/>
              </w:rPr>
              <w:t>-ripagesat</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-3,050</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-3,490</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-3,907</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-5,158</w:t>
            </w:r>
          </w:p>
        </w:tc>
        <w:tc>
          <w:tcPr>
            <w:tcW w:w="0" w:type="auto"/>
          </w:tcPr>
          <w:p w:rsidR="00094CD9" w:rsidRPr="001F505E" w:rsidRDefault="00C84F71" w:rsidP="008557CB">
            <w:pPr>
              <w:spacing w:before="0" w:after="0"/>
              <w:contextualSpacing/>
              <w:jc w:val="left"/>
              <w:rPr>
                <w:rFonts w:cs="Arial"/>
                <w:sz w:val="20"/>
                <w:szCs w:val="20"/>
                <w:lang w:val="sq-AL"/>
              </w:rPr>
            </w:pPr>
            <w:r w:rsidRPr="001F505E">
              <w:rPr>
                <w:rFonts w:cs="Arial"/>
                <w:sz w:val="20"/>
                <w:szCs w:val="20"/>
                <w:lang w:val="sq-AL"/>
              </w:rPr>
              <w:t>-5,963</w:t>
            </w:r>
          </w:p>
        </w:tc>
      </w:tr>
    </w:tbl>
    <w:p w:rsidR="00407A66" w:rsidRDefault="00826BE0">
      <w:pPr>
        <w:rPr>
          <w:sz w:val="20"/>
          <w:szCs w:val="20"/>
          <w:lang w:val="sq-AL"/>
        </w:rPr>
      </w:pPr>
      <w:r w:rsidRPr="001F505E">
        <w:rPr>
          <w:sz w:val="20"/>
          <w:szCs w:val="20"/>
          <w:lang w:val="sq-AL"/>
        </w:rPr>
        <w:t>Burimi: Ministria e Financave</w:t>
      </w:r>
    </w:p>
    <w:p w:rsidR="00575F27" w:rsidRPr="00575F27" w:rsidRDefault="00575F27">
      <w:pPr>
        <w:rPr>
          <w:sz w:val="20"/>
          <w:szCs w:val="20"/>
          <w:lang w:val="sq-AL"/>
        </w:rPr>
      </w:pPr>
    </w:p>
    <w:p w:rsidR="00BE2C3E" w:rsidRPr="001F505E" w:rsidRDefault="00B12BD5">
      <w:pPr>
        <w:rPr>
          <w:sz w:val="20"/>
          <w:szCs w:val="20"/>
          <w:lang w:val="sq-AL"/>
        </w:rPr>
      </w:pPr>
      <w:r w:rsidRPr="00575F27">
        <w:rPr>
          <w:sz w:val="20"/>
          <w:szCs w:val="20"/>
          <w:lang w:val="sq-AL"/>
        </w:rPr>
        <w:t>Grafik 1. Financimi i br</w:t>
      </w:r>
      <w:r w:rsidR="006A10CF" w:rsidRPr="00575F27">
        <w:rPr>
          <w:sz w:val="20"/>
          <w:szCs w:val="20"/>
          <w:lang w:val="sq-AL"/>
        </w:rPr>
        <w:t>ë</w:t>
      </w:r>
      <w:r w:rsidRPr="00575F27">
        <w:rPr>
          <w:sz w:val="20"/>
          <w:szCs w:val="20"/>
          <w:lang w:val="sq-AL"/>
        </w:rPr>
        <w:t>ndsh</w:t>
      </w:r>
      <w:r w:rsidR="006A10CF" w:rsidRPr="00575F27">
        <w:rPr>
          <w:sz w:val="20"/>
          <w:szCs w:val="20"/>
          <w:lang w:val="sq-AL"/>
        </w:rPr>
        <w:t>ë</w:t>
      </w:r>
      <w:r w:rsidRPr="00575F27">
        <w:rPr>
          <w:sz w:val="20"/>
          <w:szCs w:val="20"/>
          <w:lang w:val="sq-AL"/>
        </w:rPr>
        <w:t>m kundrejt financimit t</w:t>
      </w:r>
      <w:r w:rsidR="006A10CF" w:rsidRPr="00575F27">
        <w:rPr>
          <w:sz w:val="20"/>
          <w:szCs w:val="20"/>
          <w:lang w:val="sq-AL"/>
        </w:rPr>
        <w:t>ë</w:t>
      </w:r>
      <w:r w:rsidRPr="00575F27">
        <w:rPr>
          <w:sz w:val="20"/>
          <w:szCs w:val="20"/>
          <w:lang w:val="sq-AL"/>
        </w:rPr>
        <w:t xml:space="preserve"> huaj (n</w:t>
      </w:r>
      <w:r w:rsidR="006A10CF" w:rsidRPr="00575F27">
        <w:rPr>
          <w:sz w:val="20"/>
          <w:szCs w:val="20"/>
          <w:lang w:val="sq-AL"/>
        </w:rPr>
        <w:t>ë</w:t>
      </w:r>
      <w:r w:rsidRPr="00575F27">
        <w:rPr>
          <w:sz w:val="20"/>
          <w:szCs w:val="20"/>
          <w:lang w:val="sq-AL"/>
        </w:rPr>
        <w:t xml:space="preserve"> % ndaj totalit)</w:t>
      </w:r>
    </w:p>
    <w:p w:rsidR="00BE2C3E" w:rsidRPr="001F505E" w:rsidRDefault="008E3C2C">
      <w:pPr>
        <w:rPr>
          <w:lang w:val="sq-AL"/>
        </w:rPr>
      </w:pPr>
      <w:r>
        <w:rPr>
          <w:noProof/>
          <w:lang w:val="sq-AL" w:eastAsia="sq-AL"/>
        </w:rPr>
        <w:drawing>
          <wp:inline distT="0" distB="0" distL="0" distR="0">
            <wp:extent cx="4580890" cy="2752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80890" cy="2752090"/>
                    </a:xfrm>
                    <a:prstGeom prst="rect">
                      <a:avLst/>
                    </a:prstGeom>
                    <a:noFill/>
                    <a:ln w="9525">
                      <a:noFill/>
                      <a:miter lim="800000"/>
                      <a:headEnd/>
                      <a:tailEnd/>
                    </a:ln>
                  </pic:spPr>
                </pic:pic>
              </a:graphicData>
            </a:graphic>
          </wp:inline>
        </w:drawing>
      </w:r>
    </w:p>
    <w:p w:rsidR="00B640C0" w:rsidRPr="001F505E" w:rsidRDefault="00B12BD5" w:rsidP="00B640C0">
      <w:pPr>
        <w:rPr>
          <w:sz w:val="20"/>
          <w:szCs w:val="20"/>
          <w:lang w:val="sq-AL"/>
        </w:rPr>
      </w:pPr>
      <w:r w:rsidRPr="001F505E">
        <w:rPr>
          <w:sz w:val="20"/>
          <w:szCs w:val="20"/>
          <w:lang w:val="sq-AL"/>
        </w:rPr>
        <w:t>Burimi: Ministria e Financave</w:t>
      </w:r>
    </w:p>
    <w:p w:rsidR="008B45DD" w:rsidRPr="001F505E" w:rsidRDefault="008B45DD" w:rsidP="00E838E0">
      <w:pPr>
        <w:rPr>
          <w:sz w:val="24"/>
          <w:szCs w:val="24"/>
          <w:lang w:val="sq-AL"/>
        </w:rPr>
      </w:pPr>
    </w:p>
    <w:p w:rsidR="002C4697" w:rsidRPr="001F505E" w:rsidRDefault="00B12BD5" w:rsidP="003F4270">
      <w:pPr>
        <w:pStyle w:val="Heading3"/>
        <w:rPr>
          <w:lang w:val="sq-AL"/>
        </w:rPr>
      </w:pPr>
      <w:bookmarkStart w:id="2" w:name="_Toc367712682"/>
      <w:r w:rsidRPr="001F505E">
        <w:rPr>
          <w:lang w:val="sq-AL"/>
        </w:rPr>
        <w:t>Shp</w:t>
      </w:r>
      <w:r w:rsidR="00C97AAB" w:rsidRPr="001F505E">
        <w:rPr>
          <w:lang w:val="sq-AL"/>
        </w:rPr>
        <w:t>ë</w:t>
      </w:r>
      <w:r w:rsidRPr="001F505E">
        <w:rPr>
          <w:lang w:val="sq-AL"/>
        </w:rPr>
        <w:t>rndarja e t</w:t>
      </w:r>
      <w:r w:rsidR="00C97AAB" w:rsidRPr="001F505E">
        <w:rPr>
          <w:lang w:val="sq-AL"/>
        </w:rPr>
        <w:t>ë</w:t>
      </w:r>
      <w:r w:rsidRPr="001F505E">
        <w:rPr>
          <w:lang w:val="sq-AL"/>
        </w:rPr>
        <w:t xml:space="preserve"> ardhurave sipas burimit</w:t>
      </w:r>
      <w:bookmarkEnd w:id="2"/>
    </w:p>
    <w:p w:rsidR="0086474A" w:rsidRPr="00FF44CD" w:rsidRDefault="001F505E" w:rsidP="00E77295">
      <w:pPr>
        <w:rPr>
          <w:color w:val="000000"/>
          <w:lang w:val="sq-AL"/>
        </w:rPr>
      </w:pPr>
      <w:r w:rsidRPr="001F505E">
        <w:rPr>
          <w:color w:val="000000"/>
          <w:lang w:val="sq-AL"/>
        </w:rPr>
        <w:t>T</w:t>
      </w:r>
      <w:r w:rsidR="00C97AAB" w:rsidRPr="001F505E">
        <w:rPr>
          <w:color w:val="000000"/>
          <w:lang w:val="sq-AL"/>
        </w:rPr>
        <w:t>ë</w:t>
      </w:r>
      <w:r w:rsidR="00B12BD5" w:rsidRPr="001F505E">
        <w:rPr>
          <w:color w:val="000000"/>
          <w:lang w:val="sq-AL"/>
        </w:rPr>
        <w:t xml:space="preserve"> ardhurat tatimore </w:t>
      </w:r>
      <w:r w:rsidRPr="001F505E">
        <w:rPr>
          <w:color w:val="000000"/>
          <w:lang w:val="sq-AL"/>
        </w:rPr>
        <w:t>p</w:t>
      </w:r>
      <w:r w:rsidR="004B355A">
        <w:rPr>
          <w:color w:val="000000"/>
          <w:lang w:val="sq-AL"/>
        </w:rPr>
        <w:t>ë</w:t>
      </w:r>
      <w:r w:rsidRPr="001F505E">
        <w:rPr>
          <w:color w:val="000000"/>
          <w:lang w:val="sq-AL"/>
        </w:rPr>
        <w:t>r periudh</w:t>
      </w:r>
      <w:r w:rsidR="004B355A">
        <w:rPr>
          <w:color w:val="000000"/>
          <w:lang w:val="sq-AL"/>
        </w:rPr>
        <w:t>ë</w:t>
      </w:r>
      <w:r w:rsidRPr="001F505E">
        <w:rPr>
          <w:color w:val="000000"/>
          <w:lang w:val="sq-AL"/>
        </w:rPr>
        <w:t xml:space="preserve">n </w:t>
      </w:r>
      <w:r w:rsidR="00B12BD5" w:rsidRPr="001F505E">
        <w:rPr>
          <w:color w:val="000000"/>
          <w:lang w:val="sq-AL"/>
        </w:rPr>
        <w:t>p</w:t>
      </w:r>
      <w:r w:rsidR="00C97AAB" w:rsidRPr="001F505E">
        <w:rPr>
          <w:color w:val="000000"/>
          <w:lang w:val="sq-AL"/>
        </w:rPr>
        <w:t>ë</w:t>
      </w:r>
      <w:r w:rsidR="00B12BD5" w:rsidRPr="001F505E">
        <w:rPr>
          <w:color w:val="000000"/>
          <w:lang w:val="sq-AL"/>
        </w:rPr>
        <w:t>rb</w:t>
      </w:r>
      <w:r w:rsidR="00C97AAB" w:rsidRPr="001F505E">
        <w:rPr>
          <w:color w:val="000000"/>
          <w:lang w:val="sq-AL"/>
        </w:rPr>
        <w:t>ë</w:t>
      </w:r>
      <w:r w:rsidRPr="001F505E">
        <w:rPr>
          <w:color w:val="000000"/>
          <w:lang w:val="sq-AL"/>
        </w:rPr>
        <w:t>jn</w:t>
      </w:r>
      <w:r w:rsidR="004B355A">
        <w:rPr>
          <w:color w:val="000000"/>
          <w:lang w:val="sq-AL"/>
        </w:rPr>
        <w:t>ë</w:t>
      </w:r>
      <w:r w:rsidR="00B12BD5" w:rsidRPr="001F505E">
        <w:rPr>
          <w:color w:val="000000"/>
          <w:lang w:val="sq-AL"/>
        </w:rPr>
        <w:t xml:space="preserve"> rreth 90 p</w:t>
      </w:r>
      <w:r w:rsidR="00C97AAB" w:rsidRPr="001F505E">
        <w:rPr>
          <w:color w:val="000000"/>
          <w:lang w:val="sq-AL"/>
        </w:rPr>
        <w:t>ë</w:t>
      </w:r>
      <w:r w:rsidR="00B12BD5" w:rsidRPr="001F505E">
        <w:rPr>
          <w:color w:val="000000"/>
          <w:lang w:val="sq-AL"/>
        </w:rPr>
        <w:t>rqind t</w:t>
      </w:r>
      <w:r w:rsidR="00C97AAB" w:rsidRPr="001F505E">
        <w:rPr>
          <w:color w:val="000000"/>
          <w:lang w:val="sq-AL"/>
        </w:rPr>
        <w:t>ë</w:t>
      </w:r>
      <w:r w:rsidR="00B12BD5" w:rsidRPr="001F505E">
        <w:rPr>
          <w:color w:val="000000"/>
          <w:lang w:val="sq-AL"/>
        </w:rPr>
        <w:t xml:space="preserve"> t</w:t>
      </w:r>
      <w:r w:rsidR="00C97AAB" w:rsidRPr="001F505E">
        <w:rPr>
          <w:color w:val="000000"/>
          <w:lang w:val="sq-AL"/>
        </w:rPr>
        <w:t>ë</w:t>
      </w:r>
      <w:r w:rsidR="00B12BD5" w:rsidRPr="001F505E">
        <w:rPr>
          <w:color w:val="000000"/>
          <w:lang w:val="sq-AL"/>
        </w:rPr>
        <w:t xml:space="preserve"> ardhurave n</w:t>
      </w:r>
      <w:r w:rsidR="00C97AAB" w:rsidRPr="001F505E">
        <w:rPr>
          <w:color w:val="000000"/>
          <w:lang w:val="sq-AL"/>
        </w:rPr>
        <w:t>ë</w:t>
      </w:r>
      <w:r w:rsidR="00B12BD5" w:rsidRPr="001F505E">
        <w:rPr>
          <w:color w:val="000000"/>
          <w:lang w:val="sq-AL"/>
        </w:rPr>
        <w:t xml:space="preserve"> buxhetin e konsoliduar, grantet rreth </w:t>
      </w:r>
      <w:r w:rsidRPr="001F505E">
        <w:rPr>
          <w:color w:val="000000"/>
          <w:lang w:val="sq-AL"/>
        </w:rPr>
        <w:t>1.3</w:t>
      </w:r>
      <w:r w:rsidR="00B12BD5" w:rsidRPr="001F505E">
        <w:rPr>
          <w:color w:val="000000"/>
          <w:lang w:val="sq-AL"/>
        </w:rPr>
        <w:t xml:space="preserve"> p</w:t>
      </w:r>
      <w:r w:rsidR="00C97AAB" w:rsidRPr="001F505E">
        <w:rPr>
          <w:color w:val="000000"/>
          <w:lang w:val="sq-AL"/>
        </w:rPr>
        <w:t>ë</w:t>
      </w:r>
      <w:r w:rsidR="00B12BD5" w:rsidRPr="001F505E">
        <w:rPr>
          <w:color w:val="000000"/>
          <w:lang w:val="sq-AL"/>
        </w:rPr>
        <w:t>rqind, dhe t</w:t>
      </w:r>
      <w:r w:rsidR="00C97AAB" w:rsidRPr="001F505E">
        <w:rPr>
          <w:color w:val="000000"/>
          <w:lang w:val="sq-AL"/>
        </w:rPr>
        <w:t>ë</w:t>
      </w:r>
      <w:r w:rsidR="00B12BD5" w:rsidRPr="001F505E">
        <w:rPr>
          <w:color w:val="000000"/>
          <w:lang w:val="sq-AL"/>
        </w:rPr>
        <w:t xml:space="preserve"> ardhurat jo tatimore </w:t>
      </w:r>
      <w:r w:rsidRPr="001F505E">
        <w:rPr>
          <w:color w:val="000000"/>
          <w:lang w:val="sq-AL"/>
        </w:rPr>
        <w:t>8.3</w:t>
      </w:r>
      <w:r w:rsidR="00B12BD5" w:rsidRPr="001F505E">
        <w:rPr>
          <w:color w:val="000000"/>
          <w:lang w:val="sq-AL"/>
        </w:rPr>
        <w:t xml:space="preserve"> p</w:t>
      </w:r>
      <w:r w:rsidR="00C97AAB" w:rsidRPr="001F505E">
        <w:rPr>
          <w:color w:val="000000"/>
          <w:lang w:val="sq-AL"/>
        </w:rPr>
        <w:t>ë</w:t>
      </w:r>
      <w:r w:rsidR="00B12BD5" w:rsidRPr="001F505E">
        <w:rPr>
          <w:color w:val="000000"/>
          <w:lang w:val="sq-AL"/>
        </w:rPr>
        <w:t>rqind t</w:t>
      </w:r>
      <w:r w:rsidR="00C97AAB" w:rsidRPr="001F505E">
        <w:rPr>
          <w:color w:val="000000"/>
          <w:lang w:val="sq-AL"/>
        </w:rPr>
        <w:t>ë</w:t>
      </w:r>
      <w:r w:rsidR="00B12BD5" w:rsidRPr="001F505E">
        <w:rPr>
          <w:color w:val="000000"/>
          <w:lang w:val="sq-AL"/>
        </w:rPr>
        <w:t xml:space="preserve"> totalit n</w:t>
      </w:r>
      <w:r w:rsidR="00C97AAB" w:rsidRPr="001F505E">
        <w:rPr>
          <w:color w:val="000000"/>
          <w:lang w:val="sq-AL"/>
        </w:rPr>
        <w:t>ë</w:t>
      </w:r>
      <w:r w:rsidR="00B12BD5" w:rsidRPr="001F505E">
        <w:rPr>
          <w:color w:val="000000"/>
          <w:lang w:val="sq-AL"/>
        </w:rPr>
        <w:t xml:space="preserve"> buxhet. N</w:t>
      </w:r>
      <w:r w:rsidR="00C97AAB" w:rsidRPr="001F505E">
        <w:rPr>
          <w:color w:val="000000"/>
          <w:lang w:val="sq-AL"/>
        </w:rPr>
        <w:t>ë</w:t>
      </w:r>
      <w:r w:rsidR="00B12BD5" w:rsidRPr="001F505E">
        <w:rPr>
          <w:color w:val="000000"/>
          <w:lang w:val="sq-AL"/>
        </w:rPr>
        <w:t xml:space="preserve"> grupin e t</w:t>
      </w:r>
      <w:r w:rsidR="00C97AAB" w:rsidRPr="001F505E">
        <w:rPr>
          <w:color w:val="000000"/>
          <w:lang w:val="sq-AL"/>
        </w:rPr>
        <w:t>ë</w:t>
      </w:r>
      <w:r w:rsidR="00B12BD5" w:rsidRPr="001F505E">
        <w:rPr>
          <w:color w:val="000000"/>
          <w:lang w:val="sq-AL"/>
        </w:rPr>
        <w:t xml:space="preserve"> ardhurave tatimore v</w:t>
      </w:r>
      <w:r w:rsidR="00C97AAB" w:rsidRPr="001F505E">
        <w:rPr>
          <w:color w:val="000000"/>
          <w:lang w:val="sq-AL"/>
        </w:rPr>
        <w:t>ë</w:t>
      </w:r>
      <w:r w:rsidR="00B12BD5" w:rsidRPr="001F505E">
        <w:rPr>
          <w:color w:val="000000"/>
          <w:lang w:val="sq-AL"/>
        </w:rPr>
        <w:t>ndin dominues e kan</w:t>
      </w:r>
      <w:r w:rsidR="00C97AAB" w:rsidRPr="001F505E">
        <w:rPr>
          <w:color w:val="000000"/>
          <w:lang w:val="sq-AL"/>
        </w:rPr>
        <w:t>ë</w:t>
      </w:r>
      <w:r w:rsidR="00B12BD5" w:rsidRPr="001F505E">
        <w:rPr>
          <w:color w:val="000000"/>
          <w:lang w:val="sq-AL"/>
        </w:rPr>
        <w:t xml:space="preserve"> t</w:t>
      </w:r>
      <w:r w:rsidR="00C97AAB" w:rsidRPr="001F505E">
        <w:rPr>
          <w:color w:val="000000"/>
          <w:lang w:val="sq-AL"/>
        </w:rPr>
        <w:t>ë</w:t>
      </w:r>
      <w:r w:rsidR="00B12BD5" w:rsidRPr="001F505E">
        <w:rPr>
          <w:color w:val="000000"/>
          <w:lang w:val="sq-AL"/>
        </w:rPr>
        <w:t xml:space="preserve"> ardhurat nga taksimi i konsumit t</w:t>
      </w:r>
      <w:r w:rsidR="00C97AAB" w:rsidRPr="001F505E">
        <w:rPr>
          <w:color w:val="000000"/>
          <w:lang w:val="sq-AL"/>
        </w:rPr>
        <w:t>ë</w:t>
      </w:r>
      <w:r w:rsidR="00B12BD5" w:rsidRPr="001F505E">
        <w:rPr>
          <w:color w:val="000000"/>
          <w:lang w:val="sq-AL"/>
        </w:rPr>
        <w:t xml:space="preserve"> mallrave dhe sh</w:t>
      </w:r>
      <w:r w:rsidR="00C97AAB" w:rsidRPr="001F505E">
        <w:rPr>
          <w:color w:val="000000"/>
          <w:lang w:val="sq-AL"/>
        </w:rPr>
        <w:t>ë</w:t>
      </w:r>
      <w:r w:rsidR="00B12BD5" w:rsidRPr="001F505E">
        <w:rPr>
          <w:color w:val="000000"/>
          <w:lang w:val="sq-AL"/>
        </w:rPr>
        <w:t>rbimeve (TVSH dhe akciz</w:t>
      </w:r>
      <w:r w:rsidR="00C97AAB" w:rsidRPr="001F505E">
        <w:rPr>
          <w:color w:val="000000"/>
          <w:lang w:val="sq-AL"/>
        </w:rPr>
        <w:t>ë</w:t>
      </w:r>
      <w:r w:rsidR="00B12BD5" w:rsidRPr="001F505E">
        <w:rPr>
          <w:color w:val="000000"/>
          <w:lang w:val="sq-AL"/>
        </w:rPr>
        <w:t>), n</w:t>
      </w:r>
      <w:r w:rsidR="00C97AAB" w:rsidRPr="001F505E">
        <w:rPr>
          <w:color w:val="000000"/>
          <w:lang w:val="sq-AL"/>
        </w:rPr>
        <w:t>ë</w:t>
      </w:r>
      <w:r w:rsidR="00B12BD5" w:rsidRPr="001F505E">
        <w:rPr>
          <w:color w:val="000000"/>
          <w:lang w:val="sq-AL"/>
        </w:rPr>
        <w:t xml:space="preserve"> nj</w:t>
      </w:r>
      <w:r w:rsidR="00C97AAB" w:rsidRPr="001F505E">
        <w:rPr>
          <w:color w:val="000000"/>
          <w:lang w:val="sq-AL"/>
        </w:rPr>
        <w:t>ë</w:t>
      </w:r>
      <w:r w:rsidR="00B12BD5" w:rsidRPr="001F505E">
        <w:rPr>
          <w:color w:val="000000"/>
          <w:lang w:val="sq-AL"/>
        </w:rPr>
        <w:t xml:space="preserve"> nivel prej 4</w:t>
      </w:r>
      <w:r w:rsidRPr="001F505E">
        <w:rPr>
          <w:color w:val="000000"/>
          <w:lang w:val="sq-AL"/>
        </w:rPr>
        <w:t>3.6</w:t>
      </w:r>
      <w:r w:rsidR="00B12BD5" w:rsidRPr="001F505E">
        <w:rPr>
          <w:color w:val="000000"/>
          <w:lang w:val="sq-AL"/>
        </w:rPr>
        <w:t xml:space="preserve"> p</w:t>
      </w:r>
      <w:r w:rsidR="00C97AAB" w:rsidRPr="001F505E">
        <w:rPr>
          <w:color w:val="000000"/>
          <w:lang w:val="sq-AL"/>
        </w:rPr>
        <w:t>ë</w:t>
      </w:r>
      <w:r w:rsidR="00B12BD5" w:rsidRPr="001F505E">
        <w:rPr>
          <w:color w:val="000000"/>
          <w:lang w:val="sq-AL"/>
        </w:rPr>
        <w:t>rqind t</w:t>
      </w:r>
      <w:r w:rsidR="00C97AAB" w:rsidRPr="001F505E">
        <w:rPr>
          <w:color w:val="000000"/>
          <w:lang w:val="sq-AL"/>
        </w:rPr>
        <w:t>ë</w:t>
      </w:r>
      <w:r w:rsidR="00B12BD5" w:rsidRPr="001F505E">
        <w:rPr>
          <w:color w:val="000000"/>
          <w:lang w:val="sq-AL"/>
        </w:rPr>
        <w:t xml:space="preserve"> t</w:t>
      </w:r>
      <w:r w:rsidR="00C97AAB" w:rsidRPr="001F505E">
        <w:rPr>
          <w:color w:val="000000"/>
          <w:lang w:val="sq-AL"/>
        </w:rPr>
        <w:t>ë</w:t>
      </w:r>
      <w:r w:rsidR="00B12BD5" w:rsidRPr="001F505E">
        <w:rPr>
          <w:color w:val="000000"/>
          <w:lang w:val="sq-AL"/>
        </w:rPr>
        <w:t xml:space="preserve"> ardhurave tatimore; t</w:t>
      </w:r>
      <w:r w:rsidR="00C97AAB" w:rsidRPr="001F505E">
        <w:rPr>
          <w:color w:val="000000"/>
          <w:lang w:val="sq-AL"/>
        </w:rPr>
        <w:t>ë</w:t>
      </w:r>
      <w:r w:rsidR="00B12BD5" w:rsidRPr="001F505E">
        <w:rPr>
          <w:color w:val="000000"/>
          <w:lang w:val="sq-AL"/>
        </w:rPr>
        <w:t xml:space="preserve"> ardhurat nga taksimi direkt i pasuris</w:t>
      </w:r>
      <w:r w:rsidR="00C97AAB" w:rsidRPr="001F505E">
        <w:rPr>
          <w:color w:val="000000"/>
          <w:lang w:val="sq-AL"/>
        </w:rPr>
        <w:t>ë</w:t>
      </w:r>
      <w:r w:rsidR="00B12BD5" w:rsidRPr="001F505E">
        <w:rPr>
          <w:color w:val="000000"/>
          <w:lang w:val="sq-AL"/>
        </w:rPr>
        <w:t xml:space="preserve"> dhe t</w:t>
      </w:r>
      <w:r w:rsidR="00C97AAB" w:rsidRPr="001F505E">
        <w:rPr>
          <w:color w:val="000000"/>
          <w:lang w:val="sq-AL"/>
        </w:rPr>
        <w:t>ë</w:t>
      </w:r>
      <w:r w:rsidR="00B12BD5" w:rsidRPr="001F505E">
        <w:rPr>
          <w:color w:val="000000"/>
          <w:lang w:val="sq-AL"/>
        </w:rPr>
        <w:t xml:space="preserve"> ardhurave t</w:t>
      </w:r>
      <w:r w:rsidR="00C97AAB" w:rsidRPr="001F505E">
        <w:rPr>
          <w:color w:val="000000"/>
          <w:lang w:val="sq-AL"/>
        </w:rPr>
        <w:t>ë</w:t>
      </w:r>
      <w:r w:rsidR="00B12BD5" w:rsidRPr="001F505E">
        <w:rPr>
          <w:color w:val="000000"/>
          <w:lang w:val="sq-AL"/>
        </w:rPr>
        <w:t xml:space="preserve"> individ</w:t>
      </w:r>
      <w:r w:rsidR="00C97AAB" w:rsidRPr="001F505E">
        <w:rPr>
          <w:color w:val="000000"/>
          <w:lang w:val="sq-AL"/>
        </w:rPr>
        <w:t>ë</w:t>
      </w:r>
      <w:r w:rsidR="00B12BD5" w:rsidRPr="001F505E">
        <w:rPr>
          <w:color w:val="000000"/>
          <w:lang w:val="sq-AL"/>
        </w:rPr>
        <w:t>ve dhe bizneseve jan</w:t>
      </w:r>
      <w:r w:rsidR="00C97AAB" w:rsidRPr="001F505E">
        <w:rPr>
          <w:color w:val="000000"/>
          <w:lang w:val="sq-AL"/>
        </w:rPr>
        <w:t>ë</w:t>
      </w:r>
      <w:r w:rsidR="00B12BD5" w:rsidRPr="001F505E">
        <w:rPr>
          <w:color w:val="000000"/>
          <w:lang w:val="sq-AL"/>
        </w:rPr>
        <w:t xml:space="preserve"> ende n</w:t>
      </w:r>
      <w:r w:rsidR="00C97AAB" w:rsidRPr="001F505E">
        <w:rPr>
          <w:color w:val="000000"/>
          <w:lang w:val="sq-AL"/>
        </w:rPr>
        <w:t>ë</w:t>
      </w:r>
      <w:r w:rsidR="00B12BD5" w:rsidRPr="001F505E">
        <w:rPr>
          <w:color w:val="000000"/>
          <w:lang w:val="sq-AL"/>
        </w:rPr>
        <w:t xml:space="preserve"> nj</w:t>
      </w:r>
      <w:r w:rsidR="00C97AAB" w:rsidRPr="001F505E">
        <w:rPr>
          <w:color w:val="000000"/>
          <w:lang w:val="sq-AL"/>
        </w:rPr>
        <w:t>ë</w:t>
      </w:r>
      <w:r w:rsidR="00B12BD5" w:rsidRPr="001F505E">
        <w:rPr>
          <w:color w:val="000000"/>
          <w:lang w:val="sq-AL"/>
        </w:rPr>
        <w:t xml:space="preserve"> nivel modest p</w:t>
      </w:r>
      <w:r w:rsidR="00C97AAB" w:rsidRPr="001F505E">
        <w:rPr>
          <w:color w:val="000000"/>
          <w:lang w:val="sq-AL"/>
        </w:rPr>
        <w:t>ë</w:t>
      </w:r>
      <w:r w:rsidR="00B12BD5" w:rsidRPr="001F505E">
        <w:rPr>
          <w:color w:val="000000"/>
          <w:lang w:val="sq-AL"/>
        </w:rPr>
        <w:t>r nga pesha e tyre n</w:t>
      </w:r>
      <w:r w:rsidR="00C97AAB" w:rsidRPr="001F505E">
        <w:rPr>
          <w:color w:val="000000"/>
          <w:lang w:val="sq-AL"/>
        </w:rPr>
        <w:t>ë</w:t>
      </w:r>
      <w:r w:rsidR="00B12BD5" w:rsidRPr="001F505E">
        <w:rPr>
          <w:color w:val="000000"/>
          <w:lang w:val="sq-AL"/>
        </w:rPr>
        <w:t xml:space="preserve"> totalin e t</w:t>
      </w:r>
      <w:r w:rsidR="00C97AAB" w:rsidRPr="001F505E">
        <w:rPr>
          <w:color w:val="000000"/>
          <w:lang w:val="sq-AL"/>
        </w:rPr>
        <w:t xml:space="preserve">ë ardhurave tatimore, me </w:t>
      </w:r>
      <w:r w:rsidRPr="001F505E">
        <w:rPr>
          <w:color w:val="000000"/>
          <w:lang w:val="sq-AL"/>
        </w:rPr>
        <w:t>16</w:t>
      </w:r>
      <w:r w:rsidR="00C97AAB" w:rsidRPr="001F505E">
        <w:rPr>
          <w:color w:val="000000"/>
          <w:lang w:val="sq-AL"/>
        </w:rPr>
        <w:t xml:space="preserve"> pë</w:t>
      </w:r>
      <w:r w:rsidR="00B12BD5" w:rsidRPr="001F505E">
        <w:rPr>
          <w:color w:val="000000"/>
          <w:lang w:val="sq-AL"/>
        </w:rPr>
        <w:t>rqind; ve</w:t>
      </w:r>
      <w:r w:rsidR="00C97AAB" w:rsidRPr="001F505E">
        <w:rPr>
          <w:color w:val="000000"/>
          <w:lang w:val="sq-AL"/>
        </w:rPr>
        <w:t>çanë</w:t>
      </w:r>
      <w:r w:rsidR="00B12BD5" w:rsidRPr="001F505E">
        <w:rPr>
          <w:color w:val="000000"/>
          <w:lang w:val="sq-AL"/>
        </w:rPr>
        <w:t>risht “t</w:t>
      </w:r>
      <w:r w:rsidR="00C97AAB" w:rsidRPr="001F505E">
        <w:rPr>
          <w:color w:val="000000"/>
          <w:lang w:val="sq-AL"/>
        </w:rPr>
        <w:t>ë</w:t>
      </w:r>
      <w:r w:rsidR="00B12BD5" w:rsidRPr="001F505E">
        <w:rPr>
          <w:color w:val="000000"/>
          <w:lang w:val="sq-AL"/>
        </w:rPr>
        <w:t xml:space="preserve"> par</w:t>
      </w:r>
      <w:r w:rsidR="00C97AAB" w:rsidRPr="001F505E">
        <w:rPr>
          <w:color w:val="000000"/>
          <w:lang w:val="sq-AL"/>
        </w:rPr>
        <w:t>ë</w:t>
      </w:r>
      <w:r w:rsidR="00B12BD5" w:rsidRPr="001F505E">
        <w:rPr>
          <w:color w:val="000000"/>
          <w:lang w:val="sq-AL"/>
        </w:rPr>
        <w:t>nd</w:t>
      </w:r>
      <w:r w:rsidR="00C97AAB" w:rsidRPr="001F505E">
        <w:rPr>
          <w:color w:val="000000"/>
          <w:lang w:val="sq-AL"/>
        </w:rPr>
        <w:t>ë</w:t>
      </w:r>
      <w:r w:rsidR="00B12BD5" w:rsidRPr="001F505E">
        <w:rPr>
          <w:color w:val="000000"/>
          <w:lang w:val="sq-AL"/>
        </w:rPr>
        <w:t>sishme” n</w:t>
      </w:r>
      <w:r w:rsidR="00C97AAB" w:rsidRPr="001F505E">
        <w:rPr>
          <w:color w:val="000000"/>
          <w:lang w:val="sq-AL"/>
        </w:rPr>
        <w:t>ë</w:t>
      </w:r>
      <w:r w:rsidR="00B12BD5" w:rsidRPr="001F505E">
        <w:rPr>
          <w:color w:val="000000"/>
          <w:lang w:val="sq-AL"/>
        </w:rPr>
        <w:t xml:space="preserve"> k</w:t>
      </w:r>
      <w:r w:rsidR="00C97AAB" w:rsidRPr="001F505E">
        <w:rPr>
          <w:color w:val="000000"/>
          <w:lang w:val="sq-AL"/>
        </w:rPr>
        <w:t>ëtë</w:t>
      </w:r>
      <w:r w:rsidR="00B12BD5" w:rsidRPr="001F505E">
        <w:rPr>
          <w:color w:val="000000"/>
          <w:lang w:val="sq-AL"/>
        </w:rPr>
        <w:t xml:space="preserve"> grup jan</w:t>
      </w:r>
      <w:r w:rsidR="00C97AAB" w:rsidRPr="001F505E">
        <w:rPr>
          <w:color w:val="000000"/>
          <w:lang w:val="sq-AL"/>
        </w:rPr>
        <w:t>ë</w:t>
      </w:r>
      <w:r w:rsidR="00B12BD5" w:rsidRPr="001F505E">
        <w:rPr>
          <w:color w:val="000000"/>
          <w:lang w:val="sq-AL"/>
        </w:rPr>
        <w:t xml:space="preserve"> tatimet mbi pron</w:t>
      </w:r>
      <w:r w:rsidR="00C97AAB" w:rsidRPr="001F505E">
        <w:rPr>
          <w:color w:val="000000"/>
          <w:lang w:val="sq-AL"/>
        </w:rPr>
        <w:t>ë</w:t>
      </w:r>
      <w:r w:rsidR="00B12BD5" w:rsidRPr="001F505E">
        <w:rPr>
          <w:color w:val="000000"/>
          <w:lang w:val="sq-AL"/>
        </w:rPr>
        <w:t>n (nd</w:t>
      </w:r>
      <w:r w:rsidR="00C97AAB" w:rsidRPr="001F505E">
        <w:rPr>
          <w:color w:val="000000"/>
          <w:lang w:val="sq-AL"/>
        </w:rPr>
        <w:t>ë</w:t>
      </w:r>
      <w:r w:rsidR="00B12BD5" w:rsidRPr="001F505E">
        <w:rPr>
          <w:color w:val="000000"/>
          <w:lang w:val="sq-AL"/>
        </w:rPr>
        <w:t>rtesa dhe tok</w:t>
      </w:r>
      <w:r w:rsidR="00C97AAB" w:rsidRPr="001F505E">
        <w:rPr>
          <w:color w:val="000000"/>
          <w:lang w:val="sq-AL"/>
        </w:rPr>
        <w:t>ë</w:t>
      </w:r>
      <w:r w:rsidR="00B12BD5" w:rsidRPr="001F505E">
        <w:rPr>
          <w:color w:val="000000"/>
          <w:lang w:val="sq-AL"/>
        </w:rPr>
        <w:t xml:space="preserve"> bujq</w:t>
      </w:r>
      <w:r w:rsidR="00C97AAB" w:rsidRPr="001F505E">
        <w:rPr>
          <w:color w:val="000000"/>
          <w:lang w:val="sq-AL"/>
        </w:rPr>
        <w:t>ë</w:t>
      </w:r>
      <w:r w:rsidR="00B12BD5" w:rsidRPr="001F505E">
        <w:rPr>
          <w:color w:val="000000"/>
          <w:lang w:val="sq-AL"/>
        </w:rPr>
        <w:t>sore), sidomos n</w:t>
      </w:r>
      <w:r w:rsidR="00C97AAB" w:rsidRPr="001F505E">
        <w:rPr>
          <w:color w:val="000000"/>
          <w:lang w:val="sq-AL"/>
        </w:rPr>
        <w:t>ë</w:t>
      </w:r>
      <w:r w:rsidR="00B12BD5" w:rsidRPr="001F505E">
        <w:rPr>
          <w:color w:val="000000"/>
          <w:lang w:val="sq-AL"/>
        </w:rPr>
        <w:t>se krahasohemi me v</w:t>
      </w:r>
      <w:r w:rsidR="00C97AAB" w:rsidRPr="001F505E">
        <w:rPr>
          <w:color w:val="000000"/>
          <w:lang w:val="sq-AL"/>
        </w:rPr>
        <w:t>ë</w:t>
      </w:r>
      <w:r w:rsidR="00B12BD5" w:rsidRPr="001F505E">
        <w:rPr>
          <w:color w:val="000000"/>
          <w:lang w:val="sq-AL"/>
        </w:rPr>
        <w:t>ndet e zhvilluara (vetem 0.9 p</w:t>
      </w:r>
      <w:r w:rsidR="00C97AAB" w:rsidRPr="001F505E">
        <w:rPr>
          <w:color w:val="000000"/>
          <w:lang w:val="sq-AL"/>
        </w:rPr>
        <w:t>ë</w:t>
      </w:r>
      <w:r w:rsidR="00B12BD5" w:rsidRPr="001F505E">
        <w:rPr>
          <w:color w:val="000000"/>
          <w:lang w:val="sq-AL"/>
        </w:rPr>
        <w:t>rqi</w:t>
      </w:r>
      <w:r w:rsidR="00C97AAB" w:rsidRPr="001F505E">
        <w:rPr>
          <w:color w:val="000000"/>
          <w:lang w:val="sq-AL"/>
        </w:rPr>
        <w:t>n</w:t>
      </w:r>
      <w:r w:rsidR="00B12BD5" w:rsidRPr="001F505E">
        <w:rPr>
          <w:color w:val="000000"/>
          <w:lang w:val="sq-AL"/>
        </w:rPr>
        <w:t>d t</w:t>
      </w:r>
      <w:r w:rsidR="00890D57" w:rsidRPr="001F505E">
        <w:rPr>
          <w:color w:val="000000"/>
          <w:lang w:val="sq-AL"/>
        </w:rPr>
        <w:t>ë</w:t>
      </w:r>
      <w:r w:rsidR="00B12BD5" w:rsidRPr="001F505E">
        <w:rPr>
          <w:color w:val="000000"/>
          <w:lang w:val="sq-AL"/>
        </w:rPr>
        <w:t xml:space="preserve"> totalit t</w:t>
      </w:r>
      <w:r w:rsidR="00890D57" w:rsidRPr="001F505E">
        <w:rPr>
          <w:color w:val="000000"/>
          <w:lang w:val="sq-AL"/>
        </w:rPr>
        <w:t>ë</w:t>
      </w:r>
      <w:r w:rsidR="00B12BD5" w:rsidRPr="001F505E">
        <w:rPr>
          <w:color w:val="000000"/>
          <w:lang w:val="sq-AL"/>
        </w:rPr>
        <w:t xml:space="preserve"> t</w:t>
      </w:r>
      <w:r w:rsidR="00890D57" w:rsidRPr="001F505E">
        <w:rPr>
          <w:color w:val="000000"/>
          <w:lang w:val="sq-AL"/>
        </w:rPr>
        <w:t>ë ardhurave tatimore); të</w:t>
      </w:r>
      <w:r w:rsidR="00B12BD5" w:rsidRPr="001F505E">
        <w:rPr>
          <w:color w:val="000000"/>
          <w:lang w:val="sq-AL"/>
        </w:rPr>
        <w:t xml:space="preserve"> ardhurat nga taksimi i tregtis</w:t>
      </w:r>
      <w:r w:rsidR="00890D57" w:rsidRPr="001F505E">
        <w:rPr>
          <w:color w:val="000000"/>
          <w:lang w:val="sq-AL"/>
        </w:rPr>
        <w:t>ë</w:t>
      </w:r>
      <w:r w:rsidR="00B12BD5" w:rsidRPr="001F505E">
        <w:rPr>
          <w:color w:val="000000"/>
          <w:lang w:val="sq-AL"/>
        </w:rPr>
        <w:t xml:space="preserve"> </w:t>
      </w:r>
      <w:r w:rsidR="00B12BD5" w:rsidRPr="001F505E">
        <w:rPr>
          <w:color w:val="000000"/>
          <w:lang w:val="sq-AL"/>
        </w:rPr>
        <w:lastRenderedPageBreak/>
        <w:t>nd</w:t>
      </w:r>
      <w:r w:rsidR="00890D57" w:rsidRPr="001F505E">
        <w:rPr>
          <w:color w:val="000000"/>
          <w:lang w:val="sq-AL"/>
        </w:rPr>
        <w:t>ë</w:t>
      </w:r>
      <w:r w:rsidR="00B12BD5" w:rsidRPr="001F505E">
        <w:rPr>
          <w:color w:val="000000"/>
          <w:lang w:val="sq-AL"/>
        </w:rPr>
        <w:t>rkomb</w:t>
      </w:r>
      <w:r w:rsidR="00890D57" w:rsidRPr="001F505E">
        <w:rPr>
          <w:color w:val="000000"/>
          <w:lang w:val="sq-AL"/>
        </w:rPr>
        <w:t>ëtare (tarifat doganore) janë</w:t>
      </w:r>
      <w:r w:rsidR="00B12BD5" w:rsidRPr="001F505E">
        <w:rPr>
          <w:color w:val="000000"/>
          <w:lang w:val="sq-AL"/>
        </w:rPr>
        <w:t xml:space="preserve"> prej vitesh n</w:t>
      </w:r>
      <w:r w:rsidR="00890D57" w:rsidRPr="001F505E">
        <w:rPr>
          <w:color w:val="000000"/>
          <w:lang w:val="sq-AL"/>
        </w:rPr>
        <w:t>ë</w:t>
      </w:r>
      <w:r w:rsidR="00B12BD5" w:rsidRPr="001F505E">
        <w:rPr>
          <w:color w:val="000000"/>
          <w:lang w:val="sq-AL"/>
        </w:rPr>
        <w:t xml:space="preserve"> nj</w:t>
      </w:r>
      <w:r w:rsidR="00890D57" w:rsidRPr="001F505E">
        <w:rPr>
          <w:color w:val="000000"/>
          <w:lang w:val="sq-AL"/>
        </w:rPr>
        <w:t>ë</w:t>
      </w:r>
      <w:r w:rsidR="00B12BD5" w:rsidRPr="001F505E">
        <w:rPr>
          <w:color w:val="000000"/>
          <w:lang w:val="sq-AL"/>
        </w:rPr>
        <w:t xml:space="preserve"> trend r</w:t>
      </w:r>
      <w:r w:rsidR="00890D57" w:rsidRPr="001F505E">
        <w:rPr>
          <w:color w:val="000000"/>
          <w:lang w:val="sq-AL"/>
        </w:rPr>
        <w:t>ë</w:t>
      </w:r>
      <w:r w:rsidR="00B12BD5" w:rsidRPr="001F505E">
        <w:rPr>
          <w:color w:val="000000"/>
          <w:lang w:val="sq-AL"/>
        </w:rPr>
        <w:t>n</w:t>
      </w:r>
      <w:r w:rsidR="00890D57" w:rsidRPr="001F505E">
        <w:rPr>
          <w:color w:val="000000"/>
          <w:lang w:val="sq-AL"/>
        </w:rPr>
        <w:t>ë</w:t>
      </w:r>
      <w:r w:rsidR="00B12BD5" w:rsidRPr="001F505E">
        <w:rPr>
          <w:color w:val="000000"/>
          <w:lang w:val="sq-AL"/>
        </w:rPr>
        <w:t>s, n</w:t>
      </w:r>
      <w:r w:rsidR="00890D57" w:rsidRPr="001F505E">
        <w:rPr>
          <w:color w:val="000000"/>
          <w:lang w:val="sq-AL"/>
        </w:rPr>
        <w:t>ë</w:t>
      </w:r>
      <w:r w:rsidR="00B12BD5" w:rsidRPr="001F505E">
        <w:rPr>
          <w:color w:val="000000"/>
          <w:lang w:val="sq-AL"/>
        </w:rPr>
        <w:t xml:space="preserve"> linj</w:t>
      </w:r>
      <w:r w:rsidR="00890D57" w:rsidRPr="001F505E">
        <w:rPr>
          <w:color w:val="000000"/>
          <w:lang w:val="sq-AL"/>
        </w:rPr>
        <w:t>ë</w:t>
      </w:r>
      <w:r w:rsidR="00B12BD5" w:rsidRPr="001F505E">
        <w:rPr>
          <w:color w:val="000000"/>
          <w:lang w:val="sq-AL"/>
        </w:rPr>
        <w:t xml:space="preserve"> me politikat tregtare liberalizuese (p</w:t>
      </w:r>
      <w:r w:rsidR="00890D57" w:rsidRPr="001F505E">
        <w:rPr>
          <w:color w:val="000000"/>
          <w:lang w:val="sq-AL"/>
        </w:rPr>
        <w:t>ë</w:t>
      </w:r>
      <w:r w:rsidR="00B12BD5" w:rsidRPr="001F505E">
        <w:rPr>
          <w:color w:val="000000"/>
          <w:lang w:val="sq-AL"/>
        </w:rPr>
        <w:t xml:space="preserve">r </w:t>
      </w:r>
      <w:r w:rsidR="00FF44CD">
        <w:rPr>
          <w:color w:val="000000"/>
          <w:lang w:val="sq-AL"/>
        </w:rPr>
        <w:t>7m</w:t>
      </w:r>
      <w:r w:rsidR="00B12BD5" w:rsidRPr="001F505E">
        <w:rPr>
          <w:color w:val="000000"/>
          <w:lang w:val="sq-AL"/>
        </w:rPr>
        <w:t>ujorin z</w:t>
      </w:r>
      <w:r w:rsidR="00890D57" w:rsidRPr="001F505E">
        <w:rPr>
          <w:color w:val="000000"/>
          <w:lang w:val="sq-AL"/>
        </w:rPr>
        <w:t>ë</w:t>
      </w:r>
      <w:r w:rsidR="00B12BD5" w:rsidRPr="001F505E">
        <w:rPr>
          <w:color w:val="000000"/>
          <w:lang w:val="sq-AL"/>
        </w:rPr>
        <w:t>n</w:t>
      </w:r>
      <w:r w:rsidR="00890D57" w:rsidRPr="001F505E">
        <w:rPr>
          <w:color w:val="000000"/>
          <w:lang w:val="sq-AL"/>
        </w:rPr>
        <w:t>ë</w:t>
      </w:r>
      <w:r w:rsidR="00B12BD5" w:rsidRPr="001F505E">
        <w:rPr>
          <w:color w:val="000000"/>
          <w:lang w:val="sq-AL"/>
        </w:rPr>
        <w:t xml:space="preserve"> vetem 1.7 p</w:t>
      </w:r>
      <w:r w:rsidR="00890D57" w:rsidRPr="001F505E">
        <w:rPr>
          <w:color w:val="000000"/>
          <w:lang w:val="sq-AL"/>
        </w:rPr>
        <w:t>ë</w:t>
      </w:r>
      <w:r w:rsidR="00B12BD5" w:rsidRPr="001F505E">
        <w:rPr>
          <w:color w:val="000000"/>
          <w:lang w:val="sq-AL"/>
        </w:rPr>
        <w:t>rqind).</w:t>
      </w:r>
    </w:p>
    <w:p w:rsidR="00283C57" w:rsidRPr="001F505E" w:rsidRDefault="00C37736" w:rsidP="00E77295">
      <w:pPr>
        <w:rPr>
          <w:color w:val="000000"/>
          <w:lang w:val="sq-AL"/>
        </w:rPr>
      </w:pPr>
      <w:r w:rsidRPr="00FF44CD">
        <w:rPr>
          <w:color w:val="000000"/>
          <w:lang w:val="sq-AL"/>
        </w:rPr>
        <w:t>Struktura e p</w:t>
      </w:r>
      <w:r w:rsidR="00923620" w:rsidRPr="00FF44CD">
        <w:rPr>
          <w:color w:val="000000"/>
          <w:lang w:val="sq-AL"/>
        </w:rPr>
        <w:t>ë</w:t>
      </w:r>
      <w:r w:rsidRPr="00FF44CD">
        <w:rPr>
          <w:color w:val="000000"/>
          <w:lang w:val="sq-AL"/>
        </w:rPr>
        <w:t>rgjithshme e t</w:t>
      </w:r>
      <w:r w:rsidR="00923620" w:rsidRPr="00FF44CD">
        <w:rPr>
          <w:color w:val="000000"/>
          <w:lang w:val="sq-AL"/>
        </w:rPr>
        <w:t>ë</w:t>
      </w:r>
      <w:r w:rsidRPr="00FF44CD">
        <w:rPr>
          <w:color w:val="000000"/>
          <w:lang w:val="sq-AL"/>
        </w:rPr>
        <w:t xml:space="preserve"> ardhurave nuk ka p</w:t>
      </w:r>
      <w:r w:rsidR="00923620" w:rsidRPr="00FF44CD">
        <w:rPr>
          <w:color w:val="000000"/>
          <w:lang w:val="sq-AL"/>
        </w:rPr>
        <w:t>ë</w:t>
      </w:r>
      <w:r w:rsidRPr="00FF44CD">
        <w:rPr>
          <w:color w:val="000000"/>
          <w:lang w:val="sq-AL"/>
        </w:rPr>
        <w:t>suar ndryshime thelb</w:t>
      </w:r>
      <w:r w:rsidR="00923620" w:rsidRPr="00FF44CD">
        <w:rPr>
          <w:color w:val="000000"/>
          <w:lang w:val="sq-AL"/>
        </w:rPr>
        <w:t>ë</w:t>
      </w:r>
      <w:r w:rsidRPr="00FF44CD">
        <w:rPr>
          <w:color w:val="000000"/>
          <w:lang w:val="sq-AL"/>
        </w:rPr>
        <w:t>sore n</w:t>
      </w:r>
      <w:r w:rsidR="00923620" w:rsidRPr="00FF44CD">
        <w:rPr>
          <w:color w:val="000000"/>
          <w:lang w:val="sq-AL"/>
        </w:rPr>
        <w:t>ë</w:t>
      </w:r>
      <w:r w:rsidRPr="00FF44CD">
        <w:rPr>
          <w:color w:val="000000"/>
          <w:lang w:val="sq-AL"/>
        </w:rPr>
        <w:t xml:space="preserve"> dhjet</w:t>
      </w:r>
      <w:r w:rsidR="00923620" w:rsidRPr="00FF44CD">
        <w:rPr>
          <w:color w:val="000000"/>
          <w:lang w:val="sq-AL"/>
        </w:rPr>
        <w:t>ë</w:t>
      </w:r>
      <w:r w:rsidRPr="00FF44CD">
        <w:rPr>
          <w:color w:val="000000"/>
          <w:lang w:val="sq-AL"/>
        </w:rPr>
        <w:t>vje</w:t>
      </w:r>
      <w:r w:rsidR="00923620" w:rsidRPr="00FF44CD">
        <w:rPr>
          <w:color w:val="000000"/>
          <w:lang w:val="sq-AL"/>
        </w:rPr>
        <w:t>ç</w:t>
      </w:r>
      <w:r w:rsidRPr="00FF44CD">
        <w:rPr>
          <w:color w:val="000000"/>
          <w:lang w:val="sq-AL"/>
        </w:rPr>
        <w:t>arin e fundit. Pjesa d</w:t>
      </w:r>
      <w:r w:rsidR="00923620" w:rsidRPr="00FF44CD">
        <w:rPr>
          <w:color w:val="000000"/>
          <w:lang w:val="sq-AL"/>
        </w:rPr>
        <w:t>ë</w:t>
      </w:r>
      <w:r w:rsidRPr="00FF44CD">
        <w:rPr>
          <w:color w:val="000000"/>
          <w:lang w:val="sq-AL"/>
        </w:rPr>
        <w:t>rrmuese e t</w:t>
      </w:r>
      <w:r w:rsidR="00923620" w:rsidRPr="00FF44CD">
        <w:rPr>
          <w:color w:val="000000"/>
          <w:lang w:val="sq-AL"/>
        </w:rPr>
        <w:t>ë</w:t>
      </w:r>
      <w:r w:rsidRPr="00FF44CD">
        <w:rPr>
          <w:color w:val="000000"/>
          <w:lang w:val="sq-AL"/>
        </w:rPr>
        <w:t xml:space="preserve"> ardhurave tatimore vjen nga taksimi i konsumit, TVSH</w:t>
      </w:r>
      <w:r w:rsidR="00923620" w:rsidRPr="00FF44CD">
        <w:rPr>
          <w:color w:val="000000"/>
          <w:lang w:val="sq-AL"/>
        </w:rPr>
        <w:t>-së</w:t>
      </w:r>
      <w:r w:rsidRPr="00FF44CD">
        <w:rPr>
          <w:color w:val="000000"/>
          <w:lang w:val="sq-AL"/>
        </w:rPr>
        <w:t xml:space="preserve"> dhe akciz</w:t>
      </w:r>
      <w:r w:rsidR="00923620" w:rsidRPr="00FF44CD">
        <w:rPr>
          <w:color w:val="000000"/>
          <w:lang w:val="sq-AL"/>
        </w:rPr>
        <w:t>ës</w:t>
      </w:r>
      <w:r w:rsidRPr="00FF44CD">
        <w:rPr>
          <w:color w:val="000000"/>
          <w:lang w:val="sq-AL"/>
        </w:rPr>
        <w:t>, t</w:t>
      </w:r>
      <w:r w:rsidR="00923620" w:rsidRPr="00FF44CD">
        <w:rPr>
          <w:color w:val="000000"/>
          <w:lang w:val="sq-AL"/>
        </w:rPr>
        <w:t>ë</w:t>
      </w:r>
      <w:r w:rsidRPr="00FF44CD">
        <w:rPr>
          <w:color w:val="000000"/>
          <w:lang w:val="sq-AL"/>
        </w:rPr>
        <w:t xml:space="preserve"> cilat e kan</w:t>
      </w:r>
      <w:r w:rsidR="00923620" w:rsidRPr="00FF44CD">
        <w:rPr>
          <w:color w:val="000000"/>
          <w:lang w:val="sq-AL"/>
        </w:rPr>
        <w:t>ë</w:t>
      </w:r>
      <w:r w:rsidRPr="00FF44CD">
        <w:rPr>
          <w:color w:val="000000"/>
          <w:lang w:val="sq-AL"/>
        </w:rPr>
        <w:t xml:space="preserve"> rritur pesh</w:t>
      </w:r>
      <w:r w:rsidR="00923620" w:rsidRPr="00FF44CD">
        <w:rPr>
          <w:color w:val="000000"/>
          <w:lang w:val="sq-AL"/>
        </w:rPr>
        <w:t>ë</w:t>
      </w:r>
      <w:r w:rsidRPr="00FF44CD">
        <w:rPr>
          <w:color w:val="000000"/>
          <w:lang w:val="sq-AL"/>
        </w:rPr>
        <w:t>n e tyre n</w:t>
      </w:r>
      <w:r w:rsidR="00923620" w:rsidRPr="00FF44CD">
        <w:rPr>
          <w:color w:val="000000"/>
          <w:lang w:val="sq-AL"/>
        </w:rPr>
        <w:t>ë</w:t>
      </w:r>
      <w:r w:rsidRPr="00FF44CD">
        <w:rPr>
          <w:color w:val="000000"/>
          <w:lang w:val="sq-AL"/>
        </w:rPr>
        <w:t xml:space="preserve"> struktur</w:t>
      </w:r>
      <w:r w:rsidR="00923620" w:rsidRPr="00FF44CD">
        <w:rPr>
          <w:color w:val="000000"/>
          <w:lang w:val="sq-AL"/>
        </w:rPr>
        <w:t>ë</w:t>
      </w:r>
      <w:r w:rsidRPr="00FF44CD">
        <w:rPr>
          <w:color w:val="000000"/>
          <w:lang w:val="sq-AL"/>
        </w:rPr>
        <w:t>n e t</w:t>
      </w:r>
      <w:r w:rsidR="00923620" w:rsidRPr="00FF44CD">
        <w:rPr>
          <w:color w:val="000000"/>
          <w:lang w:val="sq-AL"/>
        </w:rPr>
        <w:t>ë</w:t>
      </w:r>
      <w:r w:rsidRPr="00FF44CD">
        <w:rPr>
          <w:color w:val="000000"/>
          <w:lang w:val="sq-AL"/>
        </w:rPr>
        <w:t xml:space="preserve"> ardhurave. P</w:t>
      </w:r>
      <w:r w:rsidR="00923620" w:rsidRPr="00FF44CD">
        <w:rPr>
          <w:color w:val="000000"/>
          <w:lang w:val="sq-AL"/>
        </w:rPr>
        <w:t>ërqindja e të</w:t>
      </w:r>
      <w:r w:rsidRPr="00FF44CD">
        <w:rPr>
          <w:color w:val="000000"/>
          <w:lang w:val="sq-AL"/>
        </w:rPr>
        <w:t xml:space="preserve"> ardhurave nga TAP</w:t>
      </w:r>
      <w:r w:rsidR="00923620" w:rsidRPr="00FF44CD">
        <w:rPr>
          <w:color w:val="000000"/>
          <w:lang w:val="sq-AL"/>
        </w:rPr>
        <w:t>-i</w:t>
      </w:r>
      <w:r w:rsidRPr="00FF44CD">
        <w:rPr>
          <w:color w:val="000000"/>
          <w:lang w:val="sq-AL"/>
        </w:rPr>
        <w:t xml:space="preserve"> dhe Tatim Fitimi ka mbetur n</w:t>
      </w:r>
      <w:r w:rsidR="00923620" w:rsidRPr="00FF44CD">
        <w:rPr>
          <w:color w:val="000000"/>
          <w:lang w:val="sq-AL"/>
        </w:rPr>
        <w:t>ë</w:t>
      </w:r>
      <w:r w:rsidRPr="00FF44CD">
        <w:rPr>
          <w:color w:val="000000"/>
          <w:lang w:val="sq-AL"/>
        </w:rPr>
        <w:t xml:space="preserve"> nivele t</w:t>
      </w:r>
      <w:r w:rsidR="00923620" w:rsidRPr="00FF44CD">
        <w:rPr>
          <w:color w:val="000000"/>
          <w:lang w:val="sq-AL"/>
        </w:rPr>
        <w:t>ë</w:t>
      </w:r>
      <w:r w:rsidRPr="00FF44CD">
        <w:rPr>
          <w:color w:val="000000"/>
          <w:lang w:val="sq-AL"/>
        </w:rPr>
        <w:t xml:space="preserve"> stabilizuara prej 18</w:t>
      </w:r>
      <w:r w:rsidR="00923620" w:rsidRPr="00FF44CD">
        <w:rPr>
          <w:color w:val="000000"/>
          <w:lang w:val="sq-AL"/>
        </w:rPr>
        <w:t xml:space="preserve"> </w:t>
      </w:r>
      <w:r w:rsidRPr="00FF44CD">
        <w:rPr>
          <w:color w:val="000000"/>
          <w:lang w:val="sq-AL"/>
        </w:rPr>
        <w:t>-19 p</w:t>
      </w:r>
      <w:r w:rsidR="00923620" w:rsidRPr="00FF44CD">
        <w:rPr>
          <w:color w:val="000000"/>
          <w:lang w:val="sq-AL"/>
        </w:rPr>
        <w:t>ë</w:t>
      </w:r>
      <w:r w:rsidRPr="00FF44CD">
        <w:rPr>
          <w:color w:val="000000"/>
          <w:lang w:val="sq-AL"/>
        </w:rPr>
        <w:t>rqind</w:t>
      </w:r>
      <w:r w:rsidR="00923620" w:rsidRPr="00FF44CD">
        <w:rPr>
          <w:color w:val="000000"/>
          <w:lang w:val="sq-AL"/>
        </w:rPr>
        <w:t>,</w:t>
      </w:r>
      <w:r w:rsidRPr="00FF44CD">
        <w:rPr>
          <w:color w:val="000000"/>
          <w:lang w:val="sq-AL"/>
        </w:rPr>
        <w:t xml:space="preserve"> por vlen t</w:t>
      </w:r>
      <w:r w:rsidR="00923620" w:rsidRPr="00FF44CD">
        <w:rPr>
          <w:color w:val="000000"/>
          <w:lang w:val="sq-AL"/>
        </w:rPr>
        <w:t>ë</w:t>
      </w:r>
      <w:r w:rsidRPr="00FF44CD">
        <w:rPr>
          <w:color w:val="000000"/>
          <w:lang w:val="sq-AL"/>
        </w:rPr>
        <w:t xml:space="preserve"> theksohet se br</w:t>
      </w:r>
      <w:r w:rsidR="00923620" w:rsidRPr="00FF44CD">
        <w:rPr>
          <w:color w:val="000000"/>
          <w:lang w:val="sq-AL"/>
        </w:rPr>
        <w:t>ë</w:t>
      </w:r>
      <w:r w:rsidRPr="00FF44CD">
        <w:rPr>
          <w:color w:val="000000"/>
          <w:lang w:val="sq-AL"/>
        </w:rPr>
        <w:t>nda k</w:t>
      </w:r>
      <w:r w:rsidR="00923620" w:rsidRPr="00FF44CD">
        <w:rPr>
          <w:color w:val="000000"/>
          <w:lang w:val="sq-AL"/>
        </w:rPr>
        <w:t>ë</w:t>
      </w:r>
      <w:r w:rsidRPr="00FF44CD">
        <w:rPr>
          <w:color w:val="000000"/>
          <w:lang w:val="sq-AL"/>
        </w:rPr>
        <w:t xml:space="preserve">tij grupi taksimi </w:t>
      </w:r>
      <w:r w:rsidR="00923620" w:rsidRPr="00FF44CD">
        <w:rPr>
          <w:color w:val="000000"/>
          <w:lang w:val="sq-AL"/>
        </w:rPr>
        <w:t>i</w:t>
      </w:r>
      <w:r w:rsidRPr="00FF44CD">
        <w:rPr>
          <w:color w:val="000000"/>
          <w:lang w:val="sq-AL"/>
        </w:rPr>
        <w:t xml:space="preserve"> kompanive </w:t>
      </w:r>
      <w:r w:rsidR="00923620" w:rsidRPr="00FF44CD">
        <w:rPr>
          <w:color w:val="000000"/>
          <w:lang w:val="sq-AL"/>
        </w:rPr>
        <w:t>ë</w:t>
      </w:r>
      <w:r w:rsidRPr="00FF44CD">
        <w:rPr>
          <w:color w:val="000000"/>
          <w:lang w:val="sq-AL"/>
        </w:rPr>
        <w:t>sht</w:t>
      </w:r>
      <w:r w:rsidR="00923620" w:rsidRPr="00FF44CD">
        <w:rPr>
          <w:color w:val="000000"/>
          <w:lang w:val="sq-AL"/>
        </w:rPr>
        <w:t>ë</w:t>
      </w:r>
      <w:r w:rsidRPr="00FF44CD">
        <w:rPr>
          <w:color w:val="000000"/>
          <w:lang w:val="sq-AL"/>
        </w:rPr>
        <w:t xml:space="preserve"> ulur si rezultat </w:t>
      </w:r>
      <w:r w:rsidR="0068253D" w:rsidRPr="00FF44CD">
        <w:rPr>
          <w:color w:val="000000"/>
          <w:lang w:val="sq-AL"/>
        </w:rPr>
        <w:t>i</w:t>
      </w:r>
      <w:r w:rsidRPr="00FF44CD">
        <w:rPr>
          <w:color w:val="000000"/>
          <w:lang w:val="sq-AL"/>
        </w:rPr>
        <w:t xml:space="preserve"> politikave tatimore nxit</w:t>
      </w:r>
      <w:r w:rsidR="00923620" w:rsidRPr="00FF44CD">
        <w:rPr>
          <w:color w:val="000000"/>
          <w:lang w:val="sq-AL"/>
        </w:rPr>
        <w:t>ë</w:t>
      </w:r>
      <w:r w:rsidRPr="00FF44CD">
        <w:rPr>
          <w:color w:val="000000"/>
          <w:lang w:val="sq-AL"/>
        </w:rPr>
        <w:t>se t</w:t>
      </w:r>
      <w:r w:rsidR="00923620" w:rsidRPr="00FF44CD">
        <w:rPr>
          <w:color w:val="000000"/>
          <w:lang w:val="sq-AL"/>
        </w:rPr>
        <w:t>e</w:t>
      </w:r>
      <w:r w:rsidRPr="00FF44CD">
        <w:rPr>
          <w:color w:val="000000"/>
          <w:lang w:val="sq-AL"/>
        </w:rPr>
        <w:t xml:space="preserve"> investimet</w:t>
      </w:r>
      <w:r w:rsidR="00923620" w:rsidRPr="00FF44CD">
        <w:rPr>
          <w:color w:val="000000"/>
          <w:lang w:val="sq-AL"/>
        </w:rPr>
        <w:t>,</w:t>
      </w:r>
      <w:r w:rsidRPr="00FF44CD">
        <w:rPr>
          <w:color w:val="000000"/>
          <w:lang w:val="sq-AL"/>
        </w:rPr>
        <w:t xml:space="preserve"> nd</w:t>
      </w:r>
      <w:r w:rsidR="00923620" w:rsidRPr="00FF44CD">
        <w:rPr>
          <w:color w:val="000000"/>
          <w:lang w:val="sq-AL"/>
        </w:rPr>
        <w:t>ë</w:t>
      </w:r>
      <w:r w:rsidRPr="00FF44CD">
        <w:rPr>
          <w:color w:val="000000"/>
          <w:lang w:val="sq-AL"/>
        </w:rPr>
        <w:t>rsa mbledhja e TAP</w:t>
      </w:r>
      <w:r w:rsidR="00923620" w:rsidRPr="00FF44CD">
        <w:rPr>
          <w:color w:val="000000"/>
          <w:lang w:val="sq-AL"/>
        </w:rPr>
        <w:t>-it</w:t>
      </w:r>
      <w:r w:rsidRPr="00FF44CD">
        <w:rPr>
          <w:color w:val="000000"/>
          <w:lang w:val="sq-AL"/>
        </w:rPr>
        <w:t xml:space="preserve"> </w:t>
      </w:r>
      <w:r w:rsidR="00923620" w:rsidRPr="00FF44CD">
        <w:rPr>
          <w:color w:val="000000"/>
          <w:lang w:val="sq-AL"/>
        </w:rPr>
        <w:t>ë</w:t>
      </w:r>
      <w:r w:rsidRPr="00FF44CD">
        <w:rPr>
          <w:color w:val="000000"/>
          <w:lang w:val="sq-AL"/>
        </w:rPr>
        <w:t>sht</w:t>
      </w:r>
      <w:r w:rsidR="00923620" w:rsidRPr="00FF44CD">
        <w:rPr>
          <w:color w:val="000000"/>
          <w:lang w:val="sq-AL"/>
        </w:rPr>
        <w:t>ë</w:t>
      </w:r>
      <w:r w:rsidRPr="00FF44CD">
        <w:rPr>
          <w:color w:val="000000"/>
          <w:lang w:val="sq-AL"/>
        </w:rPr>
        <w:t xml:space="preserve"> rritur ndjesh</w:t>
      </w:r>
      <w:r w:rsidR="00923620" w:rsidRPr="00FF44CD">
        <w:rPr>
          <w:color w:val="000000"/>
          <w:lang w:val="sq-AL"/>
        </w:rPr>
        <w:t>ë</w:t>
      </w:r>
      <w:r w:rsidRPr="00FF44CD">
        <w:rPr>
          <w:color w:val="000000"/>
          <w:lang w:val="sq-AL"/>
        </w:rPr>
        <w:t>m, si pasoj</w:t>
      </w:r>
      <w:r w:rsidR="00923620" w:rsidRPr="00FF44CD">
        <w:rPr>
          <w:color w:val="000000"/>
          <w:lang w:val="sq-AL"/>
        </w:rPr>
        <w:t>ë</w:t>
      </w:r>
      <w:r w:rsidRPr="00FF44CD">
        <w:rPr>
          <w:color w:val="000000"/>
          <w:lang w:val="sq-AL"/>
        </w:rPr>
        <w:t xml:space="preserve"> e masave administrative p</w:t>
      </w:r>
      <w:r w:rsidR="00923620" w:rsidRPr="00FF44CD">
        <w:rPr>
          <w:color w:val="000000"/>
          <w:lang w:val="sq-AL"/>
        </w:rPr>
        <w:t>ë</w:t>
      </w:r>
      <w:r w:rsidRPr="00FF44CD">
        <w:rPr>
          <w:color w:val="000000"/>
          <w:lang w:val="sq-AL"/>
        </w:rPr>
        <w:t>r rritjen e baz</w:t>
      </w:r>
      <w:r w:rsidR="00923620" w:rsidRPr="00FF44CD">
        <w:rPr>
          <w:color w:val="000000"/>
          <w:lang w:val="sq-AL"/>
        </w:rPr>
        <w:t>ë</w:t>
      </w:r>
      <w:r w:rsidRPr="00FF44CD">
        <w:rPr>
          <w:color w:val="000000"/>
          <w:lang w:val="sq-AL"/>
        </w:rPr>
        <w:t>s s</w:t>
      </w:r>
      <w:r w:rsidR="00923620" w:rsidRPr="00FF44CD">
        <w:rPr>
          <w:color w:val="000000"/>
          <w:lang w:val="sq-AL"/>
        </w:rPr>
        <w:t>ë taksueshme të</w:t>
      </w:r>
      <w:r w:rsidRPr="00FF44CD">
        <w:rPr>
          <w:color w:val="000000"/>
          <w:lang w:val="sq-AL"/>
        </w:rPr>
        <w:t xml:space="preserve"> nd</w:t>
      </w:r>
      <w:r w:rsidR="00923620" w:rsidRPr="00FF44CD">
        <w:rPr>
          <w:color w:val="000000"/>
          <w:lang w:val="sq-AL"/>
        </w:rPr>
        <w:t>ë</w:t>
      </w:r>
      <w:r w:rsidRPr="00FF44CD">
        <w:rPr>
          <w:color w:val="000000"/>
          <w:lang w:val="sq-AL"/>
        </w:rPr>
        <w:t>rmarra gjat</w:t>
      </w:r>
      <w:r w:rsidR="00923620" w:rsidRPr="00FF44CD">
        <w:rPr>
          <w:color w:val="000000"/>
          <w:lang w:val="sq-AL"/>
        </w:rPr>
        <w:t>ë</w:t>
      </w:r>
      <w:r w:rsidRPr="00FF44CD">
        <w:rPr>
          <w:color w:val="000000"/>
          <w:lang w:val="sq-AL"/>
        </w:rPr>
        <w:t xml:space="preserve"> periudh</w:t>
      </w:r>
      <w:r w:rsidR="00923620" w:rsidRPr="00FF44CD">
        <w:rPr>
          <w:color w:val="000000"/>
          <w:lang w:val="sq-AL"/>
        </w:rPr>
        <w:t>ë</w:t>
      </w:r>
      <w:r w:rsidRPr="00FF44CD">
        <w:rPr>
          <w:color w:val="000000"/>
          <w:lang w:val="sq-AL"/>
        </w:rPr>
        <w:t>s s</w:t>
      </w:r>
      <w:r w:rsidR="00923620" w:rsidRPr="00FF44CD">
        <w:rPr>
          <w:color w:val="000000"/>
          <w:lang w:val="sq-AL"/>
        </w:rPr>
        <w:t>ë</w:t>
      </w:r>
      <w:r w:rsidRPr="00FF44CD">
        <w:rPr>
          <w:color w:val="000000"/>
          <w:lang w:val="sq-AL"/>
        </w:rPr>
        <w:t xml:space="preserve"> reform</w:t>
      </w:r>
      <w:r w:rsidR="00923620" w:rsidRPr="00FF44CD">
        <w:rPr>
          <w:color w:val="000000"/>
          <w:lang w:val="sq-AL"/>
        </w:rPr>
        <w:t>ë</w:t>
      </w:r>
      <w:r w:rsidRPr="00FF44CD">
        <w:rPr>
          <w:color w:val="000000"/>
          <w:lang w:val="sq-AL"/>
        </w:rPr>
        <w:t>s s</w:t>
      </w:r>
      <w:r w:rsidR="00923620" w:rsidRPr="00FF44CD">
        <w:rPr>
          <w:color w:val="000000"/>
          <w:lang w:val="sq-AL"/>
        </w:rPr>
        <w:t>ë</w:t>
      </w:r>
      <w:r w:rsidRPr="00FF44CD">
        <w:rPr>
          <w:color w:val="000000"/>
          <w:lang w:val="sq-AL"/>
        </w:rPr>
        <w:t xml:space="preserve"> “taks</w:t>
      </w:r>
      <w:r w:rsidR="00923620" w:rsidRPr="00FF44CD">
        <w:rPr>
          <w:color w:val="000000"/>
          <w:lang w:val="sq-AL"/>
        </w:rPr>
        <w:t>ë</w:t>
      </w:r>
      <w:r w:rsidRPr="00FF44CD">
        <w:rPr>
          <w:color w:val="000000"/>
          <w:lang w:val="sq-AL"/>
        </w:rPr>
        <w:t>s s</w:t>
      </w:r>
      <w:r w:rsidR="00923620" w:rsidRPr="00FF44CD">
        <w:rPr>
          <w:color w:val="000000"/>
          <w:lang w:val="sq-AL"/>
        </w:rPr>
        <w:t>ë</w:t>
      </w:r>
      <w:r w:rsidRPr="00FF44CD">
        <w:rPr>
          <w:color w:val="000000"/>
          <w:lang w:val="sq-AL"/>
        </w:rPr>
        <w:t xml:space="preserve"> shesht</w:t>
      </w:r>
      <w:r w:rsidR="00923620" w:rsidRPr="00FF44CD">
        <w:rPr>
          <w:color w:val="000000"/>
          <w:lang w:val="sq-AL"/>
        </w:rPr>
        <w:t>ë</w:t>
      </w:r>
      <w:r w:rsidRPr="00FF44CD">
        <w:rPr>
          <w:color w:val="000000"/>
          <w:lang w:val="sq-AL"/>
        </w:rPr>
        <w:t>”. Shum</w:t>
      </w:r>
      <w:r w:rsidR="00DF279B" w:rsidRPr="00FF44CD">
        <w:rPr>
          <w:color w:val="000000"/>
          <w:lang w:val="sq-AL"/>
        </w:rPr>
        <w:t>ë</w:t>
      </w:r>
      <w:r w:rsidRPr="00FF44CD">
        <w:rPr>
          <w:color w:val="000000"/>
          <w:lang w:val="sq-AL"/>
        </w:rPr>
        <w:t xml:space="preserve"> pak </w:t>
      </w:r>
      <w:r w:rsidR="006C61B4" w:rsidRPr="00FF44CD">
        <w:rPr>
          <w:color w:val="000000"/>
          <w:lang w:val="sq-AL"/>
        </w:rPr>
        <w:t>progres</w:t>
      </w:r>
      <w:r w:rsidRPr="00FF44CD">
        <w:rPr>
          <w:color w:val="000000"/>
          <w:lang w:val="sq-AL"/>
        </w:rPr>
        <w:t xml:space="preserve"> ka patur n</w:t>
      </w:r>
      <w:r w:rsidR="00603F10" w:rsidRPr="00FF44CD">
        <w:rPr>
          <w:color w:val="000000"/>
          <w:lang w:val="sq-AL"/>
        </w:rPr>
        <w:t>ë</w:t>
      </w:r>
      <w:r w:rsidRPr="00FF44CD">
        <w:rPr>
          <w:color w:val="000000"/>
          <w:lang w:val="sq-AL"/>
        </w:rPr>
        <w:t xml:space="preserve"> mbledhjen e tatimeve mbi pasurin</w:t>
      </w:r>
      <w:r w:rsidR="00603F10" w:rsidRPr="00FF44CD">
        <w:rPr>
          <w:color w:val="000000"/>
          <w:lang w:val="sq-AL"/>
        </w:rPr>
        <w:t>ë</w:t>
      </w:r>
      <w:r w:rsidRPr="00FF44CD">
        <w:rPr>
          <w:color w:val="000000"/>
          <w:lang w:val="sq-AL"/>
        </w:rPr>
        <w:t xml:space="preserve"> (mbi tok</w:t>
      </w:r>
      <w:r w:rsidR="00603F10" w:rsidRPr="00FF44CD">
        <w:rPr>
          <w:color w:val="000000"/>
          <w:lang w:val="sq-AL"/>
        </w:rPr>
        <w:t>ë</w:t>
      </w:r>
      <w:r w:rsidRPr="00FF44CD">
        <w:rPr>
          <w:color w:val="000000"/>
          <w:lang w:val="sq-AL"/>
        </w:rPr>
        <w:t>n bujq</w:t>
      </w:r>
      <w:r w:rsidR="00603F10" w:rsidRPr="00FF44CD">
        <w:rPr>
          <w:color w:val="000000"/>
          <w:lang w:val="sq-AL"/>
        </w:rPr>
        <w:t>ë</w:t>
      </w:r>
      <w:r w:rsidRPr="00FF44CD">
        <w:rPr>
          <w:color w:val="000000"/>
          <w:lang w:val="sq-AL"/>
        </w:rPr>
        <w:t>sore dhe nd</w:t>
      </w:r>
      <w:r w:rsidR="00603F10" w:rsidRPr="00FF44CD">
        <w:rPr>
          <w:color w:val="000000"/>
          <w:lang w:val="sq-AL"/>
        </w:rPr>
        <w:t>ë</w:t>
      </w:r>
      <w:r w:rsidRPr="00FF44CD">
        <w:rPr>
          <w:color w:val="000000"/>
          <w:lang w:val="sq-AL"/>
        </w:rPr>
        <w:t>rtesat) p</w:t>
      </w:r>
      <w:r w:rsidR="00603F10" w:rsidRPr="00FF44CD">
        <w:rPr>
          <w:color w:val="000000"/>
          <w:lang w:val="sq-AL"/>
        </w:rPr>
        <w:t>ë</w:t>
      </w:r>
      <w:r w:rsidRPr="00FF44CD">
        <w:rPr>
          <w:color w:val="000000"/>
          <w:lang w:val="sq-AL"/>
        </w:rPr>
        <w:t>r arsye t</w:t>
      </w:r>
      <w:r w:rsidR="00603F10" w:rsidRPr="00FF44CD">
        <w:rPr>
          <w:color w:val="000000"/>
          <w:lang w:val="sq-AL"/>
        </w:rPr>
        <w:t>ë</w:t>
      </w:r>
      <w:r w:rsidRPr="00FF44CD">
        <w:rPr>
          <w:color w:val="000000"/>
          <w:lang w:val="sq-AL"/>
        </w:rPr>
        <w:t xml:space="preserve"> problematikave t</w:t>
      </w:r>
      <w:r w:rsidR="00603F10" w:rsidRPr="00FF44CD">
        <w:rPr>
          <w:color w:val="000000"/>
          <w:lang w:val="sq-AL"/>
        </w:rPr>
        <w:t>ë</w:t>
      </w:r>
      <w:r w:rsidRPr="00FF44CD">
        <w:rPr>
          <w:color w:val="000000"/>
          <w:lang w:val="sq-AL"/>
        </w:rPr>
        <w:t xml:space="preserve"> vazhdueshme n</w:t>
      </w:r>
      <w:r w:rsidR="00603F10" w:rsidRPr="00FF44CD">
        <w:rPr>
          <w:color w:val="000000"/>
          <w:lang w:val="sq-AL"/>
        </w:rPr>
        <w:t>ë</w:t>
      </w:r>
      <w:r w:rsidRPr="00FF44CD">
        <w:rPr>
          <w:color w:val="000000"/>
          <w:lang w:val="sq-AL"/>
        </w:rPr>
        <w:t xml:space="preserve"> regjistrimin e pasuris</w:t>
      </w:r>
      <w:r w:rsidR="00603F10" w:rsidRPr="00FF44CD">
        <w:rPr>
          <w:color w:val="000000"/>
          <w:lang w:val="sq-AL"/>
        </w:rPr>
        <w:t>ë</w:t>
      </w:r>
      <w:r w:rsidRPr="00FF44CD">
        <w:rPr>
          <w:color w:val="000000"/>
          <w:lang w:val="sq-AL"/>
        </w:rPr>
        <w:t xml:space="preserve"> dhe deklarimet nga individ</w:t>
      </w:r>
      <w:r w:rsidR="00603F10" w:rsidRPr="00FF44CD">
        <w:rPr>
          <w:color w:val="000000"/>
          <w:lang w:val="sq-AL"/>
        </w:rPr>
        <w:t>ë</w:t>
      </w:r>
      <w:r w:rsidRPr="00FF44CD">
        <w:rPr>
          <w:color w:val="000000"/>
          <w:lang w:val="sq-AL"/>
        </w:rPr>
        <w:t>t. Ecuri n</w:t>
      </w:r>
      <w:r w:rsidR="00603F10" w:rsidRPr="00FF44CD">
        <w:rPr>
          <w:color w:val="000000"/>
          <w:lang w:val="sq-AL"/>
        </w:rPr>
        <w:t>ë</w:t>
      </w:r>
      <w:r w:rsidRPr="00FF44CD">
        <w:rPr>
          <w:color w:val="000000"/>
          <w:lang w:val="sq-AL"/>
        </w:rPr>
        <w:t xml:space="preserve"> rritje ka patur grupi </w:t>
      </w:r>
      <w:r w:rsidR="0068253D" w:rsidRPr="00FF44CD">
        <w:rPr>
          <w:color w:val="000000"/>
          <w:lang w:val="sq-AL"/>
        </w:rPr>
        <w:t>i</w:t>
      </w:r>
      <w:r w:rsidRPr="00FF44CD">
        <w:rPr>
          <w:color w:val="000000"/>
          <w:lang w:val="sq-AL"/>
        </w:rPr>
        <w:t xml:space="preserve"> taksave nacionale si dhe kontributet e sigurimeve shoq</w:t>
      </w:r>
      <w:r w:rsidR="00603F10" w:rsidRPr="00FF44CD">
        <w:rPr>
          <w:color w:val="000000"/>
          <w:lang w:val="sq-AL"/>
        </w:rPr>
        <w:t>ë</w:t>
      </w:r>
      <w:r w:rsidRPr="00FF44CD">
        <w:rPr>
          <w:color w:val="000000"/>
          <w:lang w:val="sq-AL"/>
        </w:rPr>
        <w:t>rore dhe sh</w:t>
      </w:r>
      <w:r w:rsidR="00603F10" w:rsidRPr="00FF44CD">
        <w:rPr>
          <w:color w:val="000000"/>
          <w:lang w:val="sq-AL"/>
        </w:rPr>
        <w:t>ë</w:t>
      </w:r>
      <w:r w:rsidRPr="00FF44CD">
        <w:rPr>
          <w:color w:val="000000"/>
          <w:lang w:val="sq-AL"/>
        </w:rPr>
        <w:t>ndet</w:t>
      </w:r>
      <w:r w:rsidR="00603F10" w:rsidRPr="00FF44CD">
        <w:rPr>
          <w:color w:val="000000"/>
          <w:lang w:val="sq-AL"/>
        </w:rPr>
        <w:t>ë</w:t>
      </w:r>
      <w:r w:rsidRPr="00FF44CD">
        <w:rPr>
          <w:color w:val="000000"/>
          <w:lang w:val="sq-AL"/>
        </w:rPr>
        <w:t>sore.</w:t>
      </w:r>
      <w:r w:rsidRPr="001F505E">
        <w:rPr>
          <w:color w:val="000000"/>
          <w:lang w:val="sq-AL"/>
        </w:rPr>
        <w:t xml:space="preserve"> </w:t>
      </w:r>
    </w:p>
    <w:p w:rsidR="00313000" w:rsidRPr="001F505E" w:rsidRDefault="00313000" w:rsidP="00E77295">
      <w:pPr>
        <w:rPr>
          <w:lang w:val="sq-AL"/>
        </w:rPr>
      </w:pPr>
    </w:p>
    <w:p w:rsidR="00735D54" w:rsidRPr="001F505E" w:rsidRDefault="00735D54" w:rsidP="00E77295">
      <w:pPr>
        <w:rPr>
          <w:lang w:val="sq-AL"/>
        </w:rPr>
        <w:sectPr w:rsidR="00735D54" w:rsidRPr="001F505E" w:rsidSect="00F72EE4">
          <w:footerReference w:type="even" r:id="rId12"/>
          <w:footerReference w:type="default" r:id="rId13"/>
          <w:type w:val="nextColumn"/>
          <w:pgSz w:w="12240" w:h="15840"/>
          <w:pgMar w:top="1418" w:right="1418" w:bottom="1418" w:left="1418" w:header="720" w:footer="720" w:gutter="0"/>
          <w:cols w:space="720"/>
          <w:titlePg/>
          <w:docGrid w:linePitch="360"/>
        </w:sectPr>
      </w:pPr>
    </w:p>
    <w:p w:rsidR="002C4697" w:rsidRPr="001F505E" w:rsidRDefault="00BC17EE" w:rsidP="00EE0413">
      <w:pPr>
        <w:pStyle w:val="Heading1"/>
        <w:tabs>
          <w:tab w:val="left" w:pos="6050"/>
        </w:tabs>
        <w:rPr>
          <w:lang w:val="sq-AL"/>
        </w:rPr>
      </w:pPr>
      <w:bookmarkStart w:id="3" w:name="_Toc367712683"/>
      <w:r w:rsidRPr="001F505E">
        <w:rPr>
          <w:lang w:val="sq-AL"/>
        </w:rPr>
        <w:lastRenderedPageBreak/>
        <w:t>A</w:t>
      </w:r>
      <w:r w:rsidR="00472D34" w:rsidRPr="001F505E">
        <w:rPr>
          <w:lang w:val="sq-AL"/>
        </w:rPr>
        <w:t>naliza sipas t</w:t>
      </w:r>
      <w:r w:rsidR="0005713F" w:rsidRPr="001F505E">
        <w:rPr>
          <w:lang w:val="sq-AL"/>
        </w:rPr>
        <w:t>Ë</w:t>
      </w:r>
      <w:r w:rsidR="00472D34" w:rsidRPr="001F505E">
        <w:rPr>
          <w:lang w:val="sq-AL"/>
        </w:rPr>
        <w:t xml:space="preserve"> ardhurave</w:t>
      </w:r>
      <w:bookmarkEnd w:id="3"/>
    </w:p>
    <w:p w:rsidR="00F85F67" w:rsidRPr="001F505E" w:rsidRDefault="006739C1" w:rsidP="003F4270">
      <w:pPr>
        <w:pStyle w:val="Heading3"/>
        <w:rPr>
          <w:lang w:val="sq-AL"/>
        </w:rPr>
      </w:pPr>
      <w:bookmarkStart w:id="4" w:name="_Toc367712684"/>
      <w:r w:rsidRPr="001F505E">
        <w:rPr>
          <w:lang w:val="sq-AL"/>
        </w:rPr>
        <w:t>Tatimet mbi konsumin: Tatimi mbi Vler</w:t>
      </w:r>
      <w:r w:rsidR="0005713F" w:rsidRPr="001F505E">
        <w:rPr>
          <w:lang w:val="sq-AL"/>
        </w:rPr>
        <w:t>ë</w:t>
      </w:r>
      <w:r w:rsidRPr="001F505E">
        <w:rPr>
          <w:lang w:val="sq-AL"/>
        </w:rPr>
        <w:t>n e shtuar</w:t>
      </w:r>
      <w:bookmarkEnd w:id="4"/>
    </w:p>
    <w:p w:rsidR="00F83B61" w:rsidRPr="001F505E" w:rsidRDefault="005248F3" w:rsidP="00F83B61">
      <w:pPr>
        <w:jc w:val="left"/>
        <w:rPr>
          <w:lang w:val="sq-AL"/>
        </w:rPr>
      </w:pPr>
      <w:r>
        <w:rPr>
          <w:lang w:val="sq-AL"/>
        </w:rPr>
        <w:t>Tatimi mbi Vler</w:t>
      </w:r>
      <w:r w:rsidR="004B355A">
        <w:rPr>
          <w:lang w:val="sq-AL"/>
        </w:rPr>
        <w:t>ë</w:t>
      </w:r>
      <w:r>
        <w:rPr>
          <w:lang w:val="sq-AL"/>
        </w:rPr>
        <w:t xml:space="preserve">n e Shtuar </w:t>
      </w:r>
      <w:r w:rsidR="004B355A">
        <w:rPr>
          <w:lang w:val="sq-AL"/>
        </w:rPr>
        <w:t>ë</w:t>
      </w:r>
      <w:r>
        <w:rPr>
          <w:lang w:val="sq-AL"/>
        </w:rPr>
        <w:t>shte nj</w:t>
      </w:r>
      <w:r w:rsidR="004B355A">
        <w:rPr>
          <w:lang w:val="sq-AL"/>
        </w:rPr>
        <w:t>ë</w:t>
      </w:r>
      <w:r>
        <w:rPr>
          <w:lang w:val="sq-AL"/>
        </w:rPr>
        <w:t xml:space="preserve"> nga z</w:t>
      </w:r>
      <w:r w:rsidR="004B355A">
        <w:rPr>
          <w:lang w:val="sq-AL"/>
        </w:rPr>
        <w:t>ë</w:t>
      </w:r>
      <w:r>
        <w:rPr>
          <w:lang w:val="sq-AL"/>
        </w:rPr>
        <w:t>rat m</w:t>
      </w:r>
      <w:r w:rsidR="004B355A">
        <w:rPr>
          <w:lang w:val="sq-AL"/>
        </w:rPr>
        <w:t>ë</w:t>
      </w:r>
      <w:r>
        <w:rPr>
          <w:lang w:val="sq-AL"/>
        </w:rPr>
        <w:t xml:space="preserve"> problematik</w:t>
      </w:r>
      <w:r w:rsidR="004B355A">
        <w:rPr>
          <w:lang w:val="sq-AL"/>
        </w:rPr>
        <w:t>ë</w:t>
      </w:r>
      <w:r>
        <w:rPr>
          <w:lang w:val="sq-AL"/>
        </w:rPr>
        <w:t xml:space="preserve"> p</w:t>
      </w:r>
      <w:r w:rsidR="004B355A">
        <w:rPr>
          <w:lang w:val="sq-AL"/>
        </w:rPr>
        <w:t>ë</w:t>
      </w:r>
      <w:r>
        <w:rPr>
          <w:lang w:val="sq-AL"/>
        </w:rPr>
        <w:t>r periudh</w:t>
      </w:r>
      <w:r w:rsidR="004B355A">
        <w:rPr>
          <w:lang w:val="sq-AL"/>
        </w:rPr>
        <w:t>ë</w:t>
      </w:r>
      <w:r>
        <w:rPr>
          <w:lang w:val="sq-AL"/>
        </w:rPr>
        <w:t>n, me ulje vjetore t</w:t>
      </w:r>
      <w:r w:rsidR="004B355A">
        <w:rPr>
          <w:lang w:val="sq-AL"/>
        </w:rPr>
        <w:t>ë</w:t>
      </w:r>
      <w:r>
        <w:rPr>
          <w:lang w:val="sq-AL"/>
        </w:rPr>
        <w:t xml:space="preserve"> t</w:t>
      </w:r>
      <w:r w:rsidR="004B355A">
        <w:rPr>
          <w:lang w:val="sq-AL"/>
        </w:rPr>
        <w:t>ë</w:t>
      </w:r>
      <w:r>
        <w:rPr>
          <w:lang w:val="sq-AL"/>
        </w:rPr>
        <w:t xml:space="preserve"> ardhurave t</w:t>
      </w:r>
      <w:r w:rsidR="004B355A">
        <w:rPr>
          <w:lang w:val="sq-AL"/>
        </w:rPr>
        <w:t>ë</w:t>
      </w:r>
      <w:r>
        <w:rPr>
          <w:lang w:val="sq-AL"/>
        </w:rPr>
        <w:t xml:space="preserve"> mbledhura p</w:t>
      </w:r>
      <w:r w:rsidR="004B355A">
        <w:rPr>
          <w:lang w:val="sq-AL"/>
        </w:rPr>
        <w:t>ë</w:t>
      </w:r>
      <w:r>
        <w:rPr>
          <w:lang w:val="sq-AL"/>
        </w:rPr>
        <w:t>r periudh</w:t>
      </w:r>
      <w:r w:rsidR="004B355A">
        <w:rPr>
          <w:lang w:val="sq-AL"/>
        </w:rPr>
        <w:t>ë</w:t>
      </w:r>
      <w:r>
        <w:rPr>
          <w:lang w:val="sq-AL"/>
        </w:rPr>
        <w:t>n rreth 6 p</w:t>
      </w:r>
      <w:r w:rsidR="004B355A">
        <w:rPr>
          <w:lang w:val="sq-AL"/>
        </w:rPr>
        <w:t>ë</w:t>
      </w:r>
      <w:r>
        <w:rPr>
          <w:lang w:val="sq-AL"/>
        </w:rPr>
        <w:t>rqind, duke q</w:t>
      </w:r>
      <w:r w:rsidR="004B355A">
        <w:rPr>
          <w:lang w:val="sq-AL"/>
        </w:rPr>
        <w:t>ë</w:t>
      </w:r>
      <w:r>
        <w:rPr>
          <w:lang w:val="sq-AL"/>
        </w:rPr>
        <w:t>n</w:t>
      </w:r>
      <w:r w:rsidR="004B355A">
        <w:rPr>
          <w:lang w:val="sq-AL"/>
        </w:rPr>
        <w:t>ë</w:t>
      </w:r>
      <w:r>
        <w:rPr>
          <w:lang w:val="sq-AL"/>
        </w:rPr>
        <w:t xml:space="preserve"> n</w:t>
      </w:r>
      <w:r w:rsidR="004B355A">
        <w:rPr>
          <w:lang w:val="sq-AL"/>
        </w:rPr>
        <w:t>ë</w:t>
      </w:r>
      <w:r>
        <w:rPr>
          <w:lang w:val="sq-AL"/>
        </w:rPr>
        <w:t xml:space="preserve"> nivelin e 60.7 miliard</w:t>
      </w:r>
      <w:r w:rsidR="004B355A">
        <w:rPr>
          <w:lang w:val="sq-AL"/>
        </w:rPr>
        <w:t>ë</w:t>
      </w:r>
      <w:r>
        <w:rPr>
          <w:lang w:val="sq-AL"/>
        </w:rPr>
        <w:t xml:space="preserve"> lek</w:t>
      </w:r>
      <w:r w:rsidR="004B355A">
        <w:rPr>
          <w:lang w:val="sq-AL"/>
        </w:rPr>
        <w:t>ë</w:t>
      </w:r>
      <w:r>
        <w:rPr>
          <w:lang w:val="sq-AL"/>
        </w:rPr>
        <w:t xml:space="preserve"> (rreth nivelit t</w:t>
      </w:r>
      <w:r w:rsidR="004B355A">
        <w:rPr>
          <w:lang w:val="sq-AL"/>
        </w:rPr>
        <w:t>ë</w:t>
      </w:r>
      <w:r>
        <w:rPr>
          <w:lang w:val="sq-AL"/>
        </w:rPr>
        <w:t xml:space="preserve"> vitit 2008).</w:t>
      </w:r>
      <w:r w:rsidR="00F83B61" w:rsidRPr="001F505E">
        <w:rPr>
          <w:lang w:val="sq-AL"/>
        </w:rPr>
        <w:t xml:space="preserve"> </w:t>
      </w:r>
    </w:p>
    <w:p w:rsidR="0035258D" w:rsidRPr="0035258D" w:rsidRDefault="00F83B61" w:rsidP="0035258D">
      <w:pPr>
        <w:rPr>
          <w:lang w:val="sq-AL"/>
        </w:rPr>
      </w:pPr>
      <w:r w:rsidRPr="001F505E">
        <w:rPr>
          <w:lang w:val="sq-AL"/>
        </w:rPr>
        <w:t>T</w:t>
      </w:r>
      <w:r w:rsidR="007F1B08" w:rsidRPr="001F505E">
        <w:rPr>
          <w:lang w:val="sq-AL"/>
        </w:rPr>
        <w:t>ë</w:t>
      </w:r>
      <w:r w:rsidRPr="001F505E">
        <w:rPr>
          <w:lang w:val="sq-AL"/>
        </w:rPr>
        <w:t xml:space="preserve"> ardhurat e mbledhura nga importet ishin ndjesh</w:t>
      </w:r>
      <w:r w:rsidR="007F1B08" w:rsidRPr="001F505E">
        <w:rPr>
          <w:lang w:val="sq-AL"/>
        </w:rPr>
        <w:t>ë</w:t>
      </w:r>
      <w:r w:rsidRPr="001F505E">
        <w:rPr>
          <w:lang w:val="sq-AL"/>
        </w:rPr>
        <w:t>m n</w:t>
      </w:r>
      <w:r w:rsidR="007F1B08" w:rsidRPr="001F505E">
        <w:rPr>
          <w:lang w:val="sq-AL"/>
        </w:rPr>
        <w:t>ë</w:t>
      </w:r>
      <w:r w:rsidRPr="001F505E">
        <w:rPr>
          <w:lang w:val="sq-AL"/>
        </w:rPr>
        <w:t>n nivelin e pritsh</w:t>
      </w:r>
      <w:r w:rsidR="007F1B08" w:rsidRPr="001F505E">
        <w:rPr>
          <w:lang w:val="sq-AL"/>
        </w:rPr>
        <w:t>ë</w:t>
      </w:r>
      <w:r w:rsidRPr="001F505E">
        <w:rPr>
          <w:lang w:val="sq-AL"/>
        </w:rPr>
        <w:t>m,</w:t>
      </w:r>
      <w:r w:rsidRPr="001F505E">
        <w:rPr>
          <w:b/>
          <w:bCs/>
          <w:i/>
          <w:iCs/>
          <w:lang w:val="sq-AL"/>
        </w:rPr>
        <w:t xml:space="preserve"> </w:t>
      </w:r>
      <w:r w:rsidR="005248F3" w:rsidRPr="005248F3">
        <w:rPr>
          <w:bCs/>
          <w:iCs/>
          <w:lang w:val="sq-AL"/>
        </w:rPr>
        <w:t>47.4</w:t>
      </w:r>
      <w:r w:rsidRPr="001F505E">
        <w:rPr>
          <w:lang w:val="sq-AL"/>
        </w:rPr>
        <w:t xml:space="preserve"> miliardë lekë TVSH nga </w:t>
      </w:r>
      <w:r w:rsidR="005248F3">
        <w:rPr>
          <w:lang w:val="sq-AL"/>
        </w:rPr>
        <w:t>52</w:t>
      </w:r>
      <w:r w:rsidRPr="001F505E">
        <w:rPr>
          <w:lang w:val="sq-AL"/>
        </w:rPr>
        <w:t xml:space="preserve"> miliard</w:t>
      </w:r>
      <w:r w:rsidR="007F1B08" w:rsidRPr="001F505E">
        <w:rPr>
          <w:lang w:val="sq-AL"/>
        </w:rPr>
        <w:t>ë</w:t>
      </w:r>
      <w:r w:rsidRPr="001F505E">
        <w:rPr>
          <w:lang w:val="sq-AL"/>
        </w:rPr>
        <w:t xml:space="preserve"> t</w:t>
      </w:r>
      <w:r w:rsidR="007F1B08" w:rsidRPr="001F505E">
        <w:rPr>
          <w:lang w:val="sq-AL"/>
        </w:rPr>
        <w:t>ë</w:t>
      </w:r>
      <w:r w:rsidRPr="001F505E">
        <w:rPr>
          <w:lang w:val="sq-AL"/>
        </w:rPr>
        <w:t xml:space="preserve"> planifikuara, </w:t>
      </w:r>
      <w:r w:rsidR="007F1B08" w:rsidRPr="001F505E">
        <w:rPr>
          <w:lang w:val="sq-AL"/>
        </w:rPr>
        <w:t>ç’</w:t>
      </w:r>
      <w:r w:rsidRPr="001F505E">
        <w:rPr>
          <w:lang w:val="sq-AL"/>
        </w:rPr>
        <w:t>ka reflekton ecurin</w:t>
      </w:r>
      <w:r w:rsidR="007F1B08" w:rsidRPr="001F505E">
        <w:rPr>
          <w:lang w:val="sq-AL"/>
        </w:rPr>
        <w:t>ë</w:t>
      </w:r>
      <w:r w:rsidRPr="001F505E">
        <w:rPr>
          <w:lang w:val="sq-AL"/>
        </w:rPr>
        <w:t xml:space="preserve"> e importeve gjat</w:t>
      </w:r>
      <w:r w:rsidR="007F1B08" w:rsidRPr="001F505E">
        <w:rPr>
          <w:lang w:val="sq-AL"/>
        </w:rPr>
        <w:t>ë</w:t>
      </w:r>
      <w:r w:rsidRPr="001F505E">
        <w:rPr>
          <w:lang w:val="sq-AL"/>
        </w:rPr>
        <w:t xml:space="preserve"> k</w:t>
      </w:r>
      <w:r w:rsidR="007F1B08" w:rsidRPr="001F505E">
        <w:rPr>
          <w:lang w:val="sq-AL"/>
        </w:rPr>
        <w:t>ë</w:t>
      </w:r>
      <w:r w:rsidR="005248F3">
        <w:rPr>
          <w:lang w:val="sq-AL"/>
        </w:rPr>
        <w:t xml:space="preserve">saj periudhe. </w:t>
      </w:r>
      <w:r w:rsidRPr="001F505E">
        <w:rPr>
          <w:lang w:val="sq-AL"/>
        </w:rPr>
        <w:t>Për këtë periudhë, të ardhurat nga TVSH-</w:t>
      </w:r>
      <w:r w:rsidR="005248F3">
        <w:rPr>
          <w:lang w:val="sq-AL"/>
        </w:rPr>
        <w:t>ja në doganë përbëjnë rreth 78</w:t>
      </w:r>
      <w:r w:rsidRPr="001F505E">
        <w:rPr>
          <w:lang w:val="sq-AL"/>
        </w:rPr>
        <w:t xml:space="preserve"> përqind të të ardhurave gjithsej nga TVSH-ja. Ndërsa krahasuar me të njëtën periudhë të vitit të kaluar </w:t>
      </w:r>
      <w:r w:rsidR="005248F3">
        <w:rPr>
          <w:lang w:val="sq-AL"/>
        </w:rPr>
        <w:t>ato rezultojnë të jenë 3.7</w:t>
      </w:r>
      <w:r w:rsidRPr="001F505E">
        <w:rPr>
          <w:lang w:val="sq-AL"/>
        </w:rPr>
        <w:t xml:space="preserve"> miliardë lekë më pak</w:t>
      </w:r>
      <w:r w:rsidR="00F96A49" w:rsidRPr="001F505E">
        <w:rPr>
          <w:lang w:val="sq-AL"/>
        </w:rPr>
        <w:t>,</w:t>
      </w:r>
      <w:r w:rsidRPr="001F505E">
        <w:rPr>
          <w:lang w:val="sq-AL"/>
        </w:rPr>
        <w:t xml:space="preserve"> ose -</w:t>
      </w:r>
      <w:r w:rsidR="005248F3">
        <w:rPr>
          <w:lang w:val="sq-AL"/>
        </w:rPr>
        <w:t>7.2</w:t>
      </w:r>
      <w:r w:rsidRPr="001F505E">
        <w:rPr>
          <w:lang w:val="sq-AL"/>
        </w:rPr>
        <w:t xml:space="preserve"> përqind. Nga </w:t>
      </w:r>
      <w:r w:rsidR="005248F3">
        <w:rPr>
          <w:lang w:val="sq-AL"/>
        </w:rPr>
        <w:t>t</w:t>
      </w:r>
      <w:r w:rsidR="004B355A">
        <w:rPr>
          <w:lang w:val="sq-AL"/>
        </w:rPr>
        <w:t>ë</w:t>
      </w:r>
      <w:r w:rsidR="005248F3">
        <w:rPr>
          <w:lang w:val="sq-AL"/>
        </w:rPr>
        <w:t xml:space="preserve"> dh</w:t>
      </w:r>
      <w:r w:rsidR="004B355A">
        <w:rPr>
          <w:lang w:val="sq-AL"/>
        </w:rPr>
        <w:t>ë</w:t>
      </w:r>
      <w:r w:rsidR="005248F3">
        <w:rPr>
          <w:lang w:val="sq-AL"/>
        </w:rPr>
        <w:t>nat e Drejtoris</w:t>
      </w:r>
      <w:r w:rsidR="004B355A">
        <w:rPr>
          <w:lang w:val="sq-AL"/>
        </w:rPr>
        <w:t>ë</w:t>
      </w:r>
      <w:r w:rsidR="005248F3">
        <w:rPr>
          <w:lang w:val="sq-AL"/>
        </w:rPr>
        <w:t xml:space="preserve"> s</w:t>
      </w:r>
      <w:r w:rsidR="004B355A">
        <w:rPr>
          <w:lang w:val="sq-AL"/>
        </w:rPr>
        <w:t>ë</w:t>
      </w:r>
      <w:r w:rsidR="005248F3">
        <w:rPr>
          <w:lang w:val="sq-AL"/>
        </w:rPr>
        <w:t xml:space="preserve"> P</w:t>
      </w:r>
      <w:r w:rsidR="004B355A">
        <w:rPr>
          <w:lang w:val="sq-AL"/>
        </w:rPr>
        <w:t>ë</w:t>
      </w:r>
      <w:r w:rsidR="005248F3">
        <w:rPr>
          <w:lang w:val="sq-AL"/>
        </w:rPr>
        <w:t>rgjithshme t</w:t>
      </w:r>
      <w:r w:rsidR="004B355A">
        <w:rPr>
          <w:lang w:val="sq-AL"/>
        </w:rPr>
        <w:t>ë</w:t>
      </w:r>
      <w:r w:rsidR="005248F3">
        <w:rPr>
          <w:lang w:val="sq-AL"/>
        </w:rPr>
        <w:t xml:space="preserve"> Doganave rezulton se fillimi i aplikimit t</w:t>
      </w:r>
      <w:r w:rsidR="004B355A">
        <w:rPr>
          <w:lang w:val="sq-AL"/>
        </w:rPr>
        <w:t>ë</w:t>
      </w:r>
      <w:r w:rsidR="005248F3">
        <w:rPr>
          <w:lang w:val="sq-AL"/>
        </w:rPr>
        <w:t xml:space="preserve"> p</w:t>
      </w:r>
      <w:r w:rsidR="004B355A">
        <w:rPr>
          <w:lang w:val="sq-AL"/>
        </w:rPr>
        <w:t>ë</w:t>
      </w:r>
      <w:r w:rsidR="005248F3">
        <w:rPr>
          <w:lang w:val="sq-AL"/>
        </w:rPr>
        <w:t>rjashtimit nga TVSH t</w:t>
      </w:r>
      <w:r w:rsidR="004B355A">
        <w:rPr>
          <w:lang w:val="sq-AL"/>
        </w:rPr>
        <w:t>ë</w:t>
      </w:r>
      <w:r w:rsidR="005248F3">
        <w:rPr>
          <w:lang w:val="sq-AL"/>
        </w:rPr>
        <w:t xml:space="preserve"> makinerive dhe pajisjeve bauar n</w:t>
      </w:r>
      <w:r w:rsidR="004B355A">
        <w:rPr>
          <w:lang w:val="sq-AL"/>
        </w:rPr>
        <w:t>ë</w:t>
      </w:r>
      <w:r w:rsidR="005248F3">
        <w:rPr>
          <w:lang w:val="sq-AL"/>
        </w:rPr>
        <w:t xml:space="preserve"> ligjin 125/2012 rezulton nj</w:t>
      </w:r>
      <w:r w:rsidR="004B355A">
        <w:rPr>
          <w:lang w:val="sq-AL"/>
        </w:rPr>
        <w:t>ë</w:t>
      </w:r>
      <w:r w:rsidR="005248F3">
        <w:rPr>
          <w:lang w:val="sq-AL"/>
        </w:rPr>
        <w:t xml:space="preserve"> shum</w:t>
      </w:r>
      <w:r w:rsidR="004B355A">
        <w:rPr>
          <w:lang w:val="sq-AL"/>
        </w:rPr>
        <w:t>ë</w:t>
      </w:r>
      <w:r w:rsidR="005248F3">
        <w:rPr>
          <w:lang w:val="sq-AL"/>
        </w:rPr>
        <w:t xml:space="preserve"> TVSH e p</w:t>
      </w:r>
      <w:r w:rsidR="004B355A">
        <w:rPr>
          <w:lang w:val="sq-AL"/>
        </w:rPr>
        <w:t>ë</w:t>
      </w:r>
      <w:r w:rsidR="005248F3">
        <w:rPr>
          <w:lang w:val="sq-AL"/>
        </w:rPr>
        <w:t>rjas</w:t>
      </w:r>
      <w:r w:rsidR="00F7093A">
        <w:rPr>
          <w:lang w:val="sq-AL"/>
        </w:rPr>
        <w:t>h</w:t>
      </w:r>
      <w:r w:rsidR="005248F3">
        <w:rPr>
          <w:lang w:val="sq-AL"/>
        </w:rPr>
        <w:t xml:space="preserve">tuar prej rreth </w:t>
      </w:r>
      <w:r w:rsidR="00F7093A">
        <w:rPr>
          <w:lang w:val="sq-AL"/>
        </w:rPr>
        <w:t>286.5 milionë</w:t>
      </w:r>
      <w:r w:rsidR="005248F3">
        <w:rPr>
          <w:lang w:val="sq-AL"/>
        </w:rPr>
        <w:t xml:space="preserve"> p</w:t>
      </w:r>
      <w:r w:rsidR="004B355A">
        <w:rPr>
          <w:lang w:val="sq-AL"/>
        </w:rPr>
        <w:t>ë</w:t>
      </w:r>
      <w:r w:rsidR="005248F3">
        <w:rPr>
          <w:lang w:val="sq-AL"/>
        </w:rPr>
        <w:t>r periudh</w:t>
      </w:r>
      <w:r w:rsidR="004B355A">
        <w:rPr>
          <w:lang w:val="sq-AL"/>
        </w:rPr>
        <w:t>ë</w:t>
      </w:r>
      <w:r w:rsidR="005248F3">
        <w:rPr>
          <w:lang w:val="sq-AL"/>
        </w:rPr>
        <w:t xml:space="preserve">n Janar-Korrik. </w:t>
      </w:r>
      <w:r w:rsidR="0035258D">
        <w:rPr>
          <w:lang w:val="sq-AL"/>
        </w:rPr>
        <w:t>Ecuria e TVSH s</w:t>
      </w:r>
      <w:r w:rsidR="004B355A">
        <w:rPr>
          <w:lang w:val="sq-AL"/>
        </w:rPr>
        <w:t>ë</w:t>
      </w:r>
      <w:r w:rsidR="0035258D">
        <w:rPr>
          <w:lang w:val="sq-AL"/>
        </w:rPr>
        <w:t xml:space="preserve"> mbledhur n</w:t>
      </w:r>
      <w:r w:rsidR="004B355A">
        <w:rPr>
          <w:lang w:val="sq-AL"/>
        </w:rPr>
        <w:t>ë</w:t>
      </w:r>
      <w:r w:rsidR="0035258D">
        <w:rPr>
          <w:lang w:val="sq-AL"/>
        </w:rPr>
        <w:t xml:space="preserve"> import </w:t>
      </w:r>
      <w:r w:rsidR="004B355A">
        <w:rPr>
          <w:lang w:val="sq-AL"/>
        </w:rPr>
        <w:t>ë</w:t>
      </w:r>
      <w:r w:rsidR="0035258D">
        <w:rPr>
          <w:lang w:val="sq-AL"/>
        </w:rPr>
        <w:t>sht</w:t>
      </w:r>
      <w:r w:rsidR="004B355A">
        <w:rPr>
          <w:lang w:val="sq-AL"/>
        </w:rPr>
        <w:t>ë</w:t>
      </w:r>
      <w:r w:rsidR="0035258D">
        <w:rPr>
          <w:lang w:val="sq-AL"/>
        </w:rPr>
        <w:t xml:space="preserve"> reflektim i ecuris</w:t>
      </w:r>
      <w:r w:rsidR="004B355A">
        <w:rPr>
          <w:lang w:val="sq-AL"/>
        </w:rPr>
        <w:t>ë</w:t>
      </w:r>
      <w:r w:rsidR="0035258D">
        <w:rPr>
          <w:lang w:val="sq-AL"/>
        </w:rPr>
        <w:t xml:space="preserve"> s</w:t>
      </w:r>
      <w:r w:rsidR="004B355A">
        <w:rPr>
          <w:lang w:val="sq-AL"/>
        </w:rPr>
        <w:t>ë</w:t>
      </w:r>
      <w:r w:rsidR="0035258D">
        <w:rPr>
          <w:lang w:val="sq-AL"/>
        </w:rPr>
        <w:t xml:space="preserve"> importeve, t</w:t>
      </w:r>
      <w:r w:rsidR="004B355A">
        <w:rPr>
          <w:lang w:val="sq-AL"/>
        </w:rPr>
        <w:t>ë</w:t>
      </w:r>
      <w:r w:rsidR="0035258D">
        <w:rPr>
          <w:lang w:val="sq-AL"/>
        </w:rPr>
        <w:t xml:space="preserve"> cilat p</w:t>
      </w:r>
      <w:r w:rsidR="004B355A">
        <w:rPr>
          <w:lang w:val="sq-AL"/>
        </w:rPr>
        <w:t>ë</w:t>
      </w:r>
      <w:r w:rsidR="0035258D">
        <w:rPr>
          <w:lang w:val="sq-AL"/>
        </w:rPr>
        <w:t>r periudh</w:t>
      </w:r>
      <w:r w:rsidR="004B355A">
        <w:rPr>
          <w:lang w:val="sq-AL"/>
        </w:rPr>
        <w:t>ë</w:t>
      </w:r>
      <w:r w:rsidR="0035258D">
        <w:rPr>
          <w:lang w:val="sq-AL"/>
        </w:rPr>
        <w:t>n rezultojn</w:t>
      </w:r>
      <w:r w:rsidR="004B355A">
        <w:rPr>
          <w:lang w:val="sq-AL"/>
        </w:rPr>
        <w:t>ë</w:t>
      </w:r>
      <w:r w:rsidR="0035258D">
        <w:rPr>
          <w:lang w:val="sq-AL"/>
        </w:rPr>
        <w:t xml:space="preserve"> me r</w:t>
      </w:r>
      <w:r w:rsidR="004B355A">
        <w:rPr>
          <w:lang w:val="sq-AL"/>
        </w:rPr>
        <w:t>ë</w:t>
      </w:r>
      <w:r w:rsidR="0035258D">
        <w:rPr>
          <w:lang w:val="sq-AL"/>
        </w:rPr>
        <w:t>nie prej 4.7 p</w:t>
      </w:r>
      <w:r w:rsidR="004B355A">
        <w:rPr>
          <w:lang w:val="sq-AL"/>
        </w:rPr>
        <w:t>ë</w:t>
      </w:r>
      <w:r w:rsidR="0035258D">
        <w:rPr>
          <w:lang w:val="sq-AL"/>
        </w:rPr>
        <w:t>rqind n</w:t>
      </w:r>
      <w:r w:rsidR="004B355A">
        <w:rPr>
          <w:lang w:val="sq-AL"/>
        </w:rPr>
        <w:t>ë</w:t>
      </w:r>
      <w:r w:rsidR="0035258D">
        <w:rPr>
          <w:lang w:val="sq-AL"/>
        </w:rPr>
        <w:t xml:space="preserve"> nivel total mbi baza vjetore. </w:t>
      </w:r>
      <w:r w:rsidR="0035258D" w:rsidRPr="0035258D">
        <w:rPr>
          <w:lang w:val="sq-AL"/>
        </w:rPr>
        <w:t>Uljet m</w:t>
      </w:r>
      <w:r w:rsidR="004B355A">
        <w:rPr>
          <w:lang w:val="sq-AL"/>
        </w:rPr>
        <w:t>ë</w:t>
      </w:r>
      <w:r w:rsidR="0035258D" w:rsidRPr="0035258D">
        <w:rPr>
          <w:lang w:val="sq-AL"/>
        </w:rPr>
        <w:t xml:space="preserve"> t</w:t>
      </w:r>
      <w:r w:rsidR="004B355A">
        <w:rPr>
          <w:lang w:val="sq-AL"/>
        </w:rPr>
        <w:t>ë</w:t>
      </w:r>
      <w:r w:rsidR="0035258D">
        <w:rPr>
          <w:lang w:val="sq-AL"/>
        </w:rPr>
        <w:t xml:space="preserve"> ndjeshme t</w:t>
      </w:r>
      <w:r w:rsidR="004B355A">
        <w:rPr>
          <w:lang w:val="sq-AL"/>
        </w:rPr>
        <w:t>ë</w:t>
      </w:r>
      <w:r w:rsidR="0035258D" w:rsidRPr="0035258D">
        <w:rPr>
          <w:lang w:val="sq-AL"/>
        </w:rPr>
        <w:t xml:space="preserve"> importeve v</w:t>
      </w:r>
      <w:r w:rsidR="004B355A">
        <w:rPr>
          <w:lang w:val="sq-AL"/>
        </w:rPr>
        <w:t>ë</w:t>
      </w:r>
      <w:r w:rsidR="0035258D" w:rsidRPr="0035258D">
        <w:rPr>
          <w:lang w:val="sq-AL"/>
        </w:rPr>
        <w:t>rehen p</w:t>
      </w:r>
      <w:r w:rsidR="004B355A">
        <w:rPr>
          <w:lang w:val="sq-AL"/>
        </w:rPr>
        <w:t>ë</w:t>
      </w:r>
      <w:r w:rsidR="0035258D" w:rsidRPr="0035258D">
        <w:rPr>
          <w:lang w:val="sq-AL"/>
        </w:rPr>
        <w:t>r artikujt ”mjete transporti”, ”artikuj t</w:t>
      </w:r>
      <w:r w:rsidR="004B355A">
        <w:rPr>
          <w:lang w:val="sq-AL"/>
        </w:rPr>
        <w:t>ë</w:t>
      </w:r>
      <w:r w:rsidR="0035258D" w:rsidRPr="0035258D">
        <w:rPr>
          <w:lang w:val="sq-AL"/>
        </w:rPr>
        <w:t xml:space="preserve"> vesh-mbathjes”, ”materialet e nd</w:t>
      </w:r>
      <w:r w:rsidR="004B355A">
        <w:rPr>
          <w:lang w:val="sq-AL"/>
        </w:rPr>
        <w:t>ë</w:t>
      </w:r>
      <w:r w:rsidR="0035258D" w:rsidRPr="0035258D">
        <w:rPr>
          <w:lang w:val="sq-AL"/>
        </w:rPr>
        <w:t>rtimit”, duhani, etj. Lidhur me efektet e politik</w:t>
      </w:r>
      <w:r w:rsidR="004B355A">
        <w:rPr>
          <w:lang w:val="sq-AL"/>
        </w:rPr>
        <w:t>ë</w:t>
      </w:r>
      <w:r w:rsidR="0035258D" w:rsidRPr="0035258D">
        <w:rPr>
          <w:lang w:val="sq-AL"/>
        </w:rPr>
        <w:t>s tatimore mbi t</w:t>
      </w:r>
      <w:r w:rsidR="004B355A">
        <w:rPr>
          <w:lang w:val="sq-AL"/>
        </w:rPr>
        <w:t>ë</w:t>
      </w:r>
      <w:r w:rsidR="0035258D" w:rsidRPr="0035258D">
        <w:rPr>
          <w:lang w:val="sq-AL"/>
        </w:rPr>
        <w:t xml:space="preserve"> ardhurat nga TVSH, bazuar n</w:t>
      </w:r>
      <w:r w:rsidR="004B355A">
        <w:rPr>
          <w:lang w:val="sq-AL"/>
        </w:rPr>
        <w:t>ë</w:t>
      </w:r>
      <w:r w:rsidR="0035258D" w:rsidRPr="0035258D">
        <w:rPr>
          <w:lang w:val="sq-AL"/>
        </w:rPr>
        <w:t xml:space="preserve"> t</w:t>
      </w:r>
      <w:r w:rsidR="004B355A">
        <w:rPr>
          <w:lang w:val="sq-AL"/>
        </w:rPr>
        <w:t>ë</w:t>
      </w:r>
      <w:r w:rsidR="0035258D" w:rsidRPr="0035258D">
        <w:rPr>
          <w:lang w:val="sq-AL"/>
        </w:rPr>
        <w:t xml:space="preserve"> dh</w:t>
      </w:r>
      <w:r w:rsidR="004B355A">
        <w:rPr>
          <w:lang w:val="sq-AL"/>
        </w:rPr>
        <w:t>ë</w:t>
      </w:r>
      <w:r w:rsidR="0035258D" w:rsidRPr="0035258D">
        <w:rPr>
          <w:lang w:val="sq-AL"/>
        </w:rPr>
        <w:t>nat e DPD p</w:t>
      </w:r>
      <w:r w:rsidR="004B355A">
        <w:rPr>
          <w:lang w:val="sq-AL"/>
        </w:rPr>
        <w:t>ë</w:t>
      </w:r>
      <w:r w:rsidR="0035258D" w:rsidRPr="0035258D">
        <w:rPr>
          <w:lang w:val="sq-AL"/>
        </w:rPr>
        <w:t>r periudh</w:t>
      </w:r>
      <w:r w:rsidR="004B355A">
        <w:rPr>
          <w:lang w:val="sq-AL"/>
        </w:rPr>
        <w:t>ë</w:t>
      </w:r>
      <w:r w:rsidR="0035258D" w:rsidRPr="0035258D">
        <w:rPr>
          <w:lang w:val="sq-AL"/>
        </w:rPr>
        <w:t>n janar-korrik, rezulton nj</w:t>
      </w:r>
      <w:r w:rsidR="004B355A">
        <w:rPr>
          <w:lang w:val="sq-AL"/>
        </w:rPr>
        <w:t>ë</w:t>
      </w:r>
      <w:r w:rsidR="0035258D" w:rsidRPr="0035258D">
        <w:rPr>
          <w:lang w:val="sq-AL"/>
        </w:rPr>
        <w:t xml:space="preserve"> shum</w:t>
      </w:r>
      <w:r w:rsidR="004B355A">
        <w:rPr>
          <w:lang w:val="sq-AL"/>
        </w:rPr>
        <w:t>ë</w:t>
      </w:r>
      <w:r w:rsidR="0035258D" w:rsidRPr="0035258D">
        <w:rPr>
          <w:lang w:val="sq-AL"/>
        </w:rPr>
        <w:t xml:space="preserve"> TVSH e p</w:t>
      </w:r>
      <w:r w:rsidR="004B355A">
        <w:rPr>
          <w:lang w:val="sq-AL"/>
        </w:rPr>
        <w:t>ë</w:t>
      </w:r>
      <w:r w:rsidR="0035258D" w:rsidRPr="0035258D">
        <w:rPr>
          <w:lang w:val="sq-AL"/>
        </w:rPr>
        <w:t xml:space="preserve">rjashtuar mbi importin e </w:t>
      </w:r>
      <w:r w:rsidR="0035258D">
        <w:rPr>
          <w:lang w:val="sq-AL"/>
        </w:rPr>
        <w:t>m</w:t>
      </w:r>
      <w:r w:rsidR="0035258D" w:rsidRPr="0035258D">
        <w:rPr>
          <w:lang w:val="sq-AL"/>
        </w:rPr>
        <w:t>akineri pajisje prej 286.5 milion</w:t>
      </w:r>
      <w:r w:rsidR="004B355A">
        <w:rPr>
          <w:lang w:val="sq-AL"/>
        </w:rPr>
        <w:t>ë</w:t>
      </w:r>
      <w:r w:rsidR="0035258D" w:rsidRPr="0035258D">
        <w:rPr>
          <w:lang w:val="sq-AL"/>
        </w:rPr>
        <w:t xml:space="preserve"> lek</w:t>
      </w:r>
      <w:r w:rsidR="004B355A">
        <w:rPr>
          <w:lang w:val="sq-AL"/>
        </w:rPr>
        <w:t>ë</w:t>
      </w:r>
      <w:r w:rsidR="0035258D" w:rsidRPr="0035258D">
        <w:rPr>
          <w:lang w:val="sq-AL"/>
        </w:rPr>
        <w:t xml:space="preserve"> (VKM nr 180 date 13.2.2013, i ndryshuar), ndar</w:t>
      </w:r>
      <w:r w:rsidR="004B355A">
        <w:rPr>
          <w:lang w:val="sq-AL"/>
        </w:rPr>
        <w:t>ë</w:t>
      </w:r>
      <w:r w:rsidR="0035258D" w:rsidRPr="0035258D">
        <w:rPr>
          <w:lang w:val="sq-AL"/>
        </w:rPr>
        <w:t xml:space="preserve"> sipas grupeve me poshte:</w:t>
      </w:r>
    </w:p>
    <w:p w:rsidR="0035258D" w:rsidRPr="0035258D" w:rsidRDefault="0035258D" w:rsidP="0035258D">
      <w:pPr>
        <w:rPr>
          <w:lang w:val="sq-AL"/>
        </w:rPr>
      </w:pPr>
      <w:r w:rsidRPr="0035258D">
        <w:rPr>
          <w:lang w:val="sq-AL"/>
        </w:rPr>
        <w:t>•</w:t>
      </w:r>
      <w:r w:rsidRPr="0035258D">
        <w:rPr>
          <w:lang w:val="sq-AL"/>
        </w:rPr>
        <w:tab/>
        <w:t xml:space="preserve">Biznes i vogel: </w:t>
      </w:r>
      <w:r>
        <w:rPr>
          <w:lang w:val="sq-AL"/>
        </w:rPr>
        <w:t xml:space="preserve">                      </w:t>
      </w:r>
      <w:r w:rsidR="00210993">
        <w:rPr>
          <w:lang w:val="sq-AL"/>
        </w:rPr>
        <w:t>4.8 milione lekë</w:t>
      </w:r>
    </w:p>
    <w:p w:rsidR="0035258D" w:rsidRPr="0035258D" w:rsidRDefault="0035258D" w:rsidP="0035258D">
      <w:pPr>
        <w:rPr>
          <w:lang w:val="sq-AL"/>
        </w:rPr>
      </w:pPr>
      <w:r w:rsidRPr="0035258D">
        <w:rPr>
          <w:lang w:val="sq-AL"/>
        </w:rPr>
        <w:t>•</w:t>
      </w:r>
      <w:r w:rsidRPr="0035258D">
        <w:rPr>
          <w:lang w:val="sq-AL"/>
        </w:rPr>
        <w:tab/>
        <w:t xml:space="preserve">Agrobiznes: </w:t>
      </w:r>
      <w:r>
        <w:rPr>
          <w:lang w:val="sq-AL"/>
        </w:rPr>
        <w:t xml:space="preserve">                         </w:t>
      </w:r>
      <w:r w:rsidR="00210993">
        <w:rPr>
          <w:lang w:val="sq-AL"/>
        </w:rPr>
        <w:t>37.6 milione lekë</w:t>
      </w:r>
    </w:p>
    <w:p w:rsidR="0035258D" w:rsidRPr="0035258D" w:rsidRDefault="0035258D" w:rsidP="0035258D">
      <w:pPr>
        <w:rPr>
          <w:lang w:val="sq-AL"/>
        </w:rPr>
      </w:pPr>
      <w:r w:rsidRPr="0035258D">
        <w:rPr>
          <w:lang w:val="sq-AL"/>
        </w:rPr>
        <w:t>•</w:t>
      </w:r>
      <w:r w:rsidRPr="0035258D">
        <w:rPr>
          <w:lang w:val="sq-AL"/>
        </w:rPr>
        <w:tab/>
        <w:t xml:space="preserve">Perpunim aktiv: </w:t>
      </w:r>
      <w:r>
        <w:rPr>
          <w:lang w:val="sq-AL"/>
        </w:rPr>
        <w:t xml:space="preserve">                   </w:t>
      </w:r>
      <w:r w:rsidR="00210993">
        <w:rPr>
          <w:lang w:val="sq-AL"/>
        </w:rPr>
        <w:t>75 milione lekë</w:t>
      </w:r>
    </w:p>
    <w:p w:rsidR="0035258D" w:rsidRPr="0035258D" w:rsidRDefault="00210993" w:rsidP="0035258D">
      <w:pPr>
        <w:rPr>
          <w:lang w:val="sq-AL"/>
        </w:rPr>
      </w:pPr>
      <w:r>
        <w:rPr>
          <w:lang w:val="sq-AL"/>
        </w:rPr>
        <w:t>•</w:t>
      </w:r>
      <w:r>
        <w:rPr>
          <w:lang w:val="sq-AL"/>
        </w:rPr>
        <w:tab/>
        <w:t>Investim mbi 50 mnl lekë</w:t>
      </w:r>
      <w:r w:rsidR="0035258D" w:rsidRPr="0035258D">
        <w:rPr>
          <w:lang w:val="sq-AL"/>
        </w:rPr>
        <w:t xml:space="preserve">: </w:t>
      </w:r>
      <w:r w:rsidR="0035258D">
        <w:rPr>
          <w:lang w:val="sq-AL"/>
        </w:rPr>
        <w:t xml:space="preserve">  </w:t>
      </w:r>
      <w:r>
        <w:rPr>
          <w:lang w:val="sq-AL"/>
        </w:rPr>
        <w:t>164.5 milione lekë</w:t>
      </w:r>
      <w:r w:rsidR="0035258D" w:rsidRPr="0035258D">
        <w:rPr>
          <w:lang w:val="sq-AL"/>
        </w:rPr>
        <w:t>.</w:t>
      </w:r>
    </w:p>
    <w:p w:rsidR="00F7093A" w:rsidRDefault="00210993" w:rsidP="00F83B61">
      <w:pPr>
        <w:rPr>
          <w:lang w:val="sq-AL"/>
        </w:rPr>
      </w:pPr>
      <w:r>
        <w:rPr>
          <w:lang w:val="sq-AL"/>
        </w:rPr>
        <w:t>Të</w:t>
      </w:r>
      <w:r w:rsidR="0035258D" w:rsidRPr="0035258D">
        <w:rPr>
          <w:lang w:val="sq-AL"/>
        </w:rPr>
        <w:t xml:space="preserve"> ardhurat e mbledhura mbi furnizimet e brend</w:t>
      </w:r>
      <w:r>
        <w:rPr>
          <w:lang w:val="sq-AL"/>
        </w:rPr>
        <w:t>ëshme janë 13.3 miliardë lekë TVSH për periudhën Janar-Korrik, me rë</w:t>
      </w:r>
      <w:r w:rsidR="0035258D" w:rsidRPr="0035258D">
        <w:rPr>
          <w:lang w:val="sq-AL"/>
        </w:rPr>
        <w:t>ni</w:t>
      </w:r>
      <w:r>
        <w:rPr>
          <w:lang w:val="sq-AL"/>
        </w:rPr>
        <w:t>e vjetore në</w:t>
      </w:r>
      <w:r w:rsidR="0035258D" w:rsidRPr="0035258D">
        <w:rPr>
          <w:lang w:val="sq-AL"/>
        </w:rPr>
        <w:t xml:space="preserve"> nivelin 1.3 përqind. Rimbursimi i TVSH-së për periudhën 7 mujore nga tatimet ka arritur 5.1 miliardë lekë me një rritje vjetore prej 35.6 perqind. Në strukturën e të ardhurave tatimore që mbledhin tatimet, vihet re ndryshimi i lehte i peshës speci</w:t>
      </w:r>
      <w:r>
        <w:rPr>
          <w:lang w:val="sq-AL"/>
        </w:rPr>
        <w:t>fike të TVSH-së ndaj totalit, në</w:t>
      </w:r>
      <w:r w:rsidR="0035258D" w:rsidRPr="0035258D">
        <w:rPr>
          <w:lang w:val="sq-AL"/>
        </w:rPr>
        <w:t xml:space="preserve"> 22 përqind në 7 mujorin 2012 dhe 2013. </w:t>
      </w:r>
      <w:r w:rsidR="005248F3">
        <w:rPr>
          <w:lang w:val="sq-AL"/>
        </w:rPr>
        <w:t xml:space="preserve"> </w:t>
      </w:r>
    </w:p>
    <w:p w:rsidR="00895920" w:rsidRPr="00895920" w:rsidRDefault="00895920" w:rsidP="00F83B61">
      <w:pPr>
        <w:rPr>
          <w:lang w:val="sq-AL"/>
        </w:rPr>
      </w:pPr>
    </w:p>
    <w:p w:rsidR="0035258D" w:rsidRDefault="0035258D" w:rsidP="00F83B61">
      <w:pPr>
        <w:rPr>
          <w:lang w:val="sq-AL"/>
        </w:rPr>
      </w:pPr>
      <w:r w:rsidRPr="00F7093A">
        <w:rPr>
          <w:lang w:val="sq-AL"/>
        </w:rPr>
        <w:t xml:space="preserve">Tabela </w:t>
      </w:r>
      <w:r w:rsidR="00F7093A" w:rsidRPr="00F7093A">
        <w:rPr>
          <w:lang w:val="sq-AL"/>
        </w:rPr>
        <w:t>4</w:t>
      </w:r>
      <w:r w:rsidRPr="00F7093A">
        <w:rPr>
          <w:lang w:val="sq-AL"/>
        </w:rPr>
        <w:t>.</w:t>
      </w:r>
      <w:r w:rsidRPr="0035258D">
        <w:rPr>
          <w:lang w:val="sq-AL"/>
        </w:rPr>
        <w:t xml:space="preserve"> Rimbursimi i TVSH</w:t>
      </w:r>
      <w:r>
        <w:rPr>
          <w:lang w:val="sq-AL"/>
        </w:rPr>
        <w:t xml:space="preserve"> (Burimi: DPT)</w:t>
      </w:r>
    </w:p>
    <w:tbl>
      <w:tblPr>
        <w:tblW w:w="0" w:type="auto"/>
        <w:tblLook w:val="04A0"/>
      </w:tblPr>
      <w:tblGrid>
        <w:gridCol w:w="2229"/>
        <w:gridCol w:w="860"/>
        <w:gridCol w:w="860"/>
        <w:gridCol w:w="1208"/>
        <w:gridCol w:w="222"/>
        <w:gridCol w:w="1424"/>
        <w:gridCol w:w="1424"/>
        <w:gridCol w:w="1208"/>
      </w:tblGrid>
      <w:tr w:rsidR="0035258D" w:rsidRPr="0035258D" w:rsidTr="0035258D">
        <w:trPr>
          <w:trHeight w:val="288"/>
        </w:trPr>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 </w:t>
            </w: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Korr-12</w:t>
            </w: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Korr-13</w:t>
            </w: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Diferenca %</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Jan-Korr 2012</w:t>
            </w: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Jan-Korr 2013</w:t>
            </w:r>
          </w:p>
        </w:tc>
        <w:tc>
          <w:tcPr>
            <w:tcW w:w="0" w:type="auto"/>
            <w:tcBorders>
              <w:top w:val="single" w:sz="8" w:space="0" w:color="auto"/>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Diferenca %</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TVSH BRUTO</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10,423</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10,795</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3.6</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68,362</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65,851</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-3.7</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sz w:val="18"/>
                <w:szCs w:val="18"/>
              </w:rPr>
            </w:pPr>
            <w:r w:rsidRPr="0035258D">
              <w:rPr>
                <w:sz w:val="18"/>
                <w:szCs w:val="18"/>
              </w:rPr>
              <w:t>nga Tatimet</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2,316</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2,581</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11.4</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17,237</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18,393</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6.7</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sz w:val="18"/>
                <w:szCs w:val="18"/>
              </w:rPr>
            </w:pPr>
            <w:r w:rsidRPr="0035258D">
              <w:rPr>
                <w:sz w:val="18"/>
                <w:szCs w:val="18"/>
              </w:rPr>
              <w:t>nga Doganat</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8,106</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8,214</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1.3</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51,125</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47,458</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-7.2</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RIMBURSIM</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587</w:t>
            </w:r>
          </w:p>
        </w:tc>
        <w:tc>
          <w:tcPr>
            <w:tcW w:w="0" w:type="auto"/>
            <w:tcBorders>
              <w:top w:val="nil"/>
              <w:left w:val="nil"/>
              <w:bottom w:val="nil"/>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791</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34.8</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3,795</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5,147</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35.6</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sz w:val="18"/>
                <w:szCs w:val="18"/>
              </w:rPr>
            </w:pPr>
            <w:r w:rsidRPr="0035258D">
              <w:rPr>
                <w:sz w:val="18"/>
                <w:szCs w:val="18"/>
              </w:rPr>
              <w:t>nga Tatimet</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586.4</w:t>
            </w:r>
          </w:p>
        </w:tc>
        <w:tc>
          <w:tcPr>
            <w:tcW w:w="0" w:type="auto"/>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791.1</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34.9</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3,795.1</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5,129.5</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35.2</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sz w:val="18"/>
                <w:szCs w:val="18"/>
              </w:rPr>
            </w:pPr>
            <w:r w:rsidRPr="0035258D">
              <w:rPr>
                <w:sz w:val="18"/>
                <w:szCs w:val="18"/>
              </w:rPr>
              <w:t>nga Doganat</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0.4</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0</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0.4</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17.8</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4225.2</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rFonts w:eastAsia="Times New Roman"/>
                <w:b/>
                <w:bCs/>
                <w:sz w:val="18"/>
                <w:szCs w:val="18"/>
              </w:rPr>
            </w:pPr>
            <w:r w:rsidRPr="0035258D">
              <w:rPr>
                <w:rFonts w:eastAsia="Times New Roman"/>
                <w:b/>
                <w:bCs/>
                <w:sz w:val="18"/>
                <w:szCs w:val="18"/>
              </w:rPr>
              <w:t>RIMBURSIM PER KURUM*</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0</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0</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0</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3,473</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rFonts w:eastAsia="Times New Roman"/>
                <w:b/>
                <w:bCs/>
                <w:sz w:val="18"/>
                <w:szCs w:val="18"/>
              </w:rPr>
            </w:pPr>
            <w:r w:rsidRPr="0035258D">
              <w:rPr>
                <w:rFonts w:eastAsia="Times New Roman"/>
                <w:b/>
                <w:bCs/>
                <w:sz w:val="18"/>
                <w:szCs w:val="18"/>
              </w:rPr>
              <w:t>TVSH NETO</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9,836</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13,473</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37.0</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b/>
                <w:bCs/>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64,567</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64,173</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b/>
                <w:bCs/>
                <w:sz w:val="18"/>
                <w:szCs w:val="18"/>
              </w:rPr>
            </w:pPr>
            <w:r w:rsidRPr="0035258D">
              <w:rPr>
                <w:b/>
                <w:bCs/>
                <w:sz w:val="18"/>
                <w:szCs w:val="18"/>
              </w:rPr>
              <w:t>-0.6</w:t>
            </w:r>
          </w:p>
        </w:tc>
      </w:tr>
      <w:tr w:rsidR="0035258D" w:rsidRPr="0035258D" w:rsidTr="0035258D">
        <w:trPr>
          <w:trHeight w:val="288"/>
        </w:trPr>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rFonts w:eastAsia="Times New Roman"/>
                <w:sz w:val="18"/>
                <w:szCs w:val="18"/>
              </w:rPr>
            </w:pPr>
            <w:r w:rsidRPr="0035258D">
              <w:rPr>
                <w:rFonts w:eastAsia="Times New Roman"/>
                <w:sz w:val="18"/>
                <w:szCs w:val="18"/>
              </w:rPr>
              <w:t>nga Tatimet</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1,730</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5,259</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204.0</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13,442</w:t>
            </w:r>
          </w:p>
        </w:tc>
        <w:tc>
          <w:tcPr>
            <w:tcW w:w="0" w:type="auto"/>
            <w:tcBorders>
              <w:top w:val="nil"/>
              <w:left w:val="nil"/>
              <w:bottom w:val="single" w:sz="4" w:space="0" w:color="C0C0C0"/>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16,733</w:t>
            </w:r>
          </w:p>
        </w:tc>
        <w:tc>
          <w:tcPr>
            <w:tcW w:w="0" w:type="auto"/>
            <w:tcBorders>
              <w:top w:val="nil"/>
              <w:left w:val="nil"/>
              <w:bottom w:val="single" w:sz="4" w:space="0" w:color="C0C0C0"/>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24.5</w:t>
            </w:r>
          </w:p>
        </w:tc>
      </w:tr>
      <w:tr w:rsidR="0035258D" w:rsidRPr="0035258D" w:rsidTr="0035258D">
        <w:trPr>
          <w:trHeight w:val="288"/>
        </w:trPr>
        <w:tc>
          <w:tcPr>
            <w:tcW w:w="0" w:type="auto"/>
            <w:tcBorders>
              <w:top w:val="nil"/>
              <w:left w:val="nil"/>
              <w:bottom w:val="single" w:sz="8" w:space="0" w:color="auto"/>
              <w:right w:val="single" w:sz="4" w:space="0" w:color="C0C0C0"/>
            </w:tcBorders>
            <w:shd w:val="clear" w:color="auto" w:fill="auto"/>
            <w:noWrap/>
            <w:vAlign w:val="bottom"/>
            <w:hideMark/>
          </w:tcPr>
          <w:p w:rsidR="0035258D" w:rsidRPr="0035258D" w:rsidRDefault="0035258D" w:rsidP="0035258D">
            <w:pPr>
              <w:spacing w:before="0" w:after="0"/>
              <w:ind w:firstLineChars="100" w:firstLine="180"/>
              <w:jc w:val="left"/>
              <w:rPr>
                <w:rFonts w:eastAsia="Times New Roman"/>
                <w:sz w:val="18"/>
                <w:szCs w:val="18"/>
              </w:rPr>
            </w:pPr>
            <w:r w:rsidRPr="0035258D">
              <w:rPr>
                <w:rFonts w:eastAsia="Times New Roman"/>
                <w:sz w:val="18"/>
                <w:szCs w:val="18"/>
              </w:rPr>
              <w:t>nga Doganat</w:t>
            </w:r>
          </w:p>
        </w:tc>
        <w:tc>
          <w:tcPr>
            <w:tcW w:w="0" w:type="auto"/>
            <w:tcBorders>
              <w:top w:val="nil"/>
              <w:left w:val="nil"/>
              <w:bottom w:val="single" w:sz="8" w:space="0" w:color="auto"/>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8,106</w:t>
            </w:r>
          </w:p>
        </w:tc>
        <w:tc>
          <w:tcPr>
            <w:tcW w:w="0" w:type="auto"/>
            <w:tcBorders>
              <w:top w:val="nil"/>
              <w:left w:val="nil"/>
              <w:bottom w:val="single" w:sz="8" w:space="0" w:color="auto"/>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8,214</w:t>
            </w:r>
          </w:p>
        </w:tc>
        <w:tc>
          <w:tcPr>
            <w:tcW w:w="0" w:type="auto"/>
            <w:tcBorders>
              <w:top w:val="nil"/>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1.3</w:t>
            </w:r>
          </w:p>
        </w:tc>
        <w:tc>
          <w:tcPr>
            <w:tcW w:w="0" w:type="auto"/>
            <w:tcBorders>
              <w:top w:val="nil"/>
              <w:left w:val="nil"/>
              <w:bottom w:val="nil"/>
              <w:right w:val="nil"/>
            </w:tcBorders>
            <w:shd w:val="clear" w:color="auto" w:fill="auto"/>
            <w:noWrap/>
            <w:vAlign w:val="bottom"/>
            <w:hideMark/>
          </w:tcPr>
          <w:p w:rsidR="0035258D" w:rsidRPr="0035258D" w:rsidRDefault="0035258D" w:rsidP="0007301A">
            <w:pPr>
              <w:spacing w:before="0" w:after="0"/>
              <w:jc w:val="left"/>
              <w:rPr>
                <w:sz w:val="18"/>
                <w:szCs w:val="18"/>
              </w:rPr>
            </w:pPr>
          </w:p>
        </w:tc>
        <w:tc>
          <w:tcPr>
            <w:tcW w:w="0" w:type="auto"/>
            <w:tcBorders>
              <w:top w:val="nil"/>
              <w:left w:val="nil"/>
              <w:bottom w:val="single" w:sz="8" w:space="0" w:color="auto"/>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51,125</w:t>
            </w:r>
          </w:p>
        </w:tc>
        <w:tc>
          <w:tcPr>
            <w:tcW w:w="0" w:type="auto"/>
            <w:tcBorders>
              <w:top w:val="nil"/>
              <w:left w:val="nil"/>
              <w:bottom w:val="single" w:sz="8" w:space="0" w:color="auto"/>
              <w:right w:val="single" w:sz="4" w:space="0" w:color="C0C0C0"/>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47,440</w:t>
            </w:r>
          </w:p>
        </w:tc>
        <w:tc>
          <w:tcPr>
            <w:tcW w:w="0" w:type="auto"/>
            <w:tcBorders>
              <w:top w:val="nil"/>
              <w:left w:val="nil"/>
              <w:bottom w:val="single" w:sz="8" w:space="0" w:color="auto"/>
              <w:right w:val="nil"/>
            </w:tcBorders>
            <w:shd w:val="clear" w:color="auto" w:fill="auto"/>
            <w:noWrap/>
            <w:vAlign w:val="bottom"/>
            <w:hideMark/>
          </w:tcPr>
          <w:p w:rsidR="0035258D" w:rsidRPr="0035258D" w:rsidRDefault="0035258D" w:rsidP="0007301A">
            <w:pPr>
              <w:spacing w:before="0" w:after="0"/>
              <w:jc w:val="left"/>
              <w:rPr>
                <w:sz w:val="18"/>
                <w:szCs w:val="18"/>
              </w:rPr>
            </w:pPr>
            <w:r w:rsidRPr="0035258D">
              <w:rPr>
                <w:sz w:val="18"/>
                <w:szCs w:val="18"/>
              </w:rPr>
              <w:t>-7.2</w:t>
            </w:r>
          </w:p>
        </w:tc>
      </w:tr>
    </w:tbl>
    <w:p w:rsidR="00F83B61" w:rsidRPr="001F505E" w:rsidRDefault="00F83B61" w:rsidP="00F83B61">
      <w:pPr>
        <w:rPr>
          <w:color w:val="000000"/>
          <w:highlight w:val="yellow"/>
          <w:lang w:val="sq-AL"/>
        </w:rPr>
      </w:pPr>
      <w:r w:rsidRPr="001F505E">
        <w:rPr>
          <w:lang w:val="sq-AL"/>
        </w:rPr>
        <w:lastRenderedPageBreak/>
        <w:t xml:space="preserve">Në strukturën e të ardhurave tatimore që mbledhin tatimet, vihet re rritje e peshës specifike të TVSH-së ndaj totalit, nga </w:t>
      </w:r>
      <w:r w:rsidR="00D13BA6">
        <w:rPr>
          <w:lang w:val="sq-AL"/>
        </w:rPr>
        <w:t>25.2</w:t>
      </w:r>
      <w:r w:rsidRPr="001F505E">
        <w:rPr>
          <w:lang w:val="sq-AL"/>
        </w:rPr>
        <w:t xml:space="preserve"> përqind në </w:t>
      </w:r>
      <w:r w:rsidR="00D13BA6">
        <w:rPr>
          <w:lang w:val="sq-AL"/>
        </w:rPr>
        <w:t>7</w:t>
      </w:r>
      <w:r w:rsidRPr="001F505E">
        <w:rPr>
          <w:lang w:val="sq-AL"/>
        </w:rPr>
        <w:t xml:space="preserve"> mujorin 2012 në </w:t>
      </w:r>
      <w:r w:rsidR="00D13BA6">
        <w:rPr>
          <w:lang w:val="sq-AL"/>
        </w:rPr>
        <w:t>27.9</w:t>
      </w:r>
      <w:r w:rsidRPr="001F505E">
        <w:rPr>
          <w:lang w:val="sq-AL"/>
        </w:rPr>
        <w:t xml:space="preserve"> përqind për </w:t>
      </w:r>
      <w:r w:rsidR="00D13BA6">
        <w:rPr>
          <w:lang w:val="sq-AL"/>
        </w:rPr>
        <w:t>7</w:t>
      </w:r>
      <w:r w:rsidRPr="001F505E">
        <w:rPr>
          <w:lang w:val="sq-AL"/>
        </w:rPr>
        <w:t xml:space="preserve"> mujorin 2013. </w:t>
      </w:r>
      <w:r w:rsidR="00D13BA6" w:rsidRPr="00D13BA6">
        <w:rPr>
          <w:lang w:val="sq-AL"/>
        </w:rPr>
        <w:t>Nga totali i të ardhurave nga TVSH-ja p</w:t>
      </w:r>
      <w:r w:rsidR="004B355A">
        <w:rPr>
          <w:lang w:val="sq-AL"/>
        </w:rPr>
        <w:t>ë</w:t>
      </w:r>
      <w:r w:rsidR="00D13BA6" w:rsidRPr="00D13BA6">
        <w:rPr>
          <w:lang w:val="sq-AL"/>
        </w:rPr>
        <w:t>r 7 mujorin sipas Sektorëve Ekonomikë, në krahasim me 7 mujorin e vitit 2012, sektor</w:t>
      </w:r>
      <w:r w:rsidR="004B355A">
        <w:rPr>
          <w:lang w:val="sq-AL"/>
        </w:rPr>
        <w:t>ë</w:t>
      </w:r>
      <w:r w:rsidR="00D13BA6" w:rsidRPr="00D13BA6">
        <w:rPr>
          <w:lang w:val="sq-AL"/>
        </w:rPr>
        <w:t>t q</w:t>
      </w:r>
      <w:r w:rsidR="004B355A">
        <w:rPr>
          <w:lang w:val="sq-AL"/>
        </w:rPr>
        <w:t>ë</w:t>
      </w:r>
      <w:r w:rsidR="00D13BA6" w:rsidRPr="00D13BA6">
        <w:rPr>
          <w:lang w:val="sq-AL"/>
        </w:rPr>
        <w:t xml:space="preserve"> kan</w:t>
      </w:r>
      <w:r w:rsidR="004B355A">
        <w:rPr>
          <w:lang w:val="sq-AL"/>
        </w:rPr>
        <w:t>ë</w:t>
      </w:r>
      <w:r w:rsidR="00D13BA6" w:rsidRPr="00D13BA6">
        <w:rPr>
          <w:lang w:val="sq-AL"/>
        </w:rPr>
        <w:t xml:space="preserve"> p</w:t>
      </w:r>
      <w:r w:rsidR="004B355A">
        <w:rPr>
          <w:lang w:val="sq-AL"/>
        </w:rPr>
        <w:t>ë</w:t>
      </w:r>
      <w:r w:rsidR="00D13BA6" w:rsidRPr="00D13BA6">
        <w:rPr>
          <w:lang w:val="sq-AL"/>
        </w:rPr>
        <w:t>suar rritje jan</w:t>
      </w:r>
      <w:r w:rsidR="004B355A">
        <w:rPr>
          <w:lang w:val="sq-AL"/>
        </w:rPr>
        <w:t>ë</w:t>
      </w:r>
      <w:r w:rsidR="00D13BA6" w:rsidRPr="00D13BA6">
        <w:rPr>
          <w:lang w:val="sq-AL"/>
        </w:rPr>
        <w:t xml:space="preserve"> Prodhimi dhe Transporti p</w:t>
      </w:r>
      <w:r w:rsidR="004B355A">
        <w:rPr>
          <w:lang w:val="sq-AL"/>
        </w:rPr>
        <w:t>ë</w:t>
      </w:r>
      <w:r w:rsidR="00D13BA6" w:rsidRPr="00D13BA6">
        <w:rPr>
          <w:lang w:val="sq-AL"/>
        </w:rPr>
        <w:t>rkat</w:t>
      </w:r>
      <w:r w:rsidR="004B355A">
        <w:rPr>
          <w:lang w:val="sq-AL"/>
        </w:rPr>
        <w:t>ë</w:t>
      </w:r>
      <w:r w:rsidR="00D13BA6" w:rsidRPr="00D13BA6">
        <w:rPr>
          <w:lang w:val="sq-AL"/>
        </w:rPr>
        <w:t>sisht 49.3 dhe 31.6 p</w:t>
      </w:r>
      <w:r w:rsidR="004B355A">
        <w:rPr>
          <w:lang w:val="sq-AL"/>
        </w:rPr>
        <w:t>ë</w:t>
      </w:r>
      <w:r w:rsidR="00D13BA6" w:rsidRPr="00D13BA6">
        <w:rPr>
          <w:lang w:val="sq-AL"/>
        </w:rPr>
        <w:t>rqind. Sektor</w:t>
      </w:r>
      <w:r w:rsidR="004B355A">
        <w:rPr>
          <w:lang w:val="sq-AL"/>
        </w:rPr>
        <w:t>ë</w:t>
      </w:r>
      <w:r w:rsidR="00D13BA6" w:rsidRPr="00D13BA6">
        <w:rPr>
          <w:lang w:val="sq-AL"/>
        </w:rPr>
        <w:t>t me r</w:t>
      </w:r>
      <w:r w:rsidR="004B355A">
        <w:rPr>
          <w:lang w:val="sq-AL"/>
        </w:rPr>
        <w:t>ë</w:t>
      </w:r>
      <w:r w:rsidR="00D13BA6" w:rsidRPr="00D13BA6">
        <w:rPr>
          <w:lang w:val="sq-AL"/>
        </w:rPr>
        <w:t>nie të ndjeshme jan</w:t>
      </w:r>
      <w:r w:rsidR="004B355A">
        <w:rPr>
          <w:lang w:val="sq-AL"/>
        </w:rPr>
        <w:t>ë</w:t>
      </w:r>
      <w:r w:rsidR="00D13BA6" w:rsidRPr="00D13BA6">
        <w:rPr>
          <w:lang w:val="sq-AL"/>
        </w:rPr>
        <w:t xml:space="preserve"> sektori i Nd</w:t>
      </w:r>
      <w:r w:rsidR="004B355A">
        <w:rPr>
          <w:lang w:val="sq-AL"/>
        </w:rPr>
        <w:t>ë</w:t>
      </w:r>
      <w:r w:rsidR="00D13BA6" w:rsidRPr="00D13BA6">
        <w:rPr>
          <w:lang w:val="sq-AL"/>
        </w:rPr>
        <w:t>rtimit me -8.8% , sektori i  Tregtisë me -37.8 % dhe sektori i Sh</w:t>
      </w:r>
      <w:r w:rsidR="004B355A">
        <w:rPr>
          <w:lang w:val="sq-AL"/>
        </w:rPr>
        <w:t>ë</w:t>
      </w:r>
      <w:r w:rsidR="00D13BA6" w:rsidRPr="00D13BA6">
        <w:rPr>
          <w:lang w:val="sq-AL"/>
        </w:rPr>
        <w:t>rbimeve me -5.5%.</w:t>
      </w:r>
      <w:r w:rsidR="007011C3" w:rsidRPr="001F505E">
        <w:rPr>
          <w:lang w:val="sq-AL"/>
        </w:rPr>
        <w:t xml:space="preserve">. </w:t>
      </w:r>
    </w:p>
    <w:p w:rsidR="00F7093A" w:rsidRDefault="00F7093A" w:rsidP="00216F41">
      <w:pPr>
        <w:rPr>
          <w:color w:val="000000"/>
          <w:highlight w:val="yellow"/>
          <w:lang w:val="sq-AL"/>
        </w:rPr>
      </w:pPr>
    </w:p>
    <w:p w:rsidR="000B6B28" w:rsidRPr="00866E0D" w:rsidRDefault="00B12BD5" w:rsidP="00216F41">
      <w:pPr>
        <w:rPr>
          <w:color w:val="000000"/>
          <w:lang w:val="sq-AL"/>
        </w:rPr>
      </w:pPr>
      <w:r w:rsidRPr="00866E0D">
        <w:rPr>
          <w:color w:val="000000"/>
          <w:lang w:val="sq-AL"/>
        </w:rPr>
        <w:t xml:space="preserve">Tabela </w:t>
      </w:r>
      <w:r w:rsidR="00F7093A" w:rsidRPr="00866E0D">
        <w:rPr>
          <w:color w:val="000000"/>
          <w:lang w:val="sq-AL"/>
        </w:rPr>
        <w:t>5</w:t>
      </w:r>
      <w:r w:rsidRPr="00866E0D">
        <w:rPr>
          <w:color w:val="000000"/>
          <w:lang w:val="sq-AL"/>
        </w:rPr>
        <w:t>. Ndarja e TVSH</w:t>
      </w:r>
      <w:r w:rsidR="001C0232" w:rsidRPr="00866E0D">
        <w:rPr>
          <w:color w:val="000000"/>
          <w:lang w:val="sq-AL"/>
        </w:rPr>
        <w:t>-së</w:t>
      </w:r>
      <w:r w:rsidRPr="00866E0D">
        <w:rPr>
          <w:color w:val="000000"/>
          <w:lang w:val="sq-AL"/>
        </w:rPr>
        <w:t xml:space="preserve"> sipas sektor</w:t>
      </w:r>
      <w:r w:rsidR="001C0232" w:rsidRPr="00866E0D">
        <w:rPr>
          <w:color w:val="000000"/>
          <w:lang w:val="sq-AL"/>
        </w:rPr>
        <w:t>ë</w:t>
      </w:r>
      <w:r w:rsidRPr="00866E0D">
        <w:rPr>
          <w:color w:val="000000"/>
          <w:lang w:val="sq-AL"/>
        </w:rPr>
        <w:t>ve dhe numri i tatimpaguesve</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2095"/>
        <w:gridCol w:w="1305"/>
        <w:gridCol w:w="1283"/>
        <w:gridCol w:w="1154"/>
        <w:gridCol w:w="1302"/>
        <w:gridCol w:w="1290"/>
        <w:gridCol w:w="1191"/>
      </w:tblGrid>
      <w:tr w:rsidR="00F26CE3" w:rsidRPr="001F505E" w:rsidTr="00F26CE3">
        <w:tc>
          <w:tcPr>
            <w:tcW w:w="2110" w:type="dxa"/>
            <w:tcBorders>
              <w:bottom w:val="single" w:sz="6" w:space="0" w:color="808080"/>
            </w:tcBorders>
          </w:tcPr>
          <w:p w:rsidR="00F26CE3" w:rsidRPr="001F505E" w:rsidRDefault="00F26CE3" w:rsidP="008557CB">
            <w:pPr>
              <w:spacing w:before="0" w:after="0"/>
              <w:rPr>
                <w:b/>
                <w:bCs/>
                <w:i/>
                <w:iCs/>
                <w:sz w:val="20"/>
                <w:szCs w:val="20"/>
                <w:lang w:val="sq-AL"/>
              </w:rPr>
            </w:pPr>
            <w:r w:rsidRPr="001F505E">
              <w:rPr>
                <w:b/>
                <w:bCs/>
                <w:iCs/>
                <w:sz w:val="20"/>
                <w:szCs w:val="20"/>
                <w:lang w:val="sq-AL"/>
              </w:rPr>
              <w:t>Emërtimi</w:t>
            </w:r>
          </w:p>
        </w:tc>
        <w:tc>
          <w:tcPr>
            <w:tcW w:w="1310" w:type="dxa"/>
            <w:tcBorders>
              <w:bottom w:val="single" w:sz="6" w:space="0" w:color="808080"/>
            </w:tcBorders>
          </w:tcPr>
          <w:p w:rsidR="00F26CE3" w:rsidRPr="001F505E" w:rsidRDefault="00F26CE3" w:rsidP="00F26CE3">
            <w:pPr>
              <w:spacing w:before="0" w:after="0"/>
              <w:jc w:val="left"/>
              <w:rPr>
                <w:b/>
                <w:bCs/>
                <w:i/>
                <w:iCs/>
                <w:sz w:val="20"/>
                <w:szCs w:val="20"/>
                <w:lang w:val="sq-AL"/>
              </w:rPr>
            </w:pPr>
            <w:r>
              <w:rPr>
                <w:b/>
                <w:bCs/>
                <w:iCs/>
                <w:sz w:val="20"/>
                <w:szCs w:val="20"/>
                <w:lang w:val="sq-AL"/>
              </w:rPr>
              <w:t>7</w:t>
            </w:r>
            <w:r w:rsidRPr="001F505E">
              <w:rPr>
                <w:b/>
                <w:bCs/>
                <w:iCs/>
                <w:sz w:val="20"/>
                <w:szCs w:val="20"/>
                <w:lang w:val="sq-AL"/>
              </w:rPr>
              <w:t>M 2012 (mln)</w:t>
            </w:r>
          </w:p>
        </w:tc>
        <w:tc>
          <w:tcPr>
            <w:tcW w:w="1287" w:type="dxa"/>
            <w:tcBorders>
              <w:bottom w:val="single" w:sz="6" w:space="0" w:color="808080"/>
            </w:tcBorders>
          </w:tcPr>
          <w:p w:rsidR="00F26CE3" w:rsidRPr="001F505E" w:rsidRDefault="00F26CE3" w:rsidP="00F26CE3">
            <w:pPr>
              <w:spacing w:before="0" w:after="0"/>
              <w:jc w:val="left"/>
              <w:rPr>
                <w:b/>
                <w:bCs/>
                <w:i/>
                <w:iCs/>
                <w:sz w:val="20"/>
                <w:szCs w:val="20"/>
                <w:lang w:val="sq-AL"/>
              </w:rPr>
            </w:pPr>
            <w:r>
              <w:rPr>
                <w:b/>
                <w:bCs/>
                <w:iCs/>
                <w:sz w:val="20"/>
                <w:szCs w:val="20"/>
                <w:lang w:val="sq-AL"/>
              </w:rPr>
              <w:t>7</w:t>
            </w:r>
            <w:r w:rsidRPr="001F505E">
              <w:rPr>
                <w:b/>
                <w:bCs/>
                <w:iCs/>
                <w:sz w:val="20"/>
                <w:szCs w:val="20"/>
                <w:lang w:val="sq-AL"/>
              </w:rPr>
              <w:t>M 2012 (nr)</w:t>
            </w:r>
          </w:p>
        </w:tc>
        <w:tc>
          <w:tcPr>
            <w:tcW w:w="1113" w:type="dxa"/>
            <w:tcBorders>
              <w:bottom w:val="single" w:sz="6" w:space="0" w:color="808080"/>
            </w:tcBorders>
          </w:tcPr>
          <w:p w:rsidR="00F26CE3" w:rsidRDefault="00F26CE3" w:rsidP="00F26CE3">
            <w:pPr>
              <w:spacing w:before="0" w:after="0"/>
              <w:jc w:val="left"/>
              <w:rPr>
                <w:b/>
                <w:bCs/>
                <w:iCs/>
                <w:sz w:val="20"/>
                <w:szCs w:val="20"/>
                <w:lang w:val="sq-AL"/>
              </w:rPr>
            </w:pPr>
            <w:r>
              <w:rPr>
                <w:b/>
                <w:bCs/>
                <w:iCs/>
                <w:sz w:val="20"/>
                <w:szCs w:val="20"/>
                <w:lang w:val="sq-AL"/>
              </w:rPr>
              <w:t>Ndryshimi (%)</w:t>
            </w:r>
          </w:p>
        </w:tc>
        <w:tc>
          <w:tcPr>
            <w:tcW w:w="1310" w:type="dxa"/>
            <w:tcBorders>
              <w:bottom w:val="single" w:sz="6" w:space="0" w:color="808080"/>
            </w:tcBorders>
          </w:tcPr>
          <w:p w:rsidR="00F26CE3" w:rsidRPr="001F505E" w:rsidRDefault="00F26CE3" w:rsidP="00F26CE3">
            <w:pPr>
              <w:spacing w:before="0" w:after="0"/>
              <w:jc w:val="left"/>
              <w:rPr>
                <w:b/>
                <w:bCs/>
                <w:i/>
                <w:iCs/>
                <w:sz w:val="20"/>
                <w:szCs w:val="20"/>
                <w:lang w:val="sq-AL"/>
              </w:rPr>
            </w:pPr>
            <w:r>
              <w:rPr>
                <w:b/>
                <w:bCs/>
                <w:iCs/>
                <w:sz w:val="20"/>
                <w:szCs w:val="20"/>
                <w:lang w:val="sq-AL"/>
              </w:rPr>
              <w:t>7</w:t>
            </w:r>
            <w:r w:rsidRPr="001F505E">
              <w:rPr>
                <w:b/>
                <w:bCs/>
                <w:iCs/>
                <w:sz w:val="20"/>
                <w:szCs w:val="20"/>
                <w:lang w:val="sq-AL"/>
              </w:rPr>
              <w:t>M 2013 (mln)</w:t>
            </w:r>
          </w:p>
        </w:tc>
        <w:tc>
          <w:tcPr>
            <w:tcW w:w="1298" w:type="dxa"/>
            <w:tcBorders>
              <w:bottom w:val="single" w:sz="6" w:space="0" w:color="808080"/>
            </w:tcBorders>
          </w:tcPr>
          <w:p w:rsidR="00F26CE3" w:rsidRPr="001F505E" w:rsidRDefault="00F26CE3" w:rsidP="008557CB">
            <w:pPr>
              <w:spacing w:before="0" w:after="0"/>
              <w:jc w:val="left"/>
              <w:rPr>
                <w:b/>
                <w:bCs/>
                <w:i/>
                <w:iCs/>
                <w:sz w:val="20"/>
                <w:szCs w:val="20"/>
                <w:lang w:val="sq-AL"/>
              </w:rPr>
            </w:pPr>
            <w:r>
              <w:rPr>
                <w:b/>
                <w:bCs/>
                <w:iCs/>
                <w:sz w:val="20"/>
                <w:szCs w:val="20"/>
                <w:lang w:val="sq-AL"/>
              </w:rPr>
              <w:t xml:space="preserve"> 7</w:t>
            </w:r>
            <w:r w:rsidRPr="001F505E">
              <w:rPr>
                <w:b/>
                <w:bCs/>
                <w:iCs/>
                <w:sz w:val="20"/>
                <w:szCs w:val="20"/>
                <w:lang w:val="sq-AL"/>
              </w:rPr>
              <w:t>M 2013 (mln)</w:t>
            </w:r>
          </w:p>
        </w:tc>
        <w:tc>
          <w:tcPr>
            <w:tcW w:w="1192" w:type="dxa"/>
            <w:tcBorders>
              <w:bottom w:val="single" w:sz="6" w:space="0" w:color="808080"/>
            </w:tcBorders>
          </w:tcPr>
          <w:p w:rsidR="00F26CE3" w:rsidRDefault="00F26CE3" w:rsidP="008557CB">
            <w:pPr>
              <w:spacing w:before="0" w:after="0"/>
              <w:jc w:val="left"/>
              <w:rPr>
                <w:b/>
                <w:bCs/>
                <w:iCs/>
                <w:sz w:val="20"/>
                <w:szCs w:val="20"/>
                <w:lang w:val="sq-AL"/>
              </w:rPr>
            </w:pPr>
            <w:r>
              <w:rPr>
                <w:b/>
                <w:bCs/>
                <w:iCs/>
                <w:sz w:val="20"/>
                <w:szCs w:val="20"/>
                <w:lang w:val="sq-AL"/>
              </w:rPr>
              <w:t>Ndryshimi (%)</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
                <w:bCs/>
                <w:sz w:val="20"/>
                <w:szCs w:val="20"/>
                <w:lang w:val="sq-AL"/>
              </w:rPr>
              <w:t>Tatimi mbi Vlerën e Shtuar</w:t>
            </w:r>
          </w:p>
        </w:tc>
        <w:tc>
          <w:tcPr>
            <w:tcW w:w="1310" w:type="dxa"/>
          </w:tcPr>
          <w:p w:rsidR="00F26CE3" w:rsidRPr="001F505E" w:rsidRDefault="00F26CE3" w:rsidP="008557CB">
            <w:pPr>
              <w:spacing w:before="0" w:after="0"/>
              <w:rPr>
                <w:b/>
                <w:sz w:val="20"/>
                <w:szCs w:val="20"/>
                <w:lang w:val="sq-AL"/>
              </w:rPr>
            </w:pPr>
            <w:r>
              <w:rPr>
                <w:b/>
                <w:sz w:val="20"/>
                <w:szCs w:val="20"/>
                <w:lang w:val="sq-AL"/>
              </w:rPr>
              <w:t>13442.2</w:t>
            </w:r>
          </w:p>
        </w:tc>
        <w:tc>
          <w:tcPr>
            <w:tcW w:w="1287" w:type="dxa"/>
          </w:tcPr>
          <w:p w:rsidR="00F26CE3" w:rsidRPr="001F505E" w:rsidRDefault="00F26CE3" w:rsidP="008557CB">
            <w:pPr>
              <w:spacing w:before="0" w:after="0"/>
              <w:rPr>
                <w:b/>
                <w:sz w:val="20"/>
                <w:szCs w:val="20"/>
                <w:lang w:val="sq-AL"/>
              </w:rPr>
            </w:pPr>
            <w:r>
              <w:rPr>
                <w:b/>
                <w:sz w:val="20"/>
                <w:szCs w:val="20"/>
                <w:lang w:val="sq-AL"/>
              </w:rPr>
              <w:t>13264</w:t>
            </w:r>
            <w:r w:rsidR="00866E0D">
              <w:rPr>
                <w:b/>
                <w:sz w:val="20"/>
                <w:szCs w:val="20"/>
                <w:lang w:val="sq-AL"/>
              </w:rPr>
              <w:t>.5</w:t>
            </w:r>
          </w:p>
        </w:tc>
        <w:tc>
          <w:tcPr>
            <w:tcW w:w="1113" w:type="dxa"/>
          </w:tcPr>
          <w:p w:rsidR="00F26CE3" w:rsidRPr="001F505E" w:rsidRDefault="00866E0D" w:rsidP="008557CB">
            <w:pPr>
              <w:spacing w:before="0" w:after="0"/>
              <w:rPr>
                <w:b/>
                <w:sz w:val="20"/>
                <w:szCs w:val="20"/>
                <w:lang w:val="sq-AL"/>
              </w:rPr>
            </w:pPr>
            <w:r>
              <w:rPr>
                <w:b/>
                <w:sz w:val="20"/>
                <w:szCs w:val="20"/>
                <w:lang w:val="sq-AL"/>
              </w:rPr>
              <w:t>-1.3</w:t>
            </w:r>
          </w:p>
        </w:tc>
        <w:tc>
          <w:tcPr>
            <w:tcW w:w="1310" w:type="dxa"/>
          </w:tcPr>
          <w:p w:rsidR="00F26CE3" w:rsidRPr="001F505E" w:rsidRDefault="00866E0D" w:rsidP="008557CB">
            <w:pPr>
              <w:spacing w:before="0" w:after="0"/>
              <w:rPr>
                <w:b/>
                <w:sz w:val="20"/>
                <w:szCs w:val="20"/>
                <w:lang w:val="sq-AL"/>
              </w:rPr>
            </w:pPr>
            <w:r>
              <w:rPr>
                <w:b/>
                <w:sz w:val="20"/>
                <w:szCs w:val="20"/>
                <w:lang w:val="sq-AL"/>
              </w:rPr>
              <w:t>11694</w:t>
            </w:r>
          </w:p>
        </w:tc>
        <w:tc>
          <w:tcPr>
            <w:tcW w:w="1298" w:type="dxa"/>
          </w:tcPr>
          <w:p w:rsidR="00F26CE3" w:rsidRPr="001F505E" w:rsidRDefault="00866E0D" w:rsidP="008557CB">
            <w:pPr>
              <w:spacing w:before="0" w:after="0"/>
              <w:rPr>
                <w:b/>
                <w:sz w:val="20"/>
                <w:szCs w:val="20"/>
                <w:lang w:val="sq-AL"/>
              </w:rPr>
            </w:pPr>
            <w:r>
              <w:rPr>
                <w:b/>
                <w:sz w:val="20"/>
                <w:szCs w:val="20"/>
                <w:lang w:val="sq-AL"/>
              </w:rPr>
              <w:t>11516</w:t>
            </w:r>
          </w:p>
        </w:tc>
        <w:tc>
          <w:tcPr>
            <w:tcW w:w="1192" w:type="dxa"/>
          </w:tcPr>
          <w:p w:rsidR="00F26CE3" w:rsidRPr="001F505E" w:rsidRDefault="00866E0D" w:rsidP="008557CB">
            <w:pPr>
              <w:spacing w:before="0" w:after="0"/>
              <w:rPr>
                <w:b/>
                <w:sz w:val="20"/>
                <w:szCs w:val="20"/>
                <w:lang w:val="sq-AL"/>
              </w:rPr>
            </w:pPr>
            <w:r>
              <w:rPr>
                <w:b/>
                <w:sz w:val="20"/>
                <w:szCs w:val="20"/>
                <w:lang w:val="sq-AL"/>
              </w:rPr>
              <w:t>-1.5</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Cs/>
                <w:sz w:val="20"/>
                <w:szCs w:val="20"/>
                <w:lang w:val="sq-AL"/>
              </w:rPr>
              <w:t>Prodhim</w:t>
            </w:r>
          </w:p>
        </w:tc>
        <w:tc>
          <w:tcPr>
            <w:tcW w:w="1310" w:type="dxa"/>
          </w:tcPr>
          <w:p w:rsidR="00F26CE3" w:rsidRPr="001F505E" w:rsidRDefault="00F26CE3" w:rsidP="008557CB">
            <w:pPr>
              <w:spacing w:before="0" w:after="0"/>
              <w:rPr>
                <w:sz w:val="20"/>
                <w:szCs w:val="20"/>
                <w:lang w:val="sq-AL"/>
              </w:rPr>
            </w:pPr>
            <w:r>
              <w:rPr>
                <w:sz w:val="20"/>
                <w:szCs w:val="20"/>
                <w:lang w:val="sq-AL"/>
              </w:rPr>
              <w:t>2502.9</w:t>
            </w:r>
          </w:p>
        </w:tc>
        <w:tc>
          <w:tcPr>
            <w:tcW w:w="1287" w:type="dxa"/>
          </w:tcPr>
          <w:p w:rsidR="00F26CE3" w:rsidRPr="001F505E" w:rsidRDefault="00F26CE3" w:rsidP="008557CB">
            <w:pPr>
              <w:spacing w:before="0" w:after="0"/>
              <w:rPr>
                <w:sz w:val="20"/>
                <w:szCs w:val="20"/>
                <w:lang w:val="sq-AL"/>
              </w:rPr>
            </w:pPr>
            <w:r>
              <w:rPr>
                <w:sz w:val="20"/>
                <w:szCs w:val="20"/>
                <w:lang w:val="sq-AL"/>
              </w:rPr>
              <w:t>3737.2</w:t>
            </w:r>
          </w:p>
        </w:tc>
        <w:tc>
          <w:tcPr>
            <w:tcW w:w="1113" w:type="dxa"/>
          </w:tcPr>
          <w:p w:rsidR="00F26CE3" w:rsidRPr="001F505E" w:rsidRDefault="00F26CE3" w:rsidP="008557CB">
            <w:pPr>
              <w:spacing w:before="0" w:after="0"/>
              <w:rPr>
                <w:sz w:val="20"/>
                <w:szCs w:val="20"/>
                <w:lang w:val="sq-AL"/>
              </w:rPr>
            </w:pPr>
            <w:r>
              <w:rPr>
                <w:sz w:val="20"/>
                <w:szCs w:val="20"/>
                <w:lang w:val="sq-AL"/>
              </w:rPr>
              <w:t>+49.3</w:t>
            </w:r>
          </w:p>
        </w:tc>
        <w:tc>
          <w:tcPr>
            <w:tcW w:w="1310" w:type="dxa"/>
          </w:tcPr>
          <w:p w:rsidR="00F26CE3" w:rsidRPr="001F505E" w:rsidRDefault="00F26CE3" w:rsidP="008557CB">
            <w:pPr>
              <w:spacing w:before="0" w:after="0"/>
              <w:rPr>
                <w:sz w:val="20"/>
                <w:szCs w:val="20"/>
                <w:lang w:val="sq-AL"/>
              </w:rPr>
            </w:pPr>
            <w:r>
              <w:rPr>
                <w:sz w:val="20"/>
                <w:szCs w:val="20"/>
                <w:lang w:val="sq-AL"/>
              </w:rPr>
              <w:t>1290</w:t>
            </w:r>
          </w:p>
        </w:tc>
        <w:tc>
          <w:tcPr>
            <w:tcW w:w="1298" w:type="dxa"/>
          </w:tcPr>
          <w:p w:rsidR="00F26CE3" w:rsidRPr="001F505E" w:rsidRDefault="00F26CE3" w:rsidP="008557CB">
            <w:pPr>
              <w:spacing w:before="0" w:after="0"/>
              <w:rPr>
                <w:sz w:val="20"/>
                <w:szCs w:val="20"/>
                <w:lang w:val="sq-AL"/>
              </w:rPr>
            </w:pPr>
            <w:r>
              <w:rPr>
                <w:sz w:val="20"/>
                <w:szCs w:val="20"/>
                <w:lang w:val="sq-AL"/>
              </w:rPr>
              <w:t>1130</w:t>
            </w:r>
          </w:p>
        </w:tc>
        <w:tc>
          <w:tcPr>
            <w:tcW w:w="1192" w:type="dxa"/>
          </w:tcPr>
          <w:p w:rsidR="00F26CE3" w:rsidRPr="001F505E" w:rsidRDefault="00F26CE3" w:rsidP="008557CB">
            <w:pPr>
              <w:spacing w:before="0" w:after="0"/>
              <w:rPr>
                <w:sz w:val="20"/>
                <w:szCs w:val="20"/>
                <w:lang w:val="sq-AL"/>
              </w:rPr>
            </w:pPr>
            <w:r>
              <w:rPr>
                <w:sz w:val="20"/>
                <w:szCs w:val="20"/>
                <w:lang w:val="sq-AL"/>
              </w:rPr>
              <w:t>-12.4</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Cs/>
                <w:sz w:val="20"/>
                <w:szCs w:val="20"/>
                <w:lang w:val="sq-AL"/>
              </w:rPr>
              <w:t xml:space="preserve">Ndërtim </w:t>
            </w:r>
          </w:p>
        </w:tc>
        <w:tc>
          <w:tcPr>
            <w:tcW w:w="1310" w:type="dxa"/>
          </w:tcPr>
          <w:p w:rsidR="00F26CE3" w:rsidRPr="001F505E" w:rsidRDefault="00F26CE3" w:rsidP="008557CB">
            <w:pPr>
              <w:spacing w:before="0" w:after="0"/>
              <w:rPr>
                <w:sz w:val="20"/>
                <w:szCs w:val="20"/>
                <w:lang w:val="sq-AL"/>
              </w:rPr>
            </w:pPr>
            <w:r>
              <w:rPr>
                <w:sz w:val="20"/>
                <w:szCs w:val="20"/>
                <w:lang w:val="sq-AL"/>
              </w:rPr>
              <w:t>2904.4</w:t>
            </w:r>
          </w:p>
        </w:tc>
        <w:tc>
          <w:tcPr>
            <w:tcW w:w="1287" w:type="dxa"/>
          </w:tcPr>
          <w:p w:rsidR="00F26CE3" w:rsidRPr="001F505E" w:rsidRDefault="00F26CE3" w:rsidP="008557CB">
            <w:pPr>
              <w:spacing w:before="0" w:after="0"/>
              <w:rPr>
                <w:sz w:val="20"/>
                <w:szCs w:val="20"/>
                <w:lang w:val="sq-AL"/>
              </w:rPr>
            </w:pPr>
            <w:r>
              <w:rPr>
                <w:sz w:val="20"/>
                <w:szCs w:val="20"/>
                <w:lang w:val="sq-AL"/>
              </w:rPr>
              <w:t>2649.9</w:t>
            </w:r>
          </w:p>
        </w:tc>
        <w:tc>
          <w:tcPr>
            <w:tcW w:w="1113" w:type="dxa"/>
          </w:tcPr>
          <w:p w:rsidR="00F26CE3" w:rsidRPr="001F505E" w:rsidRDefault="00F26CE3" w:rsidP="008557CB">
            <w:pPr>
              <w:spacing w:before="0" w:after="0"/>
              <w:rPr>
                <w:sz w:val="20"/>
                <w:szCs w:val="20"/>
                <w:lang w:val="sq-AL"/>
              </w:rPr>
            </w:pPr>
            <w:r>
              <w:rPr>
                <w:sz w:val="20"/>
                <w:szCs w:val="20"/>
                <w:lang w:val="sq-AL"/>
              </w:rPr>
              <w:t>-8.8</w:t>
            </w:r>
          </w:p>
        </w:tc>
        <w:tc>
          <w:tcPr>
            <w:tcW w:w="1310" w:type="dxa"/>
          </w:tcPr>
          <w:p w:rsidR="00F26CE3" w:rsidRPr="001F505E" w:rsidRDefault="00F26CE3" w:rsidP="008557CB">
            <w:pPr>
              <w:spacing w:before="0" w:after="0"/>
              <w:rPr>
                <w:sz w:val="20"/>
                <w:szCs w:val="20"/>
                <w:lang w:val="sq-AL"/>
              </w:rPr>
            </w:pPr>
            <w:r>
              <w:rPr>
                <w:sz w:val="20"/>
                <w:szCs w:val="20"/>
                <w:lang w:val="sq-AL"/>
              </w:rPr>
              <w:t>1600</w:t>
            </w:r>
          </w:p>
        </w:tc>
        <w:tc>
          <w:tcPr>
            <w:tcW w:w="1298" w:type="dxa"/>
          </w:tcPr>
          <w:p w:rsidR="00F26CE3" w:rsidRPr="001F505E" w:rsidRDefault="00F26CE3" w:rsidP="008557CB">
            <w:pPr>
              <w:spacing w:before="0" w:after="0"/>
              <w:rPr>
                <w:sz w:val="20"/>
                <w:szCs w:val="20"/>
                <w:lang w:val="sq-AL"/>
              </w:rPr>
            </w:pPr>
            <w:r>
              <w:rPr>
                <w:sz w:val="20"/>
                <w:szCs w:val="20"/>
                <w:lang w:val="sq-AL"/>
              </w:rPr>
              <w:t>1457</w:t>
            </w:r>
          </w:p>
        </w:tc>
        <w:tc>
          <w:tcPr>
            <w:tcW w:w="1192" w:type="dxa"/>
          </w:tcPr>
          <w:p w:rsidR="00F26CE3" w:rsidRPr="001F505E" w:rsidRDefault="00F26CE3" w:rsidP="008557CB">
            <w:pPr>
              <w:spacing w:before="0" w:after="0"/>
              <w:rPr>
                <w:sz w:val="20"/>
                <w:szCs w:val="20"/>
                <w:lang w:val="sq-AL"/>
              </w:rPr>
            </w:pPr>
            <w:r>
              <w:rPr>
                <w:sz w:val="20"/>
                <w:szCs w:val="20"/>
                <w:lang w:val="sq-AL"/>
              </w:rPr>
              <w:t>-8.9</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Cs/>
                <w:sz w:val="20"/>
                <w:szCs w:val="20"/>
                <w:lang w:val="sq-AL"/>
              </w:rPr>
              <w:t>Transport</w:t>
            </w:r>
          </w:p>
        </w:tc>
        <w:tc>
          <w:tcPr>
            <w:tcW w:w="1310" w:type="dxa"/>
          </w:tcPr>
          <w:p w:rsidR="00F26CE3" w:rsidRPr="001F505E" w:rsidRDefault="00F26CE3" w:rsidP="008557CB">
            <w:pPr>
              <w:spacing w:before="0" w:after="0"/>
              <w:rPr>
                <w:sz w:val="20"/>
                <w:szCs w:val="20"/>
                <w:lang w:val="sq-AL"/>
              </w:rPr>
            </w:pPr>
            <w:r>
              <w:rPr>
                <w:sz w:val="20"/>
                <w:szCs w:val="20"/>
                <w:lang w:val="sq-AL"/>
              </w:rPr>
              <w:t>165.6</w:t>
            </w:r>
          </w:p>
        </w:tc>
        <w:tc>
          <w:tcPr>
            <w:tcW w:w="1287" w:type="dxa"/>
          </w:tcPr>
          <w:p w:rsidR="00F26CE3" w:rsidRPr="001F505E" w:rsidRDefault="00F26CE3" w:rsidP="008557CB">
            <w:pPr>
              <w:spacing w:before="0" w:after="0"/>
              <w:rPr>
                <w:sz w:val="20"/>
                <w:szCs w:val="20"/>
                <w:lang w:val="sq-AL"/>
              </w:rPr>
            </w:pPr>
            <w:r>
              <w:rPr>
                <w:sz w:val="20"/>
                <w:szCs w:val="20"/>
                <w:lang w:val="sq-AL"/>
              </w:rPr>
              <w:t>217.9</w:t>
            </w:r>
          </w:p>
        </w:tc>
        <w:tc>
          <w:tcPr>
            <w:tcW w:w="1113" w:type="dxa"/>
          </w:tcPr>
          <w:p w:rsidR="00F26CE3" w:rsidRPr="001F505E" w:rsidRDefault="00F26CE3" w:rsidP="008557CB">
            <w:pPr>
              <w:spacing w:before="0" w:after="0"/>
              <w:rPr>
                <w:sz w:val="20"/>
                <w:szCs w:val="20"/>
                <w:lang w:val="sq-AL"/>
              </w:rPr>
            </w:pPr>
            <w:r>
              <w:rPr>
                <w:sz w:val="20"/>
                <w:szCs w:val="20"/>
                <w:lang w:val="sq-AL"/>
              </w:rPr>
              <w:t>31.6</w:t>
            </w:r>
          </w:p>
        </w:tc>
        <w:tc>
          <w:tcPr>
            <w:tcW w:w="1310" w:type="dxa"/>
          </w:tcPr>
          <w:p w:rsidR="00F26CE3" w:rsidRPr="001F505E" w:rsidRDefault="00F26CE3" w:rsidP="008557CB">
            <w:pPr>
              <w:spacing w:before="0" w:after="0"/>
              <w:rPr>
                <w:sz w:val="20"/>
                <w:szCs w:val="20"/>
                <w:lang w:val="sq-AL"/>
              </w:rPr>
            </w:pPr>
            <w:r>
              <w:rPr>
                <w:sz w:val="20"/>
                <w:szCs w:val="20"/>
                <w:lang w:val="sq-AL"/>
              </w:rPr>
              <w:t>325</w:t>
            </w:r>
          </w:p>
        </w:tc>
        <w:tc>
          <w:tcPr>
            <w:tcW w:w="1298" w:type="dxa"/>
          </w:tcPr>
          <w:p w:rsidR="00F26CE3" w:rsidRPr="001F505E" w:rsidRDefault="00F26CE3" w:rsidP="008557CB">
            <w:pPr>
              <w:spacing w:before="0" w:after="0"/>
              <w:rPr>
                <w:sz w:val="20"/>
                <w:szCs w:val="20"/>
                <w:lang w:val="sq-AL"/>
              </w:rPr>
            </w:pPr>
            <w:r>
              <w:rPr>
                <w:sz w:val="20"/>
                <w:szCs w:val="20"/>
                <w:lang w:val="sq-AL"/>
              </w:rPr>
              <w:t>342</w:t>
            </w:r>
          </w:p>
        </w:tc>
        <w:tc>
          <w:tcPr>
            <w:tcW w:w="1192" w:type="dxa"/>
          </w:tcPr>
          <w:p w:rsidR="00F26CE3" w:rsidRPr="001F505E" w:rsidRDefault="00F26CE3" w:rsidP="008557CB">
            <w:pPr>
              <w:spacing w:before="0" w:after="0"/>
              <w:rPr>
                <w:sz w:val="20"/>
                <w:szCs w:val="20"/>
                <w:lang w:val="sq-AL"/>
              </w:rPr>
            </w:pPr>
            <w:r>
              <w:rPr>
                <w:sz w:val="20"/>
                <w:szCs w:val="20"/>
                <w:lang w:val="sq-AL"/>
              </w:rPr>
              <w:t>5.2</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Cs/>
                <w:sz w:val="20"/>
                <w:szCs w:val="20"/>
                <w:lang w:val="sq-AL"/>
              </w:rPr>
              <w:t>Tregti</w:t>
            </w:r>
          </w:p>
        </w:tc>
        <w:tc>
          <w:tcPr>
            <w:tcW w:w="1310" w:type="dxa"/>
          </w:tcPr>
          <w:p w:rsidR="00F26CE3" w:rsidRPr="001F505E" w:rsidRDefault="00F26CE3" w:rsidP="008557CB">
            <w:pPr>
              <w:spacing w:before="0" w:after="0"/>
              <w:rPr>
                <w:sz w:val="20"/>
                <w:szCs w:val="20"/>
                <w:lang w:val="sq-AL"/>
              </w:rPr>
            </w:pPr>
            <w:r>
              <w:rPr>
                <w:sz w:val="20"/>
                <w:szCs w:val="20"/>
                <w:lang w:val="sq-AL"/>
              </w:rPr>
              <w:t>2398.0</w:t>
            </w:r>
          </w:p>
        </w:tc>
        <w:tc>
          <w:tcPr>
            <w:tcW w:w="1287" w:type="dxa"/>
          </w:tcPr>
          <w:p w:rsidR="00F26CE3" w:rsidRPr="001F505E" w:rsidRDefault="00F26CE3" w:rsidP="008557CB">
            <w:pPr>
              <w:spacing w:before="0" w:after="0"/>
              <w:rPr>
                <w:sz w:val="20"/>
                <w:szCs w:val="20"/>
                <w:lang w:val="sq-AL"/>
              </w:rPr>
            </w:pPr>
            <w:r>
              <w:rPr>
                <w:sz w:val="20"/>
                <w:szCs w:val="20"/>
                <w:lang w:val="sq-AL"/>
              </w:rPr>
              <w:t>1491.6</w:t>
            </w:r>
          </w:p>
        </w:tc>
        <w:tc>
          <w:tcPr>
            <w:tcW w:w="1113" w:type="dxa"/>
          </w:tcPr>
          <w:p w:rsidR="00F26CE3" w:rsidRPr="001F505E" w:rsidRDefault="00F26CE3" w:rsidP="008557CB">
            <w:pPr>
              <w:spacing w:before="0" w:after="0"/>
              <w:rPr>
                <w:sz w:val="20"/>
                <w:szCs w:val="20"/>
                <w:lang w:val="sq-AL"/>
              </w:rPr>
            </w:pPr>
            <w:r>
              <w:rPr>
                <w:sz w:val="20"/>
                <w:szCs w:val="20"/>
                <w:lang w:val="sq-AL"/>
              </w:rPr>
              <w:t>-37.8</w:t>
            </w:r>
          </w:p>
        </w:tc>
        <w:tc>
          <w:tcPr>
            <w:tcW w:w="1310" w:type="dxa"/>
          </w:tcPr>
          <w:p w:rsidR="00F26CE3" w:rsidRPr="001F505E" w:rsidRDefault="00F26CE3" w:rsidP="008557CB">
            <w:pPr>
              <w:spacing w:before="0" w:after="0"/>
              <w:rPr>
                <w:sz w:val="20"/>
                <w:szCs w:val="20"/>
                <w:lang w:val="sq-AL"/>
              </w:rPr>
            </w:pPr>
            <w:r>
              <w:rPr>
                <w:sz w:val="20"/>
                <w:szCs w:val="20"/>
                <w:lang w:val="sq-AL"/>
              </w:rPr>
              <w:t>3524</w:t>
            </w:r>
          </w:p>
        </w:tc>
        <w:tc>
          <w:tcPr>
            <w:tcW w:w="1298" w:type="dxa"/>
          </w:tcPr>
          <w:p w:rsidR="00F26CE3" w:rsidRPr="001F505E" w:rsidRDefault="00F26CE3" w:rsidP="008557CB">
            <w:pPr>
              <w:spacing w:before="0" w:after="0"/>
              <w:rPr>
                <w:sz w:val="20"/>
                <w:szCs w:val="20"/>
                <w:lang w:val="sq-AL"/>
              </w:rPr>
            </w:pPr>
            <w:r>
              <w:rPr>
                <w:sz w:val="20"/>
                <w:szCs w:val="20"/>
                <w:lang w:val="sq-AL"/>
              </w:rPr>
              <w:t>3589</w:t>
            </w:r>
          </w:p>
        </w:tc>
        <w:tc>
          <w:tcPr>
            <w:tcW w:w="1192" w:type="dxa"/>
          </w:tcPr>
          <w:p w:rsidR="00F26CE3" w:rsidRPr="001F505E" w:rsidRDefault="00F26CE3" w:rsidP="008557CB">
            <w:pPr>
              <w:spacing w:before="0" w:after="0"/>
              <w:rPr>
                <w:sz w:val="20"/>
                <w:szCs w:val="20"/>
                <w:lang w:val="sq-AL"/>
              </w:rPr>
            </w:pPr>
            <w:r>
              <w:rPr>
                <w:sz w:val="20"/>
                <w:szCs w:val="20"/>
                <w:lang w:val="sq-AL"/>
              </w:rPr>
              <w:t>1.8</w:t>
            </w:r>
          </w:p>
        </w:tc>
      </w:tr>
      <w:tr w:rsidR="00F26CE3" w:rsidRPr="001F505E" w:rsidTr="00F26CE3">
        <w:tc>
          <w:tcPr>
            <w:tcW w:w="2110" w:type="dxa"/>
          </w:tcPr>
          <w:p w:rsidR="00F26CE3" w:rsidRPr="001F505E" w:rsidRDefault="00F26CE3" w:rsidP="008557CB">
            <w:pPr>
              <w:spacing w:before="0" w:after="0"/>
              <w:rPr>
                <w:b/>
                <w:bCs/>
                <w:sz w:val="20"/>
                <w:szCs w:val="20"/>
                <w:lang w:val="sq-AL"/>
              </w:rPr>
            </w:pPr>
            <w:r w:rsidRPr="001F505E">
              <w:rPr>
                <w:bCs/>
                <w:sz w:val="20"/>
                <w:szCs w:val="20"/>
                <w:lang w:val="sq-AL"/>
              </w:rPr>
              <w:t>Shërbime</w:t>
            </w:r>
          </w:p>
        </w:tc>
        <w:tc>
          <w:tcPr>
            <w:tcW w:w="1310" w:type="dxa"/>
          </w:tcPr>
          <w:p w:rsidR="00F26CE3" w:rsidRPr="001F505E" w:rsidRDefault="00F26CE3" w:rsidP="008557CB">
            <w:pPr>
              <w:spacing w:before="0" w:after="0"/>
              <w:rPr>
                <w:sz w:val="20"/>
                <w:szCs w:val="20"/>
                <w:lang w:val="sq-AL"/>
              </w:rPr>
            </w:pPr>
            <w:r>
              <w:rPr>
                <w:sz w:val="20"/>
                <w:szCs w:val="20"/>
                <w:lang w:val="sq-AL"/>
              </w:rPr>
              <w:t>5471.3</w:t>
            </w:r>
          </w:p>
        </w:tc>
        <w:tc>
          <w:tcPr>
            <w:tcW w:w="1287" w:type="dxa"/>
          </w:tcPr>
          <w:p w:rsidR="00F26CE3" w:rsidRPr="001F505E" w:rsidRDefault="00F26CE3" w:rsidP="008557CB">
            <w:pPr>
              <w:spacing w:before="0" w:after="0"/>
              <w:rPr>
                <w:sz w:val="20"/>
                <w:szCs w:val="20"/>
                <w:lang w:val="sq-AL"/>
              </w:rPr>
            </w:pPr>
            <w:r>
              <w:rPr>
                <w:sz w:val="20"/>
                <w:szCs w:val="20"/>
                <w:lang w:val="sq-AL"/>
              </w:rPr>
              <w:t>5167.8</w:t>
            </w:r>
          </w:p>
        </w:tc>
        <w:tc>
          <w:tcPr>
            <w:tcW w:w="1113" w:type="dxa"/>
          </w:tcPr>
          <w:p w:rsidR="00F26CE3" w:rsidRPr="001F505E" w:rsidRDefault="00F26CE3" w:rsidP="008557CB">
            <w:pPr>
              <w:spacing w:before="0" w:after="0"/>
              <w:rPr>
                <w:sz w:val="20"/>
                <w:szCs w:val="20"/>
                <w:lang w:val="sq-AL"/>
              </w:rPr>
            </w:pPr>
            <w:r>
              <w:rPr>
                <w:sz w:val="20"/>
                <w:szCs w:val="20"/>
                <w:lang w:val="sq-AL"/>
              </w:rPr>
              <w:t>-5.5</w:t>
            </w:r>
          </w:p>
        </w:tc>
        <w:tc>
          <w:tcPr>
            <w:tcW w:w="1310" w:type="dxa"/>
          </w:tcPr>
          <w:p w:rsidR="00F26CE3" w:rsidRPr="001F505E" w:rsidRDefault="00F26CE3" w:rsidP="008557CB">
            <w:pPr>
              <w:spacing w:before="0" w:after="0"/>
              <w:rPr>
                <w:sz w:val="20"/>
                <w:szCs w:val="20"/>
                <w:lang w:val="sq-AL"/>
              </w:rPr>
            </w:pPr>
            <w:r>
              <w:rPr>
                <w:sz w:val="20"/>
                <w:szCs w:val="20"/>
                <w:lang w:val="sq-AL"/>
              </w:rPr>
              <w:t>4955</w:t>
            </w:r>
          </w:p>
        </w:tc>
        <w:tc>
          <w:tcPr>
            <w:tcW w:w="1298" w:type="dxa"/>
          </w:tcPr>
          <w:p w:rsidR="00F26CE3" w:rsidRPr="001F505E" w:rsidRDefault="00F26CE3" w:rsidP="008557CB">
            <w:pPr>
              <w:spacing w:before="0" w:after="0"/>
              <w:rPr>
                <w:sz w:val="20"/>
                <w:szCs w:val="20"/>
                <w:lang w:val="sq-AL"/>
              </w:rPr>
            </w:pPr>
            <w:r>
              <w:rPr>
                <w:sz w:val="20"/>
                <w:szCs w:val="20"/>
                <w:lang w:val="sq-AL"/>
              </w:rPr>
              <w:t>4998</w:t>
            </w:r>
          </w:p>
        </w:tc>
        <w:tc>
          <w:tcPr>
            <w:tcW w:w="1192" w:type="dxa"/>
          </w:tcPr>
          <w:p w:rsidR="00F26CE3" w:rsidRPr="001F505E" w:rsidRDefault="00F26CE3" w:rsidP="008557CB">
            <w:pPr>
              <w:spacing w:before="0" w:after="0"/>
              <w:rPr>
                <w:sz w:val="20"/>
                <w:szCs w:val="20"/>
                <w:lang w:val="sq-AL"/>
              </w:rPr>
            </w:pPr>
            <w:r>
              <w:rPr>
                <w:sz w:val="20"/>
                <w:szCs w:val="20"/>
                <w:lang w:val="sq-AL"/>
              </w:rPr>
              <w:t>0.9</w:t>
            </w:r>
          </w:p>
        </w:tc>
      </w:tr>
    </w:tbl>
    <w:p w:rsidR="006E6BB2" w:rsidRPr="00D36F81" w:rsidRDefault="007011C3" w:rsidP="006E6BB2">
      <w:pPr>
        <w:rPr>
          <w:color w:val="000000"/>
          <w:sz w:val="20"/>
          <w:szCs w:val="20"/>
          <w:lang w:val="sq-AL"/>
        </w:rPr>
      </w:pPr>
      <w:r w:rsidRPr="001F505E">
        <w:rPr>
          <w:color w:val="000000"/>
          <w:sz w:val="20"/>
          <w:szCs w:val="20"/>
          <w:lang w:val="sq-AL"/>
        </w:rPr>
        <w:t>Burimi: Drejtoria e P</w:t>
      </w:r>
      <w:r w:rsidR="001C0232" w:rsidRPr="001F505E">
        <w:rPr>
          <w:color w:val="000000"/>
          <w:sz w:val="20"/>
          <w:szCs w:val="20"/>
          <w:lang w:val="sq-AL"/>
        </w:rPr>
        <w:t>ë</w:t>
      </w:r>
      <w:r w:rsidRPr="001F505E">
        <w:rPr>
          <w:color w:val="000000"/>
          <w:sz w:val="20"/>
          <w:szCs w:val="20"/>
          <w:lang w:val="sq-AL"/>
        </w:rPr>
        <w:t>rgjithshme e Tatimeve</w:t>
      </w:r>
    </w:p>
    <w:p w:rsidR="00965503" w:rsidRPr="001F505E" w:rsidRDefault="00965503" w:rsidP="003F4270">
      <w:pPr>
        <w:pStyle w:val="Heading3"/>
        <w:rPr>
          <w:lang w:val="sq-AL"/>
        </w:rPr>
      </w:pPr>
      <w:bookmarkStart w:id="5" w:name="_Toc367712685"/>
      <w:r w:rsidRPr="001F505E">
        <w:rPr>
          <w:lang w:val="sq-AL"/>
        </w:rPr>
        <w:t>Tatimet mbi konsumin: Akciza</w:t>
      </w:r>
      <w:bookmarkEnd w:id="5"/>
    </w:p>
    <w:p w:rsidR="003D2F7C" w:rsidRPr="001F505E" w:rsidRDefault="003D2F7C" w:rsidP="003D2F7C">
      <w:pPr>
        <w:rPr>
          <w:lang w:val="sq-AL"/>
        </w:rPr>
      </w:pPr>
      <w:r w:rsidRPr="001F505E">
        <w:rPr>
          <w:lang w:val="sq-AL"/>
        </w:rPr>
        <w:t xml:space="preserve">Të ardhurat gjithsej nga Akciza për periudhën Janar – </w:t>
      </w:r>
      <w:r w:rsidR="0007301A">
        <w:rPr>
          <w:lang w:val="sq-AL"/>
        </w:rPr>
        <w:t>Korrik</w:t>
      </w:r>
      <w:r w:rsidRPr="001F505E">
        <w:rPr>
          <w:lang w:val="sq-AL"/>
        </w:rPr>
        <w:t xml:space="preserve"> arritën në rreth </w:t>
      </w:r>
      <w:r w:rsidR="0007301A">
        <w:rPr>
          <w:lang w:val="sq-AL"/>
        </w:rPr>
        <w:t>20</w:t>
      </w:r>
      <w:r w:rsidRPr="001F505E">
        <w:rPr>
          <w:lang w:val="sq-AL"/>
        </w:rPr>
        <w:t xml:space="preserve"> miliardë lekë; </w:t>
      </w:r>
      <w:r w:rsidR="0007301A">
        <w:rPr>
          <w:lang w:val="sq-AL"/>
        </w:rPr>
        <w:t>4.9</w:t>
      </w:r>
      <w:r w:rsidRPr="001F505E">
        <w:rPr>
          <w:lang w:val="sq-AL"/>
        </w:rPr>
        <w:t xml:space="preserve"> përqind m</w:t>
      </w:r>
      <w:r w:rsidR="005B6DF6" w:rsidRPr="001F505E">
        <w:rPr>
          <w:lang w:val="sq-AL"/>
        </w:rPr>
        <w:t>ë</w:t>
      </w:r>
      <w:r w:rsidRPr="001F505E">
        <w:rPr>
          <w:lang w:val="sq-AL"/>
        </w:rPr>
        <w:t xml:space="preserve"> pak krahasuar me të njëjtën periudhë të vitit 2012; të ardhurat nga kjo taksë ishin ndjesh</w:t>
      </w:r>
      <w:r w:rsidR="005B6DF6" w:rsidRPr="001F505E">
        <w:rPr>
          <w:lang w:val="sq-AL"/>
        </w:rPr>
        <w:t>ë</w:t>
      </w:r>
      <w:r w:rsidRPr="001F505E">
        <w:rPr>
          <w:lang w:val="sq-AL"/>
        </w:rPr>
        <w:t>m n</w:t>
      </w:r>
      <w:r w:rsidR="005B6DF6" w:rsidRPr="001F505E">
        <w:rPr>
          <w:lang w:val="sq-AL"/>
        </w:rPr>
        <w:t>ë</w:t>
      </w:r>
      <w:r w:rsidR="006F7090" w:rsidRPr="001F505E">
        <w:rPr>
          <w:lang w:val="sq-AL"/>
        </w:rPr>
        <w:t>n nivelin e pritsh</w:t>
      </w:r>
      <w:r w:rsidR="005B6DF6" w:rsidRPr="001F505E">
        <w:rPr>
          <w:lang w:val="sq-AL"/>
        </w:rPr>
        <w:t>ë</w:t>
      </w:r>
      <w:r w:rsidR="006F7090" w:rsidRPr="001F505E">
        <w:rPr>
          <w:lang w:val="sq-AL"/>
        </w:rPr>
        <w:t xml:space="preserve">m, me rreth </w:t>
      </w:r>
      <w:r w:rsidR="0007301A">
        <w:rPr>
          <w:lang w:val="sq-AL"/>
        </w:rPr>
        <w:t>15.5</w:t>
      </w:r>
      <w:r w:rsidR="006F7090" w:rsidRPr="001F505E">
        <w:rPr>
          <w:lang w:val="sq-AL"/>
        </w:rPr>
        <w:t xml:space="preserve"> p</w:t>
      </w:r>
      <w:r w:rsidR="005B6DF6" w:rsidRPr="001F505E">
        <w:rPr>
          <w:lang w:val="sq-AL"/>
        </w:rPr>
        <w:t>ërqind më</w:t>
      </w:r>
      <w:r w:rsidR="006F7090" w:rsidRPr="001F505E">
        <w:rPr>
          <w:lang w:val="sq-AL"/>
        </w:rPr>
        <w:t xml:space="preserve"> pak.</w:t>
      </w:r>
      <w:r w:rsidRPr="001F505E">
        <w:rPr>
          <w:lang w:val="sq-AL"/>
        </w:rPr>
        <w:t xml:space="preserve"> </w:t>
      </w:r>
      <w:r w:rsidR="0007301A">
        <w:rPr>
          <w:lang w:val="sq-AL"/>
        </w:rPr>
        <w:t>Akciza administrohet dhe mblidhet t</w:t>
      </w:r>
      <w:r w:rsidR="004B355A">
        <w:rPr>
          <w:lang w:val="sq-AL"/>
        </w:rPr>
        <w:t>ë</w:t>
      </w:r>
      <w:r w:rsidR="0007301A">
        <w:rPr>
          <w:lang w:val="sq-AL"/>
        </w:rPr>
        <w:t>r</w:t>
      </w:r>
      <w:r w:rsidR="004B355A">
        <w:rPr>
          <w:lang w:val="sq-AL"/>
        </w:rPr>
        <w:t>ë</w:t>
      </w:r>
      <w:r w:rsidR="0007301A">
        <w:rPr>
          <w:lang w:val="sq-AL"/>
        </w:rPr>
        <w:t>sisht nga Administrata Doganore.</w:t>
      </w:r>
    </w:p>
    <w:p w:rsidR="00472553" w:rsidRPr="001F505E" w:rsidRDefault="003D2F7C" w:rsidP="003D2F7C">
      <w:pPr>
        <w:rPr>
          <w:highlight w:val="yellow"/>
          <w:lang w:val="sq-AL"/>
        </w:rPr>
      </w:pPr>
      <w:r w:rsidRPr="001F505E">
        <w:rPr>
          <w:lang w:val="sq-AL"/>
        </w:rPr>
        <w:t>T</w:t>
      </w:r>
      <w:r w:rsidR="00433C9C" w:rsidRPr="001F505E">
        <w:rPr>
          <w:lang w:val="sq-AL"/>
        </w:rPr>
        <w:t>ë</w:t>
      </w:r>
      <w:r w:rsidRPr="001F505E">
        <w:rPr>
          <w:lang w:val="sq-AL"/>
        </w:rPr>
        <w:t xml:space="preserve"> dh</w:t>
      </w:r>
      <w:r w:rsidR="00433C9C" w:rsidRPr="001F505E">
        <w:rPr>
          <w:lang w:val="sq-AL"/>
        </w:rPr>
        <w:t>ë</w:t>
      </w:r>
      <w:r w:rsidRPr="001F505E">
        <w:rPr>
          <w:lang w:val="sq-AL"/>
        </w:rPr>
        <w:t xml:space="preserve">nat </w:t>
      </w:r>
      <w:r w:rsidR="00472553" w:rsidRPr="001F505E">
        <w:rPr>
          <w:lang w:val="sq-AL"/>
        </w:rPr>
        <w:t>mbi akciz</w:t>
      </w:r>
      <w:r w:rsidR="00433C9C" w:rsidRPr="001F505E">
        <w:rPr>
          <w:lang w:val="sq-AL"/>
        </w:rPr>
        <w:t>ë</w:t>
      </w:r>
      <w:r w:rsidR="00472553" w:rsidRPr="001F505E">
        <w:rPr>
          <w:lang w:val="sq-AL"/>
        </w:rPr>
        <w:t xml:space="preserve">n </w:t>
      </w:r>
      <w:r w:rsidRPr="001F505E">
        <w:rPr>
          <w:lang w:val="sq-AL"/>
        </w:rPr>
        <w:t>pasqyro</w:t>
      </w:r>
      <w:r w:rsidR="00433C9C" w:rsidRPr="001F505E">
        <w:rPr>
          <w:lang w:val="sq-AL"/>
        </w:rPr>
        <w:t>hen të</w:t>
      </w:r>
      <w:r w:rsidR="003829A6" w:rsidRPr="001F505E">
        <w:rPr>
          <w:lang w:val="sq-AL"/>
        </w:rPr>
        <w:t xml:space="preserve"> p</w:t>
      </w:r>
      <w:r w:rsidR="00433C9C" w:rsidRPr="001F505E">
        <w:rPr>
          <w:lang w:val="sq-AL"/>
        </w:rPr>
        <w:t>ë</w:t>
      </w:r>
      <w:r w:rsidR="003829A6" w:rsidRPr="001F505E">
        <w:rPr>
          <w:lang w:val="sq-AL"/>
        </w:rPr>
        <w:t>rmbledhura n</w:t>
      </w:r>
      <w:r w:rsidR="00433C9C" w:rsidRPr="001F505E">
        <w:rPr>
          <w:lang w:val="sq-AL"/>
        </w:rPr>
        <w:t>ë</w:t>
      </w:r>
      <w:r w:rsidR="003829A6" w:rsidRPr="001F505E">
        <w:rPr>
          <w:lang w:val="sq-AL"/>
        </w:rPr>
        <w:t xml:space="preserve"> tabelat 4 dhe 5</w:t>
      </w:r>
      <w:r w:rsidRPr="001F505E">
        <w:rPr>
          <w:lang w:val="sq-AL"/>
        </w:rPr>
        <w:t>, lidhur me akciz</w:t>
      </w:r>
      <w:r w:rsidR="00433C9C" w:rsidRPr="001F505E">
        <w:rPr>
          <w:lang w:val="sq-AL"/>
        </w:rPr>
        <w:t>ë</w:t>
      </w:r>
      <w:r w:rsidRPr="001F505E">
        <w:rPr>
          <w:lang w:val="sq-AL"/>
        </w:rPr>
        <w:t>n e paguar dhe zhdoganimet e mallrave t</w:t>
      </w:r>
      <w:r w:rsidR="00433C9C" w:rsidRPr="001F505E">
        <w:rPr>
          <w:lang w:val="sq-AL"/>
        </w:rPr>
        <w:t>ë</w:t>
      </w:r>
      <w:r w:rsidRPr="001F505E">
        <w:rPr>
          <w:lang w:val="sq-AL"/>
        </w:rPr>
        <w:t xml:space="preserve"> forta.</w:t>
      </w:r>
      <w:r w:rsidR="00C27D4D" w:rsidRPr="001F505E">
        <w:rPr>
          <w:lang w:val="sq-AL"/>
        </w:rPr>
        <w:t xml:space="preserve"> </w:t>
      </w:r>
      <w:r w:rsidR="00303796" w:rsidRPr="001F505E">
        <w:rPr>
          <w:lang w:val="sq-AL"/>
        </w:rPr>
        <w:t xml:space="preserve">Duke </w:t>
      </w:r>
      <w:r w:rsidR="00472553" w:rsidRPr="001F505E">
        <w:rPr>
          <w:lang w:val="sq-AL"/>
        </w:rPr>
        <w:t xml:space="preserve">iu referuar </w:t>
      </w:r>
      <w:r w:rsidR="0007301A">
        <w:rPr>
          <w:lang w:val="sq-AL"/>
        </w:rPr>
        <w:t>7M t</w:t>
      </w:r>
      <w:r w:rsidR="004B355A">
        <w:rPr>
          <w:lang w:val="sq-AL"/>
        </w:rPr>
        <w:t>ë</w:t>
      </w:r>
      <w:r w:rsidR="0007301A">
        <w:rPr>
          <w:lang w:val="sq-AL"/>
        </w:rPr>
        <w:t xml:space="preserve"> 2013</w:t>
      </w:r>
      <w:r w:rsidR="00472553" w:rsidRPr="001F505E">
        <w:rPr>
          <w:lang w:val="sq-AL"/>
        </w:rPr>
        <w:t>, v</w:t>
      </w:r>
      <w:r w:rsidR="001C6F70" w:rsidRPr="001F505E">
        <w:rPr>
          <w:lang w:val="sq-AL"/>
        </w:rPr>
        <w:t>ë</w:t>
      </w:r>
      <w:r w:rsidR="00472553" w:rsidRPr="001F505E">
        <w:rPr>
          <w:lang w:val="sq-AL"/>
        </w:rPr>
        <w:t>rehet se: t</w:t>
      </w:r>
      <w:r w:rsidR="001C6F70" w:rsidRPr="001F505E">
        <w:rPr>
          <w:lang w:val="sq-AL"/>
        </w:rPr>
        <w:t>ë</w:t>
      </w:r>
      <w:r w:rsidR="00472553" w:rsidRPr="001F505E">
        <w:rPr>
          <w:lang w:val="sq-AL"/>
        </w:rPr>
        <w:t xml:space="preserve"> ardhurat nga akciza </w:t>
      </w:r>
      <w:r w:rsidR="00363606" w:rsidRPr="001F505E">
        <w:rPr>
          <w:lang w:val="sq-AL"/>
        </w:rPr>
        <w:t>mbi produktet e duhanit sh</w:t>
      </w:r>
      <w:r w:rsidR="001C6F70" w:rsidRPr="001F505E">
        <w:rPr>
          <w:lang w:val="sq-AL"/>
        </w:rPr>
        <w:t>ë</w:t>
      </w:r>
      <w:r w:rsidR="00363606" w:rsidRPr="001F505E">
        <w:rPr>
          <w:lang w:val="sq-AL"/>
        </w:rPr>
        <w:t>nojn</w:t>
      </w:r>
      <w:r w:rsidR="001C6F70" w:rsidRPr="001F505E">
        <w:rPr>
          <w:lang w:val="sq-AL"/>
        </w:rPr>
        <w:t>ë</w:t>
      </w:r>
      <w:r w:rsidR="00363606" w:rsidRPr="001F505E">
        <w:rPr>
          <w:lang w:val="sq-AL"/>
        </w:rPr>
        <w:t xml:space="preserve"> ulje t</w:t>
      </w:r>
      <w:r w:rsidR="001C6F70" w:rsidRPr="001F505E">
        <w:rPr>
          <w:lang w:val="sq-AL"/>
        </w:rPr>
        <w:t>ë</w:t>
      </w:r>
      <w:r w:rsidR="00363606" w:rsidRPr="001F505E">
        <w:rPr>
          <w:lang w:val="sq-AL"/>
        </w:rPr>
        <w:t xml:space="preserve"> ndjeshme vjetore me 42 p</w:t>
      </w:r>
      <w:r w:rsidR="001C6F70" w:rsidRPr="001F505E">
        <w:rPr>
          <w:lang w:val="sq-AL"/>
        </w:rPr>
        <w:t>ë</w:t>
      </w:r>
      <w:r w:rsidR="00363606" w:rsidRPr="001F505E">
        <w:rPr>
          <w:lang w:val="sq-AL"/>
        </w:rPr>
        <w:t>rqind</w:t>
      </w:r>
      <w:r w:rsidR="0007301A">
        <w:rPr>
          <w:lang w:val="sq-AL"/>
        </w:rPr>
        <w:t xml:space="preserve"> (gj</w:t>
      </w:r>
      <w:r w:rsidR="004B355A">
        <w:rPr>
          <w:lang w:val="sq-AL"/>
        </w:rPr>
        <w:t>ë</w:t>
      </w:r>
      <w:r w:rsidR="0007301A">
        <w:rPr>
          <w:lang w:val="sq-AL"/>
        </w:rPr>
        <w:t xml:space="preserve"> e cila ndikon edhe ecurin</w:t>
      </w:r>
      <w:r w:rsidR="004B355A">
        <w:rPr>
          <w:lang w:val="sq-AL"/>
        </w:rPr>
        <w:t>ë</w:t>
      </w:r>
      <w:r w:rsidR="0007301A">
        <w:rPr>
          <w:lang w:val="sq-AL"/>
        </w:rPr>
        <w:t xml:space="preserve"> e p</w:t>
      </w:r>
      <w:r w:rsidR="004B355A">
        <w:rPr>
          <w:lang w:val="sq-AL"/>
        </w:rPr>
        <w:t>ë</w:t>
      </w:r>
      <w:r w:rsidR="0007301A">
        <w:rPr>
          <w:lang w:val="sq-AL"/>
        </w:rPr>
        <w:t>rgjithshme t</w:t>
      </w:r>
      <w:r w:rsidR="004B355A">
        <w:rPr>
          <w:lang w:val="sq-AL"/>
        </w:rPr>
        <w:t>ë</w:t>
      </w:r>
      <w:r w:rsidR="0007301A">
        <w:rPr>
          <w:lang w:val="sq-AL"/>
        </w:rPr>
        <w:t xml:space="preserve"> k</w:t>
      </w:r>
      <w:r w:rsidR="004B355A">
        <w:rPr>
          <w:lang w:val="sq-AL"/>
        </w:rPr>
        <w:t>ë</w:t>
      </w:r>
      <w:r w:rsidR="0007301A">
        <w:rPr>
          <w:lang w:val="sq-AL"/>
        </w:rPr>
        <w:t>saj takse p</w:t>
      </w:r>
      <w:r w:rsidR="004B355A">
        <w:rPr>
          <w:lang w:val="sq-AL"/>
        </w:rPr>
        <w:t>ë</w:t>
      </w:r>
      <w:r w:rsidR="0007301A">
        <w:rPr>
          <w:lang w:val="sq-AL"/>
        </w:rPr>
        <w:t>r peridh</w:t>
      </w:r>
      <w:r w:rsidR="004B355A">
        <w:rPr>
          <w:lang w:val="sq-AL"/>
        </w:rPr>
        <w:t>ë</w:t>
      </w:r>
      <w:r w:rsidR="0007301A">
        <w:rPr>
          <w:lang w:val="sq-AL"/>
        </w:rPr>
        <w:t>n n</w:t>
      </w:r>
      <w:r w:rsidR="004B355A">
        <w:rPr>
          <w:lang w:val="sq-AL"/>
        </w:rPr>
        <w:t>ë</w:t>
      </w:r>
      <w:r w:rsidR="0007301A">
        <w:rPr>
          <w:lang w:val="sq-AL"/>
        </w:rPr>
        <w:t xml:space="preserve"> referim)</w:t>
      </w:r>
      <w:r w:rsidR="00363606" w:rsidRPr="001F505E">
        <w:rPr>
          <w:lang w:val="sq-AL"/>
        </w:rPr>
        <w:t xml:space="preserve">; </w:t>
      </w:r>
      <w:r w:rsidR="0007301A" w:rsidRPr="0007301A">
        <w:rPr>
          <w:lang w:val="sq-AL"/>
        </w:rPr>
        <w:t>T</w:t>
      </w:r>
      <w:r w:rsidR="004B355A">
        <w:rPr>
          <w:lang w:val="sq-AL"/>
        </w:rPr>
        <w:t>ë</w:t>
      </w:r>
      <w:r w:rsidR="0007301A" w:rsidRPr="0007301A">
        <w:rPr>
          <w:lang w:val="sq-AL"/>
        </w:rPr>
        <w:t xml:space="preserve"> ardhurat p</w:t>
      </w:r>
      <w:r w:rsidR="004B355A">
        <w:rPr>
          <w:lang w:val="sq-AL"/>
        </w:rPr>
        <w:t>ë</w:t>
      </w:r>
      <w:r w:rsidR="0007301A" w:rsidRPr="0007301A">
        <w:rPr>
          <w:lang w:val="sq-AL"/>
        </w:rPr>
        <w:t>r mallrat e tjera kryesor</w:t>
      </w:r>
      <w:r w:rsidR="004B355A">
        <w:rPr>
          <w:lang w:val="sq-AL"/>
        </w:rPr>
        <w:t>ë</w:t>
      </w:r>
      <w:r w:rsidR="0007301A" w:rsidRPr="0007301A">
        <w:rPr>
          <w:lang w:val="sq-AL"/>
        </w:rPr>
        <w:t xml:space="preserve"> paraqiten me rritje shum</w:t>
      </w:r>
      <w:r w:rsidR="004B355A">
        <w:rPr>
          <w:lang w:val="sq-AL"/>
        </w:rPr>
        <w:t>ë</w:t>
      </w:r>
      <w:r w:rsidR="0007301A" w:rsidRPr="0007301A">
        <w:rPr>
          <w:lang w:val="sq-AL"/>
        </w:rPr>
        <w:t xml:space="preserve"> t</w:t>
      </w:r>
      <w:r w:rsidR="004B355A">
        <w:rPr>
          <w:lang w:val="sq-AL"/>
        </w:rPr>
        <w:t>ë</w:t>
      </w:r>
      <w:r w:rsidR="0007301A" w:rsidRPr="0007301A">
        <w:rPr>
          <w:lang w:val="sq-AL"/>
        </w:rPr>
        <w:t xml:space="preserve"> leht</w:t>
      </w:r>
      <w:r w:rsidR="004B355A">
        <w:rPr>
          <w:lang w:val="sq-AL"/>
        </w:rPr>
        <w:t>ë</w:t>
      </w:r>
      <w:r w:rsidR="0007301A" w:rsidRPr="0007301A">
        <w:rPr>
          <w:lang w:val="sq-AL"/>
        </w:rPr>
        <w:t xml:space="preserve"> (karburante dhe pije alkoolike). Theksojme se nuk ka patur ndryshime n</w:t>
      </w:r>
      <w:r w:rsidR="004B355A">
        <w:rPr>
          <w:lang w:val="sq-AL"/>
        </w:rPr>
        <w:t>ë</w:t>
      </w:r>
      <w:r w:rsidR="0007301A" w:rsidRPr="0007301A">
        <w:rPr>
          <w:lang w:val="sq-AL"/>
        </w:rPr>
        <w:t xml:space="preserve"> nivelet e akciz</w:t>
      </w:r>
      <w:r w:rsidR="004B355A">
        <w:rPr>
          <w:lang w:val="sq-AL"/>
        </w:rPr>
        <w:t>ë</w:t>
      </w:r>
      <w:r w:rsidR="0007301A" w:rsidRPr="0007301A">
        <w:rPr>
          <w:lang w:val="sq-AL"/>
        </w:rPr>
        <w:t>s p</w:t>
      </w:r>
      <w:r w:rsidR="004B355A">
        <w:rPr>
          <w:lang w:val="sq-AL"/>
        </w:rPr>
        <w:t>ë</w:t>
      </w:r>
      <w:r w:rsidR="0007301A" w:rsidRPr="0007301A">
        <w:rPr>
          <w:lang w:val="sq-AL"/>
        </w:rPr>
        <w:t>r produktet kryesore (pije alkoolike, cigare dhe karburante), gjat</w:t>
      </w:r>
      <w:r w:rsidR="004B355A">
        <w:rPr>
          <w:lang w:val="sq-AL"/>
        </w:rPr>
        <w:t>ë</w:t>
      </w:r>
      <w:r w:rsidR="0007301A" w:rsidRPr="0007301A">
        <w:rPr>
          <w:lang w:val="sq-AL"/>
        </w:rPr>
        <w:t xml:space="preserve"> 2012-2013. Lidhur me mallrat e tjera p</w:t>
      </w:r>
      <w:r w:rsidR="004B355A">
        <w:rPr>
          <w:lang w:val="sq-AL"/>
        </w:rPr>
        <w:t>ë</w:t>
      </w:r>
      <w:r w:rsidR="0007301A" w:rsidRPr="0007301A">
        <w:rPr>
          <w:lang w:val="sq-AL"/>
        </w:rPr>
        <w:t>rmendim ndryshimin e akci</w:t>
      </w:r>
      <w:r w:rsidR="0007301A">
        <w:rPr>
          <w:lang w:val="sq-AL"/>
        </w:rPr>
        <w:t>z</w:t>
      </w:r>
      <w:r w:rsidR="004B355A">
        <w:rPr>
          <w:lang w:val="sq-AL"/>
        </w:rPr>
        <w:t>ë</w:t>
      </w:r>
      <w:r w:rsidR="0007301A" w:rsidRPr="0007301A">
        <w:rPr>
          <w:lang w:val="sq-AL"/>
        </w:rPr>
        <w:t>s s</w:t>
      </w:r>
      <w:r w:rsidR="004B355A">
        <w:rPr>
          <w:lang w:val="sq-AL"/>
        </w:rPr>
        <w:t>ë</w:t>
      </w:r>
      <w:r w:rsidR="0007301A" w:rsidRPr="0007301A">
        <w:rPr>
          <w:lang w:val="sq-AL"/>
        </w:rPr>
        <w:t xml:space="preserve"> kafes s</w:t>
      </w:r>
      <w:r w:rsidR="004B355A">
        <w:rPr>
          <w:lang w:val="sq-AL"/>
        </w:rPr>
        <w:t>ë</w:t>
      </w:r>
      <w:r w:rsidR="0007301A" w:rsidRPr="0007301A">
        <w:rPr>
          <w:lang w:val="sq-AL"/>
        </w:rPr>
        <w:t xml:space="preserve"> pjekur, n</w:t>
      </w:r>
      <w:r w:rsidR="004B355A">
        <w:rPr>
          <w:lang w:val="sq-AL"/>
        </w:rPr>
        <w:t>ë</w:t>
      </w:r>
      <w:r w:rsidR="0007301A" w:rsidRPr="0007301A">
        <w:rPr>
          <w:lang w:val="sq-AL"/>
        </w:rPr>
        <w:t xml:space="preserve"> fund t</w:t>
      </w:r>
      <w:r w:rsidR="004B355A">
        <w:rPr>
          <w:lang w:val="sq-AL"/>
        </w:rPr>
        <w:t>ë</w:t>
      </w:r>
      <w:r w:rsidR="0007301A" w:rsidRPr="0007301A">
        <w:rPr>
          <w:lang w:val="sq-AL"/>
        </w:rPr>
        <w:t xml:space="preserve"> vitit 2012, n</w:t>
      </w:r>
      <w:r w:rsidR="004B355A">
        <w:rPr>
          <w:lang w:val="sq-AL"/>
        </w:rPr>
        <w:t>ë</w:t>
      </w:r>
      <w:r w:rsidR="0007301A" w:rsidRPr="0007301A">
        <w:rPr>
          <w:lang w:val="sq-AL"/>
        </w:rPr>
        <w:t xml:space="preserve"> ulje nga 140 n</w:t>
      </w:r>
      <w:r w:rsidR="004B355A">
        <w:rPr>
          <w:lang w:val="sq-AL"/>
        </w:rPr>
        <w:t>ë</w:t>
      </w:r>
      <w:r w:rsidR="0007301A" w:rsidRPr="0007301A">
        <w:rPr>
          <w:lang w:val="sq-AL"/>
        </w:rPr>
        <w:t xml:space="preserve"> 60 lek</w:t>
      </w:r>
      <w:r w:rsidR="004B355A">
        <w:rPr>
          <w:lang w:val="sq-AL"/>
        </w:rPr>
        <w:t>ë</w:t>
      </w:r>
      <w:r w:rsidR="0007301A" w:rsidRPr="0007301A">
        <w:rPr>
          <w:lang w:val="sq-AL"/>
        </w:rPr>
        <w:t xml:space="preserve"> dhe heqjen e akciz</w:t>
      </w:r>
      <w:r w:rsidR="004B355A">
        <w:rPr>
          <w:lang w:val="sq-AL"/>
        </w:rPr>
        <w:t>ë</w:t>
      </w:r>
      <w:r w:rsidR="0007301A" w:rsidRPr="0007301A">
        <w:rPr>
          <w:lang w:val="sq-AL"/>
        </w:rPr>
        <w:t>s s</w:t>
      </w:r>
      <w:r w:rsidR="004B355A">
        <w:rPr>
          <w:lang w:val="sq-AL"/>
        </w:rPr>
        <w:t>ë</w:t>
      </w:r>
      <w:r w:rsidR="0007301A" w:rsidRPr="0007301A">
        <w:rPr>
          <w:lang w:val="sq-AL"/>
        </w:rPr>
        <w:t xml:space="preserve"> kafes s</w:t>
      </w:r>
      <w:r w:rsidR="004B355A">
        <w:rPr>
          <w:lang w:val="sq-AL"/>
        </w:rPr>
        <w:t>ë</w:t>
      </w:r>
      <w:r w:rsidR="0007301A" w:rsidRPr="0007301A">
        <w:rPr>
          <w:lang w:val="sq-AL"/>
        </w:rPr>
        <w:t xml:space="preserve"> papjekur. N</w:t>
      </w:r>
      <w:r w:rsidR="004B355A">
        <w:rPr>
          <w:lang w:val="sq-AL"/>
        </w:rPr>
        <w:t>ë</w:t>
      </w:r>
      <w:r w:rsidR="0007301A" w:rsidRPr="0007301A">
        <w:rPr>
          <w:lang w:val="sq-AL"/>
        </w:rPr>
        <w:t xml:space="preserve"> aspektin administrativ t</w:t>
      </w:r>
      <w:r w:rsidR="004B355A">
        <w:rPr>
          <w:lang w:val="sq-AL"/>
        </w:rPr>
        <w:t>ë</w:t>
      </w:r>
      <w:r w:rsidR="0007301A" w:rsidRPr="0007301A">
        <w:rPr>
          <w:lang w:val="sq-AL"/>
        </w:rPr>
        <w:t xml:space="preserve"> akciz</w:t>
      </w:r>
      <w:r w:rsidR="004B355A">
        <w:rPr>
          <w:lang w:val="sq-AL"/>
        </w:rPr>
        <w:t>ë</w:t>
      </w:r>
      <w:r w:rsidR="00210993">
        <w:rPr>
          <w:lang w:val="sq-AL"/>
        </w:rPr>
        <w:t>s, citojmë hyrjen në fuqi në 1 Tetor të ligjit të ri pë</w:t>
      </w:r>
      <w:r w:rsidR="0007301A" w:rsidRPr="0007301A">
        <w:rPr>
          <w:lang w:val="sq-AL"/>
        </w:rPr>
        <w:t>r Akcizat, q</w:t>
      </w:r>
      <w:r w:rsidR="004B355A">
        <w:rPr>
          <w:lang w:val="sq-AL"/>
        </w:rPr>
        <w:t>ë</w:t>
      </w:r>
      <w:r w:rsidR="0007301A" w:rsidRPr="0007301A">
        <w:rPr>
          <w:lang w:val="sq-AL"/>
        </w:rPr>
        <w:t xml:space="preserve"> ndryshon struktur</w:t>
      </w:r>
      <w:r w:rsidR="004B355A">
        <w:rPr>
          <w:lang w:val="sq-AL"/>
        </w:rPr>
        <w:t>ë</w:t>
      </w:r>
      <w:r w:rsidR="0007301A" w:rsidRPr="0007301A">
        <w:rPr>
          <w:lang w:val="sq-AL"/>
        </w:rPr>
        <w:t>n e administrimit dhe mbledhjes s</w:t>
      </w:r>
      <w:r w:rsidR="004B355A">
        <w:rPr>
          <w:lang w:val="sq-AL"/>
        </w:rPr>
        <w:t>ë</w:t>
      </w:r>
      <w:r w:rsidR="0007301A" w:rsidRPr="0007301A">
        <w:rPr>
          <w:lang w:val="sq-AL"/>
        </w:rPr>
        <w:t xml:space="preserve"> k</w:t>
      </w:r>
      <w:r w:rsidR="004B355A">
        <w:rPr>
          <w:lang w:val="sq-AL"/>
        </w:rPr>
        <w:t>ë</w:t>
      </w:r>
      <w:r w:rsidR="0007301A" w:rsidRPr="0007301A">
        <w:rPr>
          <w:lang w:val="sq-AL"/>
        </w:rPr>
        <w:t>saj takse si dhe rregullat e reja p</w:t>
      </w:r>
      <w:r w:rsidR="004B355A">
        <w:rPr>
          <w:lang w:val="sq-AL"/>
        </w:rPr>
        <w:t>ë</w:t>
      </w:r>
      <w:r w:rsidR="0007301A" w:rsidRPr="0007301A">
        <w:rPr>
          <w:lang w:val="sq-AL"/>
        </w:rPr>
        <w:t>r prodhimin dhe shp</w:t>
      </w:r>
      <w:r w:rsidR="004B355A">
        <w:rPr>
          <w:lang w:val="sq-AL"/>
        </w:rPr>
        <w:t>ë</w:t>
      </w:r>
      <w:r w:rsidR="0007301A" w:rsidRPr="0007301A">
        <w:rPr>
          <w:lang w:val="sq-AL"/>
        </w:rPr>
        <w:t>rndarjen e pullave fiskale</w:t>
      </w:r>
      <w:r w:rsidR="000E4441">
        <w:rPr>
          <w:lang w:val="sq-AL"/>
        </w:rPr>
        <w:t>.</w:t>
      </w:r>
    </w:p>
    <w:p w:rsidR="006E6BB2" w:rsidRPr="001F505E" w:rsidRDefault="00B12BD5" w:rsidP="00D22345">
      <w:pPr>
        <w:rPr>
          <w:color w:val="000000"/>
          <w:sz w:val="20"/>
          <w:szCs w:val="20"/>
          <w:lang w:val="sq-AL"/>
        </w:rPr>
      </w:pPr>
      <w:r w:rsidRPr="001F505E">
        <w:rPr>
          <w:color w:val="000000"/>
          <w:sz w:val="20"/>
          <w:szCs w:val="20"/>
          <w:lang w:val="sq-AL"/>
        </w:rPr>
        <w:t xml:space="preserve">Tabela </w:t>
      </w:r>
      <w:r w:rsidR="00F7093A">
        <w:rPr>
          <w:color w:val="000000"/>
          <w:sz w:val="20"/>
          <w:szCs w:val="20"/>
          <w:lang w:val="sq-AL"/>
        </w:rPr>
        <w:t>6</w:t>
      </w:r>
      <w:r w:rsidRPr="001F505E">
        <w:rPr>
          <w:color w:val="000000"/>
          <w:sz w:val="20"/>
          <w:szCs w:val="20"/>
          <w:lang w:val="sq-AL"/>
        </w:rPr>
        <w:t>. Importi i mallrave t</w:t>
      </w:r>
      <w:r w:rsidR="0027657C" w:rsidRPr="001F505E">
        <w:rPr>
          <w:color w:val="000000"/>
          <w:sz w:val="20"/>
          <w:szCs w:val="20"/>
          <w:lang w:val="sq-AL"/>
        </w:rPr>
        <w:t>ë</w:t>
      </w:r>
      <w:r w:rsidRPr="001F505E">
        <w:rPr>
          <w:color w:val="000000"/>
          <w:sz w:val="20"/>
          <w:szCs w:val="20"/>
          <w:lang w:val="sq-AL"/>
        </w:rPr>
        <w:t xml:space="preserve"> forta, </w:t>
      </w:r>
      <w:r w:rsidR="0007301A">
        <w:rPr>
          <w:color w:val="000000"/>
          <w:sz w:val="20"/>
          <w:szCs w:val="20"/>
          <w:lang w:val="sq-AL"/>
        </w:rPr>
        <w:t>7</w:t>
      </w:r>
      <w:r w:rsidRPr="001F505E">
        <w:rPr>
          <w:color w:val="000000"/>
          <w:sz w:val="20"/>
          <w:szCs w:val="20"/>
          <w:lang w:val="sq-AL"/>
        </w:rPr>
        <w:t xml:space="preserve"> mujor</w:t>
      </w:r>
      <w:r w:rsidR="0027657C" w:rsidRPr="001F505E">
        <w:rPr>
          <w:color w:val="000000"/>
          <w:sz w:val="20"/>
          <w:szCs w:val="20"/>
          <w:lang w:val="sq-AL"/>
        </w:rPr>
        <w:t>ë</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1719"/>
        <w:gridCol w:w="1020"/>
        <w:gridCol w:w="1020"/>
        <w:gridCol w:w="1502"/>
        <w:gridCol w:w="1170"/>
      </w:tblGrid>
      <w:tr w:rsidR="0007301A" w:rsidRPr="001F505E" w:rsidTr="008557CB">
        <w:tc>
          <w:tcPr>
            <w:tcW w:w="0" w:type="auto"/>
            <w:tcBorders>
              <w:bottom w:val="single" w:sz="6" w:space="0" w:color="808080"/>
            </w:tcBorders>
          </w:tcPr>
          <w:p w:rsidR="0007301A" w:rsidRPr="001F505E" w:rsidRDefault="00210993" w:rsidP="008557CB">
            <w:pPr>
              <w:spacing w:before="0" w:after="0"/>
              <w:contextualSpacing/>
              <w:jc w:val="left"/>
              <w:rPr>
                <w:b/>
                <w:bCs/>
                <w:i/>
                <w:iCs/>
                <w:sz w:val="20"/>
                <w:szCs w:val="20"/>
                <w:lang w:val="sq-AL"/>
              </w:rPr>
            </w:pPr>
            <w:r>
              <w:rPr>
                <w:b/>
                <w:sz w:val="20"/>
                <w:szCs w:val="20"/>
                <w:lang w:val="sq-AL"/>
              </w:rPr>
              <w:t>Emë</w:t>
            </w:r>
            <w:r w:rsidR="0007301A" w:rsidRPr="001F505E">
              <w:rPr>
                <w:b/>
                <w:sz w:val="20"/>
                <w:szCs w:val="20"/>
                <w:lang w:val="sq-AL"/>
              </w:rPr>
              <w:t>rtimi</w:t>
            </w:r>
          </w:p>
        </w:tc>
        <w:tc>
          <w:tcPr>
            <w:tcW w:w="0" w:type="auto"/>
            <w:tcBorders>
              <w:bottom w:val="single" w:sz="6" w:space="0" w:color="808080"/>
            </w:tcBorders>
          </w:tcPr>
          <w:p w:rsidR="0007301A" w:rsidRPr="001F505E" w:rsidRDefault="0007301A" w:rsidP="008557CB">
            <w:pPr>
              <w:spacing w:before="0" w:after="0"/>
              <w:contextualSpacing/>
              <w:jc w:val="left"/>
              <w:rPr>
                <w:b/>
                <w:bCs/>
                <w:i/>
                <w:iCs/>
                <w:sz w:val="20"/>
                <w:szCs w:val="20"/>
                <w:lang w:val="sq-AL"/>
              </w:rPr>
            </w:pPr>
            <w:r>
              <w:rPr>
                <w:b/>
                <w:bCs/>
                <w:i/>
                <w:iCs/>
                <w:sz w:val="20"/>
                <w:szCs w:val="20"/>
                <w:lang w:val="sq-AL"/>
              </w:rPr>
              <w:t>7M 2012</w:t>
            </w:r>
          </w:p>
        </w:tc>
        <w:tc>
          <w:tcPr>
            <w:tcW w:w="0" w:type="auto"/>
            <w:tcBorders>
              <w:bottom w:val="single" w:sz="6" w:space="0" w:color="808080"/>
            </w:tcBorders>
          </w:tcPr>
          <w:p w:rsidR="0007301A" w:rsidRPr="001F505E" w:rsidRDefault="0007301A" w:rsidP="008557CB">
            <w:pPr>
              <w:spacing w:before="0" w:after="0"/>
              <w:contextualSpacing/>
              <w:jc w:val="left"/>
              <w:rPr>
                <w:b/>
                <w:bCs/>
                <w:i/>
                <w:iCs/>
                <w:sz w:val="20"/>
                <w:szCs w:val="20"/>
                <w:lang w:val="sq-AL"/>
              </w:rPr>
            </w:pPr>
            <w:r>
              <w:rPr>
                <w:b/>
                <w:bCs/>
                <w:i/>
                <w:iCs/>
                <w:sz w:val="20"/>
                <w:szCs w:val="20"/>
                <w:lang w:val="sq-AL"/>
              </w:rPr>
              <w:t>7M 2013</w:t>
            </w:r>
          </w:p>
        </w:tc>
        <w:tc>
          <w:tcPr>
            <w:tcW w:w="0" w:type="auto"/>
            <w:tcBorders>
              <w:bottom w:val="single" w:sz="6" w:space="0" w:color="808080"/>
            </w:tcBorders>
          </w:tcPr>
          <w:p w:rsidR="00744BEC" w:rsidRDefault="0007301A" w:rsidP="008557CB">
            <w:pPr>
              <w:spacing w:before="0" w:after="0"/>
              <w:contextualSpacing/>
              <w:jc w:val="left"/>
              <w:rPr>
                <w:b/>
                <w:bCs/>
                <w:i/>
                <w:iCs/>
                <w:sz w:val="20"/>
                <w:szCs w:val="20"/>
                <w:lang w:val="sq-AL"/>
              </w:rPr>
            </w:pPr>
            <w:r>
              <w:rPr>
                <w:b/>
                <w:bCs/>
                <w:i/>
                <w:iCs/>
                <w:sz w:val="20"/>
                <w:szCs w:val="20"/>
                <w:lang w:val="sq-AL"/>
              </w:rPr>
              <w:t>Ndryshimi</w:t>
            </w:r>
          </w:p>
          <w:p w:rsidR="0007301A" w:rsidRPr="001F505E" w:rsidRDefault="00210993" w:rsidP="008557CB">
            <w:pPr>
              <w:spacing w:before="0" w:after="0"/>
              <w:contextualSpacing/>
              <w:jc w:val="left"/>
              <w:rPr>
                <w:b/>
                <w:bCs/>
                <w:i/>
                <w:iCs/>
                <w:sz w:val="20"/>
                <w:szCs w:val="20"/>
                <w:lang w:val="sq-AL"/>
              </w:rPr>
            </w:pPr>
            <w:r>
              <w:rPr>
                <w:b/>
                <w:bCs/>
                <w:i/>
                <w:iCs/>
                <w:sz w:val="20"/>
                <w:szCs w:val="20"/>
                <w:lang w:val="sq-AL"/>
              </w:rPr>
              <w:t xml:space="preserve"> (në</w:t>
            </w:r>
            <w:r w:rsidR="0007301A">
              <w:rPr>
                <w:b/>
                <w:bCs/>
                <w:i/>
                <w:iCs/>
                <w:sz w:val="20"/>
                <w:szCs w:val="20"/>
                <w:lang w:val="sq-AL"/>
              </w:rPr>
              <w:t xml:space="preserve"> mln lek</w:t>
            </w:r>
            <w:r w:rsidR="004B355A">
              <w:rPr>
                <w:b/>
                <w:bCs/>
                <w:i/>
                <w:iCs/>
                <w:sz w:val="20"/>
                <w:szCs w:val="20"/>
                <w:lang w:val="sq-AL"/>
              </w:rPr>
              <w:t>ë</w:t>
            </w:r>
            <w:r w:rsidR="0007301A">
              <w:rPr>
                <w:b/>
                <w:bCs/>
                <w:i/>
                <w:iCs/>
                <w:sz w:val="20"/>
                <w:szCs w:val="20"/>
                <w:lang w:val="sq-AL"/>
              </w:rPr>
              <w:t>)</w:t>
            </w:r>
          </w:p>
        </w:tc>
        <w:tc>
          <w:tcPr>
            <w:tcW w:w="0" w:type="auto"/>
            <w:tcBorders>
              <w:bottom w:val="single" w:sz="6" w:space="0" w:color="808080"/>
            </w:tcBorders>
          </w:tcPr>
          <w:p w:rsidR="00744BEC" w:rsidRDefault="0007301A" w:rsidP="008557CB">
            <w:pPr>
              <w:spacing w:before="0" w:after="0"/>
              <w:contextualSpacing/>
              <w:jc w:val="left"/>
              <w:rPr>
                <w:b/>
                <w:bCs/>
                <w:i/>
                <w:iCs/>
                <w:sz w:val="20"/>
                <w:szCs w:val="20"/>
                <w:lang w:val="sq-AL"/>
              </w:rPr>
            </w:pPr>
            <w:r>
              <w:rPr>
                <w:b/>
                <w:bCs/>
                <w:i/>
                <w:iCs/>
                <w:sz w:val="20"/>
                <w:szCs w:val="20"/>
                <w:lang w:val="sq-AL"/>
              </w:rPr>
              <w:t>Ndryshimi</w:t>
            </w:r>
          </w:p>
          <w:p w:rsidR="0007301A" w:rsidRPr="001F505E" w:rsidRDefault="0007301A" w:rsidP="008557CB">
            <w:pPr>
              <w:spacing w:before="0" w:after="0"/>
              <w:contextualSpacing/>
              <w:jc w:val="left"/>
              <w:rPr>
                <w:b/>
                <w:bCs/>
                <w:i/>
                <w:iCs/>
                <w:sz w:val="20"/>
                <w:szCs w:val="20"/>
                <w:lang w:val="sq-AL"/>
              </w:rPr>
            </w:pPr>
            <w:r>
              <w:rPr>
                <w:b/>
                <w:bCs/>
                <w:i/>
                <w:iCs/>
                <w:sz w:val="20"/>
                <w:szCs w:val="20"/>
                <w:lang w:val="sq-AL"/>
              </w:rPr>
              <w:t xml:space="preserve"> (n</w:t>
            </w:r>
            <w:r w:rsidR="004B355A">
              <w:rPr>
                <w:b/>
                <w:bCs/>
                <w:i/>
                <w:iCs/>
                <w:sz w:val="20"/>
                <w:szCs w:val="20"/>
                <w:lang w:val="sq-AL"/>
              </w:rPr>
              <w:t>ë</w:t>
            </w:r>
            <w:r>
              <w:rPr>
                <w:b/>
                <w:bCs/>
                <w:i/>
                <w:iCs/>
                <w:sz w:val="20"/>
                <w:szCs w:val="20"/>
                <w:lang w:val="sq-AL"/>
              </w:rPr>
              <w:t xml:space="preserve"> %)</w:t>
            </w:r>
          </w:p>
        </w:tc>
      </w:tr>
      <w:tr w:rsidR="0007301A" w:rsidRPr="001F505E" w:rsidTr="008557CB">
        <w:tc>
          <w:tcPr>
            <w:tcW w:w="0" w:type="auto"/>
          </w:tcPr>
          <w:p w:rsidR="0007301A" w:rsidRPr="001F505E" w:rsidRDefault="0007301A" w:rsidP="008557CB">
            <w:pPr>
              <w:spacing w:before="0" w:after="0"/>
              <w:contextualSpacing/>
              <w:jc w:val="left"/>
              <w:rPr>
                <w:b/>
                <w:bCs/>
                <w:sz w:val="20"/>
                <w:szCs w:val="20"/>
                <w:lang w:val="sq-AL"/>
              </w:rPr>
            </w:pPr>
            <w:r w:rsidRPr="001F505E">
              <w:rPr>
                <w:bCs/>
                <w:sz w:val="20"/>
                <w:szCs w:val="20"/>
                <w:lang w:val="sq-AL"/>
              </w:rPr>
              <w:t>Karburante (ton)</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271,076</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277,660</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6,584</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2.4</w:t>
            </w:r>
          </w:p>
        </w:tc>
      </w:tr>
      <w:tr w:rsidR="0007301A" w:rsidRPr="001F505E" w:rsidTr="008557CB">
        <w:tc>
          <w:tcPr>
            <w:tcW w:w="0" w:type="auto"/>
          </w:tcPr>
          <w:p w:rsidR="0007301A" w:rsidRPr="001F505E" w:rsidRDefault="0007301A" w:rsidP="008557CB">
            <w:pPr>
              <w:spacing w:before="0" w:after="0"/>
              <w:contextualSpacing/>
              <w:jc w:val="left"/>
              <w:rPr>
                <w:b/>
                <w:bCs/>
                <w:sz w:val="20"/>
                <w:szCs w:val="20"/>
                <w:lang w:val="sq-AL"/>
              </w:rPr>
            </w:pPr>
            <w:r w:rsidRPr="001F505E">
              <w:rPr>
                <w:bCs/>
                <w:sz w:val="20"/>
                <w:szCs w:val="20"/>
                <w:lang w:val="sq-AL"/>
              </w:rPr>
              <w:t>Cigare (ton)</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1,952</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1,754</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-198</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-10.1</w:t>
            </w:r>
          </w:p>
        </w:tc>
      </w:tr>
      <w:tr w:rsidR="0007301A" w:rsidRPr="001F505E" w:rsidTr="008557CB">
        <w:tc>
          <w:tcPr>
            <w:tcW w:w="0" w:type="auto"/>
          </w:tcPr>
          <w:p w:rsidR="0007301A" w:rsidRPr="001F505E" w:rsidRDefault="0007301A" w:rsidP="008557CB">
            <w:pPr>
              <w:spacing w:before="0" w:after="0"/>
              <w:contextualSpacing/>
              <w:jc w:val="left"/>
              <w:rPr>
                <w:b/>
                <w:bCs/>
                <w:sz w:val="20"/>
                <w:szCs w:val="20"/>
                <w:lang w:val="sq-AL"/>
              </w:rPr>
            </w:pPr>
            <w:r w:rsidRPr="001F505E">
              <w:rPr>
                <w:bCs/>
                <w:sz w:val="20"/>
                <w:szCs w:val="20"/>
                <w:lang w:val="sq-AL"/>
              </w:rPr>
              <w:t>Birra (000 litra)</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21,992</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20,751</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-1,241</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-5.6</w:t>
            </w:r>
          </w:p>
        </w:tc>
      </w:tr>
      <w:tr w:rsidR="0007301A" w:rsidRPr="001F505E" w:rsidTr="008557CB">
        <w:tc>
          <w:tcPr>
            <w:tcW w:w="0" w:type="auto"/>
          </w:tcPr>
          <w:p w:rsidR="0007301A" w:rsidRPr="001F505E" w:rsidRDefault="0007301A" w:rsidP="008557CB">
            <w:pPr>
              <w:spacing w:before="0" w:after="0"/>
              <w:contextualSpacing/>
              <w:jc w:val="left"/>
              <w:rPr>
                <w:b/>
                <w:bCs/>
                <w:sz w:val="20"/>
                <w:szCs w:val="20"/>
                <w:lang w:val="sq-AL"/>
              </w:rPr>
            </w:pPr>
            <w:r w:rsidRPr="001F505E">
              <w:rPr>
                <w:bCs/>
                <w:sz w:val="20"/>
                <w:szCs w:val="20"/>
                <w:lang w:val="sq-AL"/>
              </w:rPr>
              <w:t>Kafe (ton)</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4,849</w:t>
            </w:r>
          </w:p>
        </w:tc>
        <w:tc>
          <w:tcPr>
            <w:tcW w:w="0" w:type="auto"/>
          </w:tcPr>
          <w:p w:rsidR="0007301A" w:rsidRPr="001F505E" w:rsidRDefault="0007301A" w:rsidP="008557CB">
            <w:pPr>
              <w:spacing w:before="0" w:after="0"/>
              <w:contextualSpacing/>
              <w:jc w:val="left"/>
              <w:rPr>
                <w:rFonts w:cs="Arial"/>
                <w:sz w:val="20"/>
                <w:szCs w:val="20"/>
                <w:lang w:val="sq-AL"/>
              </w:rPr>
            </w:pPr>
            <w:r>
              <w:rPr>
                <w:rFonts w:cs="Arial"/>
                <w:sz w:val="20"/>
                <w:szCs w:val="20"/>
                <w:lang w:val="sq-AL"/>
              </w:rPr>
              <w:t>4,742</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-107</w:t>
            </w:r>
          </w:p>
        </w:tc>
        <w:tc>
          <w:tcPr>
            <w:tcW w:w="0" w:type="auto"/>
          </w:tcPr>
          <w:p w:rsidR="0007301A" w:rsidRPr="001F505E" w:rsidRDefault="00744BEC" w:rsidP="008557CB">
            <w:pPr>
              <w:spacing w:before="0" w:after="0"/>
              <w:contextualSpacing/>
              <w:jc w:val="left"/>
              <w:rPr>
                <w:rFonts w:cs="Arial"/>
                <w:sz w:val="20"/>
                <w:szCs w:val="20"/>
                <w:lang w:val="sq-AL"/>
              </w:rPr>
            </w:pPr>
            <w:r>
              <w:rPr>
                <w:rFonts w:cs="Arial"/>
                <w:sz w:val="20"/>
                <w:szCs w:val="20"/>
                <w:lang w:val="sq-AL"/>
              </w:rPr>
              <w:t xml:space="preserve">  -2.2</w:t>
            </w:r>
          </w:p>
        </w:tc>
      </w:tr>
      <w:tr w:rsidR="0007301A" w:rsidRPr="001F505E" w:rsidTr="008557CB">
        <w:tc>
          <w:tcPr>
            <w:tcW w:w="0" w:type="auto"/>
          </w:tcPr>
          <w:p w:rsidR="0007301A" w:rsidRPr="001F505E" w:rsidRDefault="0007301A" w:rsidP="0007301A">
            <w:pPr>
              <w:spacing w:before="0" w:after="0"/>
              <w:contextualSpacing/>
              <w:jc w:val="left"/>
              <w:rPr>
                <w:b/>
                <w:bCs/>
                <w:sz w:val="20"/>
                <w:szCs w:val="20"/>
                <w:lang w:val="sq-AL"/>
              </w:rPr>
            </w:pPr>
          </w:p>
        </w:tc>
        <w:tc>
          <w:tcPr>
            <w:tcW w:w="0" w:type="auto"/>
          </w:tcPr>
          <w:p w:rsidR="0007301A" w:rsidRPr="001F505E" w:rsidRDefault="0007301A" w:rsidP="008557CB">
            <w:pPr>
              <w:spacing w:before="0" w:after="0"/>
              <w:contextualSpacing/>
              <w:jc w:val="left"/>
              <w:rPr>
                <w:rFonts w:cs="Arial"/>
                <w:b/>
                <w:sz w:val="20"/>
                <w:szCs w:val="20"/>
                <w:lang w:val="sq-AL"/>
              </w:rPr>
            </w:pPr>
          </w:p>
        </w:tc>
        <w:tc>
          <w:tcPr>
            <w:tcW w:w="0" w:type="auto"/>
          </w:tcPr>
          <w:p w:rsidR="0007301A" w:rsidRPr="001F505E" w:rsidRDefault="0007301A" w:rsidP="008557CB">
            <w:pPr>
              <w:spacing w:before="0" w:after="0"/>
              <w:contextualSpacing/>
              <w:jc w:val="left"/>
              <w:rPr>
                <w:rFonts w:cs="Arial"/>
                <w:b/>
                <w:sz w:val="20"/>
                <w:szCs w:val="20"/>
                <w:lang w:val="sq-AL"/>
              </w:rPr>
            </w:pPr>
          </w:p>
        </w:tc>
        <w:tc>
          <w:tcPr>
            <w:tcW w:w="0" w:type="auto"/>
          </w:tcPr>
          <w:p w:rsidR="0007301A" w:rsidRPr="001F505E" w:rsidRDefault="0007301A" w:rsidP="008557CB">
            <w:pPr>
              <w:spacing w:before="0" w:after="0"/>
              <w:contextualSpacing/>
              <w:jc w:val="left"/>
              <w:rPr>
                <w:rFonts w:cs="Arial"/>
                <w:b/>
                <w:sz w:val="20"/>
                <w:szCs w:val="20"/>
                <w:lang w:val="sq-AL"/>
              </w:rPr>
            </w:pPr>
          </w:p>
        </w:tc>
        <w:tc>
          <w:tcPr>
            <w:tcW w:w="0" w:type="auto"/>
          </w:tcPr>
          <w:p w:rsidR="0007301A" w:rsidRPr="001F505E" w:rsidRDefault="0007301A" w:rsidP="008557CB">
            <w:pPr>
              <w:spacing w:before="0" w:after="0"/>
              <w:contextualSpacing/>
              <w:jc w:val="left"/>
              <w:rPr>
                <w:rFonts w:cs="Arial"/>
                <w:b/>
                <w:sz w:val="20"/>
                <w:szCs w:val="20"/>
                <w:lang w:val="sq-AL"/>
              </w:rPr>
            </w:pPr>
          </w:p>
        </w:tc>
      </w:tr>
    </w:tbl>
    <w:p w:rsidR="003829A6" w:rsidRDefault="000E4441" w:rsidP="00D22345">
      <w:pPr>
        <w:rPr>
          <w:color w:val="000000"/>
          <w:sz w:val="20"/>
          <w:szCs w:val="20"/>
          <w:lang w:val="sq-AL"/>
        </w:rPr>
      </w:pPr>
      <w:r>
        <w:rPr>
          <w:color w:val="000000"/>
          <w:sz w:val="20"/>
          <w:szCs w:val="20"/>
          <w:lang w:val="sq-AL"/>
        </w:rPr>
        <w:t>Burimi: DPD</w:t>
      </w:r>
    </w:p>
    <w:p w:rsidR="000E4441" w:rsidRDefault="000E4441" w:rsidP="00D22345">
      <w:pPr>
        <w:rPr>
          <w:color w:val="000000"/>
          <w:sz w:val="20"/>
          <w:szCs w:val="20"/>
          <w:lang w:val="sq-AL"/>
        </w:rPr>
      </w:pPr>
    </w:p>
    <w:p w:rsidR="000E4441" w:rsidRPr="001F505E" w:rsidRDefault="000E4441" w:rsidP="00D22345">
      <w:pPr>
        <w:rPr>
          <w:color w:val="000000"/>
          <w:sz w:val="20"/>
          <w:szCs w:val="20"/>
          <w:lang w:val="sq-AL"/>
        </w:rPr>
      </w:pPr>
    </w:p>
    <w:p w:rsidR="00424329" w:rsidRDefault="00B12BD5" w:rsidP="00D22345">
      <w:pPr>
        <w:rPr>
          <w:color w:val="000000"/>
          <w:sz w:val="20"/>
          <w:szCs w:val="20"/>
          <w:lang w:val="sq-AL"/>
        </w:rPr>
      </w:pPr>
      <w:r w:rsidRPr="001F505E">
        <w:rPr>
          <w:color w:val="000000"/>
          <w:sz w:val="20"/>
          <w:szCs w:val="20"/>
          <w:lang w:val="sq-AL"/>
        </w:rPr>
        <w:lastRenderedPageBreak/>
        <w:t xml:space="preserve">Tabela </w:t>
      </w:r>
      <w:r w:rsidR="00F7093A">
        <w:rPr>
          <w:color w:val="000000"/>
          <w:sz w:val="20"/>
          <w:szCs w:val="20"/>
          <w:lang w:val="sq-AL"/>
        </w:rPr>
        <w:t>7</w:t>
      </w:r>
      <w:r w:rsidRPr="001F505E">
        <w:rPr>
          <w:color w:val="000000"/>
          <w:sz w:val="20"/>
          <w:szCs w:val="20"/>
          <w:lang w:val="sq-AL"/>
        </w:rPr>
        <w:t xml:space="preserve">. </w:t>
      </w:r>
      <w:r w:rsidR="000E4441">
        <w:rPr>
          <w:color w:val="000000"/>
          <w:sz w:val="20"/>
          <w:szCs w:val="20"/>
          <w:lang w:val="sq-AL"/>
        </w:rPr>
        <w:t>Akciza e paguar sipas mallrave</w:t>
      </w:r>
      <w:r w:rsidRPr="001F505E">
        <w:rPr>
          <w:color w:val="000000"/>
          <w:sz w:val="20"/>
          <w:szCs w:val="20"/>
          <w:lang w:val="sq-AL"/>
        </w:rPr>
        <w:t xml:space="preserve"> (mln lek</w:t>
      </w:r>
      <w:r w:rsidR="0068506A" w:rsidRPr="001F505E">
        <w:rPr>
          <w:color w:val="000000"/>
          <w:sz w:val="20"/>
          <w:szCs w:val="20"/>
          <w:lang w:val="sq-AL"/>
        </w:rPr>
        <w:t>ë</w:t>
      </w:r>
      <w:r w:rsidRPr="001F505E">
        <w:rPr>
          <w:color w:val="000000"/>
          <w:sz w:val="20"/>
          <w:szCs w:val="20"/>
          <w:lang w:val="sq-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3"/>
        <w:gridCol w:w="1012"/>
        <w:gridCol w:w="1012"/>
        <w:gridCol w:w="1095"/>
        <w:gridCol w:w="709"/>
      </w:tblGrid>
      <w:tr w:rsidR="000E4441" w:rsidRPr="00142DFA" w:rsidTr="000E4441">
        <w:tc>
          <w:tcPr>
            <w:tcW w:w="0" w:type="auto"/>
          </w:tcPr>
          <w:p w:rsidR="000E4441" w:rsidRPr="000E4441" w:rsidRDefault="000E4441" w:rsidP="000E4441">
            <w:pPr>
              <w:spacing w:before="0" w:after="0"/>
              <w:jc w:val="left"/>
              <w:rPr>
                <w:b/>
                <w:sz w:val="20"/>
                <w:szCs w:val="20"/>
                <w:lang w:val="es-ES_tradnl"/>
              </w:rPr>
            </w:pP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7M 2012</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7M 2013</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Ndryshim</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w:t>
            </w:r>
          </w:p>
        </w:tc>
      </w:tr>
      <w:tr w:rsidR="000E4441" w:rsidRPr="00142DFA" w:rsidTr="000E4441">
        <w:tc>
          <w:tcPr>
            <w:tcW w:w="0" w:type="auto"/>
          </w:tcPr>
          <w:p w:rsidR="000E4441" w:rsidRPr="000E4441" w:rsidRDefault="00210993" w:rsidP="000E4441">
            <w:pPr>
              <w:spacing w:before="0" w:after="0"/>
              <w:jc w:val="left"/>
              <w:rPr>
                <w:b/>
                <w:sz w:val="20"/>
                <w:szCs w:val="20"/>
                <w:lang w:val="es-ES_tradnl"/>
              </w:rPr>
            </w:pPr>
            <w:r>
              <w:rPr>
                <w:b/>
                <w:sz w:val="20"/>
                <w:szCs w:val="20"/>
                <w:lang w:val="es-ES_tradnl"/>
              </w:rPr>
              <w:t>Akciza gjithsej (mln lekë</w:t>
            </w:r>
            <w:r w:rsidR="000E4441" w:rsidRPr="000E4441">
              <w:rPr>
                <w:b/>
                <w:sz w:val="20"/>
                <w:szCs w:val="20"/>
                <w:lang w:val="es-ES_tradnl"/>
              </w:rPr>
              <w:t>), nga e cila:</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21,113</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20,072</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-1,041</w:t>
            </w:r>
          </w:p>
        </w:tc>
        <w:tc>
          <w:tcPr>
            <w:tcW w:w="0" w:type="auto"/>
          </w:tcPr>
          <w:p w:rsidR="000E4441" w:rsidRPr="000E4441" w:rsidRDefault="000E4441" w:rsidP="000E4441">
            <w:pPr>
              <w:spacing w:before="0" w:after="0"/>
              <w:jc w:val="left"/>
              <w:rPr>
                <w:b/>
                <w:sz w:val="20"/>
                <w:szCs w:val="20"/>
                <w:lang w:val="es-ES_tradnl"/>
              </w:rPr>
            </w:pPr>
            <w:r w:rsidRPr="000E4441">
              <w:rPr>
                <w:b/>
                <w:sz w:val="20"/>
                <w:szCs w:val="20"/>
                <w:lang w:val="es-ES_tradnl"/>
              </w:rPr>
              <w:t>-4.9</w:t>
            </w:r>
          </w:p>
        </w:tc>
      </w:tr>
      <w:tr w:rsidR="000E4441" w:rsidRPr="00142DFA" w:rsidTr="000E4441">
        <w:tc>
          <w:tcPr>
            <w:tcW w:w="0" w:type="auto"/>
          </w:tcPr>
          <w:p w:rsidR="000E4441" w:rsidRPr="000E4441" w:rsidRDefault="00210993" w:rsidP="000E4441">
            <w:pPr>
              <w:spacing w:before="0" w:after="0"/>
              <w:jc w:val="left"/>
              <w:rPr>
                <w:sz w:val="20"/>
                <w:szCs w:val="20"/>
                <w:lang w:val="es-ES_tradnl"/>
              </w:rPr>
            </w:pPr>
            <w:r>
              <w:rPr>
                <w:sz w:val="20"/>
                <w:szCs w:val="20"/>
                <w:lang w:val="es-ES_tradnl"/>
              </w:rPr>
              <w:t>Birrë</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262.4</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443.3</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+180.9</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+68.9</w:t>
            </w:r>
          </w:p>
        </w:tc>
      </w:tr>
      <w:tr w:rsidR="000E4441" w:rsidRPr="00142DFA" w:rsidTr="000E4441">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Cigare</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7,553</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3,951</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-3,602</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-47.6</w:t>
            </w:r>
          </w:p>
        </w:tc>
      </w:tr>
      <w:tr w:rsidR="000E4441" w:rsidRPr="00142DFA" w:rsidTr="000E4441">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Karburant i importuar</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10,028</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10,552</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524</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+5.2</w:t>
            </w:r>
          </w:p>
        </w:tc>
      </w:tr>
      <w:tr w:rsidR="000E4441" w:rsidRPr="00142DFA" w:rsidTr="000E4441">
        <w:tc>
          <w:tcPr>
            <w:tcW w:w="0" w:type="auto"/>
          </w:tcPr>
          <w:p w:rsidR="000E4441" w:rsidRPr="000E4441" w:rsidRDefault="00210993" w:rsidP="000E4441">
            <w:pPr>
              <w:spacing w:before="0" w:after="0"/>
              <w:jc w:val="left"/>
              <w:rPr>
                <w:sz w:val="20"/>
                <w:szCs w:val="20"/>
                <w:lang w:val="es-ES_tradnl"/>
              </w:rPr>
            </w:pPr>
            <w:r>
              <w:rPr>
                <w:sz w:val="20"/>
                <w:szCs w:val="20"/>
                <w:lang w:val="es-ES_tradnl"/>
              </w:rPr>
              <w:t>Karburant i prodhuar në</w:t>
            </w:r>
            <w:r w:rsidR="000E4441" w:rsidRPr="000E4441">
              <w:rPr>
                <w:sz w:val="20"/>
                <w:szCs w:val="20"/>
                <w:lang w:val="es-ES_tradnl"/>
              </w:rPr>
              <w:t xml:space="preserve"> vend</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1,067</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1,402</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335</w:t>
            </w:r>
          </w:p>
        </w:tc>
        <w:tc>
          <w:tcPr>
            <w:tcW w:w="0" w:type="auto"/>
          </w:tcPr>
          <w:p w:rsidR="000E4441" w:rsidRPr="000E4441" w:rsidRDefault="000E4441" w:rsidP="000E4441">
            <w:pPr>
              <w:spacing w:before="0" w:after="0"/>
              <w:jc w:val="left"/>
              <w:rPr>
                <w:sz w:val="20"/>
                <w:szCs w:val="20"/>
                <w:lang w:val="es-ES_tradnl"/>
              </w:rPr>
            </w:pPr>
            <w:r w:rsidRPr="000E4441">
              <w:rPr>
                <w:sz w:val="20"/>
                <w:szCs w:val="20"/>
                <w:lang w:val="es-ES_tradnl"/>
              </w:rPr>
              <w:t>+31.4</w:t>
            </w:r>
          </w:p>
        </w:tc>
      </w:tr>
    </w:tbl>
    <w:p w:rsidR="002D0B28" w:rsidRPr="000E4441" w:rsidRDefault="00B16BED" w:rsidP="00872FDE">
      <w:pPr>
        <w:rPr>
          <w:color w:val="000000"/>
          <w:sz w:val="20"/>
          <w:szCs w:val="20"/>
          <w:lang w:val="sq-AL"/>
        </w:rPr>
      </w:pPr>
      <w:r w:rsidRPr="001F505E">
        <w:rPr>
          <w:color w:val="000000"/>
          <w:sz w:val="20"/>
          <w:szCs w:val="20"/>
          <w:lang w:val="sq-AL"/>
        </w:rPr>
        <w:t>Burimi: Ministria e Financave</w:t>
      </w:r>
    </w:p>
    <w:p w:rsidR="00AC352F" w:rsidRPr="001F505E" w:rsidRDefault="00D30A87" w:rsidP="003F4270">
      <w:pPr>
        <w:pStyle w:val="Heading3"/>
        <w:rPr>
          <w:lang w:val="sq-AL"/>
        </w:rPr>
      </w:pPr>
      <w:bookmarkStart w:id="6" w:name="_Toc367712686"/>
      <w:r w:rsidRPr="001F505E">
        <w:rPr>
          <w:lang w:val="sq-AL"/>
        </w:rPr>
        <w:t>Ta</w:t>
      </w:r>
      <w:r w:rsidR="005A3694" w:rsidRPr="001F505E">
        <w:rPr>
          <w:lang w:val="sq-AL"/>
        </w:rPr>
        <w:t>ksimi i tregtis</w:t>
      </w:r>
      <w:r w:rsidR="00855C8D" w:rsidRPr="001F505E">
        <w:rPr>
          <w:lang w:val="sq-AL"/>
        </w:rPr>
        <w:t>ë</w:t>
      </w:r>
      <w:r w:rsidR="005A3694" w:rsidRPr="001F505E">
        <w:rPr>
          <w:lang w:val="sq-AL"/>
        </w:rPr>
        <w:t xml:space="preserve"> nd</w:t>
      </w:r>
      <w:r w:rsidR="00855C8D" w:rsidRPr="001F505E">
        <w:rPr>
          <w:lang w:val="sq-AL"/>
        </w:rPr>
        <w:t>ë</w:t>
      </w:r>
      <w:r w:rsidR="005A3694" w:rsidRPr="001F505E">
        <w:rPr>
          <w:lang w:val="sq-AL"/>
        </w:rPr>
        <w:t>rkomb</w:t>
      </w:r>
      <w:r w:rsidR="00855C8D" w:rsidRPr="001F505E">
        <w:rPr>
          <w:lang w:val="sq-AL"/>
        </w:rPr>
        <w:t>ë</w:t>
      </w:r>
      <w:r w:rsidR="005A3694" w:rsidRPr="001F505E">
        <w:rPr>
          <w:lang w:val="sq-AL"/>
        </w:rPr>
        <w:t>tare</w:t>
      </w:r>
      <w:r w:rsidRPr="001F505E">
        <w:rPr>
          <w:lang w:val="sq-AL"/>
        </w:rPr>
        <w:t xml:space="preserve">: </w:t>
      </w:r>
      <w:r w:rsidR="005A3694" w:rsidRPr="001F505E">
        <w:rPr>
          <w:lang w:val="sq-AL"/>
        </w:rPr>
        <w:t>Taksa doganore</w:t>
      </w:r>
      <w:bookmarkEnd w:id="6"/>
    </w:p>
    <w:p w:rsidR="00E004BE" w:rsidRPr="001F505E" w:rsidRDefault="007D0F79" w:rsidP="0057343E">
      <w:pPr>
        <w:rPr>
          <w:noProof/>
          <w:lang w:val="sq-AL"/>
        </w:rPr>
      </w:pPr>
      <w:r w:rsidRPr="007D0F79">
        <w:rPr>
          <w:noProof/>
          <w:lang w:val="sq-AL"/>
        </w:rPr>
        <w:t>Të ardhurat nga taksa doganore për periudhën janar – korrik janë rreth 3 miliardë lekë, -11.4 përqind më pak se parashikimi; krahasuar me të njëjtën periudhë të vitit 2012, të ardhurat nga kjo taksë janë ulur me 350 milionë lekë, ose -10.2 përqind. Nga të dhënat e Drejtorisë së Përgjithshme të Doganave, taksa mesatare doganore për periudhën ka qenë 1.41 përqind nga 1.52 përqind e një viti më parë</w:t>
      </w:r>
      <w:r w:rsidR="00E004BE" w:rsidRPr="001F505E">
        <w:rPr>
          <w:noProof/>
          <w:lang w:val="sq-AL"/>
        </w:rPr>
        <w:t>.</w:t>
      </w:r>
    </w:p>
    <w:p w:rsidR="00F748EB" w:rsidRPr="001F505E" w:rsidRDefault="00B12BD5" w:rsidP="003F4270">
      <w:pPr>
        <w:pStyle w:val="Heading3"/>
        <w:rPr>
          <w:lang w:val="sq-AL"/>
        </w:rPr>
      </w:pPr>
      <w:bookmarkStart w:id="7" w:name="_Toc367712687"/>
      <w:r w:rsidRPr="001F505E">
        <w:rPr>
          <w:lang w:val="sq-AL"/>
        </w:rPr>
        <w:t>Taksimi i t</w:t>
      </w:r>
      <w:r w:rsidR="004238D8" w:rsidRPr="001F505E">
        <w:rPr>
          <w:lang w:val="sq-AL"/>
        </w:rPr>
        <w:t>ë</w:t>
      </w:r>
      <w:r w:rsidRPr="001F505E">
        <w:rPr>
          <w:lang w:val="sq-AL"/>
        </w:rPr>
        <w:t xml:space="preserve"> ardhurave</w:t>
      </w:r>
      <w:bookmarkEnd w:id="7"/>
    </w:p>
    <w:p w:rsidR="00303796" w:rsidRPr="007D0F79" w:rsidRDefault="00B12BD5" w:rsidP="00F748EB">
      <w:pPr>
        <w:rPr>
          <w:color w:val="000000"/>
          <w:lang w:val="sq-AL"/>
        </w:rPr>
      </w:pPr>
      <w:r w:rsidRPr="001F505E">
        <w:rPr>
          <w:color w:val="000000"/>
          <w:lang w:val="sq-AL"/>
        </w:rPr>
        <w:t>T</w:t>
      </w:r>
      <w:r w:rsidR="004238D8" w:rsidRPr="001F505E">
        <w:rPr>
          <w:color w:val="000000"/>
          <w:lang w:val="sq-AL"/>
        </w:rPr>
        <w:t>ë</w:t>
      </w:r>
      <w:r w:rsidRPr="001F505E">
        <w:rPr>
          <w:color w:val="000000"/>
          <w:lang w:val="sq-AL"/>
        </w:rPr>
        <w:t xml:space="preserve"> ardhurat nga taksimi i t</w:t>
      </w:r>
      <w:r w:rsidR="004238D8" w:rsidRPr="001F505E">
        <w:rPr>
          <w:color w:val="000000"/>
          <w:lang w:val="sq-AL"/>
        </w:rPr>
        <w:t>ë</w:t>
      </w:r>
      <w:r w:rsidRPr="001F505E">
        <w:rPr>
          <w:color w:val="000000"/>
          <w:lang w:val="sq-AL"/>
        </w:rPr>
        <w:t xml:space="preserve"> ardhurave individuale dhe fitimit t</w:t>
      </w:r>
      <w:r w:rsidR="004238D8" w:rsidRPr="001F505E">
        <w:rPr>
          <w:color w:val="000000"/>
          <w:lang w:val="sq-AL"/>
        </w:rPr>
        <w:t>ë</w:t>
      </w:r>
      <w:r w:rsidRPr="001F505E">
        <w:rPr>
          <w:color w:val="000000"/>
          <w:lang w:val="sq-AL"/>
        </w:rPr>
        <w:t xml:space="preserve"> bizneseve arrit</w:t>
      </w:r>
      <w:r w:rsidR="004238D8" w:rsidRPr="001F505E">
        <w:rPr>
          <w:color w:val="000000"/>
          <w:lang w:val="sq-AL"/>
        </w:rPr>
        <w:t>ë</w:t>
      </w:r>
      <w:r w:rsidRPr="001F505E">
        <w:rPr>
          <w:color w:val="000000"/>
          <w:lang w:val="sq-AL"/>
        </w:rPr>
        <w:t>n n</w:t>
      </w:r>
      <w:r w:rsidR="004238D8" w:rsidRPr="001F505E">
        <w:rPr>
          <w:color w:val="000000"/>
          <w:lang w:val="sq-AL"/>
        </w:rPr>
        <w:t>ë</w:t>
      </w:r>
      <w:r w:rsidRPr="001F505E">
        <w:rPr>
          <w:color w:val="000000"/>
          <w:lang w:val="sq-AL"/>
        </w:rPr>
        <w:t xml:space="preserve"> </w:t>
      </w:r>
      <w:r w:rsidR="007D0F79">
        <w:rPr>
          <w:color w:val="000000"/>
          <w:lang w:val="sq-AL"/>
        </w:rPr>
        <w:t>26.5</w:t>
      </w:r>
      <w:r w:rsidRPr="001F505E">
        <w:rPr>
          <w:color w:val="000000"/>
          <w:lang w:val="sq-AL"/>
        </w:rPr>
        <w:t xml:space="preserve"> miliard</w:t>
      </w:r>
      <w:r w:rsidR="004238D8" w:rsidRPr="001F505E">
        <w:rPr>
          <w:color w:val="000000"/>
          <w:lang w:val="sq-AL"/>
        </w:rPr>
        <w:t>ë</w:t>
      </w:r>
      <w:r w:rsidRPr="001F505E">
        <w:rPr>
          <w:color w:val="000000"/>
          <w:lang w:val="sq-AL"/>
        </w:rPr>
        <w:t xml:space="preserve"> lek</w:t>
      </w:r>
      <w:r w:rsidR="004238D8" w:rsidRPr="001F505E">
        <w:rPr>
          <w:color w:val="000000"/>
          <w:lang w:val="sq-AL"/>
        </w:rPr>
        <w:t>ë</w:t>
      </w:r>
      <w:r w:rsidRPr="001F505E">
        <w:rPr>
          <w:color w:val="000000"/>
          <w:lang w:val="sq-AL"/>
        </w:rPr>
        <w:t xml:space="preserve">, me rritje vjetore prej </w:t>
      </w:r>
      <w:r w:rsidR="007D0F79">
        <w:rPr>
          <w:color w:val="000000"/>
          <w:lang w:val="sq-AL"/>
        </w:rPr>
        <w:t>3.5</w:t>
      </w:r>
      <w:r w:rsidRPr="001F505E">
        <w:rPr>
          <w:color w:val="000000"/>
          <w:lang w:val="sq-AL"/>
        </w:rPr>
        <w:t xml:space="preserve"> p</w:t>
      </w:r>
      <w:r w:rsidR="004238D8" w:rsidRPr="001F505E">
        <w:rPr>
          <w:color w:val="000000"/>
          <w:lang w:val="sq-AL"/>
        </w:rPr>
        <w:t>ë</w:t>
      </w:r>
      <w:r w:rsidRPr="001F505E">
        <w:rPr>
          <w:color w:val="000000"/>
          <w:lang w:val="sq-AL"/>
        </w:rPr>
        <w:t>rqind.</w:t>
      </w:r>
    </w:p>
    <w:p w:rsidR="001E3003" w:rsidRPr="001F505E" w:rsidRDefault="00B12BD5" w:rsidP="006F4CBC">
      <w:pPr>
        <w:rPr>
          <w:sz w:val="24"/>
          <w:szCs w:val="24"/>
          <w:lang w:val="sq-AL"/>
        </w:rPr>
      </w:pPr>
      <w:r w:rsidRPr="001F505E">
        <w:rPr>
          <w:sz w:val="24"/>
          <w:szCs w:val="24"/>
          <w:lang w:val="sq-AL"/>
        </w:rPr>
        <w:t>Taksimi i t</w:t>
      </w:r>
      <w:r w:rsidR="00613494" w:rsidRPr="001F505E">
        <w:rPr>
          <w:sz w:val="24"/>
          <w:szCs w:val="24"/>
          <w:lang w:val="sq-AL"/>
        </w:rPr>
        <w:t>ë</w:t>
      </w:r>
      <w:r w:rsidRPr="001F505E">
        <w:rPr>
          <w:sz w:val="24"/>
          <w:szCs w:val="24"/>
          <w:lang w:val="sq-AL"/>
        </w:rPr>
        <w:t xml:space="preserve"> ardhurave: Tatimi mbi t</w:t>
      </w:r>
      <w:r w:rsidR="00613494" w:rsidRPr="001F505E">
        <w:rPr>
          <w:sz w:val="24"/>
          <w:szCs w:val="24"/>
          <w:lang w:val="sq-AL"/>
        </w:rPr>
        <w:t>ë</w:t>
      </w:r>
      <w:r w:rsidRPr="001F505E">
        <w:rPr>
          <w:sz w:val="24"/>
          <w:szCs w:val="24"/>
          <w:lang w:val="sq-AL"/>
        </w:rPr>
        <w:t xml:space="preserve"> Ardhurat Personale</w:t>
      </w:r>
    </w:p>
    <w:p w:rsidR="00B9082D" w:rsidRPr="001F505E" w:rsidRDefault="007D0F79" w:rsidP="00B9082D">
      <w:pPr>
        <w:rPr>
          <w:lang w:val="sq-AL"/>
        </w:rPr>
      </w:pPr>
      <w:r w:rsidRPr="007D0F79">
        <w:rPr>
          <w:lang w:val="sq-AL"/>
        </w:rPr>
        <w:t>Të ardhurat nga tatimi mbi të ardhurat personale arritën në 17.1 miliardë lekë pë</w:t>
      </w:r>
      <w:r w:rsidR="00210993">
        <w:rPr>
          <w:lang w:val="sq-AL"/>
        </w:rPr>
        <w:t>r periudhën Janar-Korrik, ose 8.3 përqind më shumë</w:t>
      </w:r>
      <w:r w:rsidRPr="007D0F79">
        <w:rPr>
          <w:lang w:val="sq-AL"/>
        </w:rPr>
        <w:t xml:space="preserve"> se </w:t>
      </w:r>
      <w:r w:rsidR="00210993">
        <w:rPr>
          <w:lang w:val="sq-AL"/>
        </w:rPr>
        <w:t>7 mujorin e një viti më parë. Për një ilustrim më të qartë të ecurisë së këtij tatimi, në tabelën më poshtë pasqyrohen të</w:t>
      </w:r>
      <w:r w:rsidRPr="007D0F79">
        <w:rPr>
          <w:lang w:val="sq-AL"/>
        </w:rPr>
        <w:t xml:space="preserve"> ard</w:t>
      </w:r>
      <w:r w:rsidR="00210993">
        <w:rPr>
          <w:lang w:val="sq-AL"/>
        </w:rPr>
        <w:t>hurat sipas burimeve kryesore të të ardhurave individuale (milionë lekë) pë</w:t>
      </w:r>
      <w:r w:rsidRPr="007D0F79">
        <w:rPr>
          <w:lang w:val="sq-AL"/>
        </w:rPr>
        <w:t xml:space="preserve">r </w:t>
      </w:r>
      <w:r w:rsidR="00210993">
        <w:rPr>
          <w:lang w:val="sq-AL"/>
        </w:rPr>
        <w:t>periudhë</w:t>
      </w:r>
      <w:r w:rsidRPr="007D0F79">
        <w:rPr>
          <w:lang w:val="sq-AL"/>
        </w:rPr>
        <w:t>n 7 mujore</w:t>
      </w:r>
      <w:r w:rsidR="0081693E" w:rsidRPr="001F505E">
        <w:rPr>
          <w:lang w:val="sq-AL"/>
        </w:rPr>
        <w:t>:</w:t>
      </w:r>
    </w:p>
    <w:p w:rsidR="006F4C53" w:rsidRPr="001F505E" w:rsidRDefault="00B12BD5" w:rsidP="006F4CBC">
      <w:pPr>
        <w:rPr>
          <w:sz w:val="20"/>
          <w:szCs w:val="20"/>
          <w:lang w:val="sq-AL"/>
        </w:rPr>
      </w:pPr>
      <w:r w:rsidRPr="001F505E">
        <w:rPr>
          <w:sz w:val="20"/>
          <w:szCs w:val="20"/>
          <w:lang w:val="sq-AL"/>
        </w:rPr>
        <w:t xml:space="preserve">Tabela </w:t>
      </w:r>
      <w:r w:rsidR="00F7093A">
        <w:rPr>
          <w:sz w:val="20"/>
          <w:szCs w:val="20"/>
          <w:lang w:val="sq-AL"/>
        </w:rPr>
        <w:t>8</w:t>
      </w:r>
      <w:r w:rsidRPr="001F505E">
        <w:rPr>
          <w:sz w:val="20"/>
          <w:szCs w:val="20"/>
          <w:lang w:val="sq-AL"/>
        </w:rPr>
        <w:t>. Ndarja e TAP sipas llojit</w:t>
      </w:r>
    </w:p>
    <w:tbl>
      <w:tblPr>
        <w:tblW w:w="5000" w:type="pct"/>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2791"/>
        <w:gridCol w:w="1707"/>
        <w:gridCol w:w="1707"/>
        <w:gridCol w:w="1710"/>
        <w:gridCol w:w="1705"/>
      </w:tblGrid>
      <w:tr w:rsidR="007D0F79" w:rsidRPr="001F505E" w:rsidTr="003355AA">
        <w:tc>
          <w:tcPr>
            <w:tcW w:w="1451" w:type="pct"/>
            <w:tcBorders>
              <w:bottom w:val="single" w:sz="6" w:space="0" w:color="808080"/>
            </w:tcBorders>
          </w:tcPr>
          <w:p w:rsidR="007D0F79" w:rsidRPr="001F505E" w:rsidRDefault="007D0F79" w:rsidP="008557CB">
            <w:pPr>
              <w:spacing w:before="0" w:after="0"/>
              <w:rPr>
                <w:b/>
                <w:bCs/>
                <w:i/>
                <w:iCs/>
                <w:sz w:val="20"/>
                <w:szCs w:val="20"/>
                <w:lang w:val="sq-AL"/>
              </w:rPr>
            </w:pPr>
            <w:r w:rsidRPr="001F505E">
              <w:rPr>
                <w:b/>
                <w:bCs/>
                <w:iCs/>
                <w:sz w:val="20"/>
                <w:szCs w:val="20"/>
                <w:lang w:val="sq-AL"/>
              </w:rPr>
              <w:t>Emërtimi</w:t>
            </w:r>
          </w:p>
        </w:tc>
        <w:tc>
          <w:tcPr>
            <w:tcW w:w="887" w:type="pct"/>
            <w:tcBorders>
              <w:bottom w:val="single" w:sz="6" w:space="0" w:color="808080"/>
            </w:tcBorders>
          </w:tcPr>
          <w:p w:rsidR="007D0F79" w:rsidRPr="001F505E" w:rsidRDefault="007D0F79" w:rsidP="008557CB">
            <w:pPr>
              <w:spacing w:before="0" w:after="0"/>
              <w:jc w:val="left"/>
              <w:rPr>
                <w:b/>
                <w:bCs/>
                <w:i/>
                <w:iCs/>
                <w:sz w:val="20"/>
                <w:szCs w:val="20"/>
                <w:lang w:val="sq-AL"/>
              </w:rPr>
            </w:pPr>
            <w:r>
              <w:rPr>
                <w:b/>
                <w:bCs/>
                <w:iCs/>
                <w:sz w:val="20"/>
                <w:szCs w:val="20"/>
                <w:lang w:val="sq-AL"/>
              </w:rPr>
              <w:t>7M</w:t>
            </w:r>
            <w:r w:rsidRPr="001F505E">
              <w:rPr>
                <w:b/>
                <w:bCs/>
                <w:iCs/>
                <w:sz w:val="20"/>
                <w:szCs w:val="20"/>
                <w:lang w:val="sq-AL"/>
              </w:rPr>
              <w:t xml:space="preserve"> 2012 (mln)</w:t>
            </w:r>
          </w:p>
        </w:tc>
        <w:tc>
          <w:tcPr>
            <w:tcW w:w="887" w:type="pct"/>
            <w:tcBorders>
              <w:bottom w:val="single" w:sz="6" w:space="0" w:color="808080"/>
            </w:tcBorders>
          </w:tcPr>
          <w:p w:rsidR="007D0F79" w:rsidRPr="001F505E" w:rsidRDefault="007D0F79" w:rsidP="008557CB">
            <w:pPr>
              <w:spacing w:before="0" w:after="0"/>
              <w:jc w:val="left"/>
              <w:rPr>
                <w:b/>
                <w:bCs/>
                <w:i/>
                <w:iCs/>
                <w:sz w:val="20"/>
                <w:szCs w:val="20"/>
                <w:lang w:val="sq-AL"/>
              </w:rPr>
            </w:pPr>
            <w:r>
              <w:rPr>
                <w:b/>
                <w:bCs/>
                <w:iCs/>
                <w:sz w:val="20"/>
                <w:szCs w:val="20"/>
                <w:lang w:val="sq-AL"/>
              </w:rPr>
              <w:t>7M</w:t>
            </w:r>
            <w:r w:rsidRPr="001F505E">
              <w:rPr>
                <w:b/>
                <w:bCs/>
                <w:iCs/>
                <w:sz w:val="20"/>
                <w:szCs w:val="20"/>
                <w:lang w:val="sq-AL"/>
              </w:rPr>
              <w:t xml:space="preserve"> 2013 (mln)</w:t>
            </w:r>
          </w:p>
        </w:tc>
        <w:tc>
          <w:tcPr>
            <w:tcW w:w="889" w:type="pct"/>
            <w:tcBorders>
              <w:bottom w:val="single" w:sz="6" w:space="0" w:color="808080"/>
            </w:tcBorders>
          </w:tcPr>
          <w:p w:rsidR="007D0F79" w:rsidRPr="001F505E" w:rsidRDefault="007D0F79" w:rsidP="007D0F79">
            <w:pPr>
              <w:spacing w:before="0" w:after="0"/>
              <w:jc w:val="left"/>
              <w:rPr>
                <w:b/>
                <w:bCs/>
                <w:i/>
                <w:iCs/>
                <w:sz w:val="20"/>
                <w:szCs w:val="20"/>
                <w:lang w:val="sq-AL"/>
              </w:rPr>
            </w:pPr>
            <w:r w:rsidRPr="001F505E">
              <w:rPr>
                <w:b/>
                <w:bCs/>
                <w:iCs/>
                <w:sz w:val="20"/>
                <w:szCs w:val="20"/>
                <w:lang w:val="sq-AL"/>
              </w:rPr>
              <w:t xml:space="preserve">Ndryshimi </w:t>
            </w:r>
            <w:r>
              <w:rPr>
                <w:b/>
                <w:bCs/>
                <w:iCs/>
                <w:sz w:val="20"/>
                <w:szCs w:val="20"/>
                <w:lang w:val="sq-AL"/>
              </w:rPr>
              <w:t>(mln lek</w:t>
            </w:r>
            <w:r w:rsidR="004B355A">
              <w:rPr>
                <w:b/>
                <w:bCs/>
                <w:iCs/>
                <w:sz w:val="20"/>
                <w:szCs w:val="20"/>
                <w:lang w:val="sq-AL"/>
              </w:rPr>
              <w:t>ë</w:t>
            </w:r>
            <w:r>
              <w:rPr>
                <w:b/>
                <w:bCs/>
                <w:iCs/>
                <w:sz w:val="20"/>
                <w:szCs w:val="20"/>
                <w:lang w:val="sq-AL"/>
              </w:rPr>
              <w:t>)</w:t>
            </w:r>
          </w:p>
        </w:tc>
        <w:tc>
          <w:tcPr>
            <w:tcW w:w="886" w:type="pct"/>
            <w:tcBorders>
              <w:bottom w:val="single" w:sz="6" w:space="0" w:color="808080"/>
            </w:tcBorders>
          </w:tcPr>
          <w:p w:rsidR="007D0F79" w:rsidRPr="001F505E" w:rsidRDefault="007D0F79" w:rsidP="007D0F79">
            <w:pPr>
              <w:spacing w:before="0" w:after="0"/>
              <w:jc w:val="left"/>
              <w:rPr>
                <w:b/>
                <w:bCs/>
                <w:iCs/>
                <w:sz w:val="20"/>
                <w:szCs w:val="20"/>
                <w:lang w:val="sq-AL"/>
              </w:rPr>
            </w:pPr>
            <w:r w:rsidRPr="001F505E">
              <w:rPr>
                <w:b/>
                <w:bCs/>
                <w:iCs/>
                <w:sz w:val="20"/>
                <w:szCs w:val="20"/>
                <w:lang w:val="sq-AL"/>
              </w:rPr>
              <w:t>Ndryshimi</w:t>
            </w:r>
            <w:r>
              <w:rPr>
                <w:b/>
                <w:bCs/>
                <w:iCs/>
                <w:sz w:val="20"/>
                <w:szCs w:val="20"/>
                <w:lang w:val="sq-AL"/>
              </w:rPr>
              <w:t>(%)</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
                <w:bCs/>
                <w:sz w:val="20"/>
                <w:szCs w:val="20"/>
                <w:lang w:val="sq-AL"/>
              </w:rPr>
              <w:t>Tatim mbi të ardhurat personale</w:t>
            </w:r>
          </w:p>
        </w:tc>
        <w:tc>
          <w:tcPr>
            <w:tcW w:w="887" w:type="pct"/>
          </w:tcPr>
          <w:p w:rsidR="007D0F79" w:rsidRPr="003355AA" w:rsidRDefault="007D0F79" w:rsidP="00934094">
            <w:pPr>
              <w:spacing w:before="0" w:after="0"/>
              <w:jc w:val="left"/>
              <w:rPr>
                <w:b/>
                <w:sz w:val="20"/>
                <w:szCs w:val="20"/>
                <w:lang w:val="nl-NL"/>
              </w:rPr>
            </w:pPr>
            <w:r w:rsidRPr="003355AA">
              <w:rPr>
                <w:b/>
                <w:sz w:val="20"/>
                <w:szCs w:val="20"/>
                <w:lang w:val="nl-NL"/>
              </w:rPr>
              <w:t>15,732</w:t>
            </w:r>
          </w:p>
        </w:tc>
        <w:tc>
          <w:tcPr>
            <w:tcW w:w="887" w:type="pct"/>
          </w:tcPr>
          <w:p w:rsidR="007D0F79" w:rsidRPr="003355AA" w:rsidRDefault="007D0F79" w:rsidP="00934094">
            <w:pPr>
              <w:spacing w:before="0" w:after="0"/>
              <w:jc w:val="left"/>
              <w:rPr>
                <w:b/>
                <w:sz w:val="20"/>
                <w:szCs w:val="20"/>
                <w:lang w:val="nl-NL"/>
              </w:rPr>
            </w:pPr>
            <w:r w:rsidRPr="003355AA">
              <w:rPr>
                <w:b/>
                <w:sz w:val="20"/>
                <w:szCs w:val="20"/>
                <w:lang w:val="nl-NL"/>
              </w:rPr>
              <w:t>17,100</w:t>
            </w:r>
          </w:p>
        </w:tc>
        <w:tc>
          <w:tcPr>
            <w:tcW w:w="889" w:type="pct"/>
          </w:tcPr>
          <w:p w:rsidR="007D0F79" w:rsidRPr="003355AA" w:rsidRDefault="007D0F79" w:rsidP="00934094">
            <w:pPr>
              <w:spacing w:before="0" w:after="0"/>
              <w:jc w:val="left"/>
              <w:rPr>
                <w:b/>
                <w:sz w:val="20"/>
                <w:szCs w:val="20"/>
                <w:lang w:val="nl-NL"/>
              </w:rPr>
            </w:pPr>
            <w:r w:rsidRPr="003355AA">
              <w:rPr>
                <w:b/>
                <w:sz w:val="20"/>
                <w:szCs w:val="20"/>
                <w:lang w:val="nl-NL"/>
              </w:rPr>
              <w:t>+1,368</w:t>
            </w:r>
          </w:p>
        </w:tc>
        <w:tc>
          <w:tcPr>
            <w:tcW w:w="886" w:type="pct"/>
          </w:tcPr>
          <w:p w:rsidR="007D0F79" w:rsidRPr="003355AA" w:rsidRDefault="007D0F79" w:rsidP="00934094">
            <w:pPr>
              <w:spacing w:before="0" w:after="0"/>
              <w:jc w:val="left"/>
              <w:rPr>
                <w:b/>
                <w:sz w:val="20"/>
                <w:szCs w:val="20"/>
                <w:lang w:val="nl-NL"/>
              </w:rPr>
            </w:pPr>
            <w:r w:rsidRPr="003355AA">
              <w:rPr>
                <w:b/>
                <w:sz w:val="20"/>
                <w:szCs w:val="20"/>
                <w:lang w:val="nl-NL"/>
              </w:rPr>
              <w:t>+8.7</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Cs/>
                <w:sz w:val="20"/>
                <w:szCs w:val="20"/>
                <w:lang w:val="sq-AL"/>
              </w:rPr>
              <w:t>Paga sektorit publik</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5,209</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5,396</w:t>
            </w:r>
          </w:p>
        </w:tc>
        <w:tc>
          <w:tcPr>
            <w:tcW w:w="889" w:type="pct"/>
          </w:tcPr>
          <w:p w:rsidR="007D0F79" w:rsidRPr="003355AA" w:rsidRDefault="007D0F79" w:rsidP="00934094">
            <w:pPr>
              <w:spacing w:before="0" w:after="0"/>
              <w:jc w:val="left"/>
              <w:rPr>
                <w:sz w:val="20"/>
                <w:szCs w:val="20"/>
                <w:lang w:val="nl-NL"/>
              </w:rPr>
            </w:pPr>
            <w:r w:rsidRPr="003355AA">
              <w:rPr>
                <w:sz w:val="20"/>
                <w:szCs w:val="20"/>
                <w:lang w:val="nl-NL"/>
              </w:rPr>
              <w:t>+187</w:t>
            </w:r>
          </w:p>
        </w:tc>
        <w:tc>
          <w:tcPr>
            <w:tcW w:w="886" w:type="pct"/>
          </w:tcPr>
          <w:p w:rsidR="007D0F79" w:rsidRPr="003355AA" w:rsidRDefault="007D0F79" w:rsidP="00934094">
            <w:pPr>
              <w:spacing w:before="0" w:after="0"/>
              <w:jc w:val="left"/>
              <w:rPr>
                <w:sz w:val="20"/>
                <w:szCs w:val="20"/>
                <w:lang w:val="nl-NL"/>
              </w:rPr>
            </w:pPr>
            <w:r w:rsidRPr="003355AA">
              <w:rPr>
                <w:sz w:val="20"/>
                <w:szCs w:val="20"/>
                <w:lang w:val="nl-NL"/>
              </w:rPr>
              <w:t>+3.6</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Cs/>
                <w:sz w:val="20"/>
                <w:szCs w:val="20"/>
                <w:lang w:val="sq-AL"/>
              </w:rPr>
              <w:t>Paga sektorit privat</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5,424</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5,234</w:t>
            </w:r>
          </w:p>
        </w:tc>
        <w:tc>
          <w:tcPr>
            <w:tcW w:w="889" w:type="pct"/>
          </w:tcPr>
          <w:p w:rsidR="007D0F79" w:rsidRPr="003355AA" w:rsidRDefault="007D0F79" w:rsidP="00934094">
            <w:pPr>
              <w:spacing w:before="0" w:after="0"/>
              <w:jc w:val="left"/>
              <w:rPr>
                <w:color w:val="FF0000"/>
                <w:sz w:val="20"/>
                <w:szCs w:val="20"/>
                <w:lang w:val="nl-NL"/>
              </w:rPr>
            </w:pPr>
            <w:r w:rsidRPr="003355AA">
              <w:rPr>
                <w:color w:val="FF0000"/>
                <w:sz w:val="20"/>
                <w:szCs w:val="20"/>
                <w:lang w:val="nl-NL"/>
              </w:rPr>
              <w:t>-190</w:t>
            </w:r>
          </w:p>
        </w:tc>
        <w:tc>
          <w:tcPr>
            <w:tcW w:w="886" w:type="pct"/>
          </w:tcPr>
          <w:p w:rsidR="007D0F79" w:rsidRPr="003355AA" w:rsidRDefault="007D0F79" w:rsidP="00934094">
            <w:pPr>
              <w:spacing w:before="0" w:after="0"/>
              <w:jc w:val="left"/>
              <w:rPr>
                <w:color w:val="FF0000"/>
                <w:sz w:val="20"/>
                <w:szCs w:val="20"/>
                <w:lang w:val="nl-NL"/>
              </w:rPr>
            </w:pPr>
            <w:r w:rsidRPr="003355AA">
              <w:rPr>
                <w:color w:val="FF0000"/>
                <w:sz w:val="20"/>
                <w:szCs w:val="20"/>
                <w:lang w:val="nl-NL"/>
              </w:rPr>
              <w:t>-3.5</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Cs/>
                <w:sz w:val="20"/>
                <w:szCs w:val="20"/>
                <w:lang w:val="sq-AL"/>
              </w:rPr>
              <w:t>Të ardhura nga interesat</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1,718</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1,903</w:t>
            </w:r>
          </w:p>
        </w:tc>
        <w:tc>
          <w:tcPr>
            <w:tcW w:w="889" w:type="pct"/>
          </w:tcPr>
          <w:p w:rsidR="007D0F79" w:rsidRPr="003355AA" w:rsidRDefault="007D0F79" w:rsidP="00934094">
            <w:pPr>
              <w:spacing w:before="0" w:after="0"/>
              <w:jc w:val="left"/>
              <w:rPr>
                <w:sz w:val="20"/>
                <w:szCs w:val="20"/>
                <w:lang w:val="nl-NL"/>
              </w:rPr>
            </w:pPr>
            <w:r w:rsidRPr="003355AA">
              <w:rPr>
                <w:sz w:val="20"/>
                <w:szCs w:val="20"/>
                <w:lang w:val="nl-NL"/>
              </w:rPr>
              <w:t>+185</w:t>
            </w:r>
          </w:p>
        </w:tc>
        <w:tc>
          <w:tcPr>
            <w:tcW w:w="886" w:type="pct"/>
          </w:tcPr>
          <w:p w:rsidR="007D0F79" w:rsidRPr="003355AA" w:rsidRDefault="007D0F79" w:rsidP="00934094">
            <w:pPr>
              <w:spacing w:before="0" w:after="0"/>
              <w:jc w:val="left"/>
              <w:rPr>
                <w:sz w:val="20"/>
                <w:szCs w:val="20"/>
                <w:lang w:val="nl-NL"/>
              </w:rPr>
            </w:pPr>
            <w:r w:rsidRPr="003355AA">
              <w:rPr>
                <w:sz w:val="20"/>
                <w:szCs w:val="20"/>
                <w:lang w:val="nl-NL"/>
              </w:rPr>
              <w:t>+10.8</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Cs/>
                <w:sz w:val="20"/>
                <w:szCs w:val="20"/>
                <w:lang w:val="sq-AL"/>
              </w:rPr>
              <w:t>Të ardhura nga dividenti</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1,130</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1,680</w:t>
            </w:r>
          </w:p>
        </w:tc>
        <w:tc>
          <w:tcPr>
            <w:tcW w:w="889" w:type="pct"/>
          </w:tcPr>
          <w:p w:rsidR="007D0F79" w:rsidRPr="003355AA" w:rsidRDefault="007D0F79" w:rsidP="00934094">
            <w:pPr>
              <w:spacing w:before="0" w:after="0"/>
              <w:jc w:val="left"/>
              <w:rPr>
                <w:sz w:val="20"/>
                <w:szCs w:val="20"/>
                <w:lang w:val="nl-NL"/>
              </w:rPr>
            </w:pPr>
            <w:r w:rsidRPr="003355AA">
              <w:rPr>
                <w:sz w:val="20"/>
                <w:szCs w:val="20"/>
                <w:lang w:val="nl-NL"/>
              </w:rPr>
              <w:t>+550</w:t>
            </w:r>
          </w:p>
        </w:tc>
        <w:tc>
          <w:tcPr>
            <w:tcW w:w="886" w:type="pct"/>
          </w:tcPr>
          <w:p w:rsidR="007D0F79" w:rsidRPr="003355AA" w:rsidRDefault="007D0F79" w:rsidP="00934094">
            <w:pPr>
              <w:spacing w:before="0" w:after="0"/>
              <w:jc w:val="left"/>
              <w:rPr>
                <w:sz w:val="20"/>
                <w:szCs w:val="20"/>
                <w:lang w:val="nl-NL"/>
              </w:rPr>
            </w:pPr>
            <w:r w:rsidRPr="003355AA">
              <w:rPr>
                <w:sz w:val="20"/>
                <w:szCs w:val="20"/>
                <w:lang w:val="nl-NL"/>
              </w:rPr>
              <w:t>+48.8</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
                <w:bCs/>
                <w:sz w:val="20"/>
                <w:szCs w:val="20"/>
                <w:lang w:val="sq-AL"/>
              </w:rPr>
              <w:t>Të ardhura nga shitja e pasurisë së paluajtshme</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128</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440</w:t>
            </w:r>
          </w:p>
        </w:tc>
        <w:tc>
          <w:tcPr>
            <w:tcW w:w="889" w:type="pct"/>
          </w:tcPr>
          <w:p w:rsidR="007D0F79" w:rsidRPr="003355AA" w:rsidRDefault="007D0F79" w:rsidP="00934094">
            <w:pPr>
              <w:spacing w:before="0" w:after="0"/>
              <w:jc w:val="left"/>
              <w:rPr>
                <w:sz w:val="20"/>
                <w:szCs w:val="20"/>
                <w:lang w:val="nl-NL"/>
              </w:rPr>
            </w:pPr>
            <w:r w:rsidRPr="003355AA">
              <w:rPr>
                <w:sz w:val="20"/>
                <w:szCs w:val="20"/>
                <w:lang w:val="nl-NL"/>
              </w:rPr>
              <w:t>+312</w:t>
            </w:r>
          </w:p>
        </w:tc>
        <w:tc>
          <w:tcPr>
            <w:tcW w:w="886" w:type="pct"/>
          </w:tcPr>
          <w:p w:rsidR="007D0F79" w:rsidRPr="003355AA" w:rsidRDefault="007D0F79" w:rsidP="00934094">
            <w:pPr>
              <w:spacing w:before="0" w:after="0"/>
              <w:jc w:val="left"/>
              <w:rPr>
                <w:sz w:val="20"/>
                <w:szCs w:val="20"/>
                <w:lang w:val="nl-NL"/>
              </w:rPr>
            </w:pPr>
            <w:r w:rsidRPr="003355AA">
              <w:rPr>
                <w:sz w:val="20"/>
                <w:szCs w:val="20"/>
                <w:lang w:val="nl-NL"/>
              </w:rPr>
              <w:t>+243</w:t>
            </w:r>
          </w:p>
        </w:tc>
      </w:tr>
      <w:tr w:rsidR="007D0F79" w:rsidRPr="001F505E" w:rsidTr="003355AA">
        <w:tc>
          <w:tcPr>
            <w:tcW w:w="1451" w:type="pct"/>
          </w:tcPr>
          <w:p w:rsidR="007D0F79" w:rsidRPr="001F505E" w:rsidRDefault="007D0F79" w:rsidP="008557CB">
            <w:pPr>
              <w:spacing w:before="0" w:after="0"/>
              <w:rPr>
                <w:b/>
                <w:bCs/>
                <w:sz w:val="20"/>
                <w:szCs w:val="20"/>
                <w:lang w:val="sq-AL"/>
              </w:rPr>
            </w:pPr>
            <w:r w:rsidRPr="001F505E">
              <w:rPr>
                <w:bCs/>
                <w:sz w:val="20"/>
                <w:szCs w:val="20"/>
                <w:lang w:val="sq-AL"/>
              </w:rPr>
              <w:t>Të tjera</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2,123</w:t>
            </w:r>
          </w:p>
        </w:tc>
        <w:tc>
          <w:tcPr>
            <w:tcW w:w="887" w:type="pct"/>
          </w:tcPr>
          <w:p w:rsidR="007D0F79" w:rsidRPr="003355AA" w:rsidRDefault="007D0F79" w:rsidP="00934094">
            <w:pPr>
              <w:spacing w:before="0" w:after="0"/>
              <w:jc w:val="left"/>
              <w:rPr>
                <w:sz w:val="20"/>
                <w:szCs w:val="20"/>
                <w:lang w:val="nl-NL"/>
              </w:rPr>
            </w:pPr>
            <w:r w:rsidRPr="003355AA">
              <w:rPr>
                <w:sz w:val="20"/>
                <w:szCs w:val="20"/>
                <w:lang w:val="nl-NL"/>
              </w:rPr>
              <w:t>2,446</w:t>
            </w:r>
          </w:p>
        </w:tc>
        <w:tc>
          <w:tcPr>
            <w:tcW w:w="889" w:type="pct"/>
          </w:tcPr>
          <w:p w:rsidR="007D0F79" w:rsidRPr="003355AA" w:rsidRDefault="007D0F79" w:rsidP="00934094">
            <w:pPr>
              <w:spacing w:before="0" w:after="0"/>
              <w:jc w:val="left"/>
              <w:rPr>
                <w:sz w:val="20"/>
                <w:szCs w:val="20"/>
                <w:lang w:val="nl-NL"/>
              </w:rPr>
            </w:pPr>
            <w:r w:rsidRPr="003355AA">
              <w:rPr>
                <w:sz w:val="20"/>
                <w:szCs w:val="20"/>
                <w:lang w:val="nl-NL"/>
              </w:rPr>
              <w:t>+323</w:t>
            </w:r>
          </w:p>
        </w:tc>
        <w:tc>
          <w:tcPr>
            <w:tcW w:w="886" w:type="pct"/>
          </w:tcPr>
          <w:p w:rsidR="007D0F79" w:rsidRPr="003355AA" w:rsidRDefault="007D0F79" w:rsidP="00934094">
            <w:pPr>
              <w:spacing w:before="0" w:after="0"/>
              <w:jc w:val="left"/>
              <w:rPr>
                <w:sz w:val="20"/>
                <w:szCs w:val="20"/>
                <w:lang w:val="nl-NL"/>
              </w:rPr>
            </w:pPr>
            <w:r w:rsidRPr="003355AA">
              <w:rPr>
                <w:sz w:val="20"/>
                <w:szCs w:val="20"/>
                <w:lang w:val="nl-NL"/>
              </w:rPr>
              <w:t>+15</w:t>
            </w:r>
          </w:p>
        </w:tc>
      </w:tr>
    </w:tbl>
    <w:p w:rsidR="00294342" w:rsidRPr="001F505E" w:rsidRDefault="00CA77E5" w:rsidP="006F4CBC">
      <w:pPr>
        <w:rPr>
          <w:sz w:val="20"/>
          <w:szCs w:val="20"/>
          <w:lang w:val="sq-AL"/>
        </w:rPr>
      </w:pPr>
      <w:r w:rsidRPr="001F505E">
        <w:rPr>
          <w:sz w:val="20"/>
          <w:szCs w:val="20"/>
          <w:lang w:val="sq-AL"/>
        </w:rPr>
        <w:t>Burimi: Drejtoria e P</w:t>
      </w:r>
      <w:r w:rsidR="00F168B9" w:rsidRPr="001F505E">
        <w:rPr>
          <w:sz w:val="20"/>
          <w:szCs w:val="20"/>
          <w:lang w:val="sq-AL"/>
        </w:rPr>
        <w:t>ë</w:t>
      </w:r>
      <w:r w:rsidRPr="001F505E">
        <w:rPr>
          <w:sz w:val="20"/>
          <w:szCs w:val="20"/>
          <w:lang w:val="sq-AL"/>
        </w:rPr>
        <w:t>rgjithshme e Tatimeve</w:t>
      </w:r>
    </w:p>
    <w:p w:rsidR="0081693E" w:rsidRPr="001F505E" w:rsidRDefault="003355AA" w:rsidP="0081693E">
      <w:pPr>
        <w:rPr>
          <w:highlight w:val="yellow"/>
          <w:lang w:val="sq-AL"/>
        </w:rPr>
      </w:pPr>
      <w:r w:rsidRPr="003355AA">
        <w:rPr>
          <w:lang w:val="sq-AL"/>
        </w:rPr>
        <w:t>T</w:t>
      </w:r>
      <w:r w:rsidR="004B355A">
        <w:rPr>
          <w:lang w:val="sq-AL"/>
        </w:rPr>
        <w:t>ë</w:t>
      </w:r>
      <w:r w:rsidRPr="003355AA">
        <w:rPr>
          <w:lang w:val="sq-AL"/>
        </w:rPr>
        <w:t xml:space="preserve"> ardhurat nga Tatimi mbi pagat jan</w:t>
      </w:r>
      <w:r w:rsidR="004B355A">
        <w:rPr>
          <w:lang w:val="sq-AL"/>
        </w:rPr>
        <w:t>ë</w:t>
      </w:r>
      <w:r w:rsidRPr="003355AA">
        <w:rPr>
          <w:lang w:val="sq-AL"/>
        </w:rPr>
        <w:t xml:space="preserve"> n</w:t>
      </w:r>
      <w:r w:rsidR="004B355A">
        <w:rPr>
          <w:lang w:val="sq-AL"/>
        </w:rPr>
        <w:t>ë</w:t>
      </w:r>
      <w:r w:rsidRPr="003355AA">
        <w:rPr>
          <w:lang w:val="sq-AL"/>
        </w:rPr>
        <w:t xml:space="preserve"> t</w:t>
      </w:r>
      <w:r w:rsidR="004B355A">
        <w:rPr>
          <w:lang w:val="sq-AL"/>
        </w:rPr>
        <w:t>ë</w:t>
      </w:r>
      <w:r w:rsidRPr="003355AA">
        <w:rPr>
          <w:lang w:val="sq-AL"/>
        </w:rPr>
        <w:t xml:space="preserve"> nj</w:t>
      </w:r>
      <w:r w:rsidR="004B355A">
        <w:rPr>
          <w:lang w:val="sq-AL"/>
        </w:rPr>
        <w:t>ë</w:t>
      </w:r>
      <w:r w:rsidRPr="003355AA">
        <w:rPr>
          <w:lang w:val="sq-AL"/>
        </w:rPr>
        <w:t>jtin nivel me nj</w:t>
      </w:r>
      <w:r w:rsidR="004B355A">
        <w:rPr>
          <w:lang w:val="sq-AL"/>
        </w:rPr>
        <w:t>ë</w:t>
      </w:r>
      <w:r w:rsidRPr="003355AA">
        <w:rPr>
          <w:lang w:val="sq-AL"/>
        </w:rPr>
        <w:t xml:space="preserve"> vit m</w:t>
      </w:r>
      <w:r w:rsidR="004B355A">
        <w:rPr>
          <w:lang w:val="sq-AL"/>
        </w:rPr>
        <w:t>ë</w:t>
      </w:r>
      <w:r w:rsidRPr="003355AA">
        <w:rPr>
          <w:lang w:val="sq-AL"/>
        </w:rPr>
        <w:t xml:space="preserve"> par</w:t>
      </w:r>
      <w:r w:rsidR="004B355A">
        <w:rPr>
          <w:lang w:val="sq-AL"/>
        </w:rPr>
        <w:t>ë</w:t>
      </w:r>
      <w:r w:rsidRPr="003355AA">
        <w:rPr>
          <w:lang w:val="sq-AL"/>
        </w:rPr>
        <w:t>, duke q</w:t>
      </w:r>
      <w:r w:rsidR="004B355A">
        <w:rPr>
          <w:lang w:val="sq-AL"/>
        </w:rPr>
        <w:t>ë</w:t>
      </w:r>
      <w:r>
        <w:rPr>
          <w:lang w:val="sq-AL"/>
        </w:rPr>
        <w:t>n</w:t>
      </w:r>
      <w:r w:rsidR="004B355A">
        <w:rPr>
          <w:lang w:val="sq-AL"/>
        </w:rPr>
        <w:t>ë</w:t>
      </w:r>
      <w:r w:rsidRPr="003355AA">
        <w:rPr>
          <w:lang w:val="sq-AL"/>
        </w:rPr>
        <w:t xml:space="preserve"> se efekti pozitiv dhe negativ p</w:t>
      </w:r>
      <w:r w:rsidR="004B355A">
        <w:rPr>
          <w:lang w:val="sq-AL"/>
        </w:rPr>
        <w:t>ë</w:t>
      </w:r>
      <w:r w:rsidRPr="003355AA">
        <w:rPr>
          <w:lang w:val="sq-AL"/>
        </w:rPr>
        <w:t>rkat</w:t>
      </w:r>
      <w:r w:rsidR="004B355A">
        <w:rPr>
          <w:lang w:val="sq-AL"/>
        </w:rPr>
        <w:t>ë</w:t>
      </w:r>
      <w:r w:rsidRPr="003355AA">
        <w:rPr>
          <w:lang w:val="sq-AL"/>
        </w:rPr>
        <w:t>sisht nga pagat n</w:t>
      </w:r>
      <w:r w:rsidR="004B355A">
        <w:rPr>
          <w:lang w:val="sq-AL"/>
        </w:rPr>
        <w:t>ë</w:t>
      </w:r>
      <w:r w:rsidRPr="003355AA">
        <w:rPr>
          <w:lang w:val="sq-AL"/>
        </w:rPr>
        <w:t xml:space="preserve"> sektorin publik dhe privat kan</w:t>
      </w:r>
      <w:r w:rsidR="004B355A">
        <w:rPr>
          <w:lang w:val="sq-AL"/>
        </w:rPr>
        <w:t>ë</w:t>
      </w:r>
      <w:r w:rsidRPr="003355AA">
        <w:rPr>
          <w:lang w:val="sq-AL"/>
        </w:rPr>
        <w:t xml:space="preserve"> neutralizuar nj</w:t>
      </w:r>
      <w:r w:rsidR="004B355A">
        <w:rPr>
          <w:lang w:val="sq-AL"/>
        </w:rPr>
        <w:t>ë</w:t>
      </w:r>
      <w:r>
        <w:rPr>
          <w:lang w:val="sq-AL"/>
        </w:rPr>
        <w:t>ri tjetrin, siç</w:t>
      </w:r>
      <w:r w:rsidRPr="003355AA">
        <w:rPr>
          <w:lang w:val="sq-AL"/>
        </w:rPr>
        <w:t xml:space="preserve"> pasqyrohet n</w:t>
      </w:r>
      <w:r w:rsidR="004B355A">
        <w:rPr>
          <w:lang w:val="sq-AL"/>
        </w:rPr>
        <w:t>ë</w:t>
      </w:r>
      <w:r>
        <w:rPr>
          <w:lang w:val="sq-AL"/>
        </w:rPr>
        <w:t xml:space="preserve"> Tabel</w:t>
      </w:r>
      <w:r w:rsidR="004B355A">
        <w:rPr>
          <w:lang w:val="sq-AL"/>
        </w:rPr>
        <w:t>ë</w:t>
      </w:r>
      <w:r>
        <w:rPr>
          <w:lang w:val="sq-AL"/>
        </w:rPr>
        <w:t>n m</w:t>
      </w:r>
      <w:r w:rsidR="004B355A">
        <w:rPr>
          <w:lang w:val="sq-AL"/>
        </w:rPr>
        <w:t>ë</w:t>
      </w:r>
      <w:r w:rsidRPr="003355AA">
        <w:rPr>
          <w:lang w:val="sq-AL"/>
        </w:rPr>
        <w:t xml:space="preserve"> lart. Nga muaji Qershor</w:t>
      </w:r>
      <w:r>
        <w:rPr>
          <w:lang w:val="sq-AL"/>
        </w:rPr>
        <w:t xml:space="preserve"> hyri n</w:t>
      </w:r>
      <w:r w:rsidR="004B355A">
        <w:rPr>
          <w:lang w:val="sq-AL"/>
        </w:rPr>
        <w:t>ë</w:t>
      </w:r>
      <w:r w:rsidRPr="003355AA">
        <w:rPr>
          <w:lang w:val="sq-AL"/>
        </w:rPr>
        <w:t xml:space="preserve"> fuqi politika e p</w:t>
      </w:r>
      <w:r w:rsidR="004B355A">
        <w:rPr>
          <w:lang w:val="sq-AL"/>
        </w:rPr>
        <w:t>ë</w:t>
      </w:r>
      <w:r>
        <w:rPr>
          <w:lang w:val="sq-AL"/>
        </w:rPr>
        <w:t>rjashtimit nga tatimi mbi t</w:t>
      </w:r>
      <w:r w:rsidR="004B355A">
        <w:rPr>
          <w:lang w:val="sq-AL"/>
        </w:rPr>
        <w:t>ë</w:t>
      </w:r>
      <w:r>
        <w:rPr>
          <w:lang w:val="sq-AL"/>
        </w:rPr>
        <w:t xml:space="preserve"> ardhurat i pagave deri n</w:t>
      </w:r>
      <w:r w:rsidR="004B355A">
        <w:rPr>
          <w:lang w:val="sq-AL"/>
        </w:rPr>
        <w:t>ë</w:t>
      </w:r>
      <w:r>
        <w:rPr>
          <w:lang w:val="sq-AL"/>
        </w:rPr>
        <w:t xml:space="preserve"> 30,000. Kjo duket se </w:t>
      </w:r>
      <w:r w:rsidR="004B355A">
        <w:rPr>
          <w:lang w:val="sq-AL"/>
        </w:rPr>
        <w:t>ë</w:t>
      </w:r>
      <w:r>
        <w:rPr>
          <w:lang w:val="sq-AL"/>
        </w:rPr>
        <w:t>sht</w:t>
      </w:r>
      <w:r w:rsidR="004B355A">
        <w:rPr>
          <w:lang w:val="sq-AL"/>
        </w:rPr>
        <w:t>ë</w:t>
      </w:r>
      <w:r>
        <w:rPr>
          <w:lang w:val="sq-AL"/>
        </w:rPr>
        <w:t xml:space="preserve"> reflektuar pjes</w:t>
      </w:r>
      <w:r w:rsidR="004B355A">
        <w:rPr>
          <w:lang w:val="sq-AL"/>
        </w:rPr>
        <w:t>ë</w:t>
      </w:r>
      <w:r>
        <w:rPr>
          <w:lang w:val="sq-AL"/>
        </w:rPr>
        <w:t>risht n</w:t>
      </w:r>
      <w:r w:rsidR="004B355A">
        <w:rPr>
          <w:lang w:val="sq-AL"/>
        </w:rPr>
        <w:t>ë</w:t>
      </w:r>
      <w:r>
        <w:rPr>
          <w:lang w:val="sq-AL"/>
        </w:rPr>
        <w:t xml:space="preserve"> t</w:t>
      </w:r>
      <w:r w:rsidR="004B355A">
        <w:rPr>
          <w:lang w:val="sq-AL"/>
        </w:rPr>
        <w:t>ë</w:t>
      </w:r>
      <w:r>
        <w:rPr>
          <w:lang w:val="sq-AL"/>
        </w:rPr>
        <w:t xml:space="preserve"> ardhurat nga ky z</w:t>
      </w:r>
      <w:r w:rsidR="004B355A">
        <w:rPr>
          <w:lang w:val="sq-AL"/>
        </w:rPr>
        <w:t>ë</w:t>
      </w:r>
      <w:r>
        <w:rPr>
          <w:lang w:val="sq-AL"/>
        </w:rPr>
        <w:t xml:space="preserve"> p</w:t>
      </w:r>
      <w:r w:rsidR="004B355A">
        <w:rPr>
          <w:lang w:val="sq-AL"/>
        </w:rPr>
        <w:t>ë</w:t>
      </w:r>
      <w:r>
        <w:rPr>
          <w:lang w:val="sq-AL"/>
        </w:rPr>
        <w:t>r muajin Qershor, p</w:t>
      </w:r>
      <w:r w:rsidR="004B355A">
        <w:rPr>
          <w:lang w:val="sq-AL"/>
        </w:rPr>
        <w:t>ë</w:t>
      </w:r>
      <w:r>
        <w:rPr>
          <w:lang w:val="sq-AL"/>
        </w:rPr>
        <w:t>r sektorin publik, duke patur n</w:t>
      </w:r>
      <w:r w:rsidR="004B355A">
        <w:rPr>
          <w:lang w:val="sq-AL"/>
        </w:rPr>
        <w:t>ë</w:t>
      </w:r>
      <w:r>
        <w:rPr>
          <w:lang w:val="sq-AL"/>
        </w:rPr>
        <w:t xml:space="preserve"> konsiderat</w:t>
      </w:r>
      <w:r w:rsidR="004B355A">
        <w:rPr>
          <w:lang w:val="sq-AL"/>
        </w:rPr>
        <w:t>ë</w:t>
      </w:r>
      <w:r>
        <w:rPr>
          <w:lang w:val="sq-AL"/>
        </w:rPr>
        <w:t xml:space="preserve"> dhe faktin q</w:t>
      </w:r>
      <w:r w:rsidR="004B355A">
        <w:rPr>
          <w:lang w:val="sq-AL"/>
        </w:rPr>
        <w:t>ë</w:t>
      </w:r>
      <w:r>
        <w:rPr>
          <w:lang w:val="sq-AL"/>
        </w:rPr>
        <w:t xml:space="preserve"> gjat</w:t>
      </w:r>
      <w:r w:rsidR="004B355A">
        <w:rPr>
          <w:lang w:val="sq-AL"/>
        </w:rPr>
        <w:t>ë</w:t>
      </w:r>
      <w:r w:rsidRPr="003355AA">
        <w:rPr>
          <w:lang w:val="sq-AL"/>
        </w:rPr>
        <w:t xml:space="preserve"> k</w:t>
      </w:r>
      <w:r w:rsidR="004B355A">
        <w:rPr>
          <w:lang w:val="sq-AL"/>
        </w:rPr>
        <w:t>ë</w:t>
      </w:r>
      <w:r w:rsidRPr="003355AA">
        <w:rPr>
          <w:lang w:val="sq-AL"/>
        </w:rPr>
        <w:t xml:space="preserve">tij viti TAP </w:t>
      </w:r>
      <w:r w:rsidR="004B355A">
        <w:rPr>
          <w:lang w:val="sq-AL"/>
        </w:rPr>
        <w:t>ë</w:t>
      </w:r>
      <w:r w:rsidRPr="003355AA">
        <w:rPr>
          <w:lang w:val="sq-AL"/>
        </w:rPr>
        <w:t>sht</w:t>
      </w:r>
      <w:r w:rsidR="004B355A">
        <w:rPr>
          <w:lang w:val="sq-AL"/>
        </w:rPr>
        <w:t>ë</w:t>
      </w:r>
      <w:r w:rsidRPr="003355AA">
        <w:rPr>
          <w:lang w:val="sq-AL"/>
        </w:rPr>
        <w:t xml:space="preserve"> derdhur mbi pagat reale (jo paga referenc</w:t>
      </w:r>
      <w:r w:rsidR="004B355A">
        <w:rPr>
          <w:lang w:val="sq-AL"/>
        </w:rPr>
        <w:t>ë</w:t>
      </w:r>
      <w:r w:rsidRPr="003355AA">
        <w:rPr>
          <w:lang w:val="sq-AL"/>
        </w:rPr>
        <w:t xml:space="preserve">). Efekti negativ per muajin korrik </w:t>
      </w:r>
      <w:r w:rsidR="004B355A">
        <w:rPr>
          <w:lang w:val="sq-AL"/>
        </w:rPr>
        <w:t>ë</w:t>
      </w:r>
      <w:r w:rsidRPr="003355AA">
        <w:rPr>
          <w:lang w:val="sq-AL"/>
        </w:rPr>
        <w:t>sht</w:t>
      </w:r>
      <w:r w:rsidR="004B355A">
        <w:rPr>
          <w:lang w:val="sq-AL"/>
        </w:rPr>
        <w:t>ë</w:t>
      </w:r>
      <w:r>
        <w:rPr>
          <w:lang w:val="sq-AL"/>
        </w:rPr>
        <w:t xml:space="preserve"> thuajse i pap</w:t>
      </w:r>
      <w:r w:rsidR="004B355A">
        <w:rPr>
          <w:lang w:val="sq-AL"/>
        </w:rPr>
        <w:t>ë</w:t>
      </w:r>
      <w:r w:rsidRPr="003355AA">
        <w:rPr>
          <w:lang w:val="sq-AL"/>
        </w:rPr>
        <w:t>rfillsh</w:t>
      </w:r>
      <w:r w:rsidR="004B355A">
        <w:rPr>
          <w:lang w:val="sq-AL"/>
        </w:rPr>
        <w:t>ë</w:t>
      </w:r>
      <w:r w:rsidRPr="003355AA">
        <w:rPr>
          <w:lang w:val="sq-AL"/>
        </w:rPr>
        <w:t>m. Kufizimi i efekteve negat</w:t>
      </w:r>
      <w:r>
        <w:rPr>
          <w:lang w:val="sq-AL"/>
        </w:rPr>
        <w:t>ive lidhet me rritjen e numrin t</w:t>
      </w:r>
      <w:r w:rsidR="004B355A">
        <w:rPr>
          <w:lang w:val="sq-AL"/>
        </w:rPr>
        <w:t>ë</w:t>
      </w:r>
      <w:r w:rsidRPr="003355AA">
        <w:rPr>
          <w:lang w:val="sq-AL"/>
        </w:rPr>
        <w:t xml:space="preserve"> kontribuesve t</w:t>
      </w:r>
      <w:r w:rsidR="004B355A">
        <w:rPr>
          <w:lang w:val="sq-AL"/>
        </w:rPr>
        <w:t>ë</w:t>
      </w:r>
      <w:r w:rsidRPr="003355AA">
        <w:rPr>
          <w:lang w:val="sq-AL"/>
        </w:rPr>
        <w:t xml:space="preserve"> TAP, q</w:t>
      </w:r>
      <w:r w:rsidR="004B355A">
        <w:rPr>
          <w:lang w:val="sq-AL"/>
        </w:rPr>
        <w:t>ë</w:t>
      </w:r>
      <w:r w:rsidRPr="003355AA">
        <w:rPr>
          <w:lang w:val="sq-AL"/>
        </w:rPr>
        <w:t xml:space="preserve"> sipas t</w:t>
      </w:r>
      <w:r w:rsidR="004B355A">
        <w:rPr>
          <w:lang w:val="sq-AL"/>
        </w:rPr>
        <w:t>ë</w:t>
      </w:r>
      <w:r w:rsidRPr="003355AA">
        <w:rPr>
          <w:lang w:val="sq-AL"/>
        </w:rPr>
        <w:t xml:space="preserve"> dh</w:t>
      </w:r>
      <w:r w:rsidR="004B355A">
        <w:rPr>
          <w:lang w:val="sq-AL"/>
        </w:rPr>
        <w:t>ë</w:t>
      </w:r>
      <w:r w:rsidRPr="003355AA">
        <w:rPr>
          <w:lang w:val="sq-AL"/>
        </w:rPr>
        <w:t>nave t</w:t>
      </w:r>
      <w:r w:rsidR="004B355A">
        <w:rPr>
          <w:lang w:val="sq-AL"/>
        </w:rPr>
        <w:t>ë</w:t>
      </w:r>
      <w:r w:rsidRPr="003355AA">
        <w:rPr>
          <w:lang w:val="sq-AL"/>
        </w:rPr>
        <w:t xml:space="preserve"> Drejtoris</w:t>
      </w:r>
      <w:r w:rsidR="004B355A">
        <w:rPr>
          <w:lang w:val="sq-AL"/>
        </w:rPr>
        <w:t>ë</w:t>
      </w:r>
      <w:r w:rsidRPr="003355AA">
        <w:rPr>
          <w:lang w:val="sq-AL"/>
        </w:rPr>
        <w:t xml:space="preserve"> s</w:t>
      </w:r>
      <w:r w:rsidR="004B355A">
        <w:rPr>
          <w:lang w:val="sq-AL"/>
        </w:rPr>
        <w:t>ë</w:t>
      </w:r>
      <w:r w:rsidRPr="003355AA">
        <w:rPr>
          <w:lang w:val="sq-AL"/>
        </w:rPr>
        <w:t xml:space="preserve"> P</w:t>
      </w:r>
      <w:r w:rsidR="004B355A">
        <w:rPr>
          <w:lang w:val="sq-AL"/>
        </w:rPr>
        <w:t>ë</w:t>
      </w:r>
      <w:r w:rsidRPr="003355AA">
        <w:rPr>
          <w:lang w:val="sq-AL"/>
        </w:rPr>
        <w:t>rgjithshme t</w:t>
      </w:r>
      <w:r w:rsidR="004B355A">
        <w:rPr>
          <w:lang w:val="sq-AL"/>
        </w:rPr>
        <w:t>ë</w:t>
      </w:r>
      <w:r w:rsidRPr="003355AA">
        <w:rPr>
          <w:lang w:val="sq-AL"/>
        </w:rPr>
        <w:t xml:space="preserve"> Tatimeve p</w:t>
      </w:r>
      <w:r w:rsidR="004B355A">
        <w:rPr>
          <w:lang w:val="sq-AL"/>
        </w:rPr>
        <w:t>ë</w:t>
      </w:r>
      <w:r w:rsidRPr="003355AA">
        <w:rPr>
          <w:lang w:val="sq-AL"/>
        </w:rPr>
        <w:t xml:space="preserve">r periudhen 6 mujore </w:t>
      </w:r>
      <w:r w:rsidR="004B355A">
        <w:rPr>
          <w:lang w:val="sq-AL"/>
        </w:rPr>
        <w:t>ë</w:t>
      </w:r>
      <w:r w:rsidRPr="003355AA">
        <w:rPr>
          <w:lang w:val="sq-AL"/>
        </w:rPr>
        <w:t>sht</w:t>
      </w:r>
      <w:r w:rsidR="004B355A">
        <w:rPr>
          <w:lang w:val="sq-AL"/>
        </w:rPr>
        <w:t>ë</w:t>
      </w:r>
      <w:r w:rsidRPr="003355AA">
        <w:rPr>
          <w:lang w:val="sq-AL"/>
        </w:rPr>
        <w:t xml:space="preserve"> n</w:t>
      </w:r>
      <w:r w:rsidR="004B355A">
        <w:rPr>
          <w:lang w:val="sq-AL"/>
        </w:rPr>
        <w:t>ë</w:t>
      </w:r>
      <w:r w:rsidRPr="003355AA">
        <w:rPr>
          <w:lang w:val="sq-AL"/>
        </w:rPr>
        <w:t xml:space="preserve"> total 11650 nj</w:t>
      </w:r>
      <w:r w:rsidR="004B355A">
        <w:rPr>
          <w:lang w:val="sq-AL"/>
        </w:rPr>
        <w:t>ë</w:t>
      </w:r>
      <w:r w:rsidRPr="003355AA">
        <w:rPr>
          <w:lang w:val="sq-AL"/>
        </w:rPr>
        <w:t>si m</w:t>
      </w:r>
      <w:r w:rsidR="004B355A">
        <w:rPr>
          <w:lang w:val="sq-AL"/>
        </w:rPr>
        <w:t>ë</w:t>
      </w:r>
      <w:r w:rsidRPr="003355AA">
        <w:rPr>
          <w:lang w:val="sq-AL"/>
        </w:rPr>
        <w:t xml:space="preserve"> shum</w:t>
      </w:r>
      <w:r w:rsidR="004B355A">
        <w:rPr>
          <w:lang w:val="sq-AL"/>
        </w:rPr>
        <w:t>ë</w:t>
      </w:r>
      <w:r w:rsidRPr="003355AA">
        <w:rPr>
          <w:lang w:val="sq-AL"/>
        </w:rPr>
        <w:t xml:space="preserve"> se </w:t>
      </w:r>
      <w:r w:rsidRPr="003355AA">
        <w:rPr>
          <w:lang w:val="sq-AL"/>
        </w:rPr>
        <w:lastRenderedPageBreak/>
        <w:t>e nj</w:t>
      </w:r>
      <w:r w:rsidR="004B355A">
        <w:rPr>
          <w:lang w:val="sq-AL"/>
        </w:rPr>
        <w:t>ë</w:t>
      </w:r>
      <w:r w:rsidRPr="003355AA">
        <w:rPr>
          <w:lang w:val="sq-AL"/>
        </w:rPr>
        <w:t>jta periudh</w:t>
      </w:r>
      <w:r w:rsidR="004B355A">
        <w:rPr>
          <w:lang w:val="sq-AL"/>
        </w:rPr>
        <w:t>ë</w:t>
      </w:r>
      <w:r w:rsidRPr="003355AA">
        <w:rPr>
          <w:lang w:val="sq-AL"/>
        </w:rPr>
        <w:t xml:space="preserve"> e nj</w:t>
      </w:r>
      <w:r w:rsidR="004B355A">
        <w:rPr>
          <w:lang w:val="sq-AL"/>
        </w:rPr>
        <w:t>ë</w:t>
      </w:r>
      <w:r>
        <w:rPr>
          <w:lang w:val="sq-AL"/>
        </w:rPr>
        <w:t xml:space="preserve"> viti m</w:t>
      </w:r>
      <w:r w:rsidR="004B355A">
        <w:rPr>
          <w:lang w:val="sq-AL"/>
        </w:rPr>
        <w:t>ë</w:t>
      </w:r>
      <w:r w:rsidRPr="003355AA">
        <w:rPr>
          <w:lang w:val="sq-AL"/>
        </w:rPr>
        <w:t xml:space="preserve"> par</w:t>
      </w:r>
      <w:r w:rsidR="004B355A">
        <w:rPr>
          <w:lang w:val="sq-AL"/>
        </w:rPr>
        <w:t>ë</w:t>
      </w:r>
      <w:r w:rsidRPr="003355AA">
        <w:rPr>
          <w:lang w:val="sq-AL"/>
        </w:rPr>
        <w:t>. Duhet theksuar se rritja e kontribuesve n</w:t>
      </w:r>
      <w:r w:rsidR="004B355A">
        <w:rPr>
          <w:lang w:val="sq-AL"/>
        </w:rPr>
        <w:t>ë</w:t>
      </w:r>
      <w:r w:rsidR="0088057A">
        <w:rPr>
          <w:lang w:val="sq-AL"/>
        </w:rPr>
        <w:t xml:space="preserve"> sektorin privat</w:t>
      </w:r>
      <w:r w:rsidRPr="003355AA">
        <w:rPr>
          <w:lang w:val="sq-AL"/>
        </w:rPr>
        <w:t xml:space="preserve"> </w:t>
      </w:r>
      <w:r w:rsidR="004B355A">
        <w:rPr>
          <w:lang w:val="sq-AL"/>
        </w:rPr>
        <w:t>ë</w:t>
      </w:r>
      <w:r w:rsidRPr="003355AA">
        <w:rPr>
          <w:lang w:val="sq-AL"/>
        </w:rPr>
        <w:t>sht</w:t>
      </w:r>
      <w:r w:rsidR="004B355A">
        <w:rPr>
          <w:lang w:val="sq-AL"/>
        </w:rPr>
        <w:t>ë</w:t>
      </w:r>
      <w:r w:rsidRPr="003355AA">
        <w:rPr>
          <w:lang w:val="sq-AL"/>
        </w:rPr>
        <w:t xml:space="preserve"> rritur ndjesh</w:t>
      </w:r>
      <w:r w:rsidR="004B355A">
        <w:rPr>
          <w:lang w:val="sq-AL"/>
        </w:rPr>
        <w:t>ë</w:t>
      </w:r>
      <w:r w:rsidRPr="003355AA">
        <w:rPr>
          <w:lang w:val="sq-AL"/>
        </w:rPr>
        <w:t>m me 12685 kontribues</w:t>
      </w:r>
      <w:r w:rsidR="0004183E" w:rsidRPr="001F505E">
        <w:rPr>
          <w:lang w:val="sq-AL"/>
        </w:rPr>
        <w:t>.</w:t>
      </w:r>
    </w:p>
    <w:p w:rsidR="003355AA" w:rsidRDefault="003355AA" w:rsidP="003355AA">
      <w:pPr>
        <w:rPr>
          <w:lang w:val="sq-AL"/>
        </w:rPr>
      </w:pPr>
      <w:r w:rsidRPr="003355AA">
        <w:rPr>
          <w:lang w:val="sq-AL"/>
        </w:rPr>
        <w:t xml:space="preserve">Tabela </w:t>
      </w:r>
      <w:r w:rsidR="00F7093A">
        <w:rPr>
          <w:lang w:val="sq-AL"/>
        </w:rPr>
        <w:t>9</w:t>
      </w:r>
      <w:r w:rsidRPr="003355AA">
        <w:rPr>
          <w:lang w:val="sq-AL"/>
        </w:rPr>
        <w:t>. Diferenca n</w:t>
      </w:r>
      <w:r w:rsidR="004B355A">
        <w:rPr>
          <w:lang w:val="sq-AL"/>
        </w:rPr>
        <w:t>ë</w:t>
      </w:r>
      <w:r w:rsidRPr="003355AA">
        <w:rPr>
          <w:lang w:val="sq-AL"/>
        </w:rPr>
        <w:t xml:space="preserve"> t</w:t>
      </w:r>
      <w:r w:rsidR="004B355A">
        <w:rPr>
          <w:lang w:val="sq-AL"/>
        </w:rPr>
        <w:t>ë</w:t>
      </w:r>
      <w:r w:rsidRPr="003355AA">
        <w:rPr>
          <w:lang w:val="sq-AL"/>
        </w:rPr>
        <w:t xml:space="preserve"> ardhurat nga TAP mbi pagat sipas muajve 2013-2012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1064"/>
        <w:gridCol w:w="1145"/>
        <w:gridCol w:w="1145"/>
        <w:gridCol w:w="970"/>
        <w:gridCol w:w="1145"/>
        <w:gridCol w:w="1270"/>
        <w:gridCol w:w="1145"/>
      </w:tblGrid>
      <w:tr w:rsidR="003355AA" w:rsidRPr="003355AA" w:rsidTr="003355AA">
        <w:trPr>
          <w:trHeight w:val="144"/>
        </w:trPr>
        <w:tc>
          <w:tcPr>
            <w:tcW w:w="903" w:type="pct"/>
            <w:noWrap/>
            <w:hideMark/>
          </w:tcPr>
          <w:p w:rsidR="003355AA" w:rsidRPr="003355AA" w:rsidRDefault="003355AA" w:rsidP="003355AA">
            <w:pPr>
              <w:spacing w:before="0" w:after="0"/>
              <w:jc w:val="left"/>
              <w:rPr>
                <w:rFonts w:eastAsia="Times New Roman"/>
                <w:b/>
                <w:bCs/>
                <w:sz w:val="20"/>
                <w:szCs w:val="20"/>
              </w:rPr>
            </w:pPr>
            <w:r w:rsidRPr="003355AA">
              <w:rPr>
                <w:rFonts w:eastAsia="Times New Roman"/>
                <w:b/>
                <w:bCs/>
                <w:sz w:val="20"/>
                <w:szCs w:val="20"/>
              </w:rPr>
              <w:t>TAP nga paga</w:t>
            </w:r>
          </w:p>
        </w:tc>
        <w:tc>
          <w:tcPr>
            <w:tcW w:w="553" w:type="pct"/>
            <w:noWrap/>
            <w:hideMark/>
          </w:tcPr>
          <w:p w:rsidR="003355AA" w:rsidRPr="003355AA" w:rsidRDefault="003355AA" w:rsidP="003355AA">
            <w:pPr>
              <w:spacing w:before="0" w:after="0"/>
              <w:jc w:val="left"/>
              <w:rPr>
                <w:rFonts w:eastAsia="Times New Roman"/>
                <w:b/>
                <w:bCs/>
                <w:sz w:val="20"/>
                <w:szCs w:val="20"/>
              </w:rPr>
            </w:pPr>
            <w:r w:rsidRPr="003355AA">
              <w:rPr>
                <w:rFonts w:eastAsia="Times New Roman"/>
                <w:b/>
                <w:bCs/>
                <w:sz w:val="20"/>
                <w:szCs w:val="20"/>
              </w:rPr>
              <w:t>mujore</w:t>
            </w:r>
          </w:p>
        </w:tc>
        <w:tc>
          <w:tcPr>
            <w:tcW w:w="595" w:type="pct"/>
            <w:noWrap/>
            <w:hideMark/>
          </w:tcPr>
          <w:p w:rsidR="003355AA" w:rsidRPr="003355AA" w:rsidRDefault="003355AA" w:rsidP="003355AA">
            <w:pPr>
              <w:spacing w:before="0" w:after="0"/>
              <w:jc w:val="left"/>
              <w:rPr>
                <w:rFonts w:eastAsia="Times New Roman"/>
                <w:sz w:val="20"/>
                <w:szCs w:val="20"/>
              </w:rPr>
            </w:pPr>
          </w:p>
        </w:tc>
        <w:tc>
          <w:tcPr>
            <w:tcW w:w="595" w:type="pct"/>
            <w:noWrap/>
            <w:hideMark/>
          </w:tcPr>
          <w:p w:rsidR="003355AA" w:rsidRPr="003355AA" w:rsidRDefault="003355AA" w:rsidP="003355AA">
            <w:pPr>
              <w:spacing w:before="0" w:after="0"/>
              <w:jc w:val="left"/>
              <w:rPr>
                <w:rFonts w:eastAsia="Times New Roman"/>
                <w:b/>
                <w:bCs/>
                <w:sz w:val="20"/>
                <w:szCs w:val="20"/>
              </w:rPr>
            </w:pPr>
          </w:p>
        </w:tc>
        <w:tc>
          <w:tcPr>
            <w:tcW w:w="504" w:type="pct"/>
            <w:noWrap/>
            <w:hideMark/>
          </w:tcPr>
          <w:p w:rsidR="003355AA" w:rsidRPr="003355AA" w:rsidRDefault="003355AA" w:rsidP="003355AA">
            <w:pPr>
              <w:spacing w:before="0" w:after="0"/>
              <w:jc w:val="left"/>
              <w:rPr>
                <w:rFonts w:eastAsia="Times New Roman"/>
                <w:b/>
                <w:bCs/>
                <w:sz w:val="20"/>
                <w:szCs w:val="20"/>
              </w:rPr>
            </w:pPr>
          </w:p>
        </w:tc>
        <w:tc>
          <w:tcPr>
            <w:tcW w:w="595" w:type="pct"/>
            <w:noWrap/>
            <w:hideMark/>
          </w:tcPr>
          <w:p w:rsidR="003355AA" w:rsidRPr="003355AA" w:rsidRDefault="003355AA" w:rsidP="003355AA">
            <w:pPr>
              <w:spacing w:before="0" w:after="0"/>
              <w:jc w:val="left"/>
              <w:rPr>
                <w:rFonts w:eastAsia="Times New Roman"/>
                <w:b/>
                <w:bCs/>
                <w:sz w:val="20"/>
                <w:szCs w:val="20"/>
              </w:rPr>
            </w:pPr>
          </w:p>
        </w:tc>
        <w:tc>
          <w:tcPr>
            <w:tcW w:w="660" w:type="pct"/>
            <w:noWrap/>
            <w:hideMark/>
          </w:tcPr>
          <w:p w:rsidR="003355AA" w:rsidRPr="003355AA" w:rsidRDefault="003355AA" w:rsidP="003355AA">
            <w:pPr>
              <w:spacing w:before="0" w:after="0"/>
              <w:jc w:val="left"/>
              <w:rPr>
                <w:rFonts w:eastAsia="Times New Roman"/>
                <w:b/>
                <w:bCs/>
                <w:sz w:val="20"/>
                <w:szCs w:val="20"/>
              </w:rPr>
            </w:pPr>
          </w:p>
        </w:tc>
        <w:tc>
          <w:tcPr>
            <w:tcW w:w="595" w:type="pct"/>
            <w:noWrap/>
            <w:hideMark/>
          </w:tcPr>
          <w:p w:rsidR="003355AA" w:rsidRPr="003355AA" w:rsidRDefault="003355AA" w:rsidP="003355AA">
            <w:pPr>
              <w:spacing w:before="0" w:after="0"/>
              <w:jc w:val="left"/>
              <w:rPr>
                <w:rFonts w:eastAsia="Times New Roman"/>
                <w:b/>
                <w:bCs/>
                <w:sz w:val="20"/>
                <w:szCs w:val="20"/>
              </w:rPr>
            </w:pPr>
          </w:p>
        </w:tc>
      </w:tr>
      <w:tr w:rsidR="003355AA" w:rsidRPr="003355AA" w:rsidTr="003355AA">
        <w:trPr>
          <w:trHeight w:val="144"/>
        </w:trPr>
        <w:tc>
          <w:tcPr>
            <w:tcW w:w="903" w:type="pct"/>
            <w:noWrap/>
            <w:hideMark/>
          </w:tcPr>
          <w:p w:rsidR="003355AA" w:rsidRPr="003355AA" w:rsidRDefault="003355AA" w:rsidP="003355AA">
            <w:pPr>
              <w:spacing w:before="0" w:after="0"/>
              <w:jc w:val="left"/>
              <w:rPr>
                <w:rFonts w:eastAsia="Times New Roman"/>
                <w:b/>
                <w:bCs/>
                <w:sz w:val="20"/>
                <w:szCs w:val="20"/>
              </w:rPr>
            </w:pPr>
          </w:p>
        </w:tc>
        <w:tc>
          <w:tcPr>
            <w:tcW w:w="553"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J</w:t>
            </w:r>
            <w:r w:rsidR="003355AA" w:rsidRPr="003355AA">
              <w:rPr>
                <w:rFonts w:eastAsia="Times New Roman"/>
                <w:bCs/>
                <w:sz w:val="20"/>
                <w:szCs w:val="20"/>
              </w:rPr>
              <w:t>anar</w:t>
            </w:r>
          </w:p>
        </w:tc>
        <w:tc>
          <w:tcPr>
            <w:tcW w:w="595" w:type="pct"/>
            <w:noWrap/>
            <w:hideMark/>
          </w:tcPr>
          <w:p w:rsidR="003355AA" w:rsidRPr="003355AA" w:rsidRDefault="00CB3920" w:rsidP="003355AA">
            <w:pPr>
              <w:spacing w:before="0" w:after="0"/>
              <w:jc w:val="left"/>
              <w:rPr>
                <w:rFonts w:eastAsia="Times New Roman"/>
                <w:sz w:val="20"/>
                <w:szCs w:val="20"/>
              </w:rPr>
            </w:pPr>
            <w:r>
              <w:rPr>
                <w:rFonts w:eastAsia="Times New Roman"/>
                <w:sz w:val="20"/>
                <w:szCs w:val="20"/>
              </w:rPr>
              <w:t>S</w:t>
            </w:r>
            <w:r w:rsidR="003355AA" w:rsidRPr="003355AA">
              <w:rPr>
                <w:rFonts w:eastAsia="Times New Roman"/>
                <w:sz w:val="20"/>
                <w:szCs w:val="20"/>
              </w:rPr>
              <w:t>hkurt</w:t>
            </w:r>
          </w:p>
        </w:tc>
        <w:tc>
          <w:tcPr>
            <w:tcW w:w="595"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M</w:t>
            </w:r>
            <w:r w:rsidR="003355AA" w:rsidRPr="003355AA">
              <w:rPr>
                <w:rFonts w:eastAsia="Times New Roman"/>
                <w:bCs/>
                <w:sz w:val="20"/>
                <w:szCs w:val="20"/>
              </w:rPr>
              <w:t>ars</w:t>
            </w:r>
          </w:p>
        </w:tc>
        <w:tc>
          <w:tcPr>
            <w:tcW w:w="504"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P</w:t>
            </w:r>
            <w:r w:rsidR="003355AA" w:rsidRPr="003355AA">
              <w:rPr>
                <w:rFonts w:eastAsia="Times New Roman"/>
                <w:bCs/>
                <w:sz w:val="20"/>
                <w:szCs w:val="20"/>
              </w:rPr>
              <w:t>rill</w:t>
            </w:r>
          </w:p>
        </w:tc>
        <w:tc>
          <w:tcPr>
            <w:tcW w:w="595"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M</w:t>
            </w:r>
            <w:r w:rsidR="003355AA" w:rsidRPr="003355AA">
              <w:rPr>
                <w:rFonts w:eastAsia="Times New Roman"/>
                <w:bCs/>
                <w:sz w:val="20"/>
                <w:szCs w:val="20"/>
              </w:rPr>
              <w:t>aj</w:t>
            </w:r>
          </w:p>
        </w:tc>
        <w:tc>
          <w:tcPr>
            <w:tcW w:w="660"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Q</w:t>
            </w:r>
            <w:r w:rsidR="003355AA" w:rsidRPr="003355AA">
              <w:rPr>
                <w:rFonts w:eastAsia="Times New Roman"/>
                <w:bCs/>
                <w:sz w:val="20"/>
                <w:szCs w:val="20"/>
              </w:rPr>
              <w:t>ershor</w:t>
            </w:r>
          </w:p>
        </w:tc>
        <w:tc>
          <w:tcPr>
            <w:tcW w:w="595" w:type="pct"/>
            <w:noWrap/>
            <w:hideMark/>
          </w:tcPr>
          <w:p w:rsidR="003355AA" w:rsidRPr="003355AA" w:rsidRDefault="00CB3920" w:rsidP="003355AA">
            <w:pPr>
              <w:spacing w:before="0" w:after="0"/>
              <w:jc w:val="left"/>
              <w:rPr>
                <w:rFonts w:eastAsia="Times New Roman"/>
                <w:bCs/>
                <w:sz w:val="20"/>
                <w:szCs w:val="20"/>
              </w:rPr>
            </w:pPr>
            <w:r>
              <w:rPr>
                <w:rFonts w:eastAsia="Times New Roman"/>
                <w:bCs/>
                <w:sz w:val="20"/>
                <w:szCs w:val="20"/>
              </w:rPr>
              <w:t>K</w:t>
            </w:r>
            <w:r w:rsidR="003355AA" w:rsidRPr="003355AA">
              <w:rPr>
                <w:rFonts w:eastAsia="Times New Roman"/>
                <w:bCs/>
                <w:sz w:val="20"/>
                <w:szCs w:val="20"/>
              </w:rPr>
              <w:t>orrik</w:t>
            </w:r>
          </w:p>
        </w:tc>
      </w:tr>
      <w:tr w:rsidR="003355AA" w:rsidRPr="003355AA" w:rsidTr="003355AA">
        <w:trPr>
          <w:trHeight w:val="144"/>
        </w:trPr>
        <w:tc>
          <w:tcPr>
            <w:tcW w:w="903"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Sektori publik</w:t>
            </w:r>
          </w:p>
        </w:tc>
        <w:tc>
          <w:tcPr>
            <w:tcW w:w="553"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76,187</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79,754 </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(24,175)</w:t>
            </w:r>
          </w:p>
        </w:tc>
        <w:tc>
          <w:tcPr>
            <w:tcW w:w="504"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12,233 </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26,302 </w:t>
            </w:r>
          </w:p>
        </w:tc>
        <w:tc>
          <w:tcPr>
            <w:tcW w:w="660"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13,314 </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3,109 </w:t>
            </w:r>
          </w:p>
        </w:tc>
      </w:tr>
      <w:tr w:rsidR="003355AA" w:rsidRPr="003355AA" w:rsidTr="003355AA">
        <w:trPr>
          <w:trHeight w:val="144"/>
        </w:trPr>
        <w:tc>
          <w:tcPr>
            <w:tcW w:w="903"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Sektori Privat</w:t>
            </w:r>
          </w:p>
        </w:tc>
        <w:tc>
          <w:tcPr>
            <w:tcW w:w="553"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19,427</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(27,190)</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20,106 </w:t>
            </w:r>
          </w:p>
        </w:tc>
        <w:tc>
          <w:tcPr>
            <w:tcW w:w="504"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 xml:space="preserve">27,251 </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(17,535)</w:t>
            </w:r>
          </w:p>
        </w:tc>
        <w:tc>
          <w:tcPr>
            <w:tcW w:w="660"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(130,759)</w:t>
            </w:r>
          </w:p>
        </w:tc>
        <w:tc>
          <w:tcPr>
            <w:tcW w:w="595" w:type="pct"/>
            <w:noWrap/>
            <w:hideMark/>
          </w:tcPr>
          <w:p w:rsidR="003355AA" w:rsidRPr="003355AA" w:rsidRDefault="003355AA" w:rsidP="003355AA">
            <w:pPr>
              <w:spacing w:before="0" w:after="0"/>
              <w:jc w:val="left"/>
              <w:rPr>
                <w:rFonts w:eastAsia="Times New Roman"/>
                <w:sz w:val="20"/>
                <w:szCs w:val="20"/>
              </w:rPr>
            </w:pPr>
            <w:r w:rsidRPr="003355AA">
              <w:rPr>
                <w:rFonts w:eastAsia="Times New Roman"/>
                <w:sz w:val="20"/>
                <w:szCs w:val="20"/>
              </w:rPr>
              <w:t>(81,959)</w:t>
            </w:r>
          </w:p>
        </w:tc>
      </w:tr>
    </w:tbl>
    <w:p w:rsidR="003355AA" w:rsidRPr="003355AA" w:rsidRDefault="003355AA" w:rsidP="003355AA">
      <w:pPr>
        <w:rPr>
          <w:lang w:val="sq-AL"/>
        </w:rPr>
      </w:pPr>
    </w:p>
    <w:p w:rsidR="003355AA" w:rsidRPr="003355AA" w:rsidRDefault="003355AA" w:rsidP="003355AA">
      <w:pPr>
        <w:rPr>
          <w:lang w:val="sq-AL"/>
        </w:rPr>
      </w:pPr>
      <w:r w:rsidRPr="003355AA">
        <w:rPr>
          <w:lang w:val="sq-AL"/>
        </w:rPr>
        <w:t>Efektin pozitiv n</w:t>
      </w:r>
      <w:r w:rsidR="004B355A">
        <w:rPr>
          <w:lang w:val="sq-AL"/>
        </w:rPr>
        <w:t>ë</w:t>
      </w:r>
      <w:r w:rsidRPr="003355AA">
        <w:rPr>
          <w:lang w:val="sq-AL"/>
        </w:rPr>
        <w:t xml:space="preserve"> t</w:t>
      </w:r>
      <w:r w:rsidR="004B355A">
        <w:rPr>
          <w:lang w:val="sq-AL"/>
        </w:rPr>
        <w:t>ë</w:t>
      </w:r>
      <w:r w:rsidRPr="003355AA">
        <w:rPr>
          <w:lang w:val="sq-AL"/>
        </w:rPr>
        <w:t xml:space="preserve"> ardhurat nga TAP mbi baza vjetore e kan</w:t>
      </w:r>
      <w:r w:rsidR="004B355A">
        <w:rPr>
          <w:lang w:val="sq-AL"/>
        </w:rPr>
        <w:t>ë</w:t>
      </w:r>
      <w:r w:rsidRPr="003355AA">
        <w:rPr>
          <w:lang w:val="sq-AL"/>
        </w:rPr>
        <w:t xml:space="preserve"> dh</w:t>
      </w:r>
      <w:r w:rsidR="004B355A">
        <w:rPr>
          <w:lang w:val="sq-AL"/>
        </w:rPr>
        <w:t>ë</w:t>
      </w:r>
      <w:r>
        <w:rPr>
          <w:lang w:val="sq-AL"/>
        </w:rPr>
        <w:t>n</w:t>
      </w:r>
      <w:r w:rsidR="004B355A">
        <w:rPr>
          <w:lang w:val="sq-AL"/>
        </w:rPr>
        <w:t>ë</w:t>
      </w:r>
      <w:r w:rsidRPr="003355AA">
        <w:rPr>
          <w:lang w:val="sq-AL"/>
        </w:rPr>
        <w:t xml:space="preserve"> z</w:t>
      </w:r>
      <w:r w:rsidR="004B355A">
        <w:rPr>
          <w:lang w:val="sq-AL"/>
        </w:rPr>
        <w:t>ë</w:t>
      </w:r>
      <w:r w:rsidRPr="003355AA">
        <w:rPr>
          <w:lang w:val="sq-AL"/>
        </w:rPr>
        <w:t>rat: t</w:t>
      </w:r>
      <w:r w:rsidR="004B355A">
        <w:rPr>
          <w:lang w:val="sq-AL"/>
        </w:rPr>
        <w:t>ë</w:t>
      </w:r>
      <w:r w:rsidRPr="003355AA">
        <w:rPr>
          <w:lang w:val="sq-AL"/>
        </w:rPr>
        <w:t xml:space="preserve"> ardhurat nga dividendi (p</w:t>
      </w:r>
      <w:r w:rsidR="004B355A">
        <w:rPr>
          <w:lang w:val="sq-AL"/>
        </w:rPr>
        <w:t>ë</w:t>
      </w:r>
      <w:r w:rsidRPr="003355AA">
        <w:rPr>
          <w:lang w:val="sq-AL"/>
        </w:rPr>
        <w:t>r k</w:t>
      </w:r>
      <w:r w:rsidR="004B355A">
        <w:rPr>
          <w:lang w:val="sq-AL"/>
        </w:rPr>
        <w:t>ë</w:t>
      </w:r>
      <w:r w:rsidRPr="003355AA">
        <w:rPr>
          <w:lang w:val="sq-AL"/>
        </w:rPr>
        <w:t>t</w:t>
      </w:r>
      <w:r w:rsidR="004B355A">
        <w:rPr>
          <w:lang w:val="sq-AL"/>
        </w:rPr>
        <w:t>ë</w:t>
      </w:r>
      <w:r w:rsidRPr="003355AA">
        <w:rPr>
          <w:lang w:val="sq-AL"/>
        </w:rPr>
        <w:t xml:space="preserve"> ze ka patur rritje t</w:t>
      </w:r>
      <w:r w:rsidR="004B355A">
        <w:rPr>
          <w:lang w:val="sq-AL"/>
        </w:rPr>
        <w:t>ë</w:t>
      </w:r>
      <w:r w:rsidRPr="003355AA">
        <w:rPr>
          <w:lang w:val="sq-AL"/>
        </w:rPr>
        <w:t xml:space="preserve"> ndjeshme muaji korrik 2013 ndaj korrikut 2012, nga taksimi i dividendit t</w:t>
      </w:r>
      <w:r w:rsidR="004B355A">
        <w:rPr>
          <w:lang w:val="sq-AL"/>
        </w:rPr>
        <w:t>ë</w:t>
      </w:r>
      <w:r w:rsidRPr="003355AA">
        <w:rPr>
          <w:lang w:val="sq-AL"/>
        </w:rPr>
        <w:t xml:space="preserve"> shoq</w:t>
      </w:r>
      <w:r w:rsidR="004B355A">
        <w:rPr>
          <w:lang w:val="sq-AL"/>
        </w:rPr>
        <w:t>ë</w:t>
      </w:r>
      <w:r w:rsidRPr="003355AA">
        <w:rPr>
          <w:lang w:val="sq-AL"/>
        </w:rPr>
        <w:t>rive aksionere), t</w:t>
      </w:r>
      <w:r w:rsidR="004B355A">
        <w:rPr>
          <w:lang w:val="sq-AL"/>
        </w:rPr>
        <w:t>ë</w:t>
      </w:r>
      <w:r>
        <w:rPr>
          <w:lang w:val="sq-AL"/>
        </w:rPr>
        <w:t xml:space="preserve"> ardhurat nga interesat dhe t</w:t>
      </w:r>
      <w:r w:rsidR="004B355A">
        <w:rPr>
          <w:lang w:val="sq-AL"/>
        </w:rPr>
        <w:t>ë</w:t>
      </w:r>
      <w:r w:rsidRPr="003355AA">
        <w:rPr>
          <w:lang w:val="sq-AL"/>
        </w:rPr>
        <w:t xml:space="preserve"> ardhurat nga shitja e pasuri</w:t>
      </w:r>
      <w:r>
        <w:rPr>
          <w:lang w:val="sq-AL"/>
        </w:rPr>
        <w:t>s</w:t>
      </w:r>
      <w:r w:rsidR="004B355A">
        <w:rPr>
          <w:lang w:val="sq-AL"/>
        </w:rPr>
        <w:t>ë</w:t>
      </w:r>
      <w:r w:rsidRPr="003355AA">
        <w:rPr>
          <w:lang w:val="sq-AL"/>
        </w:rPr>
        <w:t xml:space="preserve"> s</w:t>
      </w:r>
      <w:r w:rsidR="004B355A">
        <w:rPr>
          <w:lang w:val="sq-AL"/>
        </w:rPr>
        <w:t>ë</w:t>
      </w:r>
      <w:r>
        <w:rPr>
          <w:lang w:val="sq-AL"/>
        </w:rPr>
        <w:t xml:space="preserve"> paluajtshme (rikujtojm</w:t>
      </w:r>
      <w:r w:rsidR="004B355A">
        <w:rPr>
          <w:lang w:val="sq-AL"/>
        </w:rPr>
        <w:t>ë</w:t>
      </w:r>
      <w:r w:rsidRPr="003355AA">
        <w:rPr>
          <w:lang w:val="sq-AL"/>
        </w:rPr>
        <w:t xml:space="preserve"> se gjat</w:t>
      </w:r>
      <w:r w:rsidR="004B355A">
        <w:rPr>
          <w:lang w:val="sq-AL"/>
        </w:rPr>
        <w:t>ë</w:t>
      </w:r>
      <w:r w:rsidRPr="003355AA">
        <w:rPr>
          <w:lang w:val="sq-AL"/>
        </w:rPr>
        <w:t xml:space="preserve"> 2012 nuk pati thuajse fare t</w:t>
      </w:r>
      <w:r w:rsidR="004B355A">
        <w:rPr>
          <w:lang w:val="sq-AL"/>
        </w:rPr>
        <w:t>ë</w:t>
      </w:r>
      <w:r w:rsidRPr="003355AA">
        <w:rPr>
          <w:lang w:val="sq-AL"/>
        </w:rPr>
        <w:t xml:space="preserve"> hyra nga ky z</w:t>
      </w:r>
      <w:r w:rsidR="004B355A">
        <w:rPr>
          <w:lang w:val="sq-AL"/>
        </w:rPr>
        <w:t>ë</w:t>
      </w:r>
      <w:r w:rsidRPr="003355AA">
        <w:rPr>
          <w:lang w:val="sq-AL"/>
        </w:rPr>
        <w:t xml:space="preserve"> p</w:t>
      </w:r>
      <w:r w:rsidR="004B355A">
        <w:rPr>
          <w:lang w:val="sq-AL"/>
        </w:rPr>
        <w:t>ë</w:t>
      </w:r>
      <w:r w:rsidRPr="003355AA">
        <w:rPr>
          <w:lang w:val="sq-AL"/>
        </w:rPr>
        <w:t>r shkak t</w:t>
      </w:r>
      <w:r w:rsidR="004B355A">
        <w:rPr>
          <w:lang w:val="sq-AL"/>
        </w:rPr>
        <w:t>ë</w:t>
      </w:r>
      <w:r w:rsidR="00CB3920">
        <w:rPr>
          <w:lang w:val="sq-AL"/>
        </w:rPr>
        <w:t xml:space="preserve"> proç</w:t>
      </w:r>
      <w:r>
        <w:rPr>
          <w:lang w:val="sq-AL"/>
        </w:rPr>
        <w:t>esit t</w:t>
      </w:r>
      <w:r w:rsidR="004B355A">
        <w:rPr>
          <w:lang w:val="sq-AL"/>
        </w:rPr>
        <w:t>ë</w:t>
      </w:r>
      <w:r>
        <w:rPr>
          <w:lang w:val="sq-AL"/>
        </w:rPr>
        <w:t xml:space="preserve"> rivleresimit nga individ</w:t>
      </w:r>
      <w:r w:rsidR="004B355A">
        <w:rPr>
          <w:lang w:val="sq-AL"/>
        </w:rPr>
        <w:t>ë</w:t>
      </w:r>
      <w:r>
        <w:rPr>
          <w:lang w:val="sq-AL"/>
        </w:rPr>
        <w:t>t t</w:t>
      </w:r>
      <w:r w:rsidR="004B355A">
        <w:rPr>
          <w:lang w:val="sq-AL"/>
        </w:rPr>
        <w:t>ë</w:t>
      </w:r>
      <w:r>
        <w:rPr>
          <w:lang w:val="sq-AL"/>
        </w:rPr>
        <w:t xml:space="preserve"> pasurive t</w:t>
      </w:r>
      <w:r w:rsidR="004B355A">
        <w:rPr>
          <w:lang w:val="sq-AL"/>
        </w:rPr>
        <w:t>ë</w:t>
      </w:r>
      <w:r w:rsidRPr="003355AA">
        <w:rPr>
          <w:lang w:val="sq-AL"/>
        </w:rPr>
        <w:t xml:space="preserve"> paluajtshme).</w:t>
      </w:r>
    </w:p>
    <w:p w:rsidR="00162FA9" w:rsidRPr="001F505E" w:rsidRDefault="003355AA" w:rsidP="003355AA">
      <w:pPr>
        <w:rPr>
          <w:lang w:val="sq-AL"/>
        </w:rPr>
      </w:pPr>
      <w:r>
        <w:rPr>
          <w:lang w:val="sq-AL"/>
        </w:rPr>
        <w:t>Subjektet e biznesit t</w:t>
      </w:r>
      <w:r w:rsidR="004B355A">
        <w:rPr>
          <w:lang w:val="sq-AL"/>
        </w:rPr>
        <w:t>ë</w:t>
      </w:r>
      <w:r>
        <w:rPr>
          <w:lang w:val="sq-AL"/>
        </w:rPr>
        <w:t xml:space="preserve"> vog</w:t>
      </w:r>
      <w:r w:rsidR="004B355A">
        <w:rPr>
          <w:lang w:val="sq-AL"/>
        </w:rPr>
        <w:t>ë</w:t>
      </w:r>
      <w:r w:rsidRPr="003355AA">
        <w:rPr>
          <w:lang w:val="sq-AL"/>
        </w:rPr>
        <w:t>l q</w:t>
      </w:r>
      <w:r w:rsidR="004B355A">
        <w:rPr>
          <w:lang w:val="sq-AL"/>
        </w:rPr>
        <w:t>ë</w:t>
      </w:r>
      <w:r w:rsidRPr="003355AA">
        <w:rPr>
          <w:lang w:val="sq-AL"/>
        </w:rPr>
        <w:t xml:space="preserve"> kan</w:t>
      </w:r>
      <w:r w:rsidR="004B355A">
        <w:rPr>
          <w:lang w:val="sq-AL"/>
        </w:rPr>
        <w:t>ë</w:t>
      </w:r>
      <w:r w:rsidRPr="003355AA">
        <w:rPr>
          <w:lang w:val="sq-AL"/>
        </w:rPr>
        <w:t xml:space="preserve"> qarkullim vjetor 2-8 milion lek</w:t>
      </w:r>
      <w:r w:rsidR="004B355A">
        <w:rPr>
          <w:lang w:val="sq-AL"/>
        </w:rPr>
        <w:t>ë</w:t>
      </w:r>
      <w:r w:rsidRPr="003355AA">
        <w:rPr>
          <w:lang w:val="sq-AL"/>
        </w:rPr>
        <w:t xml:space="preserve"> kan</w:t>
      </w:r>
      <w:r w:rsidR="004B355A">
        <w:rPr>
          <w:lang w:val="sq-AL"/>
        </w:rPr>
        <w:t>ë</w:t>
      </w:r>
      <w:r>
        <w:rPr>
          <w:lang w:val="sq-AL"/>
        </w:rPr>
        <w:t xml:space="preserve"> paguar t</w:t>
      </w:r>
      <w:r w:rsidR="004B355A">
        <w:rPr>
          <w:lang w:val="sq-AL"/>
        </w:rPr>
        <w:t>ë</w:t>
      </w:r>
      <w:r w:rsidRPr="003355AA">
        <w:rPr>
          <w:lang w:val="sq-AL"/>
        </w:rPr>
        <w:t xml:space="preserve"> ardhura personale n</w:t>
      </w:r>
      <w:r w:rsidR="004B355A">
        <w:rPr>
          <w:lang w:val="sq-AL"/>
        </w:rPr>
        <w:t>ë</w:t>
      </w:r>
      <w:r w:rsidRPr="003355AA">
        <w:rPr>
          <w:lang w:val="sq-AL"/>
        </w:rPr>
        <w:t xml:space="preserve"> shum</w:t>
      </w:r>
      <w:r w:rsidR="004B355A">
        <w:rPr>
          <w:lang w:val="sq-AL"/>
        </w:rPr>
        <w:t>ë</w:t>
      </w:r>
      <w:r>
        <w:rPr>
          <w:lang w:val="sq-AL"/>
        </w:rPr>
        <w:t>n 164 milion</w:t>
      </w:r>
      <w:r w:rsidR="004B355A">
        <w:rPr>
          <w:lang w:val="sq-AL"/>
        </w:rPr>
        <w:t>ë</w:t>
      </w:r>
      <w:r w:rsidRPr="003355AA">
        <w:rPr>
          <w:lang w:val="sq-AL"/>
        </w:rPr>
        <w:t xml:space="preserve"> lek</w:t>
      </w:r>
      <w:r w:rsidR="004B355A">
        <w:rPr>
          <w:lang w:val="sq-AL"/>
        </w:rPr>
        <w:t>ë</w:t>
      </w:r>
      <w:r w:rsidRPr="003355AA">
        <w:rPr>
          <w:lang w:val="sq-AL"/>
        </w:rPr>
        <w:t xml:space="preserve"> p</w:t>
      </w:r>
      <w:r w:rsidR="004B355A">
        <w:rPr>
          <w:lang w:val="sq-AL"/>
        </w:rPr>
        <w:t>ë</w:t>
      </w:r>
      <w:r w:rsidRPr="003355AA">
        <w:rPr>
          <w:lang w:val="sq-AL"/>
        </w:rPr>
        <w:t>r 7-mujorin janar-korrik 2013 nga 120 milion</w:t>
      </w:r>
      <w:r w:rsidR="004B355A">
        <w:rPr>
          <w:lang w:val="sq-AL"/>
        </w:rPr>
        <w:t>ë</w:t>
      </w:r>
      <w:r w:rsidRPr="003355AA">
        <w:rPr>
          <w:lang w:val="sq-AL"/>
        </w:rPr>
        <w:t xml:space="preserve"> t</w:t>
      </w:r>
      <w:r w:rsidR="004B355A">
        <w:rPr>
          <w:lang w:val="sq-AL"/>
        </w:rPr>
        <w:t>ë</w:t>
      </w:r>
      <w:r w:rsidRPr="003355AA">
        <w:rPr>
          <w:lang w:val="sq-AL"/>
        </w:rPr>
        <w:t xml:space="preserve"> vitit t</w:t>
      </w:r>
      <w:r w:rsidR="004B355A">
        <w:rPr>
          <w:lang w:val="sq-AL"/>
        </w:rPr>
        <w:t>ë</w:t>
      </w:r>
      <w:r w:rsidRPr="003355AA">
        <w:rPr>
          <w:lang w:val="sq-AL"/>
        </w:rPr>
        <w:t xml:space="preserve"> kaluar ose +36.7 p</w:t>
      </w:r>
      <w:r w:rsidR="004B355A">
        <w:rPr>
          <w:lang w:val="sq-AL"/>
        </w:rPr>
        <w:t>ë</w:t>
      </w:r>
      <w:r>
        <w:rPr>
          <w:lang w:val="sq-AL"/>
        </w:rPr>
        <w:t>rqind m</w:t>
      </w:r>
      <w:r w:rsidR="004B355A">
        <w:rPr>
          <w:lang w:val="sq-AL"/>
        </w:rPr>
        <w:t>ë</w:t>
      </w:r>
      <w:r w:rsidRPr="003355AA">
        <w:rPr>
          <w:lang w:val="sq-AL"/>
        </w:rPr>
        <w:t xml:space="preserve"> shum</w:t>
      </w:r>
      <w:r w:rsidR="004B355A">
        <w:rPr>
          <w:lang w:val="sq-AL"/>
        </w:rPr>
        <w:t>ë</w:t>
      </w:r>
      <w:r w:rsidRPr="003355AA">
        <w:rPr>
          <w:lang w:val="sq-AL"/>
        </w:rPr>
        <w:t>, pavar</w:t>
      </w:r>
      <w:r w:rsidR="004B355A">
        <w:rPr>
          <w:lang w:val="sq-AL"/>
        </w:rPr>
        <w:t>ë</w:t>
      </w:r>
      <w:r w:rsidRPr="003355AA">
        <w:rPr>
          <w:lang w:val="sq-AL"/>
        </w:rPr>
        <w:t>sisht se numri i subjekteve tatimpaguese t</w:t>
      </w:r>
      <w:r w:rsidR="004B355A">
        <w:rPr>
          <w:lang w:val="sq-AL"/>
        </w:rPr>
        <w:t>ë</w:t>
      </w:r>
      <w:r w:rsidRPr="003355AA">
        <w:rPr>
          <w:lang w:val="sq-AL"/>
        </w:rPr>
        <w:t xml:space="preserve"> kesaj kategorie ka p</w:t>
      </w:r>
      <w:r w:rsidR="004B355A">
        <w:rPr>
          <w:lang w:val="sq-AL"/>
        </w:rPr>
        <w:t>ë</w:t>
      </w:r>
      <w:r w:rsidRPr="003355AA">
        <w:rPr>
          <w:lang w:val="sq-AL"/>
        </w:rPr>
        <w:t>suar r</w:t>
      </w:r>
      <w:r w:rsidR="004B355A">
        <w:rPr>
          <w:lang w:val="sq-AL"/>
        </w:rPr>
        <w:t>ë</w:t>
      </w:r>
      <w:r w:rsidRPr="003355AA">
        <w:rPr>
          <w:lang w:val="sq-AL"/>
        </w:rPr>
        <w:t>nie totale me -5.6%.</w:t>
      </w:r>
    </w:p>
    <w:p w:rsidR="0014341C" w:rsidRPr="001F505E" w:rsidRDefault="0014341C" w:rsidP="006F4CBC">
      <w:pPr>
        <w:rPr>
          <w:lang w:val="sq-AL"/>
        </w:rPr>
      </w:pPr>
    </w:p>
    <w:p w:rsidR="00294B8E" w:rsidRPr="001F505E" w:rsidRDefault="00074969" w:rsidP="005C5EF9">
      <w:pPr>
        <w:rPr>
          <w:b/>
          <w:sz w:val="24"/>
          <w:szCs w:val="24"/>
          <w:lang w:val="sq-AL"/>
        </w:rPr>
      </w:pPr>
      <w:r w:rsidRPr="001F505E">
        <w:rPr>
          <w:b/>
          <w:sz w:val="24"/>
          <w:szCs w:val="24"/>
          <w:lang w:val="sq-AL"/>
        </w:rPr>
        <w:t>Taksimi i t</w:t>
      </w:r>
      <w:r w:rsidR="005A5784" w:rsidRPr="001F505E">
        <w:rPr>
          <w:b/>
          <w:sz w:val="24"/>
          <w:szCs w:val="24"/>
          <w:lang w:val="sq-AL"/>
        </w:rPr>
        <w:t>ë</w:t>
      </w:r>
      <w:r w:rsidRPr="001F505E">
        <w:rPr>
          <w:b/>
          <w:sz w:val="24"/>
          <w:szCs w:val="24"/>
          <w:lang w:val="sq-AL"/>
        </w:rPr>
        <w:t xml:space="preserve"> ardhurave nga biznesi</w:t>
      </w:r>
    </w:p>
    <w:p w:rsidR="00A65650" w:rsidRPr="001F505E" w:rsidRDefault="00074969" w:rsidP="00E66513">
      <w:pPr>
        <w:rPr>
          <w:lang w:val="sq-AL"/>
        </w:rPr>
      </w:pPr>
      <w:r w:rsidRPr="001F505E">
        <w:rPr>
          <w:lang w:val="sq-AL"/>
        </w:rPr>
        <w:t>T</w:t>
      </w:r>
      <w:r w:rsidR="005A5784" w:rsidRPr="001F505E">
        <w:rPr>
          <w:lang w:val="sq-AL"/>
        </w:rPr>
        <w:t>ë</w:t>
      </w:r>
      <w:r w:rsidRPr="001F505E">
        <w:rPr>
          <w:lang w:val="sq-AL"/>
        </w:rPr>
        <w:t xml:space="preserve"> ardhurat nga tatim fitimi dhe taksa vendore e biznesit t</w:t>
      </w:r>
      <w:r w:rsidR="005A5784" w:rsidRPr="001F505E">
        <w:rPr>
          <w:lang w:val="sq-AL"/>
        </w:rPr>
        <w:t>ë</w:t>
      </w:r>
      <w:r w:rsidRPr="001F505E">
        <w:rPr>
          <w:lang w:val="sq-AL"/>
        </w:rPr>
        <w:t xml:space="preserve"> vog</w:t>
      </w:r>
      <w:r w:rsidR="005A5784" w:rsidRPr="001F505E">
        <w:rPr>
          <w:lang w:val="sq-AL"/>
        </w:rPr>
        <w:t>ë</w:t>
      </w:r>
      <w:r w:rsidRPr="001F505E">
        <w:rPr>
          <w:lang w:val="sq-AL"/>
        </w:rPr>
        <w:t>l arrit</w:t>
      </w:r>
      <w:r w:rsidR="005A5784" w:rsidRPr="001F505E">
        <w:rPr>
          <w:lang w:val="sq-AL"/>
        </w:rPr>
        <w:t>ë</w:t>
      </w:r>
      <w:r w:rsidRPr="001F505E">
        <w:rPr>
          <w:lang w:val="sq-AL"/>
        </w:rPr>
        <w:t>n n</w:t>
      </w:r>
      <w:r w:rsidR="005A5784" w:rsidRPr="001F505E">
        <w:rPr>
          <w:lang w:val="sq-AL"/>
        </w:rPr>
        <w:t xml:space="preserve">ë </w:t>
      </w:r>
      <w:r w:rsidR="00D03DD5">
        <w:rPr>
          <w:lang w:val="sq-AL"/>
        </w:rPr>
        <w:t>10.9</w:t>
      </w:r>
      <w:r w:rsidR="005A5784" w:rsidRPr="001F505E">
        <w:rPr>
          <w:lang w:val="sq-AL"/>
        </w:rPr>
        <w:t xml:space="preserve"> miliardë</w:t>
      </w:r>
      <w:r w:rsidRPr="001F505E">
        <w:rPr>
          <w:lang w:val="sq-AL"/>
        </w:rPr>
        <w:t xml:space="preserve"> lek</w:t>
      </w:r>
      <w:r w:rsidR="005A5784" w:rsidRPr="001F505E">
        <w:rPr>
          <w:lang w:val="sq-AL"/>
        </w:rPr>
        <w:t>ë</w:t>
      </w:r>
      <w:r w:rsidRPr="001F505E">
        <w:rPr>
          <w:lang w:val="sq-AL"/>
        </w:rPr>
        <w:t>, q</w:t>
      </w:r>
      <w:r w:rsidR="005A5784" w:rsidRPr="001F505E">
        <w:rPr>
          <w:lang w:val="sq-AL"/>
        </w:rPr>
        <w:t>ë</w:t>
      </w:r>
      <w:r w:rsidRPr="001F505E">
        <w:rPr>
          <w:lang w:val="sq-AL"/>
        </w:rPr>
        <w:t xml:space="preserve"> p</w:t>
      </w:r>
      <w:r w:rsidR="005A5784" w:rsidRPr="001F505E">
        <w:rPr>
          <w:lang w:val="sq-AL"/>
        </w:rPr>
        <w:t>ë</w:t>
      </w:r>
      <w:r w:rsidRPr="001F505E">
        <w:rPr>
          <w:lang w:val="sq-AL"/>
        </w:rPr>
        <w:t>rb</w:t>
      </w:r>
      <w:r w:rsidR="005A5784" w:rsidRPr="001F505E">
        <w:rPr>
          <w:lang w:val="sq-AL"/>
        </w:rPr>
        <w:t>ë</w:t>
      </w:r>
      <w:r w:rsidRPr="001F505E">
        <w:rPr>
          <w:lang w:val="sq-AL"/>
        </w:rPr>
        <w:t>n vet</w:t>
      </w:r>
      <w:r w:rsidR="005A5784" w:rsidRPr="001F505E">
        <w:rPr>
          <w:lang w:val="sq-AL"/>
        </w:rPr>
        <w:t>ë</w:t>
      </w:r>
      <w:r w:rsidRPr="001F505E">
        <w:rPr>
          <w:lang w:val="sq-AL"/>
        </w:rPr>
        <w:t xml:space="preserve">m </w:t>
      </w:r>
      <w:r w:rsidR="00D03DD5">
        <w:rPr>
          <w:lang w:val="sq-AL"/>
        </w:rPr>
        <w:t>5.9</w:t>
      </w:r>
      <w:r w:rsidRPr="001F505E">
        <w:rPr>
          <w:lang w:val="sq-AL"/>
        </w:rPr>
        <w:t xml:space="preserve"> p</w:t>
      </w:r>
      <w:r w:rsidR="005A5784" w:rsidRPr="001F505E">
        <w:rPr>
          <w:lang w:val="sq-AL"/>
        </w:rPr>
        <w:t>ë</w:t>
      </w:r>
      <w:r w:rsidRPr="001F505E">
        <w:rPr>
          <w:lang w:val="sq-AL"/>
        </w:rPr>
        <w:t>rqind t</w:t>
      </w:r>
      <w:r w:rsidR="005A5784" w:rsidRPr="001F505E">
        <w:rPr>
          <w:lang w:val="sq-AL"/>
        </w:rPr>
        <w:t>ë</w:t>
      </w:r>
      <w:r w:rsidRPr="001F505E">
        <w:rPr>
          <w:lang w:val="sq-AL"/>
        </w:rPr>
        <w:t xml:space="preserve"> t</w:t>
      </w:r>
      <w:r w:rsidR="005A5784" w:rsidRPr="001F505E">
        <w:rPr>
          <w:lang w:val="sq-AL"/>
        </w:rPr>
        <w:t>ë</w:t>
      </w:r>
      <w:r w:rsidRPr="001F505E">
        <w:rPr>
          <w:lang w:val="sq-AL"/>
        </w:rPr>
        <w:t xml:space="preserve"> ardhurave n</w:t>
      </w:r>
      <w:r w:rsidR="005A5784" w:rsidRPr="001F505E">
        <w:rPr>
          <w:lang w:val="sq-AL"/>
        </w:rPr>
        <w:t>ë</w:t>
      </w:r>
      <w:r w:rsidRPr="001F505E">
        <w:rPr>
          <w:lang w:val="sq-AL"/>
        </w:rPr>
        <w:t xml:space="preserve"> total. </w:t>
      </w:r>
    </w:p>
    <w:p w:rsidR="00D03DD5" w:rsidRPr="00D03DD5" w:rsidRDefault="000C7A29" w:rsidP="00D03DD5">
      <w:pPr>
        <w:rPr>
          <w:lang w:val="sq-AL"/>
        </w:rPr>
      </w:pPr>
      <w:r w:rsidRPr="001F505E">
        <w:rPr>
          <w:lang w:val="sq-AL"/>
        </w:rPr>
        <w:t xml:space="preserve">Të ardhurat nga tatimi mbi fitimin për </w:t>
      </w:r>
      <w:r w:rsidR="00D03DD5">
        <w:rPr>
          <w:lang w:val="sq-AL"/>
        </w:rPr>
        <w:t>7</w:t>
      </w:r>
      <w:r w:rsidRPr="001F505E">
        <w:rPr>
          <w:lang w:val="sq-AL"/>
        </w:rPr>
        <w:t xml:space="preserve"> mujorin 2013 arritën në rreth </w:t>
      </w:r>
      <w:r w:rsidR="00D03DD5">
        <w:rPr>
          <w:lang w:val="sq-AL"/>
        </w:rPr>
        <w:t>9.4</w:t>
      </w:r>
      <w:r w:rsidRPr="001F505E">
        <w:rPr>
          <w:lang w:val="sq-AL"/>
        </w:rPr>
        <w:t xml:space="preserve"> miliardë lekë nga </w:t>
      </w:r>
      <w:r w:rsidR="00D03DD5">
        <w:rPr>
          <w:lang w:val="sq-AL"/>
        </w:rPr>
        <w:t>9.9</w:t>
      </w:r>
      <w:r w:rsidRPr="001F505E">
        <w:rPr>
          <w:lang w:val="sq-AL"/>
        </w:rPr>
        <w:t xml:space="preserve"> miliardë të mbledhur</w:t>
      </w:r>
      <w:r w:rsidR="00D03DD5">
        <w:rPr>
          <w:lang w:val="sq-AL"/>
        </w:rPr>
        <w:t>a një vit më parë, me një r</w:t>
      </w:r>
      <w:r w:rsidR="004B355A">
        <w:rPr>
          <w:lang w:val="sq-AL"/>
        </w:rPr>
        <w:t>ë</w:t>
      </w:r>
      <w:r w:rsidR="00D03DD5">
        <w:rPr>
          <w:lang w:val="sq-AL"/>
        </w:rPr>
        <w:t>nie</w:t>
      </w:r>
      <w:r w:rsidRPr="001F505E">
        <w:rPr>
          <w:lang w:val="sq-AL"/>
        </w:rPr>
        <w:t xml:space="preserve"> prej </w:t>
      </w:r>
      <w:r w:rsidR="00D03DD5">
        <w:rPr>
          <w:lang w:val="sq-AL"/>
        </w:rPr>
        <w:t>4.3</w:t>
      </w:r>
      <w:r w:rsidRPr="001F505E">
        <w:rPr>
          <w:lang w:val="sq-AL"/>
        </w:rPr>
        <w:t xml:space="preserve"> përqind, dhe </w:t>
      </w:r>
      <w:r w:rsidR="00D03DD5">
        <w:rPr>
          <w:lang w:val="sq-AL"/>
        </w:rPr>
        <w:t xml:space="preserve">5.1 </w:t>
      </w:r>
      <w:r w:rsidRPr="001F505E">
        <w:rPr>
          <w:lang w:val="sq-AL"/>
        </w:rPr>
        <w:t xml:space="preserve">% më </w:t>
      </w:r>
      <w:r w:rsidR="00D03DD5">
        <w:rPr>
          <w:lang w:val="sq-AL"/>
        </w:rPr>
        <w:t>pak</w:t>
      </w:r>
      <w:r w:rsidRPr="001F505E">
        <w:rPr>
          <w:lang w:val="sq-AL"/>
        </w:rPr>
        <w:t xml:space="preserve"> se plani i periudhës Janar-</w:t>
      </w:r>
      <w:r w:rsidR="00D03DD5">
        <w:rPr>
          <w:lang w:val="sq-AL"/>
        </w:rPr>
        <w:t>Korrik</w:t>
      </w:r>
      <w:r w:rsidR="008A7C29" w:rsidRPr="001F505E">
        <w:rPr>
          <w:lang w:val="sq-AL"/>
        </w:rPr>
        <w:t xml:space="preserve"> </w:t>
      </w:r>
      <w:r w:rsidRPr="001F505E">
        <w:rPr>
          <w:lang w:val="sq-AL"/>
        </w:rPr>
        <w:t xml:space="preserve">2013. </w:t>
      </w:r>
      <w:r w:rsidR="00D03DD5" w:rsidRPr="00D03DD5">
        <w:rPr>
          <w:lang w:val="sq-AL"/>
        </w:rPr>
        <w:t>Nga totali i të ardhurave nga Tatimi mbi Fitimin p</w:t>
      </w:r>
      <w:r w:rsidR="004B355A">
        <w:rPr>
          <w:lang w:val="sq-AL"/>
        </w:rPr>
        <w:t>ë</w:t>
      </w:r>
      <w:r w:rsidR="00D03DD5" w:rsidRPr="00D03DD5">
        <w:rPr>
          <w:lang w:val="sq-AL"/>
        </w:rPr>
        <w:t>r 7 mujorin sipas Sektorëve Ekonomikë në krahasim me 7 mujorin e vitit 2012, v</w:t>
      </w:r>
      <w:r w:rsidR="004B355A">
        <w:rPr>
          <w:lang w:val="sq-AL"/>
        </w:rPr>
        <w:t>ë</w:t>
      </w:r>
      <w:r w:rsidR="00D03DD5" w:rsidRPr="00D03DD5">
        <w:rPr>
          <w:lang w:val="sq-AL"/>
        </w:rPr>
        <w:t>rehet se sektor</w:t>
      </w:r>
      <w:r w:rsidR="004B355A">
        <w:rPr>
          <w:lang w:val="sq-AL"/>
        </w:rPr>
        <w:t>ë</w:t>
      </w:r>
      <w:r w:rsidR="00D03DD5" w:rsidRPr="00D03DD5">
        <w:rPr>
          <w:lang w:val="sq-AL"/>
        </w:rPr>
        <w:t>t q</w:t>
      </w:r>
      <w:r w:rsidR="004B355A">
        <w:rPr>
          <w:lang w:val="sq-AL"/>
        </w:rPr>
        <w:t>ë</w:t>
      </w:r>
      <w:r w:rsidR="00D03DD5" w:rsidRPr="00D03DD5">
        <w:rPr>
          <w:lang w:val="sq-AL"/>
        </w:rPr>
        <w:t xml:space="preserve"> kan</w:t>
      </w:r>
      <w:r w:rsidR="004B355A">
        <w:rPr>
          <w:lang w:val="sq-AL"/>
        </w:rPr>
        <w:t>ë</w:t>
      </w:r>
      <w:r w:rsidR="00D03DD5" w:rsidRPr="00D03DD5">
        <w:rPr>
          <w:lang w:val="sq-AL"/>
        </w:rPr>
        <w:t xml:space="preserve"> p</w:t>
      </w:r>
      <w:r w:rsidR="004B355A">
        <w:rPr>
          <w:lang w:val="sq-AL"/>
        </w:rPr>
        <w:t>ë</w:t>
      </w:r>
      <w:r w:rsidR="00D03DD5" w:rsidRPr="00D03DD5">
        <w:rPr>
          <w:lang w:val="sq-AL"/>
        </w:rPr>
        <w:t>suar rritje jan</w:t>
      </w:r>
      <w:r w:rsidR="004B355A">
        <w:rPr>
          <w:lang w:val="sq-AL"/>
        </w:rPr>
        <w:t>ë</w:t>
      </w:r>
      <w:r w:rsidR="00D03DD5" w:rsidRPr="00D03DD5">
        <w:rPr>
          <w:lang w:val="sq-AL"/>
        </w:rPr>
        <w:t xml:space="preserve"> Prodhimi dhe Sh</w:t>
      </w:r>
      <w:r w:rsidR="004B355A">
        <w:rPr>
          <w:lang w:val="sq-AL"/>
        </w:rPr>
        <w:t>ë</w:t>
      </w:r>
      <w:r w:rsidR="00D03DD5" w:rsidRPr="00D03DD5">
        <w:rPr>
          <w:lang w:val="sq-AL"/>
        </w:rPr>
        <w:t>rbimet p</w:t>
      </w:r>
      <w:r w:rsidR="004B355A">
        <w:rPr>
          <w:lang w:val="sq-AL"/>
        </w:rPr>
        <w:t>ë</w:t>
      </w:r>
      <w:r w:rsidR="00D03DD5" w:rsidRPr="00D03DD5">
        <w:rPr>
          <w:lang w:val="sq-AL"/>
        </w:rPr>
        <w:t>rkat</w:t>
      </w:r>
      <w:r w:rsidR="004B355A">
        <w:rPr>
          <w:lang w:val="sq-AL"/>
        </w:rPr>
        <w:t>ë</w:t>
      </w:r>
      <w:r w:rsidR="00D03DD5" w:rsidRPr="00D03DD5">
        <w:rPr>
          <w:lang w:val="sq-AL"/>
        </w:rPr>
        <w:t>sisht me 9.7 dhe 11.3 p</w:t>
      </w:r>
      <w:r w:rsidR="004B355A">
        <w:rPr>
          <w:lang w:val="sq-AL"/>
        </w:rPr>
        <w:t>ë</w:t>
      </w:r>
      <w:r w:rsidR="00D03DD5" w:rsidRPr="00D03DD5">
        <w:rPr>
          <w:lang w:val="sq-AL"/>
        </w:rPr>
        <w:t>rqind nd</w:t>
      </w:r>
      <w:r w:rsidR="004B355A">
        <w:rPr>
          <w:lang w:val="sq-AL"/>
        </w:rPr>
        <w:t>ë</w:t>
      </w:r>
      <w:r w:rsidR="00D03DD5" w:rsidRPr="00D03DD5">
        <w:rPr>
          <w:lang w:val="sq-AL"/>
        </w:rPr>
        <w:t>rsa ata me rënie të ndjeshme jan</w:t>
      </w:r>
      <w:r w:rsidR="004B355A">
        <w:rPr>
          <w:lang w:val="sq-AL"/>
        </w:rPr>
        <w:t>ë</w:t>
      </w:r>
      <w:r w:rsidR="00D03DD5" w:rsidRPr="00D03DD5">
        <w:rPr>
          <w:lang w:val="sq-AL"/>
        </w:rPr>
        <w:t xml:space="preserve"> sektori i Nd</w:t>
      </w:r>
      <w:r w:rsidR="004B355A">
        <w:rPr>
          <w:lang w:val="sq-AL"/>
        </w:rPr>
        <w:t>ë</w:t>
      </w:r>
      <w:r w:rsidR="00D03DD5" w:rsidRPr="00D03DD5">
        <w:rPr>
          <w:lang w:val="sq-AL"/>
        </w:rPr>
        <w:t xml:space="preserve">rtimit me -33.7 %, sektori i  Tregtisë me -20.3 % dhe sektori i Transportit me -12.2%. </w:t>
      </w:r>
    </w:p>
    <w:p w:rsidR="0088516C" w:rsidRDefault="00D03DD5" w:rsidP="0014341C">
      <w:pPr>
        <w:rPr>
          <w:lang w:val="sq-AL"/>
        </w:rPr>
      </w:pPr>
      <w:r w:rsidRPr="00D03DD5">
        <w:rPr>
          <w:lang w:val="sq-AL"/>
        </w:rPr>
        <w:t>Të ardhurat nga taksa vendore mbi biznesin e vogël arritën në 1.4 miliardë lekë, me r</w:t>
      </w:r>
      <w:r w:rsidR="004B355A">
        <w:rPr>
          <w:lang w:val="sq-AL"/>
        </w:rPr>
        <w:t>ë</w:t>
      </w:r>
      <w:r w:rsidRPr="00D03DD5">
        <w:rPr>
          <w:lang w:val="sq-AL"/>
        </w:rPr>
        <w:t>nie vjetore prej -5.1 përqind.</w:t>
      </w:r>
    </w:p>
    <w:p w:rsidR="0030161B" w:rsidRPr="00D03DD5" w:rsidRDefault="0030161B" w:rsidP="0014341C">
      <w:pPr>
        <w:rPr>
          <w:lang w:val="sq-AL"/>
        </w:rPr>
      </w:pPr>
    </w:p>
    <w:p w:rsidR="0014341C" w:rsidRPr="001F505E" w:rsidRDefault="0014341C" w:rsidP="0014341C">
      <w:pPr>
        <w:rPr>
          <w:sz w:val="20"/>
          <w:szCs w:val="20"/>
          <w:lang w:val="sq-AL"/>
        </w:rPr>
      </w:pPr>
      <w:r w:rsidRPr="0088516C">
        <w:rPr>
          <w:sz w:val="20"/>
          <w:szCs w:val="20"/>
          <w:lang w:val="sq-AL"/>
        </w:rPr>
        <w:t xml:space="preserve">Tabela </w:t>
      </w:r>
      <w:r w:rsidR="00F7093A" w:rsidRPr="0088516C">
        <w:rPr>
          <w:sz w:val="20"/>
          <w:szCs w:val="20"/>
          <w:lang w:val="sq-AL"/>
        </w:rPr>
        <w:t>10</w:t>
      </w:r>
      <w:r w:rsidRPr="0088516C">
        <w:rPr>
          <w:sz w:val="20"/>
          <w:szCs w:val="20"/>
          <w:lang w:val="sq-AL"/>
        </w:rPr>
        <w:t>. Ndarja e tatim fitimit sipas sektor</w:t>
      </w:r>
      <w:r w:rsidR="00A0066B" w:rsidRPr="0088516C">
        <w:rPr>
          <w:sz w:val="20"/>
          <w:szCs w:val="20"/>
          <w:lang w:val="sq-AL"/>
        </w:rPr>
        <w:t>ë</w:t>
      </w:r>
      <w:r w:rsidRPr="0088516C">
        <w:rPr>
          <w:sz w:val="20"/>
          <w:szCs w:val="20"/>
          <w:lang w:val="sq-AL"/>
        </w:rPr>
        <w:t>ve dhe numri i kontribuesve</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1278"/>
        <w:gridCol w:w="1419"/>
        <w:gridCol w:w="1419"/>
        <w:gridCol w:w="1438"/>
        <w:gridCol w:w="1314"/>
        <w:gridCol w:w="1314"/>
        <w:gridCol w:w="1438"/>
      </w:tblGrid>
      <w:tr w:rsidR="00390052" w:rsidRPr="001F505E" w:rsidTr="00931C4E">
        <w:tc>
          <w:tcPr>
            <w:tcW w:w="0" w:type="auto"/>
            <w:tcBorders>
              <w:bottom w:val="single" w:sz="6" w:space="0" w:color="808080"/>
            </w:tcBorders>
          </w:tcPr>
          <w:p w:rsidR="00931C4E" w:rsidRPr="001F505E" w:rsidRDefault="00931C4E" w:rsidP="008557CB">
            <w:pPr>
              <w:spacing w:before="0" w:after="0"/>
              <w:rPr>
                <w:b/>
                <w:bCs/>
                <w:i/>
                <w:iCs/>
                <w:sz w:val="20"/>
                <w:szCs w:val="20"/>
                <w:lang w:val="sq-AL"/>
              </w:rPr>
            </w:pPr>
          </w:p>
        </w:tc>
        <w:tc>
          <w:tcPr>
            <w:tcW w:w="0" w:type="auto"/>
            <w:tcBorders>
              <w:bottom w:val="single" w:sz="6" w:space="0" w:color="808080"/>
            </w:tcBorders>
          </w:tcPr>
          <w:p w:rsidR="00931C4E" w:rsidRPr="001F505E" w:rsidRDefault="00390052" w:rsidP="00390052">
            <w:pPr>
              <w:spacing w:before="0" w:after="0"/>
              <w:jc w:val="left"/>
              <w:rPr>
                <w:b/>
                <w:bCs/>
                <w:i/>
                <w:iCs/>
                <w:sz w:val="20"/>
                <w:szCs w:val="20"/>
                <w:lang w:val="sq-AL"/>
              </w:rPr>
            </w:pPr>
            <w:r>
              <w:rPr>
                <w:b/>
                <w:bCs/>
                <w:iCs/>
                <w:sz w:val="20"/>
                <w:szCs w:val="20"/>
                <w:lang w:val="sq-AL"/>
              </w:rPr>
              <w:t>7</w:t>
            </w:r>
            <w:r w:rsidR="00931C4E" w:rsidRPr="001F505E">
              <w:rPr>
                <w:b/>
                <w:bCs/>
                <w:iCs/>
                <w:sz w:val="20"/>
                <w:szCs w:val="20"/>
                <w:lang w:val="sq-AL"/>
              </w:rPr>
              <w:t>M 2012 (mln)</w:t>
            </w:r>
          </w:p>
        </w:tc>
        <w:tc>
          <w:tcPr>
            <w:tcW w:w="0" w:type="auto"/>
            <w:tcBorders>
              <w:bottom w:val="single" w:sz="6" w:space="0" w:color="808080"/>
            </w:tcBorders>
          </w:tcPr>
          <w:p w:rsidR="00931C4E" w:rsidRPr="001F505E" w:rsidRDefault="00390052" w:rsidP="00390052">
            <w:pPr>
              <w:spacing w:before="0" w:after="0"/>
              <w:jc w:val="left"/>
              <w:rPr>
                <w:b/>
                <w:bCs/>
                <w:i/>
                <w:iCs/>
                <w:sz w:val="20"/>
                <w:szCs w:val="20"/>
                <w:lang w:val="sq-AL"/>
              </w:rPr>
            </w:pPr>
            <w:r>
              <w:rPr>
                <w:b/>
                <w:bCs/>
                <w:iCs/>
                <w:sz w:val="20"/>
                <w:szCs w:val="20"/>
                <w:lang w:val="sq-AL"/>
              </w:rPr>
              <w:t>7</w:t>
            </w:r>
            <w:r w:rsidR="00931C4E" w:rsidRPr="001F505E">
              <w:rPr>
                <w:b/>
                <w:bCs/>
                <w:iCs/>
                <w:sz w:val="20"/>
                <w:szCs w:val="20"/>
                <w:lang w:val="sq-AL"/>
              </w:rPr>
              <w:t>M 2013 (mln)</w:t>
            </w:r>
          </w:p>
        </w:tc>
        <w:tc>
          <w:tcPr>
            <w:tcW w:w="0" w:type="auto"/>
            <w:tcBorders>
              <w:bottom w:val="single" w:sz="6" w:space="0" w:color="808080"/>
            </w:tcBorders>
          </w:tcPr>
          <w:p w:rsidR="00931C4E" w:rsidRPr="001F505E" w:rsidRDefault="00931C4E" w:rsidP="008557CB">
            <w:pPr>
              <w:spacing w:before="0" w:after="0"/>
              <w:jc w:val="left"/>
              <w:rPr>
                <w:b/>
                <w:bCs/>
                <w:iCs/>
                <w:sz w:val="20"/>
                <w:szCs w:val="20"/>
                <w:lang w:val="sq-AL"/>
              </w:rPr>
            </w:pPr>
            <w:r>
              <w:rPr>
                <w:b/>
                <w:bCs/>
                <w:iCs/>
                <w:sz w:val="20"/>
                <w:szCs w:val="20"/>
                <w:lang w:val="sq-AL"/>
              </w:rPr>
              <w:t>Ndryshimi (%)</w:t>
            </w:r>
          </w:p>
        </w:tc>
        <w:tc>
          <w:tcPr>
            <w:tcW w:w="0" w:type="auto"/>
            <w:tcBorders>
              <w:bottom w:val="single" w:sz="6" w:space="0" w:color="808080"/>
            </w:tcBorders>
          </w:tcPr>
          <w:p w:rsidR="00931C4E" w:rsidRPr="001F505E" w:rsidRDefault="00390052" w:rsidP="00390052">
            <w:pPr>
              <w:spacing w:before="0" w:after="0"/>
              <w:jc w:val="left"/>
              <w:rPr>
                <w:b/>
                <w:bCs/>
                <w:i/>
                <w:iCs/>
                <w:sz w:val="20"/>
                <w:szCs w:val="20"/>
                <w:lang w:val="sq-AL"/>
              </w:rPr>
            </w:pPr>
            <w:r>
              <w:rPr>
                <w:b/>
                <w:bCs/>
                <w:iCs/>
                <w:sz w:val="20"/>
                <w:szCs w:val="20"/>
                <w:lang w:val="sq-AL"/>
              </w:rPr>
              <w:t>7</w:t>
            </w:r>
            <w:r w:rsidR="00931C4E" w:rsidRPr="001F505E">
              <w:rPr>
                <w:b/>
                <w:bCs/>
                <w:iCs/>
                <w:sz w:val="20"/>
                <w:szCs w:val="20"/>
                <w:lang w:val="sq-AL"/>
              </w:rPr>
              <w:t>M 2012 (nr)</w:t>
            </w:r>
          </w:p>
        </w:tc>
        <w:tc>
          <w:tcPr>
            <w:tcW w:w="0" w:type="auto"/>
            <w:tcBorders>
              <w:bottom w:val="single" w:sz="6" w:space="0" w:color="808080"/>
            </w:tcBorders>
          </w:tcPr>
          <w:p w:rsidR="00931C4E" w:rsidRPr="001F505E" w:rsidRDefault="00390052" w:rsidP="00390052">
            <w:pPr>
              <w:spacing w:before="0" w:after="0"/>
              <w:jc w:val="left"/>
              <w:rPr>
                <w:b/>
                <w:bCs/>
                <w:i/>
                <w:iCs/>
                <w:sz w:val="20"/>
                <w:szCs w:val="20"/>
                <w:lang w:val="sq-AL"/>
              </w:rPr>
            </w:pPr>
            <w:r>
              <w:rPr>
                <w:b/>
                <w:bCs/>
                <w:iCs/>
                <w:sz w:val="20"/>
                <w:szCs w:val="20"/>
                <w:lang w:val="sq-AL"/>
              </w:rPr>
              <w:t>7</w:t>
            </w:r>
            <w:r w:rsidR="00931C4E" w:rsidRPr="001F505E">
              <w:rPr>
                <w:b/>
                <w:bCs/>
                <w:iCs/>
                <w:sz w:val="20"/>
                <w:szCs w:val="20"/>
                <w:lang w:val="sq-AL"/>
              </w:rPr>
              <w:t>M 2013 (nr)</w:t>
            </w:r>
          </w:p>
        </w:tc>
        <w:tc>
          <w:tcPr>
            <w:tcW w:w="0" w:type="auto"/>
            <w:tcBorders>
              <w:bottom w:val="single" w:sz="6" w:space="0" w:color="808080"/>
            </w:tcBorders>
          </w:tcPr>
          <w:p w:rsidR="00931C4E" w:rsidRPr="001F505E" w:rsidRDefault="00931C4E" w:rsidP="008557CB">
            <w:pPr>
              <w:spacing w:before="0" w:after="0"/>
              <w:jc w:val="left"/>
              <w:rPr>
                <w:b/>
                <w:bCs/>
                <w:iCs/>
                <w:sz w:val="20"/>
                <w:szCs w:val="20"/>
                <w:lang w:val="sq-AL"/>
              </w:rPr>
            </w:pPr>
            <w:r>
              <w:rPr>
                <w:b/>
                <w:bCs/>
                <w:iCs/>
                <w:sz w:val="20"/>
                <w:szCs w:val="20"/>
                <w:lang w:val="sq-AL"/>
              </w:rPr>
              <w:t>Ndryshimi (%)</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
                <w:bCs/>
                <w:sz w:val="20"/>
                <w:szCs w:val="20"/>
                <w:lang w:val="sq-AL"/>
              </w:rPr>
              <w:t>Tatim fitimi</w:t>
            </w:r>
          </w:p>
        </w:tc>
        <w:tc>
          <w:tcPr>
            <w:tcW w:w="0" w:type="auto"/>
          </w:tcPr>
          <w:p w:rsidR="00931C4E" w:rsidRPr="001F505E" w:rsidRDefault="00931C4E" w:rsidP="008557CB">
            <w:pPr>
              <w:spacing w:before="0" w:after="0"/>
              <w:rPr>
                <w:b/>
                <w:sz w:val="20"/>
                <w:szCs w:val="20"/>
                <w:lang w:val="sq-AL"/>
              </w:rPr>
            </w:pPr>
            <w:r>
              <w:rPr>
                <w:b/>
                <w:sz w:val="20"/>
                <w:szCs w:val="20"/>
                <w:lang w:val="sq-AL"/>
              </w:rPr>
              <w:t>9866</w:t>
            </w:r>
          </w:p>
        </w:tc>
        <w:tc>
          <w:tcPr>
            <w:tcW w:w="0" w:type="auto"/>
          </w:tcPr>
          <w:p w:rsidR="00931C4E" w:rsidRPr="001F505E" w:rsidRDefault="00931C4E" w:rsidP="008557CB">
            <w:pPr>
              <w:spacing w:before="0" w:after="0"/>
              <w:rPr>
                <w:b/>
                <w:sz w:val="20"/>
                <w:szCs w:val="20"/>
                <w:lang w:val="sq-AL"/>
              </w:rPr>
            </w:pPr>
            <w:r>
              <w:rPr>
                <w:b/>
                <w:sz w:val="20"/>
                <w:szCs w:val="20"/>
                <w:lang w:val="sq-AL"/>
              </w:rPr>
              <w:t>9445</w:t>
            </w:r>
          </w:p>
        </w:tc>
        <w:tc>
          <w:tcPr>
            <w:tcW w:w="0" w:type="auto"/>
          </w:tcPr>
          <w:p w:rsidR="00931C4E" w:rsidRDefault="00931C4E" w:rsidP="00931C4E">
            <w:pPr>
              <w:spacing w:before="0" w:after="0"/>
              <w:jc w:val="left"/>
              <w:rPr>
                <w:b/>
                <w:sz w:val="20"/>
                <w:szCs w:val="20"/>
                <w:lang w:val="sq-AL"/>
              </w:rPr>
            </w:pPr>
            <w:r>
              <w:rPr>
                <w:b/>
                <w:sz w:val="20"/>
                <w:szCs w:val="20"/>
                <w:lang w:val="sq-AL"/>
              </w:rPr>
              <w:t>+4.3</w:t>
            </w:r>
          </w:p>
        </w:tc>
        <w:tc>
          <w:tcPr>
            <w:tcW w:w="0" w:type="auto"/>
          </w:tcPr>
          <w:p w:rsidR="00931C4E" w:rsidRPr="001F505E" w:rsidRDefault="00931C4E" w:rsidP="008557CB">
            <w:pPr>
              <w:spacing w:before="0" w:after="0"/>
              <w:rPr>
                <w:b/>
                <w:sz w:val="20"/>
                <w:szCs w:val="20"/>
                <w:lang w:val="sq-AL"/>
              </w:rPr>
            </w:pPr>
            <w:r>
              <w:rPr>
                <w:b/>
                <w:sz w:val="20"/>
                <w:szCs w:val="20"/>
                <w:lang w:val="sq-AL"/>
              </w:rPr>
              <w:t>10634</w:t>
            </w:r>
          </w:p>
        </w:tc>
        <w:tc>
          <w:tcPr>
            <w:tcW w:w="0" w:type="auto"/>
          </w:tcPr>
          <w:p w:rsidR="00931C4E" w:rsidRPr="001F505E" w:rsidRDefault="00931C4E" w:rsidP="008557CB">
            <w:pPr>
              <w:spacing w:before="0" w:after="0"/>
              <w:rPr>
                <w:b/>
                <w:sz w:val="20"/>
                <w:szCs w:val="20"/>
                <w:lang w:val="sq-AL"/>
              </w:rPr>
            </w:pPr>
            <w:r>
              <w:rPr>
                <w:b/>
                <w:sz w:val="20"/>
                <w:szCs w:val="20"/>
                <w:lang w:val="sq-AL"/>
              </w:rPr>
              <w:t>10495</w:t>
            </w:r>
          </w:p>
        </w:tc>
        <w:tc>
          <w:tcPr>
            <w:tcW w:w="0" w:type="auto"/>
          </w:tcPr>
          <w:p w:rsidR="00931C4E" w:rsidRDefault="00931C4E" w:rsidP="008557CB">
            <w:pPr>
              <w:spacing w:before="0" w:after="0"/>
              <w:rPr>
                <w:b/>
                <w:sz w:val="20"/>
                <w:szCs w:val="20"/>
                <w:lang w:val="sq-AL"/>
              </w:rPr>
            </w:pPr>
            <w:r>
              <w:rPr>
                <w:b/>
                <w:sz w:val="20"/>
                <w:szCs w:val="20"/>
                <w:lang w:val="sq-AL"/>
              </w:rPr>
              <w:t>-1.3</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Cs/>
                <w:sz w:val="20"/>
                <w:szCs w:val="20"/>
                <w:lang w:val="sq-AL"/>
              </w:rPr>
              <w:t>Prodhim</w:t>
            </w:r>
          </w:p>
        </w:tc>
        <w:tc>
          <w:tcPr>
            <w:tcW w:w="0" w:type="auto"/>
          </w:tcPr>
          <w:p w:rsidR="00931C4E" w:rsidRPr="001F505E" w:rsidRDefault="00931C4E" w:rsidP="008557CB">
            <w:pPr>
              <w:spacing w:before="0" w:after="0"/>
              <w:rPr>
                <w:sz w:val="20"/>
                <w:szCs w:val="20"/>
                <w:lang w:val="sq-AL"/>
              </w:rPr>
            </w:pPr>
            <w:r>
              <w:rPr>
                <w:sz w:val="20"/>
                <w:szCs w:val="20"/>
                <w:lang w:val="sq-AL"/>
              </w:rPr>
              <w:t>2170</w:t>
            </w:r>
          </w:p>
        </w:tc>
        <w:tc>
          <w:tcPr>
            <w:tcW w:w="0" w:type="auto"/>
          </w:tcPr>
          <w:p w:rsidR="00931C4E" w:rsidRPr="001F505E" w:rsidRDefault="00931C4E" w:rsidP="008557CB">
            <w:pPr>
              <w:spacing w:before="0" w:after="0"/>
              <w:rPr>
                <w:sz w:val="20"/>
                <w:szCs w:val="20"/>
                <w:lang w:val="sq-AL"/>
              </w:rPr>
            </w:pPr>
            <w:r>
              <w:rPr>
                <w:sz w:val="20"/>
                <w:szCs w:val="20"/>
                <w:lang w:val="sq-AL"/>
              </w:rPr>
              <w:t>2380</w:t>
            </w:r>
          </w:p>
        </w:tc>
        <w:tc>
          <w:tcPr>
            <w:tcW w:w="0" w:type="auto"/>
          </w:tcPr>
          <w:p w:rsidR="00931C4E" w:rsidRDefault="00931C4E" w:rsidP="00931C4E">
            <w:pPr>
              <w:spacing w:before="0" w:after="0"/>
              <w:jc w:val="left"/>
              <w:rPr>
                <w:sz w:val="20"/>
                <w:szCs w:val="20"/>
                <w:lang w:val="sq-AL"/>
              </w:rPr>
            </w:pPr>
            <w:r>
              <w:rPr>
                <w:sz w:val="20"/>
                <w:szCs w:val="20"/>
                <w:lang w:val="sq-AL"/>
              </w:rPr>
              <w:t>+9.7</w:t>
            </w:r>
          </w:p>
        </w:tc>
        <w:tc>
          <w:tcPr>
            <w:tcW w:w="0" w:type="auto"/>
          </w:tcPr>
          <w:p w:rsidR="00931C4E" w:rsidRPr="001F505E" w:rsidRDefault="00931C4E" w:rsidP="008557CB">
            <w:pPr>
              <w:spacing w:before="0" w:after="0"/>
              <w:rPr>
                <w:sz w:val="20"/>
                <w:szCs w:val="20"/>
                <w:lang w:val="sq-AL"/>
              </w:rPr>
            </w:pPr>
            <w:r>
              <w:rPr>
                <w:sz w:val="20"/>
                <w:szCs w:val="20"/>
                <w:lang w:val="sq-AL"/>
              </w:rPr>
              <w:t>1746</w:t>
            </w:r>
          </w:p>
        </w:tc>
        <w:tc>
          <w:tcPr>
            <w:tcW w:w="0" w:type="auto"/>
          </w:tcPr>
          <w:p w:rsidR="00931C4E" w:rsidRPr="001F505E" w:rsidRDefault="00931C4E" w:rsidP="008557CB">
            <w:pPr>
              <w:spacing w:before="0" w:after="0"/>
              <w:rPr>
                <w:sz w:val="20"/>
                <w:szCs w:val="20"/>
                <w:lang w:val="sq-AL"/>
              </w:rPr>
            </w:pPr>
            <w:r>
              <w:rPr>
                <w:sz w:val="20"/>
                <w:szCs w:val="20"/>
                <w:lang w:val="sq-AL"/>
              </w:rPr>
              <w:t>1528</w:t>
            </w:r>
          </w:p>
        </w:tc>
        <w:tc>
          <w:tcPr>
            <w:tcW w:w="0" w:type="auto"/>
          </w:tcPr>
          <w:p w:rsidR="00931C4E" w:rsidRDefault="00931C4E" w:rsidP="008557CB">
            <w:pPr>
              <w:spacing w:before="0" w:after="0"/>
              <w:rPr>
                <w:sz w:val="20"/>
                <w:szCs w:val="20"/>
                <w:lang w:val="sq-AL"/>
              </w:rPr>
            </w:pPr>
            <w:r>
              <w:rPr>
                <w:sz w:val="20"/>
                <w:szCs w:val="20"/>
                <w:lang w:val="sq-AL"/>
              </w:rPr>
              <w:t>-12.5</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Cs/>
                <w:sz w:val="20"/>
                <w:szCs w:val="20"/>
                <w:lang w:val="sq-AL"/>
              </w:rPr>
              <w:t xml:space="preserve">Ndërtim </w:t>
            </w:r>
          </w:p>
        </w:tc>
        <w:tc>
          <w:tcPr>
            <w:tcW w:w="0" w:type="auto"/>
          </w:tcPr>
          <w:p w:rsidR="00931C4E" w:rsidRPr="001F505E" w:rsidRDefault="00931C4E" w:rsidP="008557CB">
            <w:pPr>
              <w:spacing w:before="0" w:after="0"/>
              <w:rPr>
                <w:sz w:val="20"/>
                <w:szCs w:val="20"/>
                <w:lang w:val="sq-AL"/>
              </w:rPr>
            </w:pPr>
            <w:r>
              <w:rPr>
                <w:sz w:val="20"/>
                <w:szCs w:val="20"/>
                <w:lang w:val="sq-AL"/>
              </w:rPr>
              <w:t>1536</w:t>
            </w:r>
          </w:p>
        </w:tc>
        <w:tc>
          <w:tcPr>
            <w:tcW w:w="0" w:type="auto"/>
          </w:tcPr>
          <w:p w:rsidR="00931C4E" w:rsidRPr="001F505E" w:rsidRDefault="00931C4E" w:rsidP="008557CB">
            <w:pPr>
              <w:spacing w:before="0" w:after="0"/>
              <w:rPr>
                <w:sz w:val="20"/>
                <w:szCs w:val="20"/>
                <w:lang w:val="sq-AL"/>
              </w:rPr>
            </w:pPr>
            <w:r>
              <w:rPr>
                <w:sz w:val="20"/>
                <w:szCs w:val="20"/>
                <w:lang w:val="sq-AL"/>
              </w:rPr>
              <w:t>1019</w:t>
            </w:r>
          </w:p>
        </w:tc>
        <w:tc>
          <w:tcPr>
            <w:tcW w:w="0" w:type="auto"/>
          </w:tcPr>
          <w:p w:rsidR="00931C4E" w:rsidRDefault="00931C4E" w:rsidP="00931C4E">
            <w:pPr>
              <w:spacing w:before="0" w:after="0"/>
              <w:jc w:val="left"/>
              <w:rPr>
                <w:sz w:val="20"/>
                <w:szCs w:val="20"/>
                <w:lang w:val="sq-AL"/>
              </w:rPr>
            </w:pPr>
            <w:r>
              <w:rPr>
                <w:sz w:val="20"/>
                <w:szCs w:val="20"/>
                <w:lang w:val="sq-AL"/>
              </w:rPr>
              <w:t>-33.6</w:t>
            </w:r>
          </w:p>
        </w:tc>
        <w:tc>
          <w:tcPr>
            <w:tcW w:w="0" w:type="auto"/>
          </w:tcPr>
          <w:p w:rsidR="00931C4E" w:rsidRPr="001F505E" w:rsidRDefault="00931C4E" w:rsidP="008557CB">
            <w:pPr>
              <w:spacing w:before="0" w:after="0"/>
              <w:rPr>
                <w:sz w:val="20"/>
                <w:szCs w:val="20"/>
                <w:lang w:val="sq-AL"/>
              </w:rPr>
            </w:pPr>
            <w:r>
              <w:rPr>
                <w:sz w:val="20"/>
                <w:szCs w:val="20"/>
                <w:lang w:val="sq-AL"/>
              </w:rPr>
              <w:t>1668</w:t>
            </w:r>
          </w:p>
        </w:tc>
        <w:tc>
          <w:tcPr>
            <w:tcW w:w="0" w:type="auto"/>
          </w:tcPr>
          <w:p w:rsidR="00931C4E" w:rsidRPr="001F505E" w:rsidRDefault="00931C4E" w:rsidP="008557CB">
            <w:pPr>
              <w:spacing w:before="0" w:after="0"/>
              <w:rPr>
                <w:sz w:val="20"/>
                <w:szCs w:val="20"/>
                <w:lang w:val="sq-AL"/>
              </w:rPr>
            </w:pPr>
            <w:r>
              <w:rPr>
                <w:sz w:val="20"/>
                <w:szCs w:val="20"/>
                <w:lang w:val="sq-AL"/>
              </w:rPr>
              <w:t>1423</w:t>
            </w:r>
          </w:p>
        </w:tc>
        <w:tc>
          <w:tcPr>
            <w:tcW w:w="0" w:type="auto"/>
          </w:tcPr>
          <w:p w:rsidR="00931C4E" w:rsidRDefault="00931C4E" w:rsidP="008557CB">
            <w:pPr>
              <w:spacing w:before="0" w:after="0"/>
              <w:rPr>
                <w:sz w:val="20"/>
                <w:szCs w:val="20"/>
                <w:lang w:val="sq-AL"/>
              </w:rPr>
            </w:pPr>
            <w:r>
              <w:rPr>
                <w:sz w:val="20"/>
                <w:szCs w:val="20"/>
                <w:lang w:val="sq-AL"/>
              </w:rPr>
              <w:t>-14.6</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Cs/>
                <w:sz w:val="20"/>
                <w:szCs w:val="20"/>
                <w:lang w:val="sq-AL"/>
              </w:rPr>
              <w:t>Transport</w:t>
            </w:r>
          </w:p>
        </w:tc>
        <w:tc>
          <w:tcPr>
            <w:tcW w:w="0" w:type="auto"/>
          </w:tcPr>
          <w:p w:rsidR="00931C4E" w:rsidRPr="001F505E" w:rsidRDefault="00931C4E" w:rsidP="008557CB">
            <w:pPr>
              <w:spacing w:before="0" w:after="0"/>
              <w:rPr>
                <w:sz w:val="20"/>
                <w:szCs w:val="20"/>
                <w:lang w:val="sq-AL"/>
              </w:rPr>
            </w:pPr>
            <w:r>
              <w:rPr>
                <w:sz w:val="20"/>
                <w:szCs w:val="20"/>
                <w:lang w:val="sq-AL"/>
              </w:rPr>
              <w:t>204</w:t>
            </w:r>
          </w:p>
        </w:tc>
        <w:tc>
          <w:tcPr>
            <w:tcW w:w="0" w:type="auto"/>
          </w:tcPr>
          <w:p w:rsidR="00931C4E" w:rsidRPr="001F505E" w:rsidRDefault="00931C4E" w:rsidP="008557CB">
            <w:pPr>
              <w:spacing w:before="0" w:after="0"/>
              <w:rPr>
                <w:sz w:val="20"/>
                <w:szCs w:val="20"/>
                <w:lang w:val="sq-AL"/>
              </w:rPr>
            </w:pPr>
            <w:r>
              <w:rPr>
                <w:sz w:val="20"/>
                <w:szCs w:val="20"/>
                <w:lang w:val="sq-AL"/>
              </w:rPr>
              <w:t>179</w:t>
            </w:r>
          </w:p>
        </w:tc>
        <w:tc>
          <w:tcPr>
            <w:tcW w:w="0" w:type="auto"/>
          </w:tcPr>
          <w:p w:rsidR="00931C4E" w:rsidRDefault="00931C4E" w:rsidP="00931C4E">
            <w:pPr>
              <w:spacing w:before="0" w:after="0"/>
              <w:jc w:val="left"/>
              <w:rPr>
                <w:sz w:val="20"/>
                <w:szCs w:val="20"/>
                <w:lang w:val="sq-AL"/>
              </w:rPr>
            </w:pPr>
            <w:r>
              <w:rPr>
                <w:sz w:val="20"/>
                <w:szCs w:val="20"/>
                <w:lang w:val="sq-AL"/>
              </w:rPr>
              <w:t>-12.3</w:t>
            </w:r>
          </w:p>
        </w:tc>
        <w:tc>
          <w:tcPr>
            <w:tcW w:w="0" w:type="auto"/>
          </w:tcPr>
          <w:p w:rsidR="00931C4E" w:rsidRPr="001F505E" w:rsidRDefault="00931C4E" w:rsidP="008557CB">
            <w:pPr>
              <w:spacing w:before="0" w:after="0"/>
              <w:rPr>
                <w:sz w:val="20"/>
                <w:szCs w:val="20"/>
                <w:lang w:val="sq-AL"/>
              </w:rPr>
            </w:pPr>
            <w:r>
              <w:rPr>
                <w:sz w:val="20"/>
                <w:szCs w:val="20"/>
                <w:lang w:val="sq-AL"/>
              </w:rPr>
              <w:t>439</w:t>
            </w:r>
          </w:p>
        </w:tc>
        <w:tc>
          <w:tcPr>
            <w:tcW w:w="0" w:type="auto"/>
          </w:tcPr>
          <w:p w:rsidR="00931C4E" w:rsidRPr="001F505E" w:rsidRDefault="00931C4E" w:rsidP="008557CB">
            <w:pPr>
              <w:spacing w:before="0" w:after="0"/>
              <w:rPr>
                <w:sz w:val="20"/>
                <w:szCs w:val="20"/>
                <w:lang w:val="sq-AL"/>
              </w:rPr>
            </w:pPr>
            <w:r>
              <w:rPr>
                <w:sz w:val="20"/>
                <w:szCs w:val="20"/>
                <w:lang w:val="sq-AL"/>
              </w:rPr>
              <w:t>421</w:t>
            </w:r>
          </w:p>
        </w:tc>
        <w:tc>
          <w:tcPr>
            <w:tcW w:w="0" w:type="auto"/>
          </w:tcPr>
          <w:p w:rsidR="00931C4E" w:rsidRDefault="00931C4E" w:rsidP="008557CB">
            <w:pPr>
              <w:spacing w:before="0" w:after="0"/>
              <w:rPr>
                <w:sz w:val="20"/>
                <w:szCs w:val="20"/>
                <w:lang w:val="sq-AL"/>
              </w:rPr>
            </w:pPr>
            <w:r>
              <w:rPr>
                <w:sz w:val="20"/>
                <w:szCs w:val="20"/>
                <w:lang w:val="sq-AL"/>
              </w:rPr>
              <w:t>-4.1</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Cs/>
                <w:sz w:val="20"/>
                <w:szCs w:val="20"/>
                <w:lang w:val="sq-AL"/>
              </w:rPr>
              <w:t>Tregti</w:t>
            </w:r>
          </w:p>
        </w:tc>
        <w:tc>
          <w:tcPr>
            <w:tcW w:w="0" w:type="auto"/>
          </w:tcPr>
          <w:p w:rsidR="00931C4E" w:rsidRPr="001F505E" w:rsidRDefault="00931C4E" w:rsidP="008557CB">
            <w:pPr>
              <w:spacing w:before="0" w:after="0"/>
              <w:rPr>
                <w:sz w:val="20"/>
                <w:szCs w:val="20"/>
                <w:lang w:val="sq-AL"/>
              </w:rPr>
            </w:pPr>
            <w:r>
              <w:rPr>
                <w:sz w:val="20"/>
                <w:szCs w:val="20"/>
                <w:lang w:val="sq-AL"/>
              </w:rPr>
              <w:t>2413</w:t>
            </w:r>
          </w:p>
        </w:tc>
        <w:tc>
          <w:tcPr>
            <w:tcW w:w="0" w:type="auto"/>
          </w:tcPr>
          <w:p w:rsidR="00931C4E" w:rsidRPr="001F505E" w:rsidRDefault="00931C4E" w:rsidP="008557CB">
            <w:pPr>
              <w:spacing w:before="0" w:after="0"/>
              <w:rPr>
                <w:sz w:val="20"/>
                <w:szCs w:val="20"/>
                <w:lang w:val="sq-AL"/>
              </w:rPr>
            </w:pPr>
            <w:r>
              <w:rPr>
                <w:sz w:val="20"/>
                <w:szCs w:val="20"/>
                <w:lang w:val="sq-AL"/>
              </w:rPr>
              <w:t>1923</w:t>
            </w:r>
          </w:p>
        </w:tc>
        <w:tc>
          <w:tcPr>
            <w:tcW w:w="0" w:type="auto"/>
          </w:tcPr>
          <w:p w:rsidR="00931C4E" w:rsidRDefault="00931C4E" w:rsidP="00931C4E">
            <w:pPr>
              <w:spacing w:before="0" w:after="0"/>
              <w:jc w:val="left"/>
              <w:rPr>
                <w:sz w:val="20"/>
                <w:szCs w:val="20"/>
                <w:lang w:val="sq-AL"/>
              </w:rPr>
            </w:pPr>
            <w:r>
              <w:rPr>
                <w:sz w:val="20"/>
                <w:szCs w:val="20"/>
                <w:lang w:val="sq-AL"/>
              </w:rPr>
              <w:t>- 20.3</w:t>
            </w:r>
          </w:p>
        </w:tc>
        <w:tc>
          <w:tcPr>
            <w:tcW w:w="0" w:type="auto"/>
          </w:tcPr>
          <w:p w:rsidR="00931C4E" w:rsidRPr="001F505E" w:rsidRDefault="00931C4E" w:rsidP="008557CB">
            <w:pPr>
              <w:spacing w:before="0" w:after="0"/>
              <w:rPr>
                <w:sz w:val="20"/>
                <w:szCs w:val="20"/>
                <w:lang w:val="sq-AL"/>
              </w:rPr>
            </w:pPr>
            <w:r>
              <w:rPr>
                <w:sz w:val="20"/>
                <w:szCs w:val="20"/>
                <w:lang w:val="sq-AL"/>
              </w:rPr>
              <w:t>4928</w:t>
            </w:r>
          </w:p>
        </w:tc>
        <w:tc>
          <w:tcPr>
            <w:tcW w:w="0" w:type="auto"/>
          </w:tcPr>
          <w:p w:rsidR="00931C4E" w:rsidRPr="001F505E" w:rsidRDefault="00931C4E" w:rsidP="008557CB">
            <w:pPr>
              <w:spacing w:before="0" w:after="0"/>
              <w:rPr>
                <w:sz w:val="20"/>
                <w:szCs w:val="20"/>
                <w:lang w:val="sq-AL"/>
              </w:rPr>
            </w:pPr>
            <w:r>
              <w:rPr>
                <w:sz w:val="20"/>
                <w:szCs w:val="20"/>
                <w:lang w:val="sq-AL"/>
              </w:rPr>
              <w:t>4737</w:t>
            </w:r>
          </w:p>
        </w:tc>
        <w:tc>
          <w:tcPr>
            <w:tcW w:w="0" w:type="auto"/>
          </w:tcPr>
          <w:p w:rsidR="00931C4E" w:rsidRDefault="00931C4E" w:rsidP="008557CB">
            <w:pPr>
              <w:spacing w:before="0" w:after="0"/>
              <w:rPr>
                <w:sz w:val="20"/>
                <w:szCs w:val="20"/>
                <w:lang w:val="sq-AL"/>
              </w:rPr>
            </w:pPr>
            <w:r>
              <w:rPr>
                <w:sz w:val="20"/>
                <w:szCs w:val="20"/>
                <w:lang w:val="sq-AL"/>
              </w:rPr>
              <w:t>-3.9</w:t>
            </w:r>
          </w:p>
        </w:tc>
      </w:tr>
      <w:tr w:rsidR="00390052" w:rsidRPr="001F505E" w:rsidTr="00931C4E">
        <w:tc>
          <w:tcPr>
            <w:tcW w:w="0" w:type="auto"/>
          </w:tcPr>
          <w:p w:rsidR="00931C4E" w:rsidRPr="001F505E" w:rsidRDefault="00931C4E" w:rsidP="008557CB">
            <w:pPr>
              <w:spacing w:before="0" w:after="0"/>
              <w:rPr>
                <w:b/>
                <w:bCs/>
                <w:sz w:val="20"/>
                <w:szCs w:val="20"/>
                <w:lang w:val="sq-AL"/>
              </w:rPr>
            </w:pPr>
            <w:r w:rsidRPr="001F505E">
              <w:rPr>
                <w:bCs/>
                <w:sz w:val="20"/>
                <w:szCs w:val="20"/>
                <w:lang w:val="sq-AL"/>
              </w:rPr>
              <w:t>Shërbime</w:t>
            </w:r>
          </w:p>
        </w:tc>
        <w:tc>
          <w:tcPr>
            <w:tcW w:w="0" w:type="auto"/>
          </w:tcPr>
          <w:p w:rsidR="00931C4E" w:rsidRPr="001F505E" w:rsidRDefault="00931C4E" w:rsidP="008557CB">
            <w:pPr>
              <w:spacing w:before="0" w:after="0"/>
              <w:rPr>
                <w:sz w:val="20"/>
                <w:szCs w:val="20"/>
                <w:lang w:val="sq-AL"/>
              </w:rPr>
            </w:pPr>
            <w:r>
              <w:rPr>
                <w:sz w:val="20"/>
                <w:szCs w:val="20"/>
                <w:lang w:val="sq-AL"/>
              </w:rPr>
              <w:t>3543</w:t>
            </w:r>
          </w:p>
        </w:tc>
        <w:tc>
          <w:tcPr>
            <w:tcW w:w="0" w:type="auto"/>
          </w:tcPr>
          <w:p w:rsidR="00931C4E" w:rsidRPr="001F505E" w:rsidRDefault="00931C4E" w:rsidP="008557CB">
            <w:pPr>
              <w:spacing w:before="0" w:after="0"/>
              <w:rPr>
                <w:sz w:val="20"/>
                <w:szCs w:val="20"/>
                <w:lang w:val="sq-AL"/>
              </w:rPr>
            </w:pPr>
            <w:r>
              <w:rPr>
                <w:sz w:val="20"/>
                <w:szCs w:val="20"/>
                <w:lang w:val="sq-AL"/>
              </w:rPr>
              <w:t>3944</w:t>
            </w:r>
          </w:p>
        </w:tc>
        <w:tc>
          <w:tcPr>
            <w:tcW w:w="0" w:type="auto"/>
          </w:tcPr>
          <w:p w:rsidR="00931C4E" w:rsidRDefault="00931C4E" w:rsidP="00931C4E">
            <w:pPr>
              <w:spacing w:before="0" w:after="0"/>
              <w:jc w:val="left"/>
              <w:rPr>
                <w:sz w:val="20"/>
                <w:szCs w:val="20"/>
                <w:lang w:val="sq-AL"/>
              </w:rPr>
            </w:pPr>
            <w:r>
              <w:rPr>
                <w:sz w:val="20"/>
                <w:szCs w:val="20"/>
                <w:lang w:val="sq-AL"/>
              </w:rPr>
              <w:t>+11.3</w:t>
            </w:r>
          </w:p>
        </w:tc>
        <w:tc>
          <w:tcPr>
            <w:tcW w:w="0" w:type="auto"/>
          </w:tcPr>
          <w:p w:rsidR="00931C4E" w:rsidRPr="001F505E" w:rsidRDefault="00931C4E" w:rsidP="008557CB">
            <w:pPr>
              <w:spacing w:before="0" w:after="0"/>
              <w:rPr>
                <w:sz w:val="20"/>
                <w:szCs w:val="20"/>
                <w:lang w:val="sq-AL"/>
              </w:rPr>
            </w:pPr>
            <w:r>
              <w:rPr>
                <w:sz w:val="20"/>
                <w:szCs w:val="20"/>
                <w:lang w:val="sq-AL"/>
              </w:rPr>
              <w:t>1853</w:t>
            </w:r>
          </w:p>
        </w:tc>
        <w:tc>
          <w:tcPr>
            <w:tcW w:w="0" w:type="auto"/>
          </w:tcPr>
          <w:p w:rsidR="00931C4E" w:rsidRPr="001F505E" w:rsidRDefault="00931C4E" w:rsidP="008557CB">
            <w:pPr>
              <w:spacing w:before="0" w:after="0"/>
              <w:rPr>
                <w:sz w:val="20"/>
                <w:szCs w:val="20"/>
                <w:lang w:val="sq-AL"/>
              </w:rPr>
            </w:pPr>
            <w:r>
              <w:rPr>
                <w:sz w:val="20"/>
                <w:szCs w:val="20"/>
                <w:lang w:val="sq-AL"/>
              </w:rPr>
              <w:t>2386</w:t>
            </w:r>
          </w:p>
        </w:tc>
        <w:tc>
          <w:tcPr>
            <w:tcW w:w="0" w:type="auto"/>
          </w:tcPr>
          <w:p w:rsidR="00931C4E" w:rsidRDefault="00931C4E" w:rsidP="008557CB">
            <w:pPr>
              <w:spacing w:before="0" w:after="0"/>
              <w:rPr>
                <w:sz w:val="20"/>
                <w:szCs w:val="20"/>
                <w:lang w:val="sq-AL"/>
              </w:rPr>
            </w:pPr>
            <w:r>
              <w:rPr>
                <w:sz w:val="20"/>
                <w:szCs w:val="20"/>
                <w:lang w:val="sq-AL"/>
              </w:rPr>
              <w:t>+28.8</w:t>
            </w:r>
          </w:p>
        </w:tc>
      </w:tr>
    </w:tbl>
    <w:p w:rsidR="0030161B" w:rsidRDefault="002F44D4" w:rsidP="0030161B">
      <w:pPr>
        <w:rPr>
          <w:sz w:val="20"/>
          <w:szCs w:val="20"/>
          <w:lang w:val="sq-AL"/>
        </w:rPr>
      </w:pPr>
      <w:r w:rsidRPr="001F505E">
        <w:rPr>
          <w:sz w:val="20"/>
          <w:szCs w:val="20"/>
          <w:lang w:val="sq-AL"/>
        </w:rPr>
        <w:t>Burimi: Drejtoria e P</w:t>
      </w:r>
      <w:r w:rsidR="00A0066B" w:rsidRPr="001F505E">
        <w:rPr>
          <w:sz w:val="20"/>
          <w:szCs w:val="20"/>
          <w:lang w:val="sq-AL"/>
        </w:rPr>
        <w:t>ë</w:t>
      </w:r>
      <w:r w:rsidRPr="001F505E">
        <w:rPr>
          <w:sz w:val="20"/>
          <w:szCs w:val="20"/>
          <w:lang w:val="sq-AL"/>
        </w:rPr>
        <w:t>rgjithshme e Tatimeve</w:t>
      </w:r>
    </w:p>
    <w:p w:rsidR="00FF44CD" w:rsidRDefault="00FF44CD" w:rsidP="0030161B">
      <w:pPr>
        <w:rPr>
          <w:b/>
          <w:lang w:val="sq-AL"/>
        </w:rPr>
      </w:pPr>
    </w:p>
    <w:p w:rsidR="00FF44CD" w:rsidRDefault="00FF44CD" w:rsidP="0030161B">
      <w:pPr>
        <w:rPr>
          <w:b/>
          <w:lang w:val="sq-AL"/>
        </w:rPr>
      </w:pPr>
    </w:p>
    <w:p w:rsidR="00A67FF5" w:rsidRPr="0030161B" w:rsidRDefault="00B12BD5" w:rsidP="0030161B">
      <w:pPr>
        <w:rPr>
          <w:b/>
          <w:sz w:val="20"/>
          <w:szCs w:val="20"/>
          <w:lang w:val="sq-AL"/>
        </w:rPr>
      </w:pPr>
      <w:r w:rsidRPr="0030161B">
        <w:rPr>
          <w:b/>
          <w:lang w:val="sq-AL"/>
        </w:rPr>
        <w:lastRenderedPageBreak/>
        <w:t>Taksimi i pasurisë</w:t>
      </w:r>
    </w:p>
    <w:p w:rsidR="00A67FF5" w:rsidRPr="00D03DD5" w:rsidRDefault="00D03DD5" w:rsidP="00A67FF5">
      <w:pPr>
        <w:rPr>
          <w:noProof/>
          <w:highlight w:val="yellow"/>
          <w:lang w:val="sq-AL"/>
        </w:rPr>
      </w:pPr>
      <w:r w:rsidRPr="00D03DD5">
        <w:rPr>
          <w:noProof/>
          <w:lang w:val="sq-AL"/>
        </w:rPr>
        <w:t>Për qëllime analize, këtu përfshijmë tatimin mbi ndërtesat dhe mbi tokën bujqësore. Për 7 mujorin taksat mbi pasurinë arrijnë në 1.6 miliardë lekë nga 1.9 miliardë lekë të parashikuara dhe -10.1 përqind më të uleta se një vit më parë. Nga taksa mbi nd</w:t>
      </w:r>
      <w:r w:rsidR="004B355A">
        <w:rPr>
          <w:noProof/>
          <w:lang w:val="sq-AL"/>
        </w:rPr>
        <w:t>ë</w:t>
      </w:r>
      <w:r w:rsidRPr="00D03DD5">
        <w:rPr>
          <w:noProof/>
          <w:lang w:val="sq-AL"/>
        </w:rPr>
        <w:t>rtesat jan</w:t>
      </w:r>
      <w:r w:rsidR="004B355A">
        <w:rPr>
          <w:noProof/>
          <w:lang w:val="sq-AL"/>
        </w:rPr>
        <w:t>ë</w:t>
      </w:r>
      <w:r w:rsidRPr="00D03DD5">
        <w:rPr>
          <w:noProof/>
          <w:lang w:val="sq-AL"/>
        </w:rPr>
        <w:t xml:space="preserve"> ark</w:t>
      </w:r>
      <w:r w:rsidR="004B355A">
        <w:rPr>
          <w:noProof/>
          <w:lang w:val="sq-AL"/>
        </w:rPr>
        <w:t>ë</w:t>
      </w:r>
      <w:r w:rsidRPr="00D03DD5">
        <w:rPr>
          <w:noProof/>
          <w:lang w:val="sq-AL"/>
        </w:rPr>
        <w:t>tuar gjat</w:t>
      </w:r>
      <w:r w:rsidR="004B355A">
        <w:rPr>
          <w:noProof/>
          <w:lang w:val="sq-AL"/>
        </w:rPr>
        <w:t>ë</w:t>
      </w:r>
      <w:r w:rsidRPr="00D03DD5">
        <w:rPr>
          <w:noProof/>
          <w:lang w:val="sq-AL"/>
        </w:rPr>
        <w:t xml:space="preserve"> periudh</w:t>
      </w:r>
      <w:r w:rsidR="004B355A">
        <w:rPr>
          <w:noProof/>
          <w:lang w:val="sq-AL"/>
        </w:rPr>
        <w:t>ë</w:t>
      </w:r>
      <w:r w:rsidRPr="00D03DD5">
        <w:rPr>
          <w:noProof/>
          <w:lang w:val="sq-AL"/>
        </w:rPr>
        <w:t>s 7 mujore rreth 1.15 miliard</w:t>
      </w:r>
      <w:r w:rsidR="004B355A">
        <w:rPr>
          <w:noProof/>
          <w:lang w:val="sq-AL"/>
        </w:rPr>
        <w:t>ë</w:t>
      </w:r>
      <w:r w:rsidRPr="00D03DD5">
        <w:rPr>
          <w:noProof/>
          <w:lang w:val="sq-AL"/>
        </w:rPr>
        <w:t xml:space="preserve"> lek</w:t>
      </w:r>
      <w:r w:rsidR="004B355A">
        <w:rPr>
          <w:noProof/>
          <w:lang w:val="sq-AL"/>
        </w:rPr>
        <w:t>ë</w:t>
      </w:r>
      <w:r w:rsidRPr="00D03DD5">
        <w:rPr>
          <w:noProof/>
          <w:lang w:val="sq-AL"/>
        </w:rPr>
        <w:t xml:space="preserve"> nga 1.26 t</w:t>
      </w:r>
      <w:r w:rsidR="004B355A">
        <w:rPr>
          <w:noProof/>
          <w:lang w:val="sq-AL"/>
        </w:rPr>
        <w:t>ë</w:t>
      </w:r>
      <w:r w:rsidRPr="00D03DD5">
        <w:rPr>
          <w:noProof/>
          <w:lang w:val="sq-AL"/>
        </w:rPr>
        <w:t xml:space="preserve"> mbledhura nj</w:t>
      </w:r>
      <w:r w:rsidR="004B355A">
        <w:rPr>
          <w:noProof/>
          <w:lang w:val="sq-AL"/>
        </w:rPr>
        <w:t>ë</w:t>
      </w:r>
      <w:r w:rsidRPr="00D03DD5">
        <w:rPr>
          <w:noProof/>
          <w:lang w:val="sq-AL"/>
        </w:rPr>
        <w:t xml:space="preserve"> vit m</w:t>
      </w:r>
      <w:r w:rsidR="004B355A">
        <w:rPr>
          <w:noProof/>
          <w:lang w:val="sq-AL"/>
        </w:rPr>
        <w:t>ë</w:t>
      </w:r>
      <w:r w:rsidRPr="00D03DD5">
        <w:rPr>
          <w:noProof/>
          <w:lang w:val="sq-AL"/>
        </w:rPr>
        <w:t xml:space="preserve"> par</w:t>
      </w:r>
      <w:r w:rsidR="004B355A">
        <w:rPr>
          <w:noProof/>
          <w:lang w:val="sq-AL"/>
        </w:rPr>
        <w:t>ë</w:t>
      </w:r>
      <w:r w:rsidRPr="00D03DD5">
        <w:rPr>
          <w:noProof/>
          <w:lang w:val="sq-AL"/>
        </w:rPr>
        <w:t>, nd</w:t>
      </w:r>
      <w:r w:rsidR="004B355A">
        <w:rPr>
          <w:noProof/>
          <w:lang w:val="sq-AL"/>
        </w:rPr>
        <w:t>ë</w:t>
      </w:r>
      <w:r w:rsidRPr="00D03DD5">
        <w:rPr>
          <w:noProof/>
          <w:lang w:val="sq-AL"/>
        </w:rPr>
        <w:t>rsa nga taksa mbi tok</w:t>
      </w:r>
      <w:r w:rsidR="004B355A">
        <w:rPr>
          <w:noProof/>
          <w:lang w:val="sq-AL"/>
        </w:rPr>
        <w:t>ë</w:t>
      </w:r>
      <w:r w:rsidRPr="00D03DD5">
        <w:rPr>
          <w:noProof/>
          <w:lang w:val="sq-AL"/>
        </w:rPr>
        <w:t>n bujq</w:t>
      </w:r>
      <w:r w:rsidR="004B355A">
        <w:rPr>
          <w:noProof/>
          <w:lang w:val="sq-AL"/>
        </w:rPr>
        <w:t>ë</w:t>
      </w:r>
      <w:r w:rsidRPr="00D03DD5">
        <w:rPr>
          <w:noProof/>
          <w:lang w:val="sq-AL"/>
        </w:rPr>
        <w:t>sore 149 milion</w:t>
      </w:r>
      <w:r w:rsidR="004B355A">
        <w:rPr>
          <w:noProof/>
          <w:lang w:val="sq-AL"/>
        </w:rPr>
        <w:t>ë</w:t>
      </w:r>
      <w:r w:rsidRPr="00D03DD5">
        <w:rPr>
          <w:noProof/>
          <w:lang w:val="sq-AL"/>
        </w:rPr>
        <w:t xml:space="preserve"> lek</w:t>
      </w:r>
      <w:r w:rsidR="004B355A">
        <w:rPr>
          <w:noProof/>
          <w:lang w:val="sq-AL"/>
        </w:rPr>
        <w:t>ë</w:t>
      </w:r>
      <w:r w:rsidRPr="00D03DD5">
        <w:rPr>
          <w:noProof/>
          <w:lang w:val="sq-AL"/>
        </w:rPr>
        <w:t xml:space="preserve"> p</w:t>
      </w:r>
      <w:r w:rsidR="004B355A">
        <w:rPr>
          <w:noProof/>
          <w:lang w:val="sq-AL"/>
        </w:rPr>
        <w:t>ë</w:t>
      </w:r>
      <w:r w:rsidRPr="00D03DD5">
        <w:rPr>
          <w:noProof/>
          <w:lang w:val="sq-AL"/>
        </w:rPr>
        <w:t>r 2013 nga 230 milion</w:t>
      </w:r>
      <w:r w:rsidR="004B355A">
        <w:rPr>
          <w:noProof/>
          <w:lang w:val="sq-AL"/>
        </w:rPr>
        <w:t>ë</w:t>
      </w:r>
      <w:r w:rsidRPr="00D03DD5">
        <w:rPr>
          <w:noProof/>
          <w:lang w:val="sq-AL"/>
        </w:rPr>
        <w:t xml:space="preserve"> p</w:t>
      </w:r>
      <w:r w:rsidR="004B355A">
        <w:rPr>
          <w:noProof/>
          <w:lang w:val="sq-AL"/>
        </w:rPr>
        <w:t>ë</w:t>
      </w:r>
      <w:r w:rsidRPr="00D03DD5">
        <w:rPr>
          <w:noProof/>
          <w:lang w:val="sq-AL"/>
        </w:rPr>
        <w:t>r t</w:t>
      </w:r>
      <w:r w:rsidR="004B355A">
        <w:rPr>
          <w:noProof/>
          <w:lang w:val="sq-AL"/>
        </w:rPr>
        <w:t>ë</w:t>
      </w:r>
      <w:r w:rsidRPr="00D03DD5">
        <w:rPr>
          <w:noProof/>
          <w:lang w:val="sq-AL"/>
        </w:rPr>
        <w:t xml:space="preserve"> nj</w:t>
      </w:r>
      <w:r w:rsidR="004B355A">
        <w:rPr>
          <w:noProof/>
          <w:lang w:val="sq-AL"/>
        </w:rPr>
        <w:t>ë</w:t>
      </w:r>
      <w:r w:rsidRPr="00D03DD5">
        <w:rPr>
          <w:noProof/>
          <w:lang w:val="sq-AL"/>
        </w:rPr>
        <w:t>jt</w:t>
      </w:r>
      <w:r w:rsidR="004B355A">
        <w:rPr>
          <w:noProof/>
          <w:lang w:val="sq-AL"/>
        </w:rPr>
        <w:t>ë</w:t>
      </w:r>
      <w:r w:rsidRPr="00D03DD5">
        <w:rPr>
          <w:noProof/>
          <w:lang w:val="sq-AL"/>
        </w:rPr>
        <w:t>n periudh</w:t>
      </w:r>
      <w:r w:rsidR="004B355A">
        <w:rPr>
          <w:noProof/>
          <w:lang w:val="sq-AL"/>
        </w:rPr>
        <w:t>ë</w:t>
      </w:r>
      <w:r w:rsidRPr="00D03DD5">
        <w:rPr>
          <w:noProof/>
          <w:lang w:val="sq-AL"/>
        </w:rPr>
        <w:t xml:space="preserve"> t</w:t>
      </w:r>
      <w:r w:rsidR="004B355A">
        <w:rPr>
          <w:noProof/>
          <w:lang w:val="sq-AL"/>
        </w:rPr>
        <w:t>ë</w:t>
      </w:r>
      <w:r w:rsidRPr="00D03DD5">
        <w:rPr>
          <w:noProof/>
          <w:lang w:val="sq-AL"/>
        </w:rPr>
        <w:t xml:space="preserve"> nj</w:t>
      </w:r>
      <w:r w:rsidR="004B355A">
        <w:rPr>
          <w:noProof/>
          <w:lang w:val="sq-AL"/>
        </w:rPr>
        <w:t>ë</w:t>
      </w:r>
      <w:r w:rsidRPr="00D03DD5">
        <w:rPr>
          <w:noProof/>
          <w:lang w:val="sq-AL"/>
        </w:rPr>
        <w:t xml:space="preserve"> viti m</w:t>
      </w:r>
      <w:r w:rsidR="004B355A">
        <w:rPr>
          <w:noProof/>
          <w:lang w:val="sq-AL"/>
        </w:rPr>
        <w:t>ë</w:t>
      </w:r>
      <w:r w:rsidRPr="00D03DD5">
        <w:rPr>
          <w:noProof/>
          <w:lang w:val="sq-AL"/>
        </w:rPr>
        <w:t xml:space="preserve"> par</w:t>
      </w:r>
      <w:r w:rsidR="004B355A">
        <w:rPr>
          <w:noProof/>
          <w:lang w:val="sq-AL"/>
        </w:rPr>
        <w:t>ë</w:t>
      </w:r>
      <w:r w:rsidR="00A67FF5" w:rsidRPr="001F505E">
        <w:rPr>
          <w:noProof/>
          <w:lang w:val="sq-AL"/>
        </w:rPr>
        <w:t>.</w:t>
      </w:r>
    </w:p>
    <w:p w:rsidR="00A67FF5" w:rsidRPr="001F505E" w:rsidRDefault="00B12BD5" w:rsidP="003F4270">
      <w:pPr>
        <w:pStyle w:val="Heading3"/>
        <w:rPr>
          <w:lang w:val="sq-AL"/>
        </w:rPr>
      </w:pPr>
      <w:bookmarkStart w:id="8" w:name="_Toc367712688"/>
      <w:r w:rsidRPr="001F505E">
        <w:rPr>
          <w:lang w:val="sq-AL"/>
        </w:rPr>
        <w:t>Taksat nacionale</w:t>
      </w:r>
      <w:bookmarkEnd w:id="8"/>
    </w:p>
    <w:p w:rsidR="00D03DD5" w:rsidRPr="00D03DD5" w:rsidRDefault="00D03DD5" w:rsidP="00D03DD5">
      <w:pPr>
        <w:rPr>
          <w:lang w:val="sq-AL"/>
        </w:rPr>
      </w:pPr>
      <w:r w:rsidRPr="00D03DD5">
        <w:rPr>
          <w:lang w:val="sq-AL"/>
        </w:rPr>
        <w:t>Të ardhurat nga taksat nacionale në total për periudhën janë 15.6 miliardë lekë me r</w:t>
      </w:r>
      <w:r w:rsidR="004B355A">
        <w:rPr>
          <w:lang w:val="sq-AL"/>
        </w:rPr>
        <w:t>ë</w:t>
      </w:r>
      <w:r w:rsidRPr="00D03DD5">
        <w:rPr>
          <w:lang w:val="sq-AL"/>
        </w:rPr>
        <w:t xml:space="preserve">nie vjetore prej -5.8 përqind. </w:t>
      </w:r>
    </w:p>
    <w:p w:rsidR="00FC1A56" w:rsidRPr="001F505E" w:rsidRDefault="00D03DD5" w:rsidP="00D03DD5">
      <w:pPr>
        <w:rPr>
          <w:highlight w:val="yellow"/>
          <w:lang w:val="sq-AL"/>
        </w:rPr>
      </w:pPr>
      <w:r w:rsidRPr="00D03DD5">
        <w:rPr>
          <w:lang w:val="sq-AL"/>
        </w:rPr>
        <w:t>P</w:t>
      </w:r>
      <w:r w:rsidR="004B355A">
        <w:rPr>
          <w:lang w:val="sq-AL"/>
        </w:rPr>
        <w:t>ë</w:t>
      </w:r>
      <w:r w:rsidRPr="00D03DD5">
        <w:rPr>
          <w:lang w:val="sq-AL"/>
        </w:rPr>
        <w:t>rsa i takon taksave kryesore t</w:t>
      </w:r>
      <w:r w:rsidR="004B355A">
        <w:rPr>
          <w:lang w:val="sq-AL"/>
        </w:rPr>
        <w:t>ë</w:t>
      </w:r>
      <w:r w:rsidRPr="00D03DD5">
        <w:rPr>
          <w:lang w:val="sq-AL"/>
        </w:rPr>
        <w:t xml:space="preserve"> k</w:t>
      </w:r>
      <w:r w:rsidR="004B355A">
        <w:rPr>
          <w:lang w:val="sq-AL"/>
        </w:rPr>
        <w:t>ë</w:t>
      </w:r>
      <w:r w:rsidRPr="00D03DD5">
        <w:rPr>
          <w:lang w:val="sq-AL"/>
        </w:rPr>
        <w:t>tij grupi v</w:t>
      </w:r>
      <w:r w:rsidR="004B355A">
        <w:rPr>
          <w:lang w:val="sq-AL"/>
        </w:rPr>
        <w:t>ë</w:t>
      </w:r>
      <w:r w:rsidRPr="00D03DD5">
        <w:rPr>
          <w:lang w:val="sq-AL"/>
        </w:rPr>
        <w:t>rejme se: renta minerare n</w:t>
      </w:r>
      <w:r w:rsidR="004B355A">
        <w:rPr>
          <w:lang w:val="sq-AL"/>
        </w:rPr>
        <w:t>ë</w:t>
      </w:r>
      <w:r w:rsidRPr="00D03DD5">
        <w:rPr>
          <w:lang w:val="sq-AL"/>
        </w:rPr>
        <w:t xml:space="preserve"> total ka p</w:t>
      </w:r>
      <w:r w:rsidR="004B355A">
        <w:rPr>
          <w:lang w:val="sq-AL"/>
        </w:rPr>
        <w:t>ë</w:t>
      </w:r>
      <w:r w:rsidRPr="00D03DD5">
        <w:rPr>
          <w:lang w:val="sq-AL"/>
        </w:rPr>
        <w:t>suar rritje t</w:t>
      </w:r>
      <w:r w:rsidR="004B355A">
        <w:rPr>
          <w:lang w:val="sq-AL"/>
        </w:rPr>
        <w:t>ë</w:t>
      </w:r>
      <w:r w:rsidRPr="00D03DD5">
        <w:rPr>
          <w:lang w:val="sq-AL"/>
        </w:rPr>
        <w:t xml:space="preserve"> t</w:t>
      </w:r>
      <w:r w:rsidR="004B355A">
        <w:rPr>
          <w:lang w:val="sq-AL"/>
        </w:rPr>
        <w:t>ë</w:t>
      </w:r>
      <w:r w:rsidRPr="00D03DD5">
        <w:rPr>
          <w:lang w:val="sq-AL"/>
        </w:rPr>
        <w:t xml:space="preserve"> ardhurave 27.8 p</w:t>
      </w:r>
      <w:r w:rsidR="004B355A">
        <w:rPr>
          <w:lang w:val="sq-AL"/>
        </w:rPr>
        <w:t>ë</w:t>
      </w:r>
      <w:r w:rsidRPr="00D03DD5">
        <w:rPr>
          <w:lang w:val="sq-AL"/>
        </w:rPr>
        <w:t>rqind mbi baza vjetore (</w:t>
      </w:r>
      <w:r w:rsidR="004B355A">
        <w:rPr>
          <w:lang w:val="sq-AL"/>
        </w:rPr>
        <w:t>ë</w:t>
      </w:r>
      <w:r w:rsidRPr="00D03DD5">
        <w:rPr>
          <w:lang w:val="sq-AL"/>
        </w:rPr>
        <w:t>sht</w:t>
      </w:r>
      <w:r w:rsidR="004B355A">
        <w:rPr>
          <w:lang w:val="sq-AL"/>
        </w:rPr>
        <w:t>ë</w:t>
      </w:r>
      <w:r w:rsidRPr="00D03DD5">
        <w:rPr>
          <w:lang w:val="sq-AL"/>
        </w:rPr>
        <w:t xml:space="preserve"> rritur renta e mbledhur n</w:t>
      </w:r>
      <w:r w:rsidR="004B355A">
        <w:rPr>
          <w:lang w:val="sq-AL"/>
        </w:rPr>
        <w:t>ë</w:t>
      </w:r>
      <w:r w:rsidRPr="00D03DD5">
        <w:rPr>
          <w:lang w:val="sq-AL"/>
        </w:rPr>
        <w:t xml:space="preserve"> Dogan</w:t>
      </w:r>
      <w:r w:rsidR="004B355A">
        <w:rPr>
          <w:lang w:val="sq-AL"/>
        </w:rPr>
        <w:t>ë</w:t>
      </w:r>
      <w:r w:rsidRPr="00D03DD5">
        <w:rPr>
          <w:lang w:val="sq-AL"/>
        </w:rPr>
        <w:t xml:space="preserve"> dhe </w:t>
      </w:r>
      <w:r w:rsidR="004B355A">
        <w:rPr>
          <w:lang w:val="sq-AL"/>
        </w:rPr>
        <w:t>ë</w:t>
      </w:r>
      <w:r w:rsidRPr="00D03DD5">
        <w:rPr>
          <w:lang w:val="sq-AL"/>
        </w:rPr>
        <w:t>sht</w:t>
      </w:r>
      <w:r w:rsidR="004B355A">
        <w:rPr>
          <w:lang w:val="sq-AL"/>
        </w:rPr>
        <w:t>ë</w:t>
      </w:r>
      <w:r w:rsidRPr="00D03DD5">
        <w:rPr>
          <w:lang w:val="sq-AL"/>
        </w:rPr>
        <w:t xml:space="preserve"> ulur ajo e mbledhur n</w:t>
      </w:r>
      <w:r w:rsidR="004B355A">
        <w:rPr>
          <w:lang w:val="sq-AL"/>
        </w:rPr>
        <w:t>ë</w:t>
      </w:r>
      <w:r w:rsidRPr="00D03DD5">
        <w:rPr>
          <w:lang w:val="sq-AL"/>
        </w:rPr>
        <w:t xml:space="preserve"> Tatime); nga taksa e karbonit jan</w:t>
      </w:r>
      <w:r w:rsidR="004B355A">
        <w:rPr>
          <w:lang w:val="sq-AL"/>
        </w:rPr>
        <w:t>ë</w:t>
      </w:r>
      <w:r w:rsidRPr="00D03DD5">
        <w:rPr>
          <w:lang w:val="sq-AL"/>
        </w:rPr>
        <w:t xml:space="preserve"> mbledhur -31.7 p</w:t>
      </w:r>
      <w:r w:rsidR="004B355A">
        <w:rPr>
          <w:lang w:val="sq-AL"/>
        </w:rPr>
        <w:t>ë</w:t>
      </w:r>
      <w:r w:rsidRPr="00D03DD5">
        <w:rPr>
          <w:lang w:val="sq-AL"/>
        </w:rPr>
        <w:t>rqind m</w:t>
      </w:r>
      <w:r w:rsidR="004B355A">
        <w:rPr>
          <w:lang w:val="sq-AL"/>
        </w:rPr>
        <w:t>ë</w:t>
      </w:r>
      <w:r w:rsidRPr="00D03DD5">
        <w:rPr>
          <w:lang w:val="sq-AL"/>
        </w:rPr>
        <w:t xml:space="preserve"> pak t</w:t>
      </w:r>
      <w:r w:rsidR="004B355A">
        <w:rPr>
          <w:lang w:val="sq-AL"/>
        </w:rPr>
        <w:t>ë</w:t>
      </w:r>
      <w:r w:rsidRPr="00D03DD5">
        <w:rPr>
          <w:lang w:val="sq-AL"/>
        </w:rPr>
        <w:t xml:space="preserve"> ard</w:t>
      </w:r>
      <w:r>
        <w:rPr>
          <w:lang w:val="sq-AL"/>
        </w:rPr>
        <w:t>h</w:t>
      </w:r>
      <w:r w:rsidRPr="00D03DD5">
        <w:rPr>
          <w:lang w:val="sq-AL"/>
        </w:rPr>
        <w:t>ura se nj</w:t>
      </w:r>
      <w:r w:rsidR="004B355A">
        <w:rPr>
          <w:lang w:val="sq-AL"/>
        </w:rPr>
        <w:t>ë</w:t>
      </w:r>
      <w:r>
        <w:rPr>
          <w:lang w:val="sq-AL"/>
        </w:rPr>
        <w:t xml:space="preserve"> vit m</w:t>
      </w:r>
      <w:r w:rsidR="004B355A">
        <w:rPr>
          <w:lang w:val="sq-AL"/>
        </w:rPr>
        <w:t>ë</w:t>
      </w:r>
      <w:r w:rsidRPr="00D03DD5">
        <w:rPr>
          <w:lang w:val="sq-AL"/>
        </w:rPr>
        <w:t xml:space="preserve"> par</w:t>
      </w:r>
      <w:r w:rsidR="004B355A">
        <w:rPr>
          <w:lang w:val="sq-AL"/>
        </w:rPr>
        <w:t>ë</w:t>
      </w:r>
      <w:r w:rsidRPr="00D03DD5">
        <w:rPr>
          <w:lang w:val="sq-AL"/>
        </w:rPr>
        <w:t>; t</w:t>
      </w:r>
      <w:r w:rsidR="004B355A">
        <w:rPr>
          <w:lang w:val="sq-AL"/>
        </w:rPr>
        <w:t>ë</w:t>
      </w:r>
      <w:r w:rsidRPr="00D03DD5">
        <w:rPr>
          <w:lang w:val="sq-AL"/>
        </w:rPr>
        <w:t xml:space="preserve"> ardhurat e mbledhura nga mjetet e p</w:t>
      </w:r>
      <w:r w:rsidR="004B355A">
        <w:rPr>
          <w:lang w:val="sq-AL"/>
        </w:rPr>
        <w:t>ë</w:t>
      </w:r>
      <w:r w:rsidRPr="00D03DD5">
        <w:rPr>
          <w:lang w:val="sq-AL"/>
        </w:rPr>
        <w:t>rdorura t</w:t>
      </w:r>
      <w:r w:rsidR="004B355A">
        <w:rPr>
          <w:lang w:val="sq-AL"/>
        </w:rPr>
        <w:t>ë</w:t>
      </w:r>
      <w:r w:rsidRPr="00D03DD5">
        <w:rPr>
          <w:lang w:val="sq-AL"/>
        </w:rPr>
        <w:t xml:space="preserve"> transportit kan</w:t>
      </w:r>
      <w:r w:rsidR="004B355A">
        <w:rPr>
          <w:lang w:val="sq-AL"/>
        </w:rPr>
        <w:t>ë</w:t>
      </w:r>
      <w:r w:rsidRPr="00D03DD5">
        <w:rPr>
          <w:lang w:val="sq-AL"/>
        </w:rPr>
        <w:t xml:space="preserve"> p</w:t>
      </w:r>
      <w:r w:rsidR="004B355A">
        <w:rPr>
          <w:lang w:val="sq-AL"/>
        </w:rPr>
        <w:t>ë</w:t>
      </w:r>
      <w:r w:rsidRPr="00D03DD5">
        <w:rPr>
          <w:lang w:val="sq-AL"/>
        </w:rPr>
        <w:t>suar r</w:t>
      </w:r>
      <w:r w:rsidR="004B355A">
        <w:rPr>
          <w:lang w:val="sq-AL"/>
        </w:rPr>
        <w:t>ë</w:t>
      </w:r>
      <w:r w:rsidRPr="00D03DD5">
        <w:rPr>
          <w:lang w:val="sq-AL"/>
        </w:rPr>
        <w:t>nie me rreth -16.2 p</w:t>
      </w:r>
      <w:r w:rsidR="004B355A">
        <w:rPr>
          <w:lang w:val="sq-AL"/>
        </w:rPr>
        <w:t>ë</w:t>
      </w:r>
      <w:r w:rsidRPr="00D03DD5">
        <w:rPr>
          <w:lang w:val="sq-AL"/>
        </w:rPr>
        <w:t>rqind, duke reflektuar p</w:t>
      </w:r>
      <w:r w:rsidR="004B355A">
        <w:rPr>
          <w:lang w:val="sq-AL"/>
        </w:rPr>
        <w:t>ë</w:t>
      </w:r>
      <w:r w:rsidRPr="00D03DD5">
        <w:rPr>
          <w:lang w:val="sq-AL"/>
        </w:rPr>
        <w:t>rgjysmimin e k</w:t>
      </w:r>
      <w:r w:rsidR="004B355A">
        <w:rPr>
          <w:lang w:val="sq-AL"/>
        </w:rPr>
        <w:t>ë</w:t>
      </w:r>
      <w:r w:rsidRPr="00D03DD5">
        <w:rPr>
          <w:lang w:val="sq-AL"/>
        </w:rPr>
        <w:t>saj takse n</w:t>
      </w:r>
      <w:r w:rsidR="004B355A">
        <w:rPr>
          <w:lang w:val="sq-AL"/>
        </w:rPr>
        <w:t>ë</w:t>
      </w:r>
      <w:r w:rsidR="00CB3920">
        <w:rPr>
          <w:lang w:val="sq-AL"/>
        </w:rPr>
        <w:t xml:space="preserve"> muajin M</w:t>
      </w:r>
      <w:r w:rsidRPr="00D03DD5">
        <w:rPr>
          <w:lang w:val="sq-AL"/>
        </w:rPr>
        <w:t>aj t</w:t>
      </w:r>
      <w:r w:rsidR="004B355A">
        <w:rPr>
          <w:lang w:val="sq-AL"/>
        </w:rPr>
        <w:t>ë</w:t>
      </w:r>
      <w:r w:rsidRPr="00D03DD5">
        <w:rPr>
          <w:lang w:val="sq-AL"/>
        </w:rPr>
        <w:t xml:space="preserve"> k</w:t>
      </w:r>
      <w:r w:rsidR="004B355A">
        <w:rPr>
          <w:lang w:val="sq-AL"/>
        </w:rPr>
        <w:t>ë</w:t>
      </w:r>
      <w:r w:rsidRPr="00D03DD5">
        <w:rPr>
          <w:lang w:val="sq-AL"/>
        </w:rPr>
        <w:t>tij viti; nga taksa e qarkullimit mbi benzin</w:t>
      </w:r>
      <w:r w:rsidR="004B355A">
        <w:rPr>
          <w:lang w:val="sq-AL"/>
        </w:rPr>
        <w:t>ë</w:t>
      </w:r>
      <w:r w:rsidRPr="00D03DD5">
        <w:rPr>
          <w:lang w:val="sq-AL"/>
        </w:rPr>
        <w:t>n dhe gazoilin jan</w:t>
      </w:r>
      <w:r w:rsidR="004B355A">
        <w:rPr>
          <w:lang w:val="sq-AL"/>
        </w:rPr>
        <w:t>ë</w:t>
      </w:r>
      <w:r w:rsidRPr="00D03DD5">
        <w:rPr>
          <w:lang w:val="sq-AL"/>
        </w:rPr>
        <w:t xml:space="preserve"> mbledhur p</w:t>
      </w:r>
      <w:r w:rsidR="004B355A">
        <w:rPr>
          <w:lang w:val="sq-AL"/>
        </w:rPr>
        <w:t>ë</w:t>
      </w:r>
      <w:r w:rsidRPr="00D03DD5">
        <w:rPr>
          <w:lang w:val="sq-AL"/>
        </w:rPr>
        <w:t>r k</w:t>
      </w:r>
      <w:r w:rsidR="004B355A">
        <w:rPr>
          <w:lang w:val="sq-AL"/>
        </w:rPr>
        <w:t>ë</w:t>
      </w:r>
      <w:r>
        <w:rPr>
          <w:lang w:val="sq-AL"/>
        </w:rPr>
        <w:t>t</w:t>
      </w:r>
      <w:r w:rsidR="004B355A">
        <w:rPr>
          <w:lang w:val="sq-AL"/>
        </w:rPr>
        <w:t>ë</w:t>
      </w:r>
      <w:r w:rsidRPr="00D03DD5">
        <w:rPr>
          <w:lang w:val="sq-AL"/>
        </w:rPr>
        <w:t xml:space="preserve"> 7-mujor rreth 2.6 miliard</w:t>
      </w:r>
      <w:r w:rsidR="004B355A">
        <w:rPr>
          <w:lang w:val="sq-AL"/>
        </w:rPr>
        <w:t>ë</w:t>
      </w:r>
      <w:r w:rsidRPr="00D03DD5">
        <w:rPr>
          <w:lang w:val="sq-AL"/>
        </w:rPr>
        <w:t xml:space="preserve"> lek</w:t>
      </w:r>
      <w:r w:rsidR="004B355A">
        <w:rPr>
          <w:lang w:val="sq-AL"/>
        </w:rPr>
        <w:t>ë</w:t>
      </w:r>
      <w:r>
        <w:rPr>
          <w:lang w:val="sq-AL"/>
        </w:rPr>
        <w:t xml:space="preserve"> nga 2 miliard</w:t>
      </w:r>
      <w:r w:rsidR="004B355A">
        <w:rPr>
          <w:lang w:val="sq-AL"/>
        </w:rPr>
        <w:t>ë</w:t>
      </w:r>
      <w:r w:rsidRPr="00D03DD5">
        <w:rPr>
          <w:lang w:val="sq-AL"/>
        </w:rPr>
        <w:t xml:space="preserve"> t</w:t>
      </w:r>
      <w:r w:rsidR="004B355A">
        <w:rPr>
          <w:lang w:val="sq-AL"/>
        </w:rPr>
        <w:t>ë</w:t>
      </w:r>
      <w:r>
        <w:rPr>
          <w:lang w:val="sq-AL"/>
        </w:rPr>
        <w:t xml:space="preserve"> nj</w:t>
      </w:r>
      <w:r w:rsidR="004B355A">
        <w:rPr>
          <w:lang w:val="sq-AL"/>
        </w:rPr>
        <w:t>ë</w:t>
      </w:r>
      <w:r w:rsidRPr="00D03DD5">
        <w:rPr>
          <w:lang w:val="sq-AL"/>
        </w:rPr>
        <w:t xml:space="preserve"> viti m</w:t>
      </w:r>
      <w:r w:rsidR="004B355A">
        <w:rPr>
          <w:lang w:val="sq-AL"/>
        </w:rPr>
        <w:t>ë</w:t>
      </w:r>
      <w:r w:rsidRPr="00D03DD5">
        <w:rPr>
          <w:lang w:val="sq-AL"/>
        </w:rPr>
        <w:t xml:space="preserve"> par</w:t>
      </w:r>
      <w:r w:rsidR="004B355A">
        <w:rPr>
          <w:lang w:val="sq-AL"/>
        </w:rPr>
        <w:t>ë</w:t>
      </w:r>
      <w:r w:rsidRPr="00D03DD5">
        <w:rPr>
          <w:lang w:val="sq-AL"/>
        </w:rPr>
        <w:t>. N</w:t>
      </w:r>
      <w:r w:rsidR="004B355A">
        <w:rPr>
          <w:lang w:val="sq-AL"/>
        </w:rPr>
        <w:t>ë</w:t>
      </w:r>
      <w:r w:rsidRPr="00D03DD5">
        <w:rPr>
          <w:lang w:val="sq-AL"/>
        </w:rPr>
        <w:t xml:space="preserve"> grupin e “taksave nacionale” jan</w:t>
      </w:r>
      <w:r w:rsidR="004B355A">
        <w:rPr>
          <w:lang w:val="sq-AL"/>
        </w:rPr>
        <w:t>ë</w:t>
      </w:r>
      <w:r w:rsidRPr="00D03DD5">
        <w:rPr>
          <w:lang w:val="sq-AL"/>
        </w:rPr>
        <w:t xml:space="preserve"> p</w:t>
      </w:r>
      <w:r w:rsidR="004B355A">
        <w:rPr>
          <w:lang w:val="sq-AL"/>
        </w:rPr>
        <w:t>ë</w:t>
      </w:r>
      <w:r w:rsidRPr="00D03DD5">
        <w:rPr>
          <w:lang w:val="sq-AL"/>
        </w:rPr>
        <w:t>rfshir</w:t>
      </w:r>
      <w:r w:rsidR="004B355A">
        <w:rPr>
          <w:lang w:val="sq-AL"/>
        </w:rPr>
        <w:t>ë</w:t>
      </w:r>
      <w:r w:rsidRPr="00D03DD5">
        <w:rPr>
          <w:lang w:val="sq-AL"/>
        </w:rPr>
        <w:t xml:space="preserve"> dhe t</w:t>
      </w:r>
      <w:r w:rsidR="004B355A">
        <w:rPr>
          <w:lang w:val="sq-AL"/>
        </w:rPr>
        <w:t>ë</w:t>
      </w:r>
      <w:r w:rsidRPr="00D03DD5">
        <w:rPr>
          <w:lang w:val="sq-AL"/>
        </w:rPr>
        <w:t xml:space="preserve"> ardhurat nga procesi</w:t>
      </w:r>
      <w:r>
        <w:rPr>
          <w:lang w:val="sq-AL"/>
        </w:rPr>
        <w:t xml:space="preserve"> i “amnist</w:t>
      </w:r>
      <w:r w:rsidRPr="00D03DD5">
        <w:rPr>
          <w:lang w:val="sq-AL"/>
        </w:rPr>
        <w:t>is</w:t>
      </w:r>
      <w:r w:rsidR="004B355A">
        <w:rPr>
          <w:lang w:val="sq-AL"/>
        </w:rPr>
        <w:t>ë</w:t>
      </w:r>
      <w:r w:rsidRPr="00D03DD5">
        <w:rPr>
          <w:lang w:val="sq-AL"/>
        </w:rPr>
        <w:t>” (rivler</w:t>
      </w:r>
      <w:r w:rsidR="004B355A">
        <w:rPr>
          <w:lang w:val="sq-AL"/>
        </w:rPr>
        <w:t>ë</w:t>
      </w:r>
      <w:r w:rsidRPr="00D03DD5">
        <w:rPr>
          <w:lang w:val="sq-AL"/>
        </w:rPr>
        <w:t>simit) t</w:t>
      </w:r>
      <w:r w:rsidR="004B355A">
        <w:rPr>
          <w:lang w:val="sq-AL"/>
        </w:rPr>
        <w:t>ë</w:t>
      </w:r>
      <w:r>
        <w:rPr>
          <w:lang w:val="sq-AL"/>
        </w:rPr>
        <w:t xml:space="preserve"> pasurive t</w:t>
      </w:r>
      <w:r w:rsidR="004B355A">
        <w:rPr>
          <w:lang w:val="sq-AL"/>
        </w:rPr>
        <w:t>ë</w:t>
      </w:r>
      <w:r w:rsidRPr="00D03DD5">
        <w:rPr>
          <w:lang w:val="sq-AL"/>
        </w:rPr>
        <w:t xml:space="preserve"> paluajtshme p</w:t>
      </w:r>
      <w:r w:rsidR="004B355A">
        <w:rPr>
          <w:lang w:val="sq-AL"/>
        </w:rPr>
        <w:t>ë</w:t>
      </w:r>
      <w:r>
        <w:rPr>
          <w:lang w:val="sq-AL"/>
        </w:rPr>
        <w:t>r individ</w:t>
      </w:r>
      <w:r w:rsidR="004B355A">
        <w:rPr>
          <w:lang w:val="sq-AL"/>
        </w:rPr>
        <w:t>ë</w:t>
      </w:r>
      <w:r>
        <w:rPr>
          <w:lang w:val="sq-AL"/>
        </w:rPr>
        <w:t>t. P</w:t>
      </w:r>
      <w:r w:rsidR="004B355A">
        <w:rPr>
          <w:lang w:val="sq-AL"/>
        </w:rPr>
        <w:t>ë</w:t>
      </w:r>
      <w:r w:rsidRPr="00D03DD5">
        <w:rPr>
          <w:lang w:val="sq-AL"/>
        </w:rPr>
        <w:t>r k</w:t>
      </w:r>
      <w:r w:rsidR="004B355A">
        <w:rPr>
          <w:lang w:val="sq-AL"/>
        </w:rPr>
        <w:t>ë</w:t>
      </w:r>
      <w:r w:rsidRPr="00D03DD5">
        <w:rPr>
          <w:lang w:val="sq-AL"/>
        </w:rPr>
        <w:t>t</w:t>
      </w:r>
      <w:r w:rsidR="004B355A">
        <w:rPr>
          <w:lang w:val="sq-AL"/>
        </w:rPr>
        <w:t>ë</w:t>
      </w:r>
      <w:r w:rsidRPr="00D03DD5">
        <w:rPr>
          <w:lang w:val="sq-AL"/>
        </w:rPr>
        <w:t xml:space="preserve"> periudh</w:t>
      </w:r>
      <w:r w:rsidR="004B355A">
        <w:rPr>
          <w:lang w:val="sq-AL"/>
        </w:rPr>
        <w:t>ë</w:t>
      </w:r>
      <w:r w:rsidR="00CB3920">
        <w:rPr>
          <w:lang w:val="sq-AL"/>
        </w:rPr>
        <w:t xml:space="preserve"> regjistrohen nga ky proç</w:t>
      </w:r>
      <w:r w:rsidRPr="00D03DD5">
        <w:rPr>
          <w:lang w:val="sq-AL"/>
        </w:rPr>
        <w:t>es t</w:t>
      </w:r>
      <w:r w:rsidR="004B355A">
        <w:rPr>
          <w:lang w:val="sq-AL"/>
        </w:rPr>
        <w:t>ë</w:t>
      </w:r>
      <w:r w:rsidR="00F60BA7">
        <w:rPr>
          <w:lang w:val="sq-AL"/>
        </w:rPr>
        <w:t xml:space="preserve"> ardhura n</w:t>
      </w:r>
      <w:r w:rsidR="004B355A">
        <w:rPr>
          <w:lang w:val="sq-AL"/>
        </w:rPr>
        <w:t>ë</w:t>
      </w:r>
      <w:r w:rsidRPr="00D03DD5">
        <w:rPr>
          <w:lang w:val="sq-AL"/>
        </w:rPr>
        <w:t xml:space="preserve"> nivelin rreth 300 mln lek</w:t>
      </w:r>
      <w:r w:rsidR="004B355A">
        <w:rPr>
          <w:lang w:val="sq-AL"/>
        </w:rPr>
        <w:t>ë</w:t>
      </w:r>
      <w:r w:rsidRPr="00D03DD5">
        <w:rPr>
          <w:lang w:val="sq-AL"/>
        </w:rPr>
        <w:t xml:space="preserve"> nga 1.4 miliard</w:t>
      </w:r>
      <w:r w:rsidR="004B355A">
        <w:rPr>
          <w:lang w:val="sq-AL"/>
        </w:rPr>
        <w:t>ë</w:t>
      </w:r>
      <w:r w:rsidRPr="00D03DD5">
        <w:rPr>
          <w:lang w:val="sq-AL"/>
        </w:rPr>
        <w:t xml:space="preserve"> t</w:t>
      </w:r>
      <w:r w:rsidR="004B355A">
        <w:rPr>
          <w:lang w:val="sq-AL"/>
        </w:rPr>
        <w:t>ë</w:t>
      </w:r>
      <w:r w:rsidRPr="00D03DD5">
        <w:rPr>
          <w:lang w:val="sq-AL"/>
        </w:rPr>
        <w:t xml:space="preserve"> vitit t</w:t>
      </w:r>
      <w:r w:rsidR="004B355A">
        <w:rPr>
          <w:lang w:val="sq-AL"/>
        </w:rPr>
        <w:t>ë</w:t>
      </w:r>
      <w:r w:rsidRPr="00D03DD5">
        <w:rPr>
          <w:lang w:val="sq-AL"/>
        </w:rPr>
        <w:t xml:space="preserve"> kaluar</w:t>
      </w:r>
      <w:r w:rsidR="00F60BA7">
        <w:rPr>
          <w:lang w:val="sq-AL"/>
        </w:rPr>
        <w:t>.</w:t>
      </w:r>
    </w:p>
    <w:p w:rsidR="007F3C12" w:rsidRPr="001F505E" w:rsidRDefault="00D1522A" w:rsidP="003F4270">
      <w:pPr>
        <w:pStyle w:val="Heading3"/>
        <w:rPr>
          <w:lang w:val="sq-AL"/>
        </w:rPr>
      </w:pPr>
      <w:bookmarkStart w:id="9" w:name="_Toc367712689"/>
      <w:r w:rsidRPr="001F505E">
        <w:rPr>
          <w:lang w:val="sq-AL"/>
        </w:rPr>
        <w:t>Kontributet e sigurimeve shoq</w:t>
      </w:r>
      <w:r w:rsidR="007D4B6B" w:rsidRPr="001F505E">
        <w:rPr>
          <w:lang w:val="sq-AL"/>
        </w:rPr>
        <w:t>ë</w:t>
      </w:r>
      <w:r w:rsidRPr="001F505E">
        <w:rPr>
          <w:lang w:val="sq-AL"/>
        </w:rPr>
        <w:t>rore dhe sh</w:t>
      </w:r>
      <w:r w:rsidR="007D4B6B" w:rsidRPr="001F505E">
        <w:rPr>
          <w:lang w:val="sq-AL"/>
        </w:rPr>
        <w:t>ë</w:t>
      </w:r>
      <w:r w:rsidRPr="001F505E">
        <w:rPr>
          <w:lang w:val="sq-AL"/>
        </w:rPr>
        <w:t>ndet</w:t>
      </w:r>
      <w:r w:rsidR="007D4B6B" w:rsidRPr="001F505E">
        <w:rPr>
          <w:lang w:val="sq-AL"/>
        </w:rPr>
        <w:t>ë</w:t>
      </w:r>
      <w:r w:rsidRPr="001F505E">
        <w:rPr>
          <w:lang w:val="sq-AL"/>
        </w:rPr>
        <w:t>sore</w:t>
      </w:r>
      <w:bookmarkEnd w:id="9"/>
    </w:p>
    <w:p w:rsidR="0030161B" w:rsidRPr="001F505E" w:rsidRDefault="00F60BA7" w:rsidP="00F60BA7">
      <w:pPr>
        <w:rPr>
          <w:lang w:val="sq-AL"/>
        </w:rPr>
      </w:pPr>
      <w:r w:rsidRPr="00F60BA7">
        <w:rPr>
          <w:lang w:val="sq-AL"/>
        </w:rPr>
        <w:t>Të ardhurat nga</w:t>
      </w:r>
      <w:r w:rsidR="00CB3920">
        <w:rPr>
          <w:lang w:val="sq-AL"/>
        </w:rPr>
        <w:t xml:space="preserve"> fondet speciale për periudhën Janar – K</w:t>
      </w:r>
      <w:r w:rsidRPr="00F60BA7">
        <w:rPr>
          <w:lang w:val="sq-AL"/>
        </w:rPr>
        <w:t>orrik 2013 arritën në 35 miliardë lekë, me një rritje t</w:t>
      </w:r>
      <w:r w:rsidR="004B355A">
        <w:rPr>
          <w:lang w:val="sq-AL"/>
        </w:rPr>
        <w:t>ë</w:t>
      </w:r>
      <w:r w:rsidRPr="00F60BA7">
        <w:rPr>
          <w:lang w:val="sq-AL"/>
        </w:rPr>
        <w:t xml:space="preserve"> leht</w:t>
      </w:r>
      <w:r w:rsidR="004B355A">
        <w:rPr>
          <w:lang w:val="sq-AL"/>
        </w:rPr>
        <w:t>ë</w:t>
      </w:r>
      <w:r w:rsidRPr="00F60BA7">
        <w:rPr>
          <w:lang w:val="sq-AL"/>
        </w:rPr>
        <w:t xml:space="preserve"> prej 2.6 përqind kundrejt të njëjtës per</w:t>
      </w:r>
      <w:r>
        <w:rPr>
          <w:lang w:val="sq-AL"/>
        </w:rPr>
        <w:t>iudhë të një viti më parë dhe n</w:t>
      </w:r>
      <w:r w:rsidR="004B355A">
        <w:rPr>
          <w:lang w:val="sq-AL"/>
        </w:rPr>
        <w:t>ë</w:t>
      </w:r>
      <w:r w:rsidRPr="00F60BA7">
        <w:rPr>
          <w:lang w:val="sq-AL"/>
        </w:rPr>
        <w:t xml:space="preserve"> linj</w:t>
      </w:r>
      <w:r w:rsidR="004B355A">
        <w:rPr>
          <w:lang w:val="sq-AL"/>
        </w:rPr>
        <w:t>ë</w:t>
      </w:r>
      <w:r w:rsidRPr="00F60BA7">
        <w:rPr>
          <w:lang w:val="sq-AL"/>
        </w:rPr>
        <w:t xml:space="preserve"> me parashikimin për periudhën. Ky grup të ardhurash përbën rreth 21 përqind të të ardhurave tatimore gjithsej për këtë periudh</w:t>
      </w:r>
      <w:r w:rsidR="004B355A">
        <w:rPr>
          <w:lang w:val="sq-AL"/>
        </w:rPr>
        <w:t>ë</w:t>
      </w:r>
      <w:r w:rsidRPr="00F60BA7">
        <w:rPr>
          <w:lang w:val="sq-AL"/>
        </w:rPr>
        <w:t>. Nga totali i fondeve speciale, rreth 34 miliardë lekë janë kontribute të sigurimeve shoqërore dhe shëndetësore dhe 1.1 miliard</w:t>
      </w:r>
      <w:r w:rsidR="004B355A">
        <w:rPr>
          <w:lang w:val="sq-AL"/>
        </w:rPr>
        <w:t>ë</w:t>
      </w:r>
      <w:r w:rsidRPr="00F60BA7">
        <w:rPr>
          <w:lang w:val="sq-AL"/>
        </w:rPr>
        <w:t xml:space="preserve"> lekë të ardhura për komp</w:t>
      </w:r>
      <w:r>
        <w:rPr>
          <w:lang w:val="sq-AL"/>
        </w:rPr>
        <w:t xml:space="preserve">ensimin në vlerë të pronarëve. </w:t>
      </w:r>
      <w:r w:rsidRPr="00F60BA7">
        <w:rPr>
          <w:lang w:val="sq-AL"/>
        </w:rPr>
        <w:t>Nga sigurimet shoqërore janë mbledhur 29.8 miliardë lekë, me rritje vjetore 2.4 përqind; nga sigurimet shëndetësore janë mbledhur 4 miliardë lekë, -2.6 përqind më pak se 7 mujori i një viti më parë.Përsa i takon bazës së taksueshme, nga të dhënat e Drejtorisë së Përgjithshme të Tatimeve, për periudhën 6 mujore rezulton se: në total ka një rritje të numrit mesatar të të punësuarve për efekt të derdhjes së kontributeve (sektor shtetëror dhe sektori privat) prej 2.75 përqind, ose rreth 11,650 njësi, kundrejt mesatares 6 mujore t</w:t>
      </w:r>
      <w:r w:rsidR="00CB3920">
        <w:rPr>
          <w:lang w:val="sq-AL"/>
        </w:rPr>
        <w:t>ë 2012 nga ku sektori i tregtisë dhe shërbimeve patën rritje përkatë</w:t>
      </w:r>
      <w:r w:rsidRPr="00F60BA7">
        <w:rPr>
          <w:lang w:val="sq-AL"/>
        </w:rPr>
        <w:t>sisht me 12.87 % dhe 2.86%. Ndërsa sektorët e tjerë patën ulje dhe përkatesisht sektori i prodhimit -2.14 %, sektori i ndërtimit -4.37% dhe sektori i transportit -7.38% me pak se mesatarja e së njëjtës periudhë një vit më parë</w:t>
      </w:r>
      <w:r w:rsidR="00B12BD5" w:rsidRPr="001F505E">
        <w:rPr>
          <w:lang w:val="sq-AL"/>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399"/>
        <w:gridCol w:w="1274"/>
        <w:gridCol w:w="1274"/>
        <w:gridCol w:w="2753"/>
        <w:gridCol w:w="920"/>
      </w:tblGrid>
      <w:tr w:rsidR="00F60BA7" w:rsidRPr="00F60BA7" w:rsidTr="00CB3920">
        <w:trPr>
          <w:trHeight w:val="315"/>
        </w:trPr>
        <w:tc>
          <w:tcPr>
            <w:tcW w:w="4522" w:type="pct"/>
            <w:gridSpan w:val="4"/>
            <w:noWrap/>
          </w:tcPr>
          <w:p w:rsidR="00F60BA7" w:rsidRPr="00F60BA7" w:rsidRDefault="00F60BA7" w:rsidP="00F7093A">
            <w:pPr>
              <w:spacing w:before="0" w:after="0"/>
              <w:jc w:val="left"/>
              <w:rPr>
                <w:rFonts w:eastAsia="Calibri"/>
                <w:b/>
                <w:color w:val="000000"/>
                <w:sz w:val="18"/>
                <w:szCs w:val="18"/>
              </w:rPr>
            </w:pPr>
            <w:r w:rsidRPr="00F60BA7">
              <w:rPr>
                <w:rFonts w:eastAsia="Calibri"/>
                <w:b/>
                <w:color w:val="000000"/>
                <w:sz w:val="18"/>
                <w:szCs w:val="18"/>
              </w:rPr>
              <w:t xml:space="preserve">Tabela </w:t>
            </w:r>
            <w:r w:rsidR="00F7093A">
              <w:rPr>
                <w:rFonts w:eastAsia="Calibri"/>
                <w:b/>
                <w:color w:val="000000"/>
                <w:sz w:val="18"/>
                <w:szCs w:val="18"/>
              </w:rPr>
              <w:t>11</w:t>
            </w:r>
            <w:r w:rsidRPr="00F60BA7">
              <w:rPr>
                <w:rFonts w:eastAsia="Calibri"/>
                <w:b/>
                <w:color w:val="000000"/>
                <w:sz w:val="18"/>
                <w:szCs w:val="18"/>
              </w:rPr>
              <w:t>. Numri mesatar i të punësuarve për efekt të derdhjes së kontributeve</w:t>
            </w:r>
          </w:p>
        </w:tc>
        <w:tc>
          <w:tcPr>
            <w:tcW w:w="478" w:type="pct"/>
          </w:tcPr>
          <w:p w:rsidR="00F60BA7" w:rsidRPr="00F60BA7" w:rsidRDefault="00F60BA7" w:rsidP="00F60BA7">
            <w:pPr>
              <w:spacing w:before="0" w:after="0"/>
              <w:jc w:val="left"/>
              <w:rPr>
                <w:rFonts w:eastAsia="Calibri"/>
                <w:b/>
                <w:color w:val="000000"/>
                <w:sz w:val="18"/>
                <w:szCs w:val="18"/>
              </w:rPr>
            </w:pPr>
          </w:p>
        </w:tc>
      </w:tr>
      <w:tr w:rsidR="00F60BA7" w:rsidRPr="00F60BA7" w:rsidTr="00CB3920">
        <w:trPr>
          <w:trHeight w:val="300"/>
        </w:trPr>
        <w:tc>
          <w:tcPr>
            <w:tcW w:w="1767" w:type="pct"/>
            <w:noWrap/>
          </w:tcPr>
          <w:p w:rsidR="00F60BA7" w:rsidRPr="00F60BA7" w:rsidRDefault="00F60BA7" w:rsidP="00F60BA7">
            <w:pPr>
              <w:spacing w:before="0" w:after="0"/>
              <w:jc w:val="left"/>
              <w:rPr>
                <w:rFonts w:eastAsia="Calibri"/>
                <w:bCs/>
                <w:color w:val="000000"/>
                <w:sz w:val="18"/>
                <w:szCs w:val="18"/>
              </w:rPr>
            </w:pP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2012</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2013</w:t>
            </w:r>
          </w:p>
        </w:tc>
        <w:tc>
          <w:tcPr>
            <w:tcW w:w="1431" w:type="pct"/>
            <w:noWrap/>
          </w:tcPr>
          <w:p w:rsidR="00F60BA7" w:rsidRPr="00F60BA7" w:rsidRDefault="00F60BA7" w:rsidP="00F60BA7">
            <w:pPr>
              <w:spacing w:before="0" w:after="0"/>
              <w:jc w:val="left"/>
              <w:rPr>
                <w:color w:val="000000"/>
                <w:sz w:val="18"/>
                <w:szCs w:val="18"/>
              </w:rPr>
            </w:pPr>
            <w:r w:rsidRPr="00F60BA7">
              <w:rPr>
                <w:color w:val="000000"/>
                <w:sz w:val="18"/>
                <w:szCs w:val="18"/>
              </w:rPr>
              <w:t>Ndryshimi ne numer</w:t>
            </w:r>
          </w:p>
        </w:tc>
        <w:tc>
          <w:tcPr>
            <w:tcW w:w="478" w:type="pct"/>
          </w:tcPr>
          <w:p w:rsidR="00F60BA7" w:rsidRPr="00F60BA7" w:rsidRDefault="00F60BA7" w:rsidP="00F60BA7">
            <w:pPr>
              <w:spacing w:before="0" w:after="0"/>
              <w:jc w:val="left"/>
              <w:rPr>
                <w:color w:val="000000"/>
                <w:sz w:val="18"/>
                <w:szCs w:val="18"/>
              </w:rPr>
            </w:pPr>
            <w:r w:rsidRPr="00F60BA7">
              <w:rPr>
                <w:color w:val="000000"/>
                <w:sz w:val="18"/>
                <w:szCs w:val="18"/>
              </w:rPr>
              <w:t>%</w:t>
            </w:r>
          </w:p>
        </w:tc>
      </w:tr>
      <w:tr w:rsidR="00F60BA7" w:rsidRPr="00F60BA7" w:rsidTr="00CB3920">
        <w:trPr>
          <w:trHeight w:val="300"/>
        </w:trPr>
        <w:tc>
          <w:tcPr>
            <w:tcW w:w="1767" w:type="pct"/>
            <w:noWrap/>
          </w:tcPr>
          <w:p w:rsidR="00F60BA7" w:rsidRPr="00F60BA7" w:rsidRDefault="00F60BA7" w:rsidP="00F60BA7">
            <w:pPr>
              <w:spacing w:before="0" w:after="0"/>
              <w:jc w:val="left"/>
              <w:rPr>
                <w:rFonts w:eastAsia="Calibri"/>
                <w:bCs/>
                <w:color w:val="000000"/>
                <w:sz w:val="18"/>
                <w:szCs w:val="18"/>
              </w:rPr>
            </w:pPr>
            <w:r w:rsidRPr="00F60BA7">
              <w:rPr>
                <w:rFonts w:eastAsia="Calibri"/>
                <w:bCs/>
                <w:color w:val="000000"/>
                <w:sz w:val="18"/>
                <w:szCs w:val="18"/>
              </w:rPr>
              <w:t xml:space="preserve">Ndërmarrjet Buxhetore </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138,204</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138,095</w:t>
            </w:r>
          </w:p>
        </w:tc>
        <w:tc>
          <w:tcPr>
            <w:tcW w:w="1431" w:type="pct"/>
            <w:noWrap/>
          </w:tcPr>
          <w:p w:rsidR="00F60BA7" w:rsidRPr="00F60BA7" w:rsidRDefault="00F60BA7" w:rsidP="00F60BA7">
            <w:pPr>
              <w:spacing w:before="0" w:after="0"/>
              <w:jc w:val="left"/>
              <w:rPr>
                <w:color w:val="000000"/>
                <w:sz w:val="18"/>
                <w:szCs w:val="18"/>
              </w:rPr>
            </w:pPr>
            <w:r w:rsidRPr="00F60BA7">
              <w:rPr>
                <w:color w:val="000000"/>
                <w:sz w:val="18"/>
                <w:szCs w:val="18"/>
              </w:rPr>
              <w:t>-109</w:t>
            </w:r>
          </w:p>
        </w:tc>
        <w:tc>
          <w:tcPr>
            <w:tcW w:w="478" w:type="pct"/>
          </w:tcPr>
          <w:p w:rsidR="00F60BA7" w:rsidRPr="00F60BA7" w:rsidRDefault="00F60BA7" w:rsidP="00F60BA7">
            <w:pPr>
              <w:spacing w:before="0" w:after="0"/>
              <w:jc w:val="left"/>
              <w:rPr>
                <w:color w:val="000000"/>
                <w:sz w:val="18"/>
                <w:szCs w:val="18"/>
              </w:rPr>
            </w:pPr>
            <w:r w:rsidRPr="00F60BA7">
              <w:rPr>
                <w:color w:val="000000"/>
                <w:sz w:val="18"/>
                <w:szCs w:val="18"/>
              </w:rPr>
              <w:t>-0.08%</w:t>
            </w:r>
          </w:p>
        </w:tc>
      </w:tr>
      <w:tr w:rsidR="00F60BA7" w:rsidRPr="00F60BA7" w:rsidTr="00CB3920">
        <w:trPr>
          <w:trHeight w:val="300"/>
        </w:trPr>
        <w:tc>
          <w:tcPr>
            <w:tcW w:w="1767" w:type="pct"/>
            <w:noWrap/>
          </w:tcPr>
          <w:p w:rsidR="00F60BA7" w:rsidRPr="00F60BA7" w:rsidRDefault="00F60BA7" w:rsidP="00F60BA7">
            <w:pPr>
              <w:spacing w:before="0" w:after="0"/>
              <w:jc w:val="left"/>
              <w:rPr>
                <w:rFonts w:eastAsia="Calibri"/>
                <w:bCs/>
                <w:color w:val="000000"/>
                <w:sz w:val="18"/>
                <w:szCs w:val="18"/>
              </w:rPr>
            </w:pPr>
            <w:r w:rsidRPr="00F60BA7">
              <w:rPr>
                <w:rFonts w:eastAsia="Calibri"/>
                <w:bCs/>
                <w:color w:val="000000"/>
                <w:sz w:val="18"/>
                <w:szCs w:val="18"/>
              </w:rPr>
              <w:t>Ndërmarrjet Shtetërore</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20,716</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20,139</w:t>
            </w:r>
          </w:p>
        </w:tc>
        <w:tc>
          <w:tcPr>
            <w:tcW w:w="1431" w:type="pct"/>
            <w:noWrap/>
          </w:tcPr>
          <w:p w:rsidR="00F60BA7" w:rsidRPr="00F60BA7" w:rsidRDefault="00F60BA7" w:rsidP="00F60BA7">
            <w:pPr>
              <w:spacing w:before="0" w:after="0"/>
              <w:jc w:val="left"/>
              <w:rPr>
                <w:color w:val="000000"/>
                <w:sz w:val="18"/>
                <w:szCs w:val="18"/>
              </w:rPr>
            </w:pPr>
            <w:r w:rsidRPr="00F60BA7">
              <w:rPr>
                <w:color w:val="000000"/>
                <w:sz w:val="18"/>
                <w:szCs w:val="18"/>
              </w:rPr>
              <w:t>-398</w:t>
            </w:r>
          </w:p>
        </w:tc>
        <w:tc>
          <w:tcPr>
            <w:tcW w:w="478" w:type="pct"/>
          </w:tcPr>
          <w:p w:rsidR="00F60BA7" w:rsidRPr="00F60BA7" w:rsidRDefault="00F60BA7" w:rsidP="00F60BA7">
            <w:pPr>
              <w:spacing w:before="0" w:after="0"/>
              <w:jc w:val="left"/>
              <w:rPr>
                <w:color w:val="000000"/>
                <w:sz w:val="18"/>
                <w:szCs w:val="18"/>
              </w:rPr>
            </w:pPr>
            <w:r w:rsidRPr="00F60BA7">
              <w:rPr>
                <w:color w:val="000000"/>
                <w:sz w:val="18"/>
                <w:szCs w:val="18"/>
              </w:rPr>
              <w:t>-2.78%</w:t>
            </w:r>
          </w:p>
        </w:tc>
      </w:tr>
      <w:tr w:rsidR="00F60BA7" w:rsidRPr="00F60BA7" w:rsidTr="00CB3920">
        <w:trPr>
          <w:trHeight w:val="300"/>
        </w:trPr>
        <w:tc>
          <w:tcPr>
            <w:tcW w:w="1767" w:type="pct"/>
            <w:noWrap/>
          </w:tcPr>
          <w:p w:rsidR="00F60BA7" w:rsidRPr="00F60BA7" w:rsidRDefault="00F60BA7" w:rsidP="00F60BA7">
            <w:pPr>
              <w:spacing w:before="0" w:after="0"/>
              <w:jc w:val="left"/>
              <w:rPr>
                <w:rFonts w:eastAsia="Calibri"/>
                <w:bCs/>
                <w:color w:val="000000"/>
                <w:sz w:val="18"/>
                <w:szCs w:val="18"/>
              </w:rPr>
            </w:pPr>
            <w:r w:rsidRPr="00F60BA7">
              <w:rPr>
                <w:rFonts w:eastAsia="Calibri"/>
                <w:bCs/>
                <w:color w:val="000000"/>
                <w:sz w:val="18"/>
                <w:szCs w:val="18"/>
              </w:rPr>
              <w:t>Subjektet Private T.V.SH.</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186,821</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197,754</w:t>
            </w:r>
          </w:p>
        </w:tc>
        <w:tc>
          <w:tcPr>
            <w:tcW w:w="1431" w:type="pct"/>
            <w:noWrap/>
          </w:tcPr>
          <w:p w:rsidR="00F60BA7" w:rsidRPr="00F60BA7" w:rsidRDefault="00F60BA7" w:rsidP="00F60BA7">
            <w:pPr>
              <w:spacing w:before="0" w:after="0"/>
              <w:jc w:val="left"/>
              <w:rPr>
                <w:color w:val="000000"/>
                <w:sz w:val="18"/>
                <w:szCs w:val="18"/>
              </w:rPr>
            </w:pPr>
            <w:r w:rsidRPr="00F60BA7">
              <w:rPr>
                <w:color w:val="000000"/>
                <w:sz w:val="18"/>
                <w:szCs w:val="18"/>
              </w:rPr>
              <w:t>+11,283</w:t>
            </w:r>
          </w:p>
        </w:tc>
        <w:tc>
          <w:tcPr>
            <w:tcW w:w="478" w:type="pct"/>
          </w:tcPr>
          <w:p w:rsidR="00F60BA7" w:rsidRPr="00F60BA7" w:rsidRDefault="00F60BA7" w:rsidP="00F60BA7">
            <w:pPr>
              <w:spacing w:before="0" w:after="0"/>
              <w:jc w:val="left"/>
              <w:rPr>
                <w:color w:val="000000"/>
                <w:sz w:val="18"/>
                <w:szCs w:val="18"/>
              </w:rPr>
            </w:pPr>
            <w:r w:rsidRPr="00F60BA7">
              <w:rPr>
                <w:color w:val="000000"/>
                <w:sz w:val="18"/>
                <w:szCs w:val="18"/>
              </w:rPr>
              <w:t>5.85%</w:t>
            </w:r>
          </w:p>
        </w:tc>
      </w:tr>
      <w:tr w:rsidR="00F60BA7" w:rsidRPr="00F60BA7" w:rsidTr="00CB3920">
        <w:trPr>
          <w:trHeight w:val="300"/>
        </w:trPr>
        <w:tc>
          <w:tcPr>
            <w:tcW w:w="1767" w:type="pct"/>
            <w:noWrap/>
          </w:tcPr>
          <w:p w:rsidR="00F60BA7" w:rsidRPr="00F60BA7" w:rsidRDefault="00CB3920" w:rsidP="00F60BA7">
            <w:pPr>
              <w:spacing w:before="0" w:after="0"/>
              <w:jc w:val="left"/>
              <w:rPr>
                <w:rFonts w:eastAsia="Calibri"/>
                <w:bCs/>
                <w:color w:val="000000"/>
                <w:sz w:val="18"/>
                <w:szCs w:val="18"/>
              </w:rPr>
            </w:pPr>
            <w:r>
              <w:rPr>
                <w:rFonts w:eastAsia="Calibri"/>
                <w:bCs/>
                <w:color w:val="000000"/>
                <w:sz w:val="18"/>
                <w:szCs w:val="18"/>
              </w:rPr>
              <w:t>Subjektet Biznes i</w:t>
            </w:r>
            <w:r w:rsidR="00F60BA7" w:rsidRPr="00F60BA7">
              <w:rPr>
                <w:rFonts w:eastAsia="Calibri"/>
                <w:bCs/>
                <w:color w:val="000000"/>
                <w:sz w:val="18"/>
                <w:szCs w:val="18"/>
              </w:rPr>
              <w:t xml:space="preserve"> Vogël</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77,415</w:t>
            </w:r>
          </w:p>
        </w:tc>
        <w:tc>
          <w:tcPr>
            <w:tcW w:w="662" w:type="pct"/>
            <w:noWrap/>
          </w:tcPr>
          <w:p w:rsidR="00F60BA7" w:rsidRPr="00F60BA7" w:rsidRDefault="00F60BA7" w:rsidP="00F60BA7">
            <w:pPr>
              <w:spacing w:before="0" w:after="0"/>
              <w:jc w:val="left"/>
              <w:rPr>
                <w:color w:val="000000"/>
                <w:sz w:val="18"/>
                <w:szCs w:val="18"/>
              </w:rPr>
            </w:pPr>
            <w:r w:rsidRPr="00F60BA7">
              <w:rPr>
                <w:color w:val="000000"/>
                <w:sz w:val="18"/>
                <w:szCs w:val="18"/>
              </w:rPr>
              <w:t>78,817</w:t>
            </w:r>
          </w:p>
        </w:tc>
        <w:tc>
          <w:tcPr>
            <w:tcW w:w="1431" w:type="pct"/>
            <w:noWrap/>
          </w:tcPr>
          <w:p w:rsidR="00F60BA7" w:rsidRPr="00F60BA7" w:rsidRDefault="00F60BA7" w:rsidP="00F60BA7">
            <w:pPr>
              <w:spacing w:before="0" w:after="0"/>
              <w:jc w:val="left"/>
              <w:rPr>
                <w:color w:val="000000"/>
                <w:sz w:val="18"/>
                <w:szCs w:val="18"/>
              </w:rPr>
            </w:pPr>
            <w:r w:rsidRPr="00F60BA7">
              <w:rPr>
                <w:color w:val="000000"/>
                <w:sz w:val="18"/>
                <w:szCs w:val="18"/>
              </w:rPr>
              <w:t>+1,402</w:t>
            </w:r>
          </w:p>
        </w:tc>
        <w:tc>
          <w:tcPr>
            <w:tcW w:w="478" w:type="pct"/>
          </w:tcPr>
          <w:p w:rsidR="00F60BA7" w:rsidRPr="00F60BA7" w:rsidRDefault="00F60BA7" w:rsidP="00F60BA7">
            <w:pPr>
              <w:spacing w:before="0" w:after="0"/>
              <w:jc w:val="left"/>
              <w:rPr>
                <w:color w:val="000000"/>
                <w:sz w:val="18"/>
                <w:szCs w:val="18"/>
              </w:rPr>
            </w:pPr>
            <w:r w:rsidRPr="00F60BA7">
              <w:rPr>
                <w:color w:val="000000"/>
                <w:sz w:val="18"/>
                <w:szCs w:val="18"/>
              </w:rPr>
              <w:t>1.81%</w:t>
            </w:r>
          </w:p>
        </w:tc>
      </w:tr>
      <w:tr w:rsidR="00F60BA7" w:rsidRPr="00F60BA7" w:rsidTr="00CB3920">
        <w:trPr>
          <w:trHeight w:val="300"/>
        </w:trPr>
        <w:tc>
          <w:tcPr>
            <w:tcW w:w="1767" w:type="pct"/>
            <w:noWrap/>
          </w:tcPr>
          <w:p w:rsidR="00F60BA7" w:rsidRPr="00F60BA7" w:rsidRDefault="00F60BA7" w:rsidP="00F60BA7">
            <w:pPr>
              <w:spacing w:before="0" w:after="0"/>
              <w:jc w:val="left"/>
              <w:rPr>
                <w:rFonts w:eastAsia="Calibri"/>
                <w:b/>
                <w:bCs/>
                <w:color w:val="000000"/>
                <w:sz w:val="18"/>
                <w:szCs w:val="18"/>
              </w:rPr>
            </w:pPr>
            <w:r w:rsidRPr="00F60BA7">
              <w:rPr>
                <w:rFonts w:eastAsia="Calibri"/>
                <w:b/>
                <w:bCs/>
                <w:color w:val="000000"/>
                <w:sz w:val="18"/>
                <w:szCs w:val="18"/>
              </w:rPr>
              <w:t>Total</w:t>
            </w:r>
          </w:p>
        </w:tc>
        <w:tc>
          <w:tcPr>
            <w:tcW w:w="662" w:type="pct"/>
            <w:noWrap/>
          </w:tcPr>
          <w:p w:rsidR="00F60BA7" w:rsidRPr="00F60BA7" w:rsidRDefault="00F60BA7" w:rsidP="00F60BA7">
            <w:pPr>
              <w:spacing w:before="0" w:after="0"/>
              <w:jc w:val="left"/>
              <w:rPr>
                <w:b/>
                <w:bCs/>
                <w:color w:val="000000"/>
                <w:sz w:val="18"/>
                <w:szCs w:val="18"/>
              </w:rPr>
            </w:pPr>
            <w:r w:rsidRPr="00F60BA7">
              <w:rPr>
                <w:b/>
                <w:bCs/>
                <w:color w:val="000000"/>
                <w:sz w:val="18"/>
                <w:szCs w:val="18"/>
              </w:rPr>
              <w:t>423,155</w:t>
            </w:r>
          </w:p>
        </w:tc>
        <w:tc>
          <w:tcPr>
            <w:tcW w:w="662" w:type="pct"/>
            <w:noWrap/>
          </w:tcPr>
          <w:p w:rsidR="00F60BA7" w:rsidRPr="00F60BA7" w:rsidRDefault="00F60BA7" w:rsidP="00F60BA7">
            <w:pPr>
              <w:spacing w:before="0" w:after="0"/>
              <w:jc w:val="left"/>
              <w:rPr>
                <w:b/>
                <w:bCs/>
                <w:color w:val="000000"/>
                <w:sz w:val="18"/>
                <w:szCs w:val="18"/>
              </w:rPr>
            </w:pPr>
            <w:r w:rsidRPr="00F60BA7">
              <w:rPr>
                <w:b/>
                <w:bCs/>
                <w:color w:val="000000"/>
                <w:sz w:val="18"/>
                <w:szCs w:val="18"/>
              </w:rPr>
              <w:t>434,805</w:t>
            </w:r>
          </w:p>
        </w:tc>
        <w:tc>
          <w:tcPr>
            <w:tcW w:w="1431" w:type="pct"/>
            <w:noWrap/>
          </w:tcPr>
          <w:p w:rsidR="00F60BA7" w:rsidRPr="00F60BA7" w:rsidRDefault="00F60BA7" w:rsidP="00F60BA7">
            <w:pPr>
              <w:spacing w:before="0" w:after="0"/>
              <w:jc w:val="left"/>
              <w:rPr>
                <w:b/>
                <w:bCs/>
                <w:color w:val="000000"/>
                <w:sz w:val="18"/>
                <w:szCs w:val="18"/>
              </w:rPr>
            </w:pPr>
            <w:r w:rsidRPr="00F60BA7">
              <w:rPr>
                <w:b/>
                <w:bCs/>
                <w:color w:val="000000"/>
                <w:sz w:val="18"/>
                <w:szCs w:val="18"/>
              </w:rPr>
              <w:t>+11,650</w:t>
            </w:r>
          </w:p>
        </w:tc>
        <w:tc>
          <w:tcPr>
            <w:tcW w:w="478" w:type="pct"/>
          </w:tcPr>
          <w:p w:rsidR="00F60BA7" w:rsidRPr="00F60BA7" w:rsidRDefault="00F60BA7" w:rsidP="00F60BA7">
            <w:pPr>
              <w:spacing w:before="0" w:after="0"/>
              <w:jc w:val="left"/>
              <w:rPr>
                <w:b/>
                <w:bCs/>
                <w:color w:val="000000"/>
                <w:sz w:val="18"/>
                <w:szCs w:val="18"/>
              </w:rPr>
            </w:pPr>
            <w:r w:rsidRPr="00F60BA7">
              <w:rPr>
                <w:b/>
                <w:bCs/>
                <w:color w:val="000000"/>
                <w:sz w:val="18"/>
                <w:szCs w:val="18"/>
              </w:rPr>
              <w:t>2.75%</w:t>
            </w:r>
          </w:p>
        </w:tc>
      </w:tr>
    </w:tbl>
    <w:p w:rsidR="00A67FF5" w:rsidRPr="001F505E" w:rsidRDefault="00CB3920" w:rsidP="007B71F6">
      <w:pPr>
        <w:rPr>
          <w:b/>
          <w:sz w:val="24"/>
          <w:szCs w:val="24"/>
          <w:lang w:val="sq-AL"/>
        </w:rPr>
      </w:pPr>
      <w:r>
        <w:rPr>
          <w:rFonts w:eastAsia="Calibri"/>
          <w:b/>
          <w:color w:val="000000"/>
          <w:sz w:val="18"/>
          <w:szCs w:val="18"/>
        </w:rPr>
        <w:t>B</w:t>
      </w:r>
      <w:r w:rsidRPr="00F60BA7">
        <w:rPr>
          <w:rFonts w:eastAsia="Calibri"/>
          <w:b/>
          <w:color w:val="000000"/>
          <w:sz w:val="18"/>
          <w:szCs w:val="18"/>
        </w:rPr>
        <w:t>urimi DPD</w:t>
      </w:r>
    </w:p>
    <w:p w:rsidR="007F3C12" w:rsidRPr="001F505E" w:rsidRDefault="00B12BD5" w:rsidP="003F4270">
      <w:pPr>
        <w:pStyle w:val="Heading3"/>
        <w:rPr>
          <w:lang w:val="sq-AL"/>
        </w:rPr>
      </w:pPr>
      <w:bookmarkStart w:id="10" w:name="_Toc367712690"/>
      <w:r w:rsidRPr="001F505E">
        <w:rPr>
          <w:lang w:val="sq-AL"/>
        </w:rPr>
        <w:lastRenderedPageBreak/>
        <w:t>T</w:t>
      </w:r>
      <w:r w:rsidR="00501116" w:rsidRPr="001F505E">
        <w:rPr>
          <w:lang w:val="sq-AL"/>
        </w:rPr>
        <w:t>ë ardhura</w:t>
      </w:r>
      <w:r w:rsidRPr="001F505E">
        <w:rPr>
          <w:lang w:val="sq-AL"/>
        </w:rPr>
        <w:t xml:space="preserve"> t</w:t>
      </w:r>
      <w:r w:rsidR="00501116" w:rsidRPr="001F505E">
        <w:rPr>
          <w:lang w:val="sq-AL"/>
        </w:rPr>
        <w:t>ë</w:t>
      </w:r>
      <w:r w:rsidRPr="001F505E">
        <w:rPr>
          <w:lang w:val="sq-AL"/>
        </w:rPr>
        <w:t xml:space="preserve"> tjera vendore</w:t>
      </w:r>
      <w:bookmarkEnd w:id="10"/>
    </w:p>
    <w:p w:rsidR="00ED4830" w:rsidRPr="001F505E" w:rsidRDefault="00F60BA7" w:rsidP="005E214E">
      <w:pPr>
        <w:rPr>
          <w:highlight w:val="yellow"/>
          <w:lang w:val="sq-AL" w:eastAsia="en-US"/>
        </w:rPr>
      </w:pPr>
      <w:r w:rsidRPr="00F60BA7">
        <w:rPr>
          <w:lang w:val="sq-AL"/>
        </w:rPr>
        <w:t>Të ardhurat e mbledhura ng</w:t>
      </w:r>
      <w:r w:rsidR="00CB3920">
        <w:rPr>
          <w:lang w:val="sq-AL"/>
        </w:rPr>
        <w:t>a taksat vendore për periudhën Janar – K</w:t>
      </w:r>
      <w:r w:rsidRPr="00F60BA7">
        <w:rPr>
          <w:lang w:val="sq-AL"/>
        </w:rPr>
        <w:t>orrik arritën në 6.4 miliardë lekë nga 7.6 miliardë lekë të planifikuara, ndërsa kundrejt 7 mujorit të vitit 2012 të ardhurat janë ulur me -1 miliardë lekë (rreth -13.9 përqind më pak). Taksat e tjera vendore (pa taksën e biznesit të vogel dhe taksat mbi pasurinë të cilat përmenden më sipër) kanë mbledhur rreth 3.4 miliardë lekë nga 4.4  miliardë lekë të parashikuara, ndërsa krahasuar me të njëjtën periudhë të vitit të kaluar këto taksa kanë pësuar një rënie prej -18.8 përqind</w:t>
      </w:r>
      <w:r w:rsidR="00D1522A" w:rsidRPr="001F505E">
        <w:rPr>
          <w:lang w:val="sq-AL"/>
        </w:rPr>
        <w:t xml:space="preserve">. </w:t>
      </w:r>
    </w:p>
    <w:p w:rsidR="005C1A97" w:rsidRPr="001F505E" w:rsidRDefault="00B12BD5" w:rsidP="003F4270">
      <w:pPr>
        <w:pStyle w:val="Heading3"/>
        <w:rPr>
          <w:rFonts w:cs="Times New Roman"/>
          <w:lang w:val="sq-AL"/>
        </w:rPr>
      </w:pPr>
      <w:bookmarkStart w:id="11" w:name="_Toc367712691"/>
      <w:r w:rsidRPr="001F505E">
        <w:rPr>
          <w:lang w:val="sq-AL"/>
        </w:rPr>
        <w:t>T</w:t>
      </w:r>
      <w:r w:rsidR="00AC3206" w:rsidRPr="001F505E">
        <w:rPr>
          <w:lang w:val="sq-AL"/>
        </w:rPr>
        <w:t>ë</w:t>
      </w:r>
      <w:r w:rsidRPr="001F505E">
        <w:rPr>
          <w:lang w:val="sq-AL"/>
        </w:rPr>
        <w:t xml:space="preserve"> ardhura jo tatimore</w:t>
      </w:r>
      <w:bookmarkEnd w:id="11"/>
    </w:p>
    <w:p w:rsidR="003C029E" w:rsidRPr="001F505E" w:rsidRDefault="00B12BD5" w:rsidP="00831D52">
      <w:pPr>
        <w:rPr>
          <w:lang w:val="sq-AL" w:eastAsia="en-US"/>
        </w:rPr>
      </w:pPr>
      <w:r w:rsidRPr="001F505E">
        <w:rPr>
          <w:lang w:val="sq-AL" w:eastAsia="en-US"/>
        </w:rPr>
        <w:t>T</w:t>
      </w:r>
      <w:r w:rsidR="00AC3206" w:rsidRPr="001F505E">
        <w:rPr>
          <w:lang w:val="sq-AL" w:eastAsia="en-US"/>
        </w:rPr>
        <w:t>ë</w:t>
      </w:r>
      <w:r w:rsidRPr="001F505E">
        <w:rPr>
          <w:lang w:val="sq-AL" w:eastAsia="en-US"/>
        </w:rPr>
        <w:t xml:space="preserve"> ardhurat jo tatimore p</w:t>
      </w:r>
      <w:r w:rsidR="00AC3206" w:rsidRPr="001F505E">
        <w:rPr>
          <w:lang w:val="sq-AL" w:eastAsia="en-US"/>
        </w:rPr>
        <w:t>ë</w:t>
      </w:r>
      <w:r w:rsidRPr="001F505E">
        <w:rPr>
          <w:lang w:val="sq-AL" w:eastAsia="en-US"/>
        </w:rPr>
        <w:t>rb</w:t>
      </w:r>
      <w:r w:rsidR="00AC3206" w:rsidRPr="001F505E">
        <w:rPr>
          <w:lang w:val="sq-AL" w:eastAsia="en-US"/>
        </w:rPr>
        <w:t>ë</w:t>
      </w:r>
      <w:r w:rsidRPr="001F505E">
        <w:rPr>
          <w:lang w:val="sq-AL" w:eastAsia="en-US"/>
        </w:rPr>
        <w:t>jn</w:t>
      </w:r>
      <w:r w:rsidR="00AC3206" w:rsidRPr="001F505E">
        <w:rPr>
          <w:lang w:val="sq-AL" w:eastAsia="en-US"/>
        </w:rPr>
        <w:t>ë</w:t>
      </w:r>
      <w:r w:rsidR="00F60BA7">
        <w:rPr>
          <w:lang w:val="sq-AL" w:eastAsia="en-US"/>
        </w:rPr>
        <w:t xml:space="preserve"> 8.3</w:t>
      </w:r>
      <w:r w:rsidRPr="001F505E">
        <w:rPr>
          <w:lang w:val="sq-AL" w:eastAsia="en-US"/>
        </w:rPr>
        <w:t xml:space="preserve"> p</w:t>
      </w:r>
      <w:r w:rsidR="00AC3206" w:rsidRPr="001F505E">
        <w:rPr>
          <w:lang w:val="sq-AL" w:eastAsia="en-US"/>
        </w:rPr>
        <w:t>ërqind të</w:t>
      </w:r>
      <w:r w:rsidRPr="001F505E">
        <w:rPr>
          <w:lang w:val="sq-AL" w:eastAsia="en-US"/>
        </w:rPr>
        <w:t xml:space="preserve"> totalit t</w:t>
      </w:r>
      <w:r w:rsidR="00AC3206" w:rsidRPr="001F505E">
        <w:rPr>
          <w:lang w:val="sq-AL" w:eastAsia="en-US"/>
        </w:rPr>
        <w:t>ë</w:t>
      </w:r>
      <w:r w:rsidRPr="001F505E">
        <w:rPr>
          <w:lang w:val="sq-AL" w:eastAsia="en-US"/>
        </w:rPr>
        <w:t xml:space="preserve"> t</w:t>
      </w:r>
      <w:r w:rsidR="00AC3206" w:rsidRPr="001F505E">
        <w:rPr>
          <w:lang w:val="sq-AL" w:eastAsia="en-US"/>
        </w:rPr>
        <w:t>ë</w:t>
      </w:r>
      <w:r w:rsidRPr="001F505E">
        <w:rPr>
          <w:lang w:val="sq-AL" w:eastAsia="en-US"/>
        </w:rPr>
        <w:t xml:space="preserve"> ardhurave. Kategorit</w:t>
      </w:r>
      <w:r w:rsidR="00AC3206" w:rsidRPr="001F505E">
        <w:rPr>
          <w:lang w:val="sq-AL" w:eastAsia="en-US"/>
        </w:rPr>
        <w:t>ë</w:t>
      </w:r>
      <w:r w:rsidRPr="001F505E">
        <w:rPr>
          <w:lang w:val="sq-AL" w:eastAsia="en-US"/>
        </w:rPr>
        <w:t xml:space="preserve"> m</w:t>
      </w:r>
      <w:r w:rsidR="00AC3206" w:rsidRPr="001F505E">
        <w:rPr>
          <w:lang w:val="sq-AL" w:eastAsia="en-US"/>
        </w:rPr>
        <w:t>ë</w:t>
      </w:r>
      <w:r w:rsidRPr="001F505E">
        <w:rPr>
          <w:lang w:val="sq-AL" w:eastAsia="en-US"/>
        </w:rPr>
        <w:t xml:space="preserve"> t</w:t>
      </w:r>
      <w:r w:rsidR="00AC3206" w:rsidRPr="001F505E">
        <w:rPr>
          <w:lang w:val="sq-AL" w:eastAsia="en-US"/>
        </w:rPr>
        <w:t>ë</w:t>
      </w:r>
      <w:r w:rsidRPr="001F505E">
        <w:rPr>
          <w:lang w:val="sq-AL" w:eastAsia="en-US"/>
        </w:rPr>
        <w:t xml:space="preserve"> r</w:t>
      </w:r>
      <w:r w:rsidR="00AC3206" w:rsidRPr="001F505E">
        <w:rPr>
          <w:lang w:val="sq-AL" w:eastAsia="en-US"/>
        </w:rPr>
        <w:t>ë</w:t>
      </w:r>
      <w:r w:rsidRPr="001F505E">
        <w:rPr>
          <w:lang w:val="sq-AL" w:eastAsia="en-US"/>
        </w:rPr>
        <w:t>nd</w:t>
      </w:r>
      <w:r w:rsidR="00AC3206" w:rsidRPr="001F505E">
        <w:rPr>
          <w:lang w:val="sq-AL" w:eastAsia="en-US"/>
        </w:rPr>
        <w:t>ës</w:t>
      </w:r>
      <w:r w:rsidRPr="001F505E">
        <w:rPr>
          <w:lang w:val="sq-AL" w:eastAsia="en-US"/>
        </w:rPr>
        <w:t>ishme t</w:t>
      </w:r>
      <w:r w:rsidR="00AC3206" w:rsidRPr="001F505E">
        <w:rPr>
          <w:lang w:val="sq-AL" w:eastAsia="en-US"/>
        </w:rPr>
        <w:t>ë</w:t>
      </w:r>
      <w:r w:rsidRPr="001F505E">
        <w:rPr>
          <w:lang w:val="sq-AL" w:eastAsia="en-US"/>
        </w:rPr>
        <w:t xml:space="preserve"> k</w:t>
      </w:r>
      <w:r w:rsidR="00AC3206" w:rsidRPr="001F505E">
        <w:rPr>
          <w:lang w:val="sq-AL" w:eastAsia="en-US"/>
        </w:rPr>
        <w:t>ë</w:t>
      </w:r>
      <w:r w:rsidRPr="001F505E">
        <w:rPr>
          <w:lang w:val="sq-AL" w:eastAsia="en-US"/>
        </w:rPr>
        <w:t>tij grupi jan</w:t>
      </w:r>
      <w:r w:rsidR="00AC3206" w:rsidRPr="001F505E">
        <w:rPr>
          <w:lang w:val="sq-AL" w:eastAsia="en-US"/>
        </w:rPr>
        <w:t>ë</w:t>
      </w:r>
      <w:r w:rsidRPr="001F505E">
        <w:rPr>
          <w:lang w:val="sq-AL" w:eastAsia="en-US"/>
        </w:rPr>
        <w:t>: tran</w:t>
      </w:r>
      <w:r w:rsidR="00AC3206" w:rsidRPr="001F505E">
        <w:rPr>
          <w:lang w:val="sq-AL" w:eastAsia="en-US"/>
        </w:rPr>
        <w:t>s</w:t>
      </w:r>
      <w:r w:rsidRPr="001F505E">
        <w:rPr>
          <w:lang w:val="sq-AL" w:eastAsia="en-US"/>
        </w:rPr>
        <w:t>ferimi i fitimit nga Banka e Shqip</w:t>
      </w:r>
      <w:r w:rsidR="00AC3206" w:rsidRPr="001F505E">
        <w:rPr>
          <w:lang w:val="sq-AL" w:eastAsia="en-US"/>
        </w:rPr>
        <w:t>ë</w:t>
      </w:r>
      <w:r w:rsidRPr="001F505E">
        <w:rPr>
          <w:lang w:val="sq-AL" w:eastAsia="en-US"/>
        </w:rPr>
        <w:t>ris</w:t>
      </w:r>
      <w:r w:rsidR="00AC3206" w:rsidRPr="001F505E">
        <w:rPr>
          <w:lang w:val="sq-AL" w:eastAsia="en-US"/>
        </w:rPr>
        <w:t>ë</w:t>
      </w:r>
      <w:r w:rsidRPr="001F505E">
        <w:rPr>
          <w:lang w:val="sq-AL" w:eastAsia="en-US"/>
        </w:rPr>
        <w:t>, t</w:t>
      </w:r>
      <w:r w:rsidR="00AC3206" w:rsidRPr="001F505E">
        <w:rPr>
          <w:lang w:val="sq-AL" w:eastAsia="en-US"/>
        </w:rPr>
        <w:t>ë</w:t>
      </w:r>
      <w:r w:rsidRPr="001F505E">
        <w:rPr>
          <w:lang w:val="sq-AL" w:eastAsia="en-US"/>
        </w:rPr>
        <w:t xml:space="preserve"> ardhura nga dividend</w:t>
      </w:r>
      <w:r w:rsidR="00AC3206" w:rsidRPr="001F505E">
        <w:rPr>
          <w:lang w:val="sq-AL" w:eastAsia="en-US"/>
        </w:rPr>
        <w:t>ë</w:t>
      </w:r>
      <w:r w:rsidRPr="001F505E">
        <w:rPr>
          <w:lang w:val="sq-AL" w:eastAsia="en-US"/>
        </w:rPr>
        <w:t>, tarifat e sh</w:t>
      </w:r>
      <w:r w:rsidR="00AC3206" w:rsidRPr="001F505E">
        <w:rPr>
          <w:lang w:val="sq-AL" w:eastAsia="en-US"/>
        </w:rPr>
        <w:t>ërbimeve dhe të</w:t>
      </w:r>
      <w:r w:rsidRPr="001F505E">
        <w:rPr>
          <w:lang w:val="sq-AL" w:eastAsia="en-US"/>
        </w:rPr>
        <w:t xml:space="preserve"> ardhurat nga institucionet buxhetore. P</w:t>
      </w:r>
      <w:r w:rsidR="00AC3206" w:rsidRPr="001F505E">
        <w:rPr>
          <w:lang w:val="sq-AL" w:eastAsia="en-US"/>
        </w:rPr>
        <w:t>ë</w:t>
      </w:r>
      <w:r w:rsidRPr="001F505E">
        <w:rPr>
          <w:lang w:val="sq-AL" w:eastAsia="en-US"/>
        </w:rPr>
        <w:t xml:space="preserve">r </w:t>
      </w:r>
      <w:r w:rsidR="00F60BA7">
        <w:rPr>
          <w:lang w:val="sq-AL" w:eastAsia="en-US"/>
        </w:rPr>
        <w:t>periudh</w:t>
      </w:r>
      <w:r w:rsidR="004B355A">
        <w:rPr>
          <w:lang w:val="sq-AL" w:eastAsia="en-US"/>
        </w:rPr>
        <w:t>ë</w:t>
      </w:r>
      <w:r w:rsidR="00F60BA7">
        <w:rPr>
          <w:lang w:val="sq-AL" w:eastAsia="en-US"/>
        </w:rPr>
        <w:t>n 7</w:t>
      </w:r>
      <w:r w:rsidR="00CB3920">
        <w:rPr>
          <w:lang w:val="sq-AL" w:eastAsia="en-US"/>
        </w:rPr>
        <w:t xml:space="preserve"> m</w:t>
      </w:r>
      <w:r w:rsidR="00F60BA7">
        <w:rPr>
          <w:lang w:val="sq-AL" w:eastAsia="en-US"/>
        </w:rPr>
        <w:t>ujore</w:t>
      </w:r>
      <w:r w:rsidR="00AC3206" w:rsidRPr="001F505E">
        <w:rPr>
          <w:lang w:val="sq-AL" w:eastAsia="en-US"/>
        </w:rPr>
        <w:t xml:space="preserve"> 2013 të</w:t>
      </w:r>
      <w:r w:rsidRPr="001F505E">
        <w:rPr>
          <w:lang w:val="sq-AL" w:eastAsia="en-US"/>
        </w:rPr>
        <w:t xml:space="preserve"> ardhurat jo tatimore jan</w:t>
      </w:r>
      <w:r w:rsidR="00AC3206" w:rsidRPr="001F505E">
        <w:rPr>
          <w:lang w:val="sq-AL" w:eastAsia="en-US"/>
        </w:rPr>
        <w:t>ë</w:t>
      </w:r>
      <w:r w:rsidRPr="001F505E">
        <w:rPr>
          <w:lang w:val="sq-AL" w:eastAsia="en-US"/>
        </w:rPr>
        <w:t xml:space="preserve"> </w:t>
      </w:r>
      <w:r w:rsidR="00F60BA7">
        <w:rPr>
          <w:lang w:val="sq-AL" w:eastAsia="en-US"/>
        </w:rPr>
        <w:t>15.3</w:t>
      </w:r>
      <w:r w:rsidRPr="001F505E">
        <w:rPr>
          <w:lang w:val="sq-AL" w:eastAsia="en-US"/>
        </w:rPr>
        <w:t xml:space="preserve"> miliard</w:t>
      </w:r>
      <w:r w:rsidR="00AC3206" w:rsidRPr="001F505E">
        <w:rPr>
          <w:lang w:val="sq-AL" w:eastAsia="en-US"/>
        </w:rPr>
        <w:t>ë</w:t>
      </w:r>
      <w:r w:rsidR="00F60BA7">
        <w:rPr>
          <w:lang w:val="sq-AL" w:eastAsia="en-US"/>
        </w:rPr>
        <w:t xml:space="preserve"> (rreth nivelit t</w:t>
      </w:r>
      <w:r w:rsidR="004B355A">
        <w:rPr>
          <w:lang w:val="sq-AL" w:eastAsia="en-US"/>
        </w:rPr>
        <w:t>ë</w:t>
      </w:r>
      <w:r w:rsidR="00F60BA7">
        <w:rPr>
          <w:lang w:val="sq-AL" w:eastAsia="en-US"/>
        </w:rPr>
        <w:t xml:space="preserve"> nj</w:t>
      </w:r>
      <w:r w:rsidR="004B355A">
        <w:rPr>
          <w:lang w:val="sq-AL" w:eastAsia="en-US"/>
        </w:rPr>
        <w:t>ë</w:t>
      </w:r>
      <w:r w:rsidR="00F60BA7">
        <w:rPr>
          <w:lang w:val="sq-AL" w:eastAsia="en-US"/>
        </w:rPr>
        <w:t xml:space="preserve"> viti m</w:t>
      </w:r>
      <w:r w:rsidR="004B355A">
        <w:rPr>
          <w:lang w:val="sq-AL" w:eastAsia="en-US"/>
        </w:rPr>
        <w:t>ë</w:t>
      </w:r>
      <w:r w:rsidR="00F60BA7">
        <w:rPr>
          <w:lang w:val="sq-AL" w:eastAsia="en-US"/>
        </w:rPr>
        <w:t xml:space="preserve"> par</w:t>
      </w:r>
      <w:r w:rsidR="004B355A">
        <w:rPr>
          <w:lang w:val="sq-AL" w:eastAsia="en-US"/>
        </w:rPr>
        <w:t>ë</w:t>
      </w:r>
      <w:r w:rsidR="00F60BA7">
        <w:rPr>
          <w:lang w:val="sq-AL" w:eastAsia="en-US"/>
        </w:rPr>
        <w:t>)</w:t>
      </w:r>
      <w:r w:rsidRPr="001F505E">
        <w:rPr>
          <w:lang w:val="sq-AL" w:eastAsia="en-US"/>
        </w:rPr>
        <w:t xml:space="preserve">, me </w:t>
      </w:r>
      <w:r w:rsidR="00F60BA7">
        <w:rPr>
          <w:lang w:val="sq-AL" w:eastAsia="en-US"/>
        </w:rPr>
        <w:t>40.1 p</w:t>
      </w:r>
      <w:r w:rsidR="004B355A">
        <w:rPr>
          <w:lang w:val="sq-AL" w:eastAsia="en-US"/>
        </w:rPr>
        <w:t>ë</w:t>
      </w:r>
      <w:r w:rsidR="00F60BA7">
        <w:rPr>
          <w:lang w:val="sq-AL" w:eastAsia="en-US"/>
        </w:rPr>
        <w:t>rqind mbi parashikimin e periudh</w:t>
      </w:r>
      <w:r w:rsidR="004B355A">
        <w:rPr>
          <w:lang w:val="sq-AL" w:eastAsia="en-US"/>
        </w:rPr>
        <w:t>ë</w:t>
      </w:r>
      <w:r w:rsidR="00F60BA7">
        <w:rPr>
          <w:lang w:val="sq-AL" w:eastAsia="en-US"/>
        </w:rPr>
        <w:t xml:space="preserve">s. </w:t>
      </w:r>
    </w:p>
    <w:p w:rsidR="00D1522A" w:rsidRPr="001F505E" w:rsidRDefault="00D1522A">
      <w:pPr>
        <w:spacing w:before="0" w:after="0"/>
        <w:jc w:val="left"/>
        <w:rPr>
          <w:sz w:val="28"/>
          <w:szCs w:val="28"/>
          <w:lang w:val="sq-AL" w:eastAsia="en-US"/>
        </w:rPr>
      </w:pPr>
      <w:r w:rsidRPr="001F505E">
        <w:rPr>
          <w:sz w:val="28"/>
          <w:szCs w:val="28"/>
          <w:lang w:val="sq-AL" w:eastAsia="en-US"/>
        </w:rPr>
        <w:br w:type="page"/>
      </w:r>
    </w:p>
    <w:p w:rsidR="00E0153D" w:rsidRPr="001F505E" w:rsidRDefault="00E0153D" w:rsidP="00E0153D">
      <w:pPr>
        <w:pStyle w:val="Heading1"/>
        <w:rPr>
          <w:noProof/>
          <w:lang w:val="sq-AL"/>
        </w:rPr>
      </w:pPr>
      <w:bookmarkStart w:id="12" w:name="_Toc367712692"/>
      <w:r w:rsidRPr="001F505E">
        <w:rPr>
          <w:noProof/>
          <w:lang w:val="sq-AL"/>
        </w:rPr>
        <w:lastRenderedPageBreak/>
        <w:t>Analiza e shpenzimeve p</w:t>
      </w:r>
      <w:r w:rsidR="00C37184" w:rsidRPr="001F505E">
        <w:rPr>
          <w:noProof/>
          <w:lang w:val="sq-AL"/>
        </w:rPr>
        <w:t>Ë</w:t>
      </w:r>
      <w:r w:rsidR="00062306" w:rsidRPr="001F505E">
        <w:rPr>
          <w:noProof/>
          <w:lang w:val="sq-AL"/>
        </w:rPr>
        <w:t>r periudhË</w:t>
      </w:r>
      <w:r w:rsidRPr="001F505E">
        <w:rPr>
          <w:noProof/>
          <w:lang w:val="sq-AL"/>
        </w:rPr>
        <w:t>n janar-</w:t>
      </w:r>
      <w:r w:rsidR="0031704F">
        <w:rPr>
          <w:noProof/>
          <w:lang w:val="sq-AL"/>
        </w:rPr>
        <w:t>korrik</w:t>
      </w:r>
      <w:r w:rsidRPr="001F505E">
        <w:rPr>
          <w:noProof/>
          <w:lang w:val="sq-AL"/>
        </w:rPr>
        <w:t xml:space="preserve"> 2013</w:t>
      </w:r>
      <w:bookmarkEnd w:id="12"/>
    </w:p>
    <w:p w:rsidR="00E0153D" w:rsidRPr="001F505E" w:rsidRDefault="00E0153D" w:rsidP="003F4270">
      <w:pPr>
        <w:pStyle w:val="Heading3"/>
        <w:rPr>
          <w:noProof/>
          <w:lang w:val="sq-AL"/>
        </w:rPr>
      </w:pPr>
      <w:bookmarkStart w:id="13" w:name="_Toc367712693"/>
      <w:r w:rsidRPr="001F505E">
        <w:rPr>
          <w:noProof/>
          <w:lang w:val="sq-AL"/>
        </w:rPr>
        <w:t>Vështrim i përgjiths</w:t>
      </w:r>
      <w:r w:rsidR="00FC6ACD" w:rsidRPr="001F505E">
        <w:rPr>
          <w:noProof/>
          <w:lang w:val="sq-AL"/>
        </w:rPr>
        <w:t>hem</w:t>
      </w:r>
      <w:bookmarkEnd w:id="13"/>
    </w:p>
    <w:p w:rsidR="0005363B" w:rsidRPr="0005363B" w:rsidRDefault="0005363B" w:rsidP="009614B9">
      <w:pPr>
        <w:rPr>
          <w:lang w:val="sq-AL"/>
        </w:rPr>
      </w:pPr>
      <w:r w:rsidRPr="0005363B">
        <w:rPr>
          <w:lang w:val="sq-AL"/>
        </w:rPr>
        <w:t xml:space="preserve">Shpenzimet e përgjithshme </w:t>
      </w:r>
      <w:r w:rsidR="00CB3920">
        <w:rPr>
          <w:lang w:val="sq-AL"/>
        </w:rPr>
        <w:t>të buxhetit, në fund të muajit K</w:t>
      </w:r>
      <w:r w:rsidRPr="0005363B">
        <w:rPr>
          <w:lang w:val="sq-AL"/>
        </w:rPr>
        <w:t>orrik 2013, arritën në rreth 233.1 miliardë lekë, nga rreth 240.4 miliardë lekë të parashikuara për këtë periudhë, duke u realizuar në rreth 97.0 përqind të parashikimit të periudhës ose me një mosrealizi</w:t>
      </w:r>
      <w:r w:rsidR="00CB3920">
        <w:rPr>
          <w:lang w:val="sq-AL"/>
        </w:rPr>
        <w:t>m prej rreth 7.3 miliardë lekë.</w:t>
      </w:r>
    </w:p>
    <w:p w:rsidR="0005363B" w:rsidRPr="0005363B" w:rsidRDefault="0005363B" w:rsidP="009614B9">
      <w:pPr>
        <w:rPr>
          <w:lang w:val="sq-AL"/>
        </w:rPr>
      </w:pPr>
      <w:r w:rsidRPr="0005363B">
        <w:rPr>
          <w:lang w:val="sq-AL"/>
        </w:rPr>
        <w:t>Në analiz</w:t>
      </w:r>
      <w:r w:rsidR="00CB3920">
        <w:rPr>
          <w:lang w:val="sq-AL"/>
        </w:rPr>
        <w:t>ën e shpenzimeve për periudhën Janar- K</w:t>
      </w:r>
      <w:r w:rsidRPr="0005363B">
        <w:rPr>
          <w:lang w:val="sq-AL"/>
        </w:rPr>
        <w:t>orrik 2013 duhet mbajtur parasysh fakti se në realizimin faktik të tyre, janë përfshirë edhe shpenzimet nga fondi rezervë i Këshillit të Minist</w:t>
      </w:r>
      <w:r w:rsidR="001C3FF7">
        <w:rPr>
          <w:lang w:val="sq-AL"/>
        </w:rPr>
        <w:t>rave dhe nga fondi i kontigjencës për ruajtjen e defiç</w:t>
      </w:r>
      <w:r w:rsidRPr="0005363B">
        <w:rPr>
          <w:lang w:val="sq-AL"/>
        </w:rPr>
        <w:t>itit.</w:t>
      </w:r>
    </w:p>
    <w:p w:rsidR="0005363B" w:rsidRPr="0005363B" w:rsidRDefault="001C3FF7" w:rsidP="009614B9">
      <w:pPr>
        <w:rPr>
          <w:lang w:val="sq-AL"/>
        </w:rPr>
      </w:pPr>
      <w:r>
        <w:rPr>
          <w:lang w:val="sq-AL"/>
        </w:rPr>
        <w:t>•</w:t>
      </w:r>
      <w:r>
        <w:rPr>
          <w:lang w:val="sq-AL"/>
        </w:rPr>
        <w:tab/>
        <w:t>Fondi rezerve i buxhetit të</w:t>
      </w:r>
      <w:r w:rsidR="0005363B" w:rsidRPr="0005363B">
        <w:rPr>
          <w:lang w:val="sq-AL"/>
        </w:rPr>
        <w:t xml:space="preserve"> shtetit, i planifikuar p</w:t>
      </w:r>
      <w:r>
        <w:rPr>
          <w:lang w:val="sq-AL"/>
        </w:rPr>
        <w:t>ër vitin 2013, në 1.41 miliardë lekë, deri në fund të muajit Korrik, është ekzekutuar në rreth 1.37 miliardë lekë</w:t>
      </w:r>
      <w:r w:rsidR="0005363B" w:rsidRPr="0005363B">
        <w:rPr>
          <w:lang w:val="sq-AL"/>
        </w:rPr>
        <w:t xml:space="preserve">, </w:t>
      </w:r>
      <w:r>
        <w:rPr>
          <w:lang w:val="sq-AL"/>
        </w:rPr>
        <w:t>nga te cilat rreth 1.27 miliardë lekë për shpenzime t</w:t>
      </w:r>
      <w:r w:rsidR="00D52A00">
        <w:rPr>
          <w:lang w:val="sq-AL"/>
        </w:rPr>
        <w:t>ë</w:t>
      </w:r>
      <w:r w:rsidR="0005363B" w:rsidRPr="0005363B">
        <w:rPr>
          <w:lang w:val="sq-AL"/>
        </w:rPr>
        <w:t xml:space="preserve"> tjera</w:t>
      </w:r>
      <w:r>
        <w:rPr>
          <w:lang w:val="sq-AL"/>
        </w:rPr>
        <w:t xml:space="preserve"> korrente dhe rreth 99.4 milion</w:t>
      </w:r>
      <w:r w:rsidR="00D52A00">
        <w:rPr>
          <w:lang w:val="sq-AL"/>
        </w:rPr>
        <w:t>ë</w:t>
      </w:r>
      <w:r>
        <w:rPr>
          <w:lang w:val="sq-AL"/>
        </w:rPr>
        <w:t xml:space="preserve"> lek</w:t>
      </w:r>
      <w:r w:rsidR="00D52A00">
        <w:rPr>
          <w:lang w:val="sq-AL"/>
        </w:rPr>
        <w:t>ë</w:t>
      </w:r>
      <w:r>
        <w:rPr>
          <w:lang w:val="sq-AL"/>
        </w:rPr>
        <w:t xml:space="preserve"> p</w:t>
      </w:r>
      <w:r w:rsidR="00D52A00">
        <w:rPr>
          <w:lang w:val="sq-AL"/>
        </w:rPr>
        <w:t>ë</w:t>
      </w:r>
      <w:r w:rsidR="0005363B" w:rsidRPr="0005363B">
        <w:rPr>
          <w:lang w:val="sq-AL"/>
        </w:rPr>
        <w:t xml:space="preserve">r investime. </w:t>
      </w:r>
    </w:p>
    <w:p w:rsidR="0005363B" w:rsidRPr="0005363B" w:rsidRDefault="001C3FF7" w:rsidP="009614B9">
      <w:pPr>
        <w:rPr>
          <w:lang w:val="sq-AL"/>
        </w:rPr>
      </w:pPr>
      <w:r>
        <w:rPr>
          <w:lang w:val="sq-AL"/>
        </w:rPr>
        <w:t>•</w:t>
      </w:r>
      <w:r>
        <w:rPr>
          <w:lang w:val="sq-AL"/>
        </w:rPr>
        <w:tab/>
        <w:t>Fondi i kontigjenc</w:t>
      </w:r>
      <w:r w:rsidR="00D52A00">
        <w:rPr>
          <w:lang w:val="sq-AL"/>
        </w:rPr>
        <w:t>ë</w:t>
      </w:r>
      <w:r>
        <w:rPr>
          <w:lang w:val="sq-AL"/>
        </w:rPr>
        <w:t>s p</w:t>
      </w:r>
      <w:r w:rsidR="00D52A00">
        <w:rPr>
          <w:lang w:val="sq-AL"/>
        </w:rPr>
        <w:t>ë</w:t>
      </w:r>
      <w:r w:rsidR="0005363B" w:rsidRPr="0005363B">
        <w:rPr>
          <w:lang w:val="sq-AL"/>
        </w:rPr>
        <w:t xml:space="preserve">r </w:t>
      </w:r>
      <w:r>
        <w:rPr>
          <w:lang w:val="sq-AL"/>
        </w:rPr>
        <w:t>ruajtjen e defi</w:t>
      </w:r>
      <w:r w:rsidR="00D52A00">
        <w:rPr>
          <w:lang w:val="sq-AL"/>
        </w:rPr>
        <w:t>ç</w:t>
      </w:r>
      <w:r>
        <w:rPr>
          <w:lang w:val="sq-AL"/>
        </w:rPr>
        <w:t>itit, i planifikuar p</w:t>
      </w:r>
      <w:r w:rsidR="00D52A00">
        <w:rPr>
          <w:lang w:val="sq-AL"/>
        </w:rPr>
        <w:t>ë</w:t>
      </w:r>
      <w:r>
        <w:rPr>
          <w:lang w:val="sq-AL"/>
        </w:rPr>
        <w:t>r vitin 2013, n</w:t>
      </w:r>
      <w:r w:rsidR="00D52A00">
        <w:rPr>
          <w:lang w:val="sq-AL"/>
        </w:rPr>
        <w:t>ë</w:t>
      </w:r>
      <w:r>
        <w:rPr>
          <w:lang w:val="sq-AL"/>
        </w:rPr>
        <w:t xml:space="preserve"> rreth 800 milion</w:t>
      </w:r>
      <w:r w:rsidR="00D52A00">
        <w:rPr>
          <w:lang w:val="sq-AL"/>
        </w:rPr>
        <w:t>ë</w:t>
      </w:r>
      <w:r>
        <w:rPr>
          <w:lang w:val="sq-AL"/>
        </w:rPr>
        <w:t xml:space="preserve"> lek</w:t>
      </w:r>
      <w:r w:rsidR="00D52A00">
        <w:rPr>
          <w:lang w:val="sq-AL"/>
        </w:rPr>
        <w:t>ë</w:t>
      </w:r>
      <w:r>
        <w:rPr>
          <w:lang w:val="sq-AL"/>
        </w:rPr>
        <w:t>, deri n</w:t>
      </w:r>
      <w:r w:rsidR="00D52A00">
        <w:rPr>
          <w:lang w:val="sq-AL"/>
        </w:rPr>
        <w:t>ë</w:t>
      </w:r>
      <w:r>
        <w:rPr>
          <w:lang w:val="sq-AL"/>
        </w:rPr>
        <w:t xml:space="preserve"> fund t</w:t>
      </w:r>
      <w:r w:rsidR="00D52A00">
        <w:rPr>
          <w:lang w:val="sq-AL"/>
        </w:rPr>
        <w:t>ë</w:t>
      </w:r>
      <w:r>
        <w:rPr>
          <w:lang w:val="sq-AL"/>
        </w:rPr>
        <w:t xml:space="preserve"> muajit Korrik, është p</w:t>
      </w:r>
      <w:r w:rsidR="00D52A00">
        <w:rPr>
          <w:lang w:val="sq-AL"/>
        </w:rPr>
        <w:t>ë</w:t>
      </w:r>
      <w:r>
        <w:rPr>
          <w:lang w:val="sq-AL"/>
        </w:rPr>
        <w:t>rdorur n</w:t>
      </w:r>
      <w:r w:rsidR="00D52A00">
        <w:rPr>
          <w:lang w:val="sq-AL"/>
        </w:rPr>
        <w:t>ë</w:t>
      </w:r>
      <w:r>
        <w:rPr>
          <w:lang w:val="sq-AL"/>
        </w:rPr>
        <w:t xml:space="preserve"> rreth 312.6 milion</w:t>
      </w:r>
      <w:r w:rsidR="00D52A00">
        <w:rPr>
          <w:lang w:val="sq-AL"/>
        </w:rPr>
        <w:t>ë</w:t>
      </w:r>
      <w:r>
        <w:rPr>
          <w:lang w:val="sq-AL"/>
        </w:rPr>
        <w:t xml:space="preserve"> lek</w:t>
      </w:r>
      <w:r w:rsidR="00D52A00">
        <w:rPr>
          <w:lang w:val="sq-AL"/>
        </w:rPr>
        <w:t>ë</w:t>
      </w:r>
      <w:r>
        <w:rPr>
          <w:lang w:val="sq-AL"/>
        </w:rPr>
        <w:t>, nga t</w:t>
      </w:r>
      <w:r w:rsidR="00D52A00">
        <w:rPr>
          <w:lang w:val="sq-AL"/>
        </w:rPr>
        <w:t>ë</w:t>
      </w:r>
      <w:r>
        <w:rPr>
          <w:lang w:val="sq-AL"/>
        </w:rPr>
        <w:t xml:space="preserve"> cilat 200.0 milion</w:t>
      </w:r>
      <w:r w:rsidR="00D52A00">
        <w:rPr>
          <w:lang w:val="sq-AL"/>
        </w:rPr>
        <w:t>ë</w:t>
      </w:r>
      <w:r>
        <w:rPr>
          <w:lang w:val="sq-AL"/>
        </w:rPr>
        <w:t xml:space="preserve"> lek</w:t>
      </w:r>
      <w:r w:rsidR="00D52A00">
        <w:rPr>
          <w:lang w:val="sq-AL"/>
        </w:rPr>
        <w:t>ë</w:t>
      </w:r>
      <w:r>
        <w:rPr>
          <w:lang w:val="sq-AL"/>
        </w:rPr>
        <w:t xml:space="preserve"> p</w:t>
      </w:r>
      <w:r w:rsidR="00D52A00">
        <w:rPr>
          <w:lang w:val="sq-AL"/>
        </w:rPr>
        <w:t>ë</w:t>
      </w:r>
      <w:r w:rsidR="0005363B" w:rsidRPr="0005363B">
        <w:rPr>
          <w:lang w:val="sq-AL"/>
        </w:rPr>
        <w:t>r shpenzime kor</w:t>
      </w:r>
      <w:r>
        <w:rPr>
          <w:lang w:val="sq-AL"/>
        </w:rPr>
        <w:t>rente p</w:t>
      </w:r>
      <w:r w:rsidR="00D52A00">
        <w:rPr>
          <w:lang w:val="sq-AL"/>
        </w:rPr>
        <w:t>ë</w:t>
      </w:r>
      <w:r>
        <w:rPr>
          <w:lang w:val="sq-AL"/>
        </w:rPr>
        <w:t>r mb</w:t>
      </w:r>
      <w:r w:rsidR="00D52A00">
        <w:rPr>
          <w:lang w:val="sq-AL"/>
        </w:rPr>
        <w:t>ë</w:t>
      </w:r>
      <w:r>
        <w:rPr>
          <w:lang w:val="sq-AL"/>
        </w:rPr>
        <w:t>shtetje p</w:t>
      </w:r>
      <w:r w:rsidR="00D52A00">
        <w:rPr>
          <w:lang w:val="sq-AL"/>
        </w:rPr>
        <w:t>ë</w:t>
      </w:r>
      <w:r>
        <w:rPr>
          <w:lang w:val="sq-AL"/>
        </w:rPr>
        <w:t>r bujq</w:t>
      </w:r>
      <w:r w:rsidR="00D52A00">
        <w:rPr>
          <w:lang w:val="sq-AL"/>
        </w:rPr>
        <w:t>ë</w:t>
      </w:r>
      <w:r>
        <w:rPr>
          <w:lang w:val="sq-AL"/>
        </w:rPr>
        <w:t>sin</w:t>
      </w:r>
      <w:r w:rsidR="00D52A00">
        <w:rPr>
          <w:lang w:val="sq-AL"/>
        </w:rPr>
        <w:t>ë</w:t>
      </w:r>
      <w:r w:rsidR="0005363B" w:rsidRPr="0005363B">
        <w:rPr>
          <w:lang w:val="sq-AL"/>
        </w:rPr>
        <w:t xml:space="preserve"> dhe zhvillimin rura</w:t>
      </w:r>
      <w:r>
        <w:rPr>
          <w:lang w:val="sq-AL"/>
        </w:rPr>
        <w:t>l dhe rreth 112.6 milion</w:t>
      </w:r>
      <w:r w:rsidR="00D52A00">
        <w:rPr>
          <w:lang w:val="sq-AL"/>
        </w:rPr>
        <w:t>ë</w:t>
      </w:r>
      <w:r>
        <w:rPr>
          <w:lang w:val="sq-AL"/>
        </w:rPr>
        <w:t xml:space="preserve"> lek</w:t>
      </w:r>
      <w:r w:rsidR="00D52A00">
        <w:rPr>
          <w:lang w:val="sq-AL"/>
        </w:rPr>
        <w:t>ë</w:t>
      </w:r>
      <w:r>
        <w:rPr>
          <w:lang w:val="sq-AL"/>
        </w:rPr>
        <w:t xml:space="preserve"> p</w:t>
      </w:r>
      <w:r w:rsidR="00D52A00">
        <w:rPr>
          <w:lang w:val="sq-AL"/>
        </w:rPr>
        <w:t>ë</w:t>
      </w:r>
      <w:r w:rsidR="0005363B" w:rsidRPr="0005363B">
        <w:rPr>
          <w:lang w:val="sq-AL"/>
        </w:rPr>
        <w:t xml:space="preserve">r investime. </w:t>
      </w:r>
    </w:p>
    <w:p w:rsidR="0005363B" w:rsidRDefault="001C3FF7" w:rsidP="009614B9">
      <w:pPr>
        <w:rPr>
          <w:lang w:val="sq-AL"/>
        </w:rPr>
      </w:pPr>
      <w:r>
        <w:rPr>
          <w:lang w:val="sq-AL"/>
        </w:rPr>
        <w:t>Krahasuar me planin vjetor, (q</w:t>
      </w:r>
      <w:r w:rsidR="00D52A00">
        <w:rPr>
          <w:lang w:val="sq-AL"/>
        </w:rPr>
        <w:t>ë</w:t>
      </w:r>
      <w:r>
        <w:rPr>
          <w:lang w:val="sq-AL"/>
        </w:rPr>
        <w:t xml:space="preserve"> p</w:t>
      </w:r>
      <w:r w:rsidR="00D52A00">
        <w:rPr>
          <w:lang w:val="sq-AL"/>
        </w:rPr>
        <w:t>ë</w:t>
      </w:r>
      <w:r>
        <w:rPr>
          <w:lang w:val="sq-AL"/>
        </w:rPr>
        <w:t>rfshin edhe t</w:t>
      </w:r>
      <w:r w:rsidR="00D52A00">
        <w:rPr>
          <w:lang w:val="sq-AL"/>
        </w:rPr>
        <w:t>ë</w:t>
      </w:r>
      <w:r>
        <w:rPr>
          <w:lang w:val="sq-AL"/>
        </w:rPr>
        <w:t xml:space="preserve"> hyrat e privatizimit t</w:t>
      </w:r>
      <w:r w:rsidR="00D52A00">
        <w:rPr>
          <w:lang w:val="sq-AL"/>
        </w:rPr>
        <w:t>ë</w:t>
      </w:r>
      <w:r>
        <w:rPr>
          <w:lang w:val="sq-AL"/>
        </w:rPr>
        <w:t xml:space="preserve"> kat</w:t>
      </w:r>
      <w:r w:rsidR="00D52A00">
        <w:rPr>
          <w:lang w:val="sq-AL"/>
        </w:rPr>
        <w:t>ë</w:t>
      </w:r>
      <w:r w:rsidR="0005363B" w:rsidRPr="0005363B">
        <w:rPr>
          <w:lang w:val="sq-AL"/>
        </w:rPr>
        <w:t>r hidrocentraleve), këto shpenzime janë realizuar në rreth 55.3 përqind, ndërsa kundrejt të njëjtës periudhë të një viti më parë, sh</w:t>
      </w:r>
      <w:r>
        <w:rPr>
          <w:lang w:val="sq-AL"/>
        </w:rPr>
        <w:t>penzimet buxhetore rezultojn</w:t>
      </w:r>
      <w:r w:rsidR="00D52A00">
        <w:rPr>
          <w:lang w:val="sq-AL"/>
        </w:rPr>
        <w:t>ë</w:t>
      </w:r>
      <w:r w:rsidR="0005363B" w:rsidRPr="0005363B">
        <w:rPr>
          <w:lang w:val="sq-AL"/>
        </w:rPr>
        <w:t xml:space="preserve"> r</w:t>
      </w:r>
      <w:r>
        <w:rPr>
          <w:lang w:val="sq-AL"/>
        </w:rPr>
        <w:t>reth 22.0 miliardë lekë më shum</w:t>
      </w:r>
      <w:r w:rsidR="00D52A00">
        <w:rPr>
          <w:lang w:val="sq-AL"/>
        </w:rPr>
        <w:t>ë</w:t>
      </w:r>
      <w:r w:rsidR="0005363B" w:rsidRPr="0005363B">
        <w:rPr>
          <w:lang w:val="sq-AL"/>
        </w:rPr>
        <w:t xml:space="preserve"> ose rreth 10.4 përqind më të larta. Ecuria e shpenzimeve buxhetore në shumë absolute si dhe ritmi </w:t>
      </w:r>
      <w:r>
        <w:rPr>
          <w:lang w:val="sq-AL"/>
        </w:rPr>
        <w:t>i rritjes së tyre gjatë periudh</w:t>
      </w:r>
      <w:r w:rsidR="00D52A00">
        <w:rPr>
          <w:lang w:val="sq-AL"/>
        </w:rPr>
        <w:t>ë</w:t>
      </w:r>
      <w:r>
        <w:rPr>
          <w:lang w:val="sq-AL"/>
        </w:rPr>
        <w:t>s Janar-K</w:t>
      </w:r>
      <w:r w:rsidR="0005363B" w:rsidRPr="0005363B">
        <w:rPr>
          <w:lang w:val="sq-AL"/>
        </w:rPr>
        <w:t>orrik, në disa vite, jepet në grafikun e mëposhtëm:</w:t>
      </w:r>
    </w:p>
    <w:p w:rsidR="00E0153D" w:rsidRPr="001F505E" w:rsidRDefault="00E0153D" w:rsidP="009614B9">
      <w:pPr>
        <w:rPr>
          <w:lang w:val="sq-AL"/>
        </w:rPr>
      </w:pPr>
      <w:r w:rsidRPr="001F505E">
        <w:rPr>
          <w:lang w:val="sq-AL"/>
        </w:rPr>
        <w:t>S</w:t>
      </w:r>
      <w:r w:rsidR="001C3FF7">
        <w:rPr>
          <w:lang w:val="sq-AL"/>
        </w:rPr>
        <w:t>hpenzimet e përgjithshme J</w:t>
      </w:r>
      <w:r w:rsidRPr="001F505E">
        <w:rPr>
          <w:lang w:val="sq-AL"/>
        </w:rPr>
        <w:t>anar</w:t>
      </w:r>
      <w:r w:rsidR="001C3FF7">
        <w:rPr>
          <w:lang w:val="sq-AL"/>
        </w:rPr>
        <w:t xml:space="preserve"> </w:t>
      </w:r>
      <w:r w:rsidRPr="001F505E">
        <w:rPr>
          <w:lang w:val="sq-AL"/>
        </w:rPr>
        <w:t>-</w:t>
      </w:r>
      <w:r w:rsidR="001C3FF7">
        <w:rPr>
          <w:lang w:val="sq-AL"/>
        </w:rPr>
        <w:t xml:space="preserve"> </w:t>
      </w:r>
      <w:r w:rsidR="00A92958">
        <w:rPr>
          <w:lang w:val="sq-AL"/>
        </w:rPr>
        <w:t>Korrik</w:t>
      </w:r>
      <w:r w:rsidRPr="001F505E">
        <w:rPr>
          <w:lang w:val="sq-AL"/>
        </w:rPr>
        <w:t xml:space="preserve"> në vite</w:t>
      </w:r>
    </w:p>
    <w:p w:rsidR="00E0153D" w:rsidRPr="001F505E" w:rsidRDefault="008E3C2C" w:rsidP="0031704F">
      <w:pPr>
        <w:ind w:left="60"/>
        <w:jc w:val="left"/>
        <w:rPr>
          <w:lang w:val="sq-AL"/>
        </w:rPr>
      </w:pPr>
      <w:r>
        <w:rPr>
          <w:noProof/>
          <w:lang w:val="sq-AL" w:eastAsia="sq-AL"/>
        </w:rPr>
        <w:drawing>
          <wp:inline distT="0" distB="0" distL="0" distR="0">
            <wp:extent cx="3821430" cy="2113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821430" cy="2113280"/>
                    </a:xfrm>
                    <a:prstGeom prst="rect">
                      <a:avLst/>
                    </a:prstGeom>
                    <a:noFill/>
                    <a:ln w="9525">
                      <a:noFill/>
                      <a:miter lim="800000"/>
                      <a:headEnd/>
                      <a:tailEnd/>
                    </a:ln>
                  </pic:spPr>
                </pic:pic>
              </a:graphicData>
            </a:graphic>
          </wp:inline>
        </w:drawing>
      </w:r>
    </w:p>
    <w:p w:rsidR="00FC6ACD" w:rsidRPr="001F505E" w:rsidRDefault="00FC6ACD" w:rsidP="009614B9">
      <w:pPr>
        <w:rPr>
          <w:b/>
          <w:bCs/>
          <w:noProof/>
          <w:lang w:val="sq-AL"/>
        </w:rPr>
      </w:pPr>
    </w:p>
    <w:p w:rsidR="00E0153D" w:rsidRPr="001F505E" w:rsidRDefault="00E0153D" w:rsidP="009614B9">
      <w:pPr>
        <w:pStyle w:val="Heading3"/>
        <w:rPr>
          <w:noProof/>
          <w:lang w:val="sq-AL"/>
        </w:rPr>
      </w:pPr>
      <w:bookmarkStart w:id="14" w:name="_Toc367712694"/>
      <w:r w:rsidRPr="001F505E">
        <w:rPr>
          <w:noProof/>
          <w:lang w:val="sq-AL"/>
        </w:rPr>
        <w:t>Shpenzimet Korrente</w:t>
      </w:r>
      <w:bookmarkEnd w:id="14"/>
    </w:p>
    <w:p w:rsidR="00E0153D" w:rsidRPr="001F505E" w:rsidRDefault="00E0153D" w:rsidP="009614B9">
      <w:pPr>
        <w:rPr>
          <w:bCs/>
          <w:lang w:val="sq-AL"/>
        </w:rPr>
      </w:pPr>
      <w:r w:rsidRPr="001F505E">
        <w:rPr>
          <w:b/>
          <w:lang w:val="sq-AL"/>
        </w:rPr>
        <w:t>Shpenzimet ko</w:t>
      </w:r>
      <w:r w:rsidR="00680F88" w:rsidRPr="001F505E">
        <w:rPr>
          <w:b/>
          <w:lang w:val="sq-AL"/>
        </w:rPr>
        <w:t>r</w:t>
      </w:r>
      <w:r w:rsidRPr="001F505E">
        <w:rPr>
          <w:b/>
          <w:lang w:val="sq-AL"/>
        </w:rPr>
        <w:t>rente</w:t>
      </w:r>
      <w:r w:rsidRPr="001F505E">
        <w:rPr>
          <w:bCs/>
          <w:lang w:val="sq-AL"/>
        </w:rPr>
        <w:t xml:space="preserve"> </w:t>
      </w:r>
      <w:r w:rsidR="0005363B" w:rsidRPr="0005363B">
        <w:rPr>
          <w:bCs/>
          <w:lang w:val="sq-AL"/>
        </w:rPr>
        <w:t>në fund të muajit korrik 2013, kanë arritur në rreth 189.1 miliardë lekë. Krahasuar me planin vjetor këto shpenzime janë realizuar në rreth 56.2 përqind, ndërkohë që krahasuar me të njëjtën periudhë të vitit të kaluar, këto shpenzime rezultojnë rreth 11.9 miliardë lekë më të larta ose rreth 6.7 përqind më shumë</w:t>
      </w:r>
      <w:r w:rsidRPr="001F505E">
        <w:rPr>
          <w:bCs/>
          <w:lang w:val="sq-AL"/>
        </w:rPr>
        <w:t>.</w:t>
      </w:r>
    </w:p>
    <w:p w:rsidR="00FC6ACD" w:rsidRPr="001F505E" w:rsidRDefault="00FC6ACD" w:rsidP="009614B9">
      <w:pPr>
        <w:rPr>
          <w:bCs/>
          <w:lang w:val="sq-AL"/>
        </w:rPr>
      </w:pPr>
    </w:p>
    <w:p w:rsidR="00E0153D" w:rsidRPr="001F505E" w:rsidRDefault="001C3FF7" w:rsidP="009614B9">
      <w:pPr>
        <w:rPr>
          <w:bCs/>
          <w:lang w:val="sq-AL"/>
        </w:rPr>
      </w:pPr>
      <w:r>
        <w:rPr>
          <w:bCs/>
          <w:lang w:val="sq-AL"/>
        </w:rPr>
        <w:lastRenderedPageBreak/>
        <w:t>Shpenzimet K</w:t>
      </w:r>
      <w:r w:rsidR="00E0153D" w:rsidRPr="001F505E">
        <w:rPr>
          <w:bCs/>
          <w:lang w:val="sq-AL"/>
        </w:rPr>
        <w:t>or</w:t>
      </w:r>
      <w:r w:rsidR="00785445" w:rsidRPr="001F505E">
        <w:rPr>
          <w:bCs/>
          <w:lang w:val="sq-AL"/>
        </w:rPr>
        <w:t>r</w:t>
      </w:r>
      <w:r>
        <w:rPr>
          <w:bCs/>
          <w:lang w:val="sq-AL"/>
        </w:rPr>
        <w:t>ent</w:t>
      </w:r>
      <w:r w:rsidR="0031704F">
        <w:rPr>
          <w:bCs/>
          <w:lang w:val="sq-AL"/>
        </w:rPr>
        <w:t>e</w:t>
      </w:r>
      <w:r>
        <w:rPr>
          <w:bCs/>
          <w:lang w:val="sq-AL"/>
        </w:rPr>
        <w:t xml:space="preserve"> J</w:t>
      </w:r>
      <w:r w:rsidR="00E0153D" w:rsidRPr="001F505E">
        <w:rPr>
          <w:bCs/>
          <w:lang w:val="sq-AL"/>
        </w:rPr>
        <w:t>anar</w:t>
      </w:r>
      <w:r>
        <w:rPr>
          <w:bCs/>
          <w:lang w:val="sq-AL"/>
        </w:rPr>
        <w:t xml:space="preserve"> - </w:t>
      </w:r>
      <w:r w:rsidR="00A92958">
        <w:rPr>
          <w:bCs/>
          <w:lang w:val="sq-AL"/>
        </w:rPr>
        <w:t>Korrik</w:t>
      </w:r>
    </w:p>
    <w:p w:rsidR="00E0153D" w:rsidRPr="001F505E" w:rsidRDefault="008E3C2C" w:rsidP="009614B9">
      <w:pPr>
        <w:rPr>
          <w:bCs/>
          <w:lang w:val="sq-AL"/>
        </w:rPr>
      </w:pPr>
      <w:r>
        <w:rPr>
          <w:noProof/>
          <w:lang w:val="sq-AL" w:eastAsia="sq-AL"/>
        </w:rPr>
        <w:drawing>
          <wp:inline distT="0" distB="0" distL="0" distR="0">
            <wp:extent cx="4287520" cy="2035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287520" cy="2035810"/>
                    </a:xfrm>
                    <a:prstGeom prst="rect">
                      <a:avLst/>
                    </a:prstGeom>
                    <a:noFill/>
                    <a:ln w="9525">
                      <a:noFill/>
                      <a:miter lim="800000"/>
                      <a:headEnd/>
                      <a:tailEnd/>
                    </a:ln>
                  </pic:spPr>
                </pic:pic>
              </a:graphicData>
            </a:graphic>
          </wp:inline>
        </w:drawing>
      </w:r>
    </w:p>
    <w:p w:rsidR="00FC6ACD" w:rsidRPr="001F505E" w:rsidRDefault="00FC6ACD" w:rsidP="009614B9">
      <w:pPr>
        <w:rPr>
          <w:b/>
          <w:noProof/>
          <w:lang w:val="sq-AL"/>
        </w:rPr>
      </w:pPr>
    </w:p>
    <w:p w:rsidR="0005363B" w:rsidRPr="0031704F" w:rsidRDefault="00E0153D" w:rsidP="009614B9">
      <w:pPr>
        <w:rPr>
          <w:b/>
          <w:bCs/>
          <w:noProof/>
          <w:lang w:val="sq-AL"/>
        </w:rPr>
      </w:pPr>
      <w:r w:rsidRPr="0031704F">
        <w:rPr>
          <w:b/>
          <w:noProof/>
          <w:lang w:val="sq-AL"/>
        </w:rPr>
        <w:t>Shpenzimet e Personelit</w:t>
      </w:r>
      <w:r w:rsidR="0031704F">
        <w:rPr>
          <w:b/>
          <w:bCs/>
          <w:noProof/>
          <w:lang w:val="sq-AL"/>
        </w:rPr>
        <w:tab/>
      </w:r>
      <w:r w:rsidR="0005363B" w:rsidRPr="0005363B">
        <w:rPr>
          <w:lang w:val="sq-AL"/>
        </w:rPr>
        <w:t>Brenda shpenzimeve ko</w:t>
      </w:r>
      <w:r w:rsidR="001C3FF7">
        <w:rPr>
          <w:lang w:val="sq-AL"/>
        </w:rPr>
        <w:t>r</w:t>
      </w:r>
      <w:r w:rsidR="0005363B" w:rsidRPr="0005363B">
        <w:rPr>
          <w:lang w:val="sq-AL"/>
        </w:rPr>
        <w:t>rente, shpenzimet e personelit, që përfaqësojnë rreth 21.4 përqind të totalit të shpenzimeve ko</w:t>
      </w:r>
      <w:r w:rsidR="001C3FF7">
        <w:rPr>
          <w:lang w:val="sq-AL"/>
        </w:rPr>
        <w:t>r</w:t>
      </w:r>
      <w:r w:rsidR="0005363B" w:rsidRPr="0005363B">
        <w:rPr>
          <w:lang w:val="sq-AL"/>
        </w:rPr>
        <w:t>rente</w:t>
      </w:r>
      <w:r w:rsidR="001C3FF7">
        <w:rPr>
          <w:lang w:val="sq-AL"/>
        </w:rPr>
        <w:t xml:space="preserve"> të realizuara gjatë periudhës Janar- K</w:t>
      </w:r>
      <w:r w:rsidR="0005363B" w:rsidRPr="0005363B">
        <w:rPr>
          <w:lang w:val="sq-AL"/>
        </w:rPr>
        <w:t>orrik 2013, rezultojnë  rreth 0.4 përqind mbi parashikimin e periudhës. Kundrejt planit vjetor kë</w:t>
      </w:r>
      <w:r w:rsidR="001C3FF7">
        <w:rPr>
          <w:lang w:val="sq-AL"/>
        </w:rPr>
        <w:t>to shpenzime në fund të muajit K</w:t>
      </w:r>
      <w:r w:rsidR="0005363B" w:rsidRPr="0005363B">
        <w:rPr>
          <w:lang w:val="sq-AL"/>
        </w:rPr>
        <w:t>orrik janë realizuar në rreth 56.3 përqind të tij, ndërkohë që krahasuar me të njëjtën periudhë të një viti më parë shpenzimet e persone</w:t>
      </w:r>
      <w:r w:rsidR="001C3FF7">
        <w:rPr>
          <w:lang w:val="sq-AL"/>
        </w:rPr>
        <w:t>lit rezultojnë rreth 851 milionë</w:t>
      </w:r>
      <w:r w:rsidR="0005363B" w:rsidRPr="0005363B">
        <w:rPr>
          <w:lang w:val="sq-AL"/>
        </w:rPr>
        <w:t xml:space="preserve"> lekë më të larta, ose rreth 2.1 përqind më shumë.</w:t>
      </w:r>
    </w:p>
    <w:p w:rsidR="00E0153D" w:rsidRPr="001F505E" w:rsidRDefault="0005363B" w:rsidP="009614B9">
      <w:pPr>
        <w:rPr>
          <w:bCs/>
          <w:lang w:val="sq-AL"/>
        </w:rPr>
      </w:pPr>
      <w:r w:rsidRPr="0005363B">
        <w:rPr>
          <w:lang w:val="sq-AL"/>
        </w:rPr>
        <w:t>Shpenzimet për paga janë rreth 2.0 përqind më të larta se një vit më parë ose rreth 675 milionë lekë më shumë se një vit më parë, ndërkohë që shpenzimet për kontributet per sigurimet shoqërore janë rreth 176 milionë lekë më shumë ose rreth 3.3 përqind më t</w:t>
      </w:r>
      <w:r w:rsidR="000F584E">
        <w:rPr>
          <w:lang w:val="sq-AL"/>
        </w:rPr>
        <w:t>ë larta, se një vit më parë. Ndërkohë që shpenzimet pë</w:t>
      </w:r>
      <w:r w:rsidRPr="0005363B">
        <w:rPr>
          <w:lang w:val="sq-AL"/>
        </w:rPr>
        <w:t>r</w:t>
      </w:r>
      <w:r w:rsidR="000F584E">
        <w:rPr>
          <w:lang w:val="sq-AL"/>
        </w:rPr>
        <w:t xml:space="preserve"> pagat rezultojnë rreth 1.3 pë</w:t>
      </w:r>
      <w:r w:rsidRPr="0005363B">
        <w:rPr>
          <w:lang w:val="sq-AL"/>
        </w:rPr>
        <w:t>rqi</w:t>
      </w:r>
      <w:r w:rsidR="000F584E">
        <w:rPr>
          <w:lang w:val="sq-AL"/>
        </w:rPr>
        <w:t>nd mbi nivelin e parashikimit të periudhës, shpenzimet për sigurimet shoqerore janë realizuar rreth 1.9 përqind nën këtë nivel, duke qënë në të njejtën kohë p</w:t>
      </w:r>
      <w:r w:rsidR="00D52A00">
        <w:rPr>
          <w:lang w:val="sq-AL"/>
        </w:rPr>
        <w:t>ë</w:t>
      </w:r>
      <w:r w:rsidR="000F584E">
        <w:rPr>
          <w:lang w:val="sq-AL"/>
        </w:rPr>
        <w:t>rkat</w:t>
      </w:r>
      <w:r w:rsidR="00D52A00">
        <w:rPr>
          <w:lang w:val="sq-AL"/>
        </w:rPr>
        <w:t>ë</w:t>
      </w:r>
      <w:r w:rsidR="000F584E">
        <w:rPr>
          <w:lang w:val="sq-AL"/>
        </w:rPr>
        <w:t>sisht shpenzimet p</w:t>
      </w:r>
      <w:r w:rsidR="00D52A00">
        <w:rPr>
          <w:lang w:val="sq-AL"/>
        </w:rPr>
        <w:t>ë</w:t>
      </w:r>
      <w:r w:rsidR="000F584E">
        <w:rPr>
          <w:lang w:val="sq-AL"/>
        </w:rPr>
        <w:t>r paga rreth 58.2 p</w:t>
      </w:r>
      <w:r w:rsidR="00D52A00">
        <w:rPr>
          <w:lang w:val="sq-AL"/>
        </w:rPr>
        <w:t>ë</w:t>
      </w:r>
      <w:r w:rsidRPr="0005363B">
        <w:rPr>
          <w:lang w:val="sq-AL"/>
        </w:rPr>
        <w:t>rqind e planifikimi</w:t>
      </w:r>
      <w:r w:rsidR="000F584E">
        <w:rPr>
          <w:lang w:val="sq-AL"/>
        </w:rPr>
        <w:t>t vjetor dhe shpenzimet p</w:t>
      </w:r>
      <w:r w:rsidR="00D52A00">
        <w:rPr>
          <w:lang w:val="sq-AL"/>
        </w:rPr>
        <w:t>ë</w:t>
      </w:r>
      <w:r w:rsidR="000F584E">
        <w:rPr>
          <w:lang w:val="sq-AL"/>
        </w:rPr>
        <w:t>r sigurimet shoqerore n</w:t>
      </w:r>
      <w:r w:rsidR="00D52A00">
        <w:rPr>
          <w:lang w:val="sq-AL"/>
        </w:rPr>
        <w:t>ë</w:t>
      </w:r>
      <w:r w:rsidR="000F584E">
        <w:rPr>
          <w:lang w:val="sq-AL"/>
        </w:rPr>
        <w:t xml:space="preserve"> rreth 57.0 p</w:t>
      </w:r>
      <w:r w:rsidR="00D52A00">
        <w:rPr>
          <w:lang w:val="sq-AL"/>
        </w:rPr>
        <w:t>ë</w:t>
      </w:r>
      <w:r w:rsidR="000F584E">
        <w:rPr>
          <w:lang w:val="sq-AL"/>
        </w:rPr>
        <w:t>rqind e k</w:t>
      </w:r>
      <w:r w:rsidR="00D52A00">
        <w:rPr>
          <w:lang w:val="sq-AL"/>
        </w:rPr>
        <w:t>ë</w:t>
      </w:r>
      <w:r w:rsidRPr="0005363B">
        <w:rPr>
          <w:lang w:val="sq-AL"/>
        </w:rPr>
        <w:t>tij planifikimi</w:t>
      </w:r>
      <w:r w:rsidR="00E0153D" w:rsidRPr="001F505E">
        <w:rPr>
          <w:bCs/>
          <w:lang w:val="sq-AL"/>
        </w:rPr>
        <w:t>.</w:t>
      </w:r>
    </w:p>
    <w:p w:rsidR="00E0153D" w:rsidRPr="001F505E" w:rsidRDefault="000F584E" w:rsidP="009614B9">
      <w:pPr>
        <w:rPr>
          <w:bCs/>
          <w:lang w:val="sq-AL"/>
        </w:rPr>
      </w:pPr>
      <w:r>
        <w:rPr>
          <w:lang w:val="sq-AL"/>
        </w:rPr>
        <w:t>Shpenzimet për Pagat J</w:t>
      </w:r>
      <w:r w:rsidR="00E0153D" w:rsidRPr="001F505E">
        <w:rPr>
          <w:lang w:val="sq-AL"/>
        </w:rPr>
        <w:t>anar</w:t>
      </w:r>
      <w:r>
        <w:rPr>
          <w:lang w:val="sq-AL"/>
        </w:rPr>
        <w:t xml:space="preserve"> </w:t>
      </w:r>
      <w:r w:rsidR="00E0153D" w:rsidRPr="001F505E">
        <w:rPr>
          <w:lang w:val="sq-AL"/>
        </w:rPr>
        <w:t>-</w:t>
      </w:r>
      <w:r>
        <w:rPr>
          <w:lang w:val="sq-AL"/>
        </w:rPr>
        <w:t xml:space="preserve"> K</w:t>
      </w:r>
      <w:r w:rsidR="0005363B">
        <w:rPr>
          <w:lang w:val="sq-AL"/>
        </w:rPr>
        <w:t>orrik</w:t>
      </w:r>
    </w:p>
    <w:p w:rsidR="00E0153D" w:rsidRPr="001F505E" w:rsidRDefault="008E3C2C" w:rsidP="009614B9">
      <w:pPr>
        <w:rPr>
          <w:lang w:val="sq-AL"/>
        </w:rPr>
      </w:pPr>
      <w:r>
        <w:rPr>
          <w:noProof/>
          <w:lang w:val="sq-AL" w:eastAsia="sq-AL"/>
        </w:rPr>
        <w:drawing>
          <wp:inline distT="0" distB="0" distL="0" distR="0">
            <wp:extent cx="4675505" cy="2372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675505" cy="2372360"/>
                    </a:xfrm>
                    <a:prstGeom prst="rect">
                      <a:avLst/>
                    </a:prstGeom>
                    <a:noFill/>
                    <a:ln w="9525">
                      <a:noFill/>
                      <a:miter lim="800000"/>
                      <a:headEnd/>
                      <a:tailEnd/>
                    </a:ln>
                  </pic:spPr>
                </pic:pic>
              </a:graphicData>
            </a:graphic>
          </wp:inline>
        </w:drawing>
      </w:r>
    </w:p>
    <w:p w:rsidR="00FC6ACD" w:rsidRPr="001F505E" w:rsidRDefault="00FC6ACD" w:rsidP="009614B9">
      <w:pPr>
        <w:rPr>
          <w:b/>
          <w:noProof/>
          <w:lang w:val="sq-AL"/>
        </w:rPr>
      </w:pPr>
    </w:p>
    <w:p w:rsidR="00E0153D" w:rsidRPr="0031704F" w:rsidRDefault="00E0153D" w:rsidP="009614B9">
      <w:pPr>
        <w:rPr>
          <w:b/>
          <w:noProof/>
          <w:lang w:val="sq-AL"/>
        </w:rPr>
      </w:pPr>
      <w:r w:rsidRPr="0031704F">
        <w:rPr>
          <w:b/>
          <w:noProof/>
          <w:lang w:val="sq-AL"/>
        </w:rPr>
        <w:lastRenderedPageBreak/>
        <w:t>Shpenzimet për Interesa</w:t>
      </w:r>
      <w:r w:rsidR="0031704F">
        <w:rPr>
          <w:b/>
          <w:noProof/>
          <w:lang w:val="sq-AL"/>
        </w:rPr>
        <w:tab/>
      </w:r>
      <w:r w:rsidR="0005363B" w:rsidRPr="0005363B">
        <w:rPr>
          <w:lang w:val="sq-AL"/>
        </w:rPr>
        <w:t>Shpenzimet për interesa që përfaqësojnë rreth 12.6 përqind të totalit të shpenzimeve kor</w:t>
      </w:r>
      <w:r w:rsidR="000F584E">
        <w:rPr>
          <w:lang w:val="sq-AL"/>
        </w:rPr>
        <w:t>r</w:t>
      </w:r>
      <w:r w:rsidR="0005363B" w:rsidRPr="0005363B">
        <w:rPr>
          <w:lang w:val="sq-AL"/>
        </w:rPr>
        <w:t>ente të realizua</w:t>
      </w:r>
      <w:r w:rsidR="000F584E">
        <w:rPr>
          <w:lang w:val="sq-AL"/>
        </w:rPr>
        <w:t>ra gjatë periudhës Janar- K</w:t>
      </w:r>
      <w:r w:rsidR="0005363B" w:rsidRPr="0005363B">
        <w:rPr>
          <w:lang w:val="sq-AL"/>
        </w:rPr>
        <w:t>orrik 2013, rezultojnë me një</w:t>
      </w:r>
      <w:r w:rsidR="000F584E">
        <w:rPr>
          <w:lang w:val="sq-AL"/>
        </w:rPr>
        <w:t xml:space="preserve"> kursim kundrejt parashikimit të periudh</w:t>
      </w:r>
      <w:r w:rsidR="00D52A00">
        <w:rPr>
          <w:lang w:val="sq-AL"/>
        </w:rPr>
        <w:t>ë</w:t>
      </w:r>
      <w:r w:rsidR="0005363B" w:rsidRPr="0005363B">
        <w:rPr>
          <w:lang w:val="sq-AL"/>
        </w:rPr>
        <w:t>s, prej rreth 3.4 miliardë lekë, rrjedhojë kjo e kursimit për rreth 1.5 miliardë lekë në interesat e brendëshme dhe rreth 1.9 miliardë lekë në interesat e jashtme. Kundrejt planit vjetor interesat janë realizuar në rreth 46.8 përqind, ndërsa krahasuar me një vit më parë ato rezultojnë rreth 1.0 miliardë lekë më të lart</w:t>
      </w:r>
      <w:r w:rsidR="000F584E">
        <w:rPr>
          <w:lang w:val="sq-AL"/>
        </w:rPr>
        <w:t>a ose rreth 4.6 përqind më shum</w:t>
      </w:r>
      <w:r w:rsidR="00D52A00">
        <w:rPr>
          <w:lang w:val="sq-AL"/>
        </w:rPr>
        <w:t>ë</w:t>
      </w:r>
      <w:r w:rsidR="0005363B" w:rsidRPr="0005363B">
        <w:rPr>
          <w:lang w:val="sq-AL"/>
        </w:rPr>
        <w:t>. Ecuria e shpenzi</w:t>
      </w:r>
      <w:r w:rsidR="000F584E">
        <w:rPr>
          <w:lang w:val="sq-AL"/>
        </w:rPr>
        <w:t>meve për interesa gjatë periudh</w:t>
      </w:r>
      <w:r w:rsidR="00D52A00">
        <w:rPr>
          <w:lang w:val="sq-AL"/>
        </w:rPr>
        <w:t>ë</w:t>
      </w:r>
      <w:r w:rsidR="000F584E">
        <w:rPr>
          <w:lang w:val="sq-AL"/>
        </w:rPr>
        <w:t>s Janar- K</w:t>
      </w:r>
      <w:r w:rsidR="0005363B" w:rsidRPr="0005363B">
        <w:rPr>
          <w:lang w:val="sq-AL"/>
        </w:rPr>
        <w:t>orrik, në vite jepet nga grafiku i mëposhtëm</w:t>
      </w:r>
      <w:r w:rsidRPr="001F505E">
        <w:rPr>
          <w:lang w:val="sq-AL"/>
        </w:rPr>
        <w:t>:</w:t>
      </w:r>
    </w:p>
    <w:p w:rsidR="00E0153D" w:rsidRPr="001F505E" w:rsidRDefault="000F584E" w:rsidP="009614B9">
      <w:pPr>
        <w:ind w:left="60" w:hanging="60"/>
        <w:rPr>
          <w:bCs/>
          <w:noProof/>
          <w:lang w:val="sq-AL"/>
        </w:rPr>
      </w:pPr>
      <w:r>
        <w:rPr>
          <w:bCs/>
          <w:noProof/>
          <w:lang w:val="sq-AL"/>
        </w:rPr>
        <w:t>Shpenzimet për Interesa J</w:t>
      </w:r>
      <w:r w:rsidR="00E0153D" w:rsidRPr="001F505E">
        <w:rPr>
          <w:bCs/>
          <w:noProof/>
          <w:lang w:val="sq-AL"/>
        </w:rPr>
        <w:t xml:space="preserve">anar- </w:t>
      </w:r>
      <w:r>
        <w:rPr>
          <w:bCs/>
          <w:noProof/>
          <w:lang w:val="sq-AL"/>
        </w:rPr>
        <w:t>K</w:t>
      </w:r>
      <w:r w:rsidR="0005363B">
        <w:rPr>
          <w:bCs/>
          <w:noProof/>
          <w:lang w:val="sq-AL"/>
        </w:rPr>
        <w:t>orrik</w:t>
      </w:r>
    </w:p>
    <w:p w:rsidR="00E0153D" w:rsidRPr="001F505E" w:rsidRDefault="008E3C2C" w:rsidP="009614B9">
      <w:pPr>
        <w:ind w:left="60" w:hanging="60"/>
        <w:rPr>
          <w:bCs/>
          <w:noProof/>
          <w:lang w:val="sq-AL"/>
        </w:rPr>
      </w:pPr>
      <w:r>
        <w:rPr>
          <w:noProof/>
          <w:lang w:val="sq-AL" w:eastAsia="sq-AL"/>
        </w:rPr>
        <w:drawing>
          <wp:inline distT="0" distB="0" distL="0" distR="0">
            <wp:extent cx="4675505" cy="22517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4675505" cy="2251710"/>
                    </a:xfrm>
                    <a:prstGeom prst="rect">
                      <a:avLst/>
                    </a:prstGeom>
                    <a:noFill/>
                    <a:ln w="9525">
                      <a:noFill/>
                      <a:miter lim="800000"/>
                      <a:headEnd/>
                      <a:tailEnd/>
                    </a:ln>
                  </pic:spPr>
                </pic:pic>
              </a:graphicData>
            </a:graphic>
          </wp:inline>
        </w:drawing>
      </w:r>
    </w:p>
    <w:p w:rsidR="00E0153D" w:rsidRPr="001F505E" w:rsidRDefault="00E0153D" w:rsidP="009614B9">
      <w:pPr>
        <w:ind w:left="60"/>
        <w:rPr>
          <w:bCs/>
          <w:noProof/>
          <w:lang w:val="sq-AL"/>
        </w:rPr>
      </w:pPr>
    </w:p>
    <w:p w:rsidR="00E0153D" w:rsidRPr="0031704F" w:rsidRDefault="00E0153D" w:rsidP="0031704F">
      <w:pPr>
        <w:rPr>
          <w:b/>
          <w:noProof/>
          <w:lang w:val="sq-AL"/>
        </w:rPr>
      </w:pPr>
      <w:r w:rsidRPr="0031704F">
        <w:rPr>
          <w:b/>
          <w:noProof/>
          <w:lang w:val="sq-AL"/>
        </w:rPr>
        <w:t>Shpenzimet Operative dhe të Mirëmbajtjes</w:t>
      </w:r>
      <w:r w:rsidR="0031704F">
        <w:rPr>
          <w:b/>
          <w:noProof/>
          <w:lang w:val="sq-AL"/>
        </w:rPr>
        <w:tab/>
      </w:r>
      <w:r w:rsidR="000F584E">
        <w:rPr>
          <w:bCs/>
          <w:lang w:val="sq-AL"/>
        </w:rPr>
        <w:t>Shpenzimet Operative dhe të Mirëmbajtjes gjatë periudhës J</w:t>
      </w:r>
      <w:r w:rsidR="0005363B" w:rsidRPr="0005363B">
        <w:rPr>
          <w:bCs/>
          <w:lang w:val="sq-AL"/>
        </w:rPr>
        <w:t>anar</w:t>
      </w:r>
      <w:r w:rsidR="000F584E">
        <w:rPr>
          <w:bCs/>
          <w:lang w:val="sq-AL"/>
        </w:rPr>
        <w:t xml:space="preserve"> - K</w:t>
      </w:r>
      <w:r w:rsidR="0005363B" w:rsidRPr="0005363B">
        <w:rPr>
          <w:bCs/>
          <w:lang w:val="sq-AL"/>
        </w:rPr>
        <w:t>orrik 2013 arritën në rreth 19.6 miliardë lekë, duke qënë rreth 965 milionë lek</w:t>
      </w:r>
      <w:r w:rsidR="000F584E">
        <w:rPr>
          <w:bCs/>
          <w:lang w:val="sq-AL"/>
        </w:rPr>
        <w:t>ë mbi nivelet e parashikuara. Kë</w:t>
      </w:r>
      <w:r w:rsidR="0005363B" w:rsidRPr="0005363B">
        <w:rPr>
          <w:bCs/>
          <w:lang w:val="sq-AL"/>
        </w:rPr>
        <w:t>t</w:t>
      </w:r>
      <w:r w:rsidR="000F584E">
        <w:rPr>
          <w:bCs/>
          <w:lang w:val="sq-AL"/>
        </w:rPr>
        <w:t>u duhen mbajtur parasysh edhe p</w:t>
      </w:r>
      <w:r w:rsidR="00D52A00">
        <w:rPr>
          <w:bCs/>
          <w:lang w:val="sq-AL"/>
        </w:rPr>
        <w:t>ë</w:t>
      </w:r>
      <w:r w:rsidR="000F584E">
        <w:rPr>
          <w:bCs/>
          <w:lang w:val="sq-AL"/>
        </w:rPr>
        <w:t>rdorimet nga fondi rezerv</w:t>
      </w:r>
      <w:r w:rsidR="00D52A00">
        <w:rPr>
          <w:bCs/>
          <w:lang w:val="sq-AL"/>
        </w:rPr>
        <w:t>ë</w:t>
      </w:r>
      <w:r w:rsidR="000F584E">
        <w:rPr>
          <w:bCs/>
          <w:lang w:val="sq-AL"/>
        </w:rPr>
        <w:t xml:space="preserve"> i K</w:t>
      </w:r>
      <w:r w:rsidR="00D52A00">
        <w:rPr>
          <w:bCs/>
          <w:lang w:val="sq-AL"/>
        </w:rPr>
        <w:t>ë</w:t>
      </w:r>
      <w:r w:rsidR="000F584E">
        <w:rPr>
          <w:bCs/>
          <w:lang w:val="sq-AL"/>
        </w:rPr>
        <w:t>shillit t</w:t>
      </w:r>
      <w:r w:rsidR="00D52A00">
        <w:rPr>
          <w:bCs/>
          <w:lang w:val="sq-AL"/>
        </w:rPr>
        <w:t>ë</w:t>
      </w:r>
      <w:r w:rsidR="000F584E">
        <w:rPr>
          <w:bCs/>
          <w:lang w:val="sq-AL"/>
        </w:rPr>
        <w:t xml:space="preserve"> Ministrave t</w:t>
      </w:r>
      <w:r w:rsidR="00D52A00">
        <w:rPr>
          <w:bCs/>
          <w:lang w:val="sq-AL"/>
        </w:rPr>
        <w:t>ë</w:t>
      </w:r>
      <w:r w:rsidR="000F584E">
        <w:rPr>
          <w:bCs/>
          <w:lang w:val="sq-AL"/>
        </w:rPr>
        <w:t xml:space="preserve"> evidentuara m</w:t>
      </w:r>
      <w:r w:rsidR="00D52A00">
        <w:rPr>
          <w:bCs/>
          <w:lang w:val="sq-AL"/>
        </w:rPr>
        <w:t>ë</w:t>
      </w:r>
      <w:r w:rsidR="000F584E">
        <w:rPr>
          <w:bCs/>
          <w:lang w:val="sq-AL"/>
        </w:rPr>
        <w:t xml:space="preserve"> sip</w:t>
      </w:r>
      <w:r w:rsidR="00D52A00">
        <w:rPr>
          <w:bCs/>
          <w:lang w:val="sq-AL"/>
        </w:rPr>
        <w:t>ë</w:t>
      </w:r>
      <w:r w:rsidR="0005363B" w:rsidRPr="0005363B">
        <w:rPr>
          <w:bCs/>
          <w:lang w:val="sq-AL"/>
        </w:rPr>
        <w:t>r. Në t</w:t>
      </w:r>
      <w:r w:rsidR="000F584E">
        <w:rPr>
          <w:bCs/>
          <w:lang w:val="sq-AL"/>
        </w:rPr>
        <w:t>ë njëjtën kohë ato rezultojnë n</w:t>
      </w:r>
      <w:r w:rsidR="00D52A00">
        <w:rPr>
          <w:bCs/>
          <w:lang w:val="sq-AL"/>
        </w:rPr>
        <w:t>ë</w:t>
      </w:r>
      <w:r w:rsidR="000F584E">
        <w:rPr>
          <w:bCs/>
          <w:lang w:val="sq-AL"/>
        </w:rPr>
        <w:t xml:space="preserve"> rreth 59.7 p</w:t>
      </w:r>
      <w:r w:rsidR="00D52A00">
        <w:rPr>
          <w:bCs/>
          <w:lang w:val="sq-AL"/>
        </w:rPr>
        <w:t>ë</w:t>
      </w:r>
      <w:r w:rsidR="000F584E">
        <w:rPr>
          <w:bCs/>
          <w:lang w:val="sq-AL"/>
        </w:rPr>
        <w:t>rqind t</w:t>
      </w:r>
      <w:r w:rsidR="00D52A00">
        <w:rPr>
          <w:bCs/>
          <w:lang w:val="sq-AL"/>
        </w:rPr>
        <w:t>ë</w:t>
      </w:r>
      <w:r w:rsidR="0005363B" w:rsidRPr="0005363B">
        <w:rPr>
          <w:bCs/>
          <w:lang w:val="sq-AL"/>
        </w:rPr>
        <w:t xml:space="preserve"> planit vjetor</w:t>
      </w:r>
      <w:r w:rsidRPr="001F505E">
        <w:rPr>
          <w:bCs/>
          <w:lang w:val="sq-AL"/>
        </w:rPr>
        <w:t>.</w:t>
      </w:r>
    </w:p>
    <w:p w:rsidR="00E0153D" w:rsidRPr="001F505E" w:rsidRDefault="000F584E" w:rsidP="009614B9">
      <w:pPr>
        <w:ind w:left="60"/>
        <w:rPr>
          <w:bCs/>
          <w:noProof/>
          <w:lang w:val="sq-AL"/>
        </w:rPr>
      </w:pPr>
      <w:r>
        <w:rPr>
          <w:bCs/>
          <w:lang w:val="sq-AL"/>
        </w:rPr>
        <w:t>Shpenzimet O&amp;M J</w:t>
      </w:r>
      <w:r w:rsidR="00E0153D" w:rsidRPr="001F505E">
        <w:rPr>
          <w:bCs/>
          <w:lang w:val="sq-AL"/>
        </w:rPr>
        <w:t>anar</w:t>
      </w:r>
      <w:r>
        <w:rPr>
          <w:bCs/>
          <w:lang w:val="sq-AL"/>
        </w:rPr>
        <w:t xml:space="preserve"> </w:t>
      </w:r>
      <w:r w:rsidR="00E0153D" w:rsidRPr="001F505E">
        <w:rPr>
          <w:bCs/>
          <w:lang w:val="sq-AL"/>
        </w:rPr>
        <w:t>-</w:t>
      </w:r>
      <w:r>
        <w:rPr>
          <w:bCs/>
          <w:lang w:val="sq-AL"/>
        </w:rPr>
        <w:t xml:space="preserve"> K</w:t>
      </w:r>
      <w:r w:rsidR="0005363B">
        <w:rPr>
          <w:bCs/>
          <w:lang w:val="sq-AL"/>
        </w:rPr>
        <w:t>orrik</w:t>
      </w:r>
    </w:p>
    <w:p w:rsidR="00E0153D" w:rsidRPr="001F505E" w:rsidRDefault="008E3C2C" w:rsidP="009614B9">
      <w:pPr>
        <w:ind w:left="60"/>
        <w:rPr>
          <w:b/>
          <w:noProof/>
          <w:lang w:val="sq-AL"/>
        </w:rPr>
      </w:pPr>
      <w:r>
        <w:rPr>
          <w:noProof/>
          <w:lang w:val="sq-AL" w:eastAsia="sq-AL"/>
        </w:rPr>
        <w:drawing>
          <wp:inline distT="0" distB="0" distL="0" distR="0">
            <wp:extent cx="4528820" cy="2113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4528820" cy="2113280"/>
                    </a:xfrm>
                    <a:prstGeom prst="rect">
                      <a:avLst/>
                    </a:prstGeom>
                    <a:noFill/>
                    <a:ln w="9525">
                      <a:noFill/>
                      <a:miter lim="800000"/>
                      <a:headEnd/>
                      <a:tailEnd/>
                    </a:ln>
                  </pic:spPr>
                </pic:pic>
              </a:graphicData>
            </a:graphic>
          </wp:inline>
        </w:drawing>
      </w:r>
    </w:p>
    <w:p w:rsidR="00FC6ACD" w:rsidRPr="0031704F" w:rsidRDefault="00E0153D" w:rsidP="0031704F">
      <w:pPr>
        <w:rPr>
          <w:b/>
          <w:noProof/>
          <w:lang w:val="sq-AL"/>
        </w:rPr>
      </w:pPr>
      <w:r w:rsidRPr="0031704F">
        <w:rPr>
          <w:b/>
          <w:noProof/>
          <w:lang w:val="sq-AL"/>
        </w:rPr>
        <w:t>Shpenzimet për Subven</w:t>
      </w:r>
      <w:r w:rsidR="004462FB" w:rsidRPr="0031704F">
        <w:rPr>
          <w:b/>
          <w:noProof/>
          <w:lang w:val="sq-AL"/>
        </w:rPr>
        <w:t>c</w:t>
      </w:r>
      <w:r w:rsidRPr="0031704F">
        <w:rPr>
          <w:b/>
          <w:noProof/>
          <w:lang w:val="sq-AL"/>
        </w:rPr>
        <w:t>ione</w:t>
      </w:r>
      <w:r w:rsidR="0031704F">
        <w:rPr>
          <w:b/>
          <w:noProof/>
          <w:lang w:val="sq-AL"/>
        </w:rPr>
        <w:tab/>
      </w:r>
      <w:r w:rsidR="000F584E">
        <w:rPr>
          <w:bCs/>
          <w:lang w:val="sq-AL"/>
        </w:rPr>
        <w:t>Shpenzimet për Subvencione në fund të muajit K</w:t>
      </w:r>
      <w:r w:rsidR="009614B9" w:rsidRPr="009614B9">
        <w:rPr>
          <w:bCs/>
          <w:lang w:val="sq-AL"/>
        </w:rPr>
        <w:t>orrik 2013 arritën në rreth 810 milionë lekë ose rreth 31 milionë lekë më pak s</w:t>
      </w:r>
      <w:r w:rsidR="000F584E">
        <w:rPr>
          <w:bCs/>
          <w:lang w:val="sq-AL"/>
        </w:rPr>
        <w:t>e parashikimi, ose rreth 96.3 p</w:t>
      </w:r>
      <w:r w:rsidR="00D52A00">
        <w:rPr>
          <w:bCs/>
          <w:lang w:val="sq-AL"/>
        </w:rPr>
        <w:t>ë</w:t>
      </w:r>
      <w:r w:rsidR="000F584E">
        <w:rPr>
          <w:bCs/>
          <w:lang w:val="sq-AL"/>
        </w:rPr>
        <w:t>rqind t</w:t>
      </w:r>
      <w:r w:rsidR="00D52A00">
        <w:rPr>
          <w:bCs/>
          <w:lang w:val="sq-AL"/>
        </w:rPr>
        <w:t>ë</w:t>
      </w:r>
      <w:r w:rsidR="000F584E">
        <w:rPr>
          <w:bCs/>
          <w:lang w:val="sq-AL"/>
        </w:rPr>
        <w:t xml:space="preserve"> planit t</w:t>
      </w:r>
      <w:r w:rsidR="00D52A00">
        <w:rPr>
          <w:bCs/>
          <w:lang w:val="sq-AL"/>
        </w:rPr>
        <w:t>ë</w:t>
      </w:r>
      <w:r w:rsidR="000F584E">
        <w:rPr>
          <w:bCs/>
          <w:lang w:val="sq-AL"/>
        </w:rPr>
        <w:t xml:space="preserve"> periudh</w:t>
      </w:r>
      <w:r w:rsidR="00D52A00">
        <w:rPr>
          <w:bCs/>
          <w:lang w:val="sq-AL"/>
        </w:rPr>
        <w:t>ë</w:t>
      </w:r>
      <w:r w:rsidR="000F584E">
        <w:rPr>
          <w:bCs/>
          <w:lang w:val="sq-AL"/>
        </w:rPr>
        <w:t>s, duke arritur n</w:t>
      </w:r>
      <w:r w:rsidR="00D52A00">
        <w:rPr>
          <w:bCs/>
          <w:lang w:val="sq-AL"/>
        </w:rPr>
        <w:t>ë</w:t>
      </w:r>
      <w:r w:rsidR="000F584E">
        <w:rPr>
          <w:bCs/>
          <w:lang w:val="sq-AL"/>
        </w:rPr>
        <w:t xml:space="preserve"> rreth 50.6 p</w:t>
      </w:r>
      <w:r w:rsidR="00D52A00">
        <w:rPr>
          <w:bCs/>
          <w:lang w:val="sq-AL"/>
        </w:rPr>
        <w:t>ë</w:t>
      </w:r>
      <w:r w:rsidR="000F584E">
        <w:rPr>
          <w:bCs/>
          <w:lang w:val="sq-AL"/>
        </w:rPr>
        <w:t>rqind t</w:t>
      </w:r>
      <w:r w:rsidR="00D52A00">
        <w:rPr>
          <w:bCs/>
          <w:lang w:val="sq-AL"/>
        </w:rPr>
        <w:t>ë</w:t>
      </w:r>
      <w:r w:rsidR="009614B9" w:rsidRPr="009614B9">
        <w:rPr>
          <w:bCs/>
          <w:lang w:val="sq-AL"/>
        </w:rPr>
        <w:t xml:space="preserve"> planit vjetor</w:t>
      </w:r>
      <w:r w:rsidR="000F584E">
        <w:rPr>
          <w:bCs/>
          <w:lang w:val="sq-AL"/>
        </w:rPr>
        <w:t xml:space="preserve">. </w:t>
      </w:r>
      <w:r w:rsidR="000F584E">
        <w:rPr>
          <w:bCs/>
          <w:lang w:val="sq-AL"/>
        </w:rPr>
        <w:lastRenderedPageBreak/>
        <w:t>Krahasuar me vitin e kaluar k</w:t>
      </w:r>
      <w:r w:rsidR="00D52A00">
        <w:rPr>
          <w:bCs/>
          <w:lang w:val="sq-AL"/>
        </w:rPr>
        <w:t>ë</w:t>
      </w:r>
      <w:r w:rsidR="000F584E">
        <w:rPr>
          <w:bCs/>
          <w:lang w:val="sq-AL"/>
        </w:rPr>
        <w:t>to shpenzime rezultojn</w:t>
      </w:r>
      <w:r w:rsidR="00D52A00">
        <w:rPr>
          <w:bCs/>
          <w:lang w:val="sq-AL"/>
        </w:rPr>
        <w:t>ë</w:t>
      </w:r>
      <w:r w:rsidR="000F584E">
        <w:rPr>
          <w:bCs/>
          <w:lang w:val="sq-AL"/>
        </w:rPr>
        <w:t xml:space="preserve"> rreth 96 milion</w:t>
      </w:r>
      <w:r w:rsidR="00D52A00">
        <w:rPr>
          <w:bCs/>
          <w:lang w:val="sq-AL"/>
        </w:rPr>
        <w:t>ë</w:t>
      </w:r>
      <w:r w:rsidR="000F584E">
        <w:rPr>
          <w:bCs/>
          <w:lang w:val="sq-AL"/>
        </w:rPr>
        <w:t xml:space="preserve"> lek</w:t>
      </w:r>
      <w:r w:rsidR="00D52A00">
        <w:rPr>
          <w:bCs/>
          <w:lang w:val="sq-AL"/>
        </w:rPr>
        <w:t>ë</w:t>
      </w:r>
      <w:r w:rsidR="000F584E">
        <w:rPr>
          <w:bCs/>
          <w:lang w:val="sq-AL"/>
        </w:rPr>
        <w:t xml:space="preserve"> m</w:t>
      </w:r>
      <w:r w:rsidR="00D52A00">
        <w:rPr>
          <w:bCs/>
          <w:lang w:val="sq-AL"/>
        </w:rPr>
        <w:t>ë</w:t>
      </w:r>
      <w:r w:rsidR="000F584E">
        <w:rPr>
          <w:bCs/>
          <w:lang w:val="sq-AL"/>
        </w:rPr>
        <w:t xml:space="preserve"> t</w:t>
      </w:r>
      <w:r w:rsidR="00D52A00">
        <w:rPr>
          <w:bCs/>
          <w:lang w:val="sq-AL"/>
        </w:rPr>
        <w:t>ë</w:t>
      </w:r>
      <w:r w:rsidR="000F584E">
        <w:rPr>
          <w:bCs/>
          <w:lang w:val="sq-AL"/>
        </w:rPr>
        <w:t xml:space="preserve"> ulta ose rreth 10.6 p</w:t>
      </w:r>
      <w:r w:rsidR="00D52A00">
        <w:rPr>
          <w:bCs/>
          <w:lang w:val="sq-AL"/>
        </w:rPr>
        <w:t>ë</w:t>
      </w:r>
      <w:r w:rsidR="000F584E">
        <w:rPr>
          <w:bCs/>
          <w:lang w:val="sq-AL"/>
        </w:rPr>
        <w:t>rqind m</w:t>
      </w:r>
      <w:r w:rsidR="00D52A00">
        <w:rPr>
          <w:bCs/>
          <w:lang w:val="sq-AL"/>
        </w:rPr>
        <w:t>ë</w:t>
      </w:r>
      <w:r w:rsidR="009614B9" w:rsidRPr="009614B9">
        <w:rPr>
          <w:bCs/>
          <w:lang w:val="sq-AL"/>
        </w:rPr>
        <w:t xml:space="preserve"> pak</w:t>
      </w:r>
      <w:r w:rsidRPr="001F505E">
        <w:rPr>
          <w:bCs/>
          <w:lang w:val="sq-AL"/>
        </w:rPr>
        <w:t>.</w:t>
      </w:r>
    </w:p>
    <w:p w:rsidR="00E0153D" w:rsidRPr="001F505E" w:rsidRDefault="00E0153D" w:rsidP="009614B9">
      <w:pPr>
        <w:ind w:left="60"/>
        <w:rPr>
          <w:bCs/>
          <w:lang w:val="sq-AL"/>
        </w:rPr>
      </w:pPr>
      <w:r w:rsidRPr="001F505E">
        <w:rPr>
          <w:bCs/>
          <w:lang w:val="sq-AL"/>
        </w:rPr>
        <w:t>Shpenzimet p</w:t>
      </w:r>
      <w:r w:rsidR="00F16C3C" w:rsidRPr="001F505E">
        <w:rPr>
          <w:bCs/>
          <w:lang w:val="sq-AL"/>
        </w:rPr>
        <w:t>ë</w:t>
      </w:r>
      <w:r w:rsidR="000F584E">
        <w:rPr>
          <w:bCs/>
          <w:lang w:val="sq-AL"/>
        </w:rPr>
        <w:t>r Subvencione J</w:t>
      </w:r>
      <w:r w:rsidRPr="001F505E">
        <w:rPr>
          <w:bCs/>
          <w:lang w:val="sq-AL"/>
        </w:rPr>
        <w:t>anar</w:t>
      </w:r>
      <w:r w:rsidR="000F584E">
        <w:rPr>
          <w:bCs/>
          <w:lang w:val="sq-AL"/>
        </w:rPr>
        <w:t xml:space="preserve"> </w:t>
      </w:r>
      <w:r w:rsidRPr="001F505E">
        <w:rPr>
          <w:bCs/>
          <w:lang w:val="sq-AL"/>
        </w:rPr>
        <w:t>-</w:t>
      </w:r>
      <w:r w:rsidR="000F584E">
        <w:rPr>
          <w:bCs/>
          <w:lang w:val="sq-AL"/>
        </w:rPr>
        <w:t xml:space="preserve"> </w:t>
      </w:r>
      <w:r w:rsidR="00A92958">
        <w:rPr>
          <w:bCs/>
          <w:lang w:val="sq-AL"/>
        </w:rPr>
        <w:t>Korrik</w:t>
      </w:r>
    </w:p>
    <w:p w:rsidR="00E0153D" w:rsidRPr="001F505E" w:rsidRDefault="008E3C2C" w:rsidP="009614B9">
      <w:pPr>
        <w:ind w:left="60"/>
        <w:rPr>
          <w:bCs/>
          <w:lang w:val="sq-AL"/>
        </w:rPr>
      </w:pPr>
      <w:r>
        <w:rPr>
          <w:noProof/>
          <w:lang w:val="sq-AL" w:eastAsia="sq-AL"/>
        </w:rPr>
        <w:drawing>
          <wp:inline distT="0" distB="0" distL="0" distR="0">
            <wp:extent cx="4675505" cy="2493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675505" cy="2493010"/>
                    </a:xfrm>
                    <a:prstGeom prst="rect">
                      <a:avLst/>
                    </a:prstGeom>
                    <a:noFill/>
                    <a:ln w="9525">
                      <a:noFill/>
                      <a:miter lim="800000"/>
                      <a:headEnd/>
                      <a:tailEnd/>
                    </a:ln>
                  </pic:spPr>
                </pic:pic>
              </a:graphicData>
            </a:graphic>
          </wp:inline>
        </w:drawing>
      </w:r>
    </w:p>
    <w:p w:rsidR="00FC6ACD" w:rsidRPr="001F505E" w:rsidRDefault="00FC6ACD" w:rsidP="009614B9">
      <w:pPr>
        <w:ind w:left="60"/>
        <w:rPr>
          <w:b/>
          <w:noProof/>
          <w:lang w:val="sq-AL"/>
        </w:rPr>
      </w:pPr>
    </w:p>
    <w:p w:rsidR="00E0153D" w:rsidRPr="0031704F" w:rsidRDefault="00E0153D" w:rsidP="0031704F">
      <w:pPr>
        <w:rPr>
          <w:b/>
          <w:noProof/>
          <w:lang w:val="sq-AL"/>
        </w:rPr>
      </w:pPr>
      <w:r w:rsidRPr="0031704F">
        <w:rPr>
          <w:b/>
          <w:noProof/>
          <w:lang w:val="sq-AL"/>
        </w:rPr>
        <w:t>Shpenzimet për Fonde Speciale</w:t>
      </w:r>
      <w:r w:rsidR="0031704F">
        <w:rPr>
          <w:b/>
          <w:noProof/>
          <w:lang w:val="sq-AL"/>
        </w:rPr>
        <w:tab/>
      </w:r>
      <w:r w:rsidR="009614B9" w:rsidRPr="009614B9">
        <w:rPr>
          <w:bCs/>
          <w:lang w:val="sq-AL"/>
        </w:rPr>
        <w:t xml:space="preserve">Shpenzimet për </w:t>
      </w:r>
      <w:r w:rsidR="000F584E">
        <w:rPr>
          <w:bCs/>
          <w:lang w:val="sq-AL"/>
        </w:rPr>
        <w:t>fonde speciale gjatë periudhës J</w:t>
      </w:r>
      <w:r w:rsidR="009614B9" w:rsidRPr="009614B9">
        <w:rPr>
          <w:bCs/>
          <w:lang w:val="sq-AL"/>
        </w:rPr>
        <w:t>anar</w:t>
      </w:r>
      <w:r w:rsidR="000F584E">
        <w:rPr>
          <w:bCs/>
          <w:lang w:val="sq-AL"/>
        </w:rPr>
        <w:t xml:space="preserve"> - K</w:t>
      </w:r>
      <w:r w:rsidR="009614B9" w:rsidRPr="009614B9">
        <w:rPr>
          <w:bCs/>
          <w:lang w:val="sq-AL"/>
        </w:rPr>
        <w:t xml:space="preserve">orrik 2013 rezultojnë rreth 1.6 miliardë lekë më pak apo rreth 2.2 përqind nën nivelin e parashikimit të periudhës. Kundrejt planit vjetor shpenzimet për fondet speciale janë realizuar në nivelin 55.4 përqind, nga të cilat sigurimet shoqërore janë realizuar në rreth 56.8 përqind të planit vjetor, sigurimet shëndetësore në rreth 54.5 përqind dhe shpenzimet për kompensimin e pronarëve në rreth 39.1 përqind të këtij plani.Krahasuar me një vit më parë shpenzimet për sigurimet shoqërore rezultojnë rreth 3.4 miliardë lekë më të larta ose rreth 6.8 përqind më shumë ndërsa shpenzimet për sigurimet shëndetësore rezultojnë rreth 557 milionë lekë më të larta, ose rreth 3.4 përqind më shumë. </w:t>
      </w:r>
      <w:r w:rsidR="004668DD">
        <w:rPr>
          <w:bCs/>
          <w:lang w:val="sq-AL"/>
        </w:rPr>
        <w:t>Shpenzimet p</w:t>
      </w:r>
      <w:r w:rsidR="00D52A00">
        <w:rPr>
          <w:bCs/>
          <w:lang w:val="sq-AL"/>
        </w:rPr>
        <w:t>ë</w:t>
      </w:r>
      <w:r w:rsidR="004668DD">
        <w:rPr>
          <w:bCs/>
          <w:lang w:val="sq-AL"/>
        </w:rPr>
        <w:t>r kompensimin e pronar</w:t>
      </w:r>
      <w:r w:rsidR="00D52A00">
        <w:rPr>
          <w:bCs/>
          <w:lang w:val="sq-AL"/>
        </w:rPr>
        <w:t>ë</w:t>
      </w:r>
      <w:r w:rsidR="004668DD">
        <w:rPr>
          <w:bCs/>
          <w:lang w:val="sq-AL"/>
        </w:rPr>
        <w:t>ve n</w:t>
      </w:r>
      <w:r w:rsidR="00D52A00">
        <w:rPr>
          <w:bCs/>
          <w:lang w:val="sq-AL"/>
        </w:rPr>
        <w:t>ë</w:t>
      </w:r>
      <w:r w:rsidR="004668DD">
        <w:rPr>
          <w:bCs/>
          <w:lang w:val="sq-AL"/>
        </w:rPr>
        <w:t xml:space="preserve"> fund t</w:t>
      </w:r>
      <w:r w:rsidR="00D52A00">
        <w:rPr>
          <w:bCs/>
          <w:lang w:val="sq-AL"/>
        </w:rPr>
        <w:t>ë</w:t>
      </w:r>
      <w:r w:rsidR="004668DD">
        <w:rPr>
          <w:bCs/>
          <w:lang w:val="sq-AL"/>
        </w:rPr>
        <w:t xml:space="preserve"> muajit K</w:t>
      </w:r>
      <w:r w:rsidR="009614B9" w:rsidRPr="009614B9">
        <w:rPr>
          <w:bCs/>
          <w:lang w:val="sq-AL"/>
        </w:rPr>
        <w:t>orrik 2013 rezul</w:t>
      </w:r>
      <w:r w:rsidR="004668DD">
        <w:rPr>
          <w:bCs/>
          <w:lang w:val="sq-AL"/>
        </w:rPr>
        <w:t>tojn</w:t>
      </w:r>
      <w:r w:rsidR="00D52A00">
        <w:rPr>
          <w:bCs/>
          <w:lang w:val="sq-AL"/>
        </w:rPr>
        <w:t>ë</w:t>
      </w:r>
      <w:r w:rsidR="004668DD">
        <w:rPr>
          <w:bCs/>
          <w:lang w:val="sq-AL"/>
        </w:rPr>
        <w:t xml:space="preserve"> rreth 157 milion</w:t>
      </w:r>
      <w:r w:rsidR="00D52A00">
        <w:rPr>
          <w:bCs/>
          <w:lang w:val="sq-AL"/>
        </w:rPr>
        <w:t>ë</w:t>
      </w:r>
      <w:r w:rsidR="004668DD">
        <w:rPr>
          <w:bCs/>
          <w:lang w:val="sq-AL"/>
        </w:rPr>
        <w:t xml:space="preserve"> lek</w:t>
      </w:r>
      <w:r w:rsidR="00D52A00">
        <w:rPr>
          <w:bCs/>
          <w:lang w:val="sq-AL"/>
        </w:rPr>
        <w:t>ë</w:t>
      </w:r>
      <w:r w:rsidR="004668DD">
        <w:rPr>
          <w:bCs/>
          <w:lang w:val="sq-AL"/>
        </w:rPr>
        <w:t xml:space="preserve"> n</w:t>
      </w:r>
      <w:r w:rsidR="00D52A00">
        <w:rPr>
          <w:bCs/>
          <w:lang w:val="sq-AL"/>
        </w:rPr>
        <w:t>ë</w:t>
      </w:r>
      <w:r w:rsidR="004668DD">
        <w:rPr>
          <w:bCs/>
          <w:lang w:val="sq-AL"/>
        </w:rPr>
        <w:t>n parashikimin e periudh</w:t>
      </w:r>
      <w:r w:rsidR="00D52A00">
        <w:rPr>
          <w:bCs/>
          <w:lang w:val="sq-AL"/>
        </w:rPr>
        <w:t>ë</w:t>
      </w:r>
      <w:r w:rsidR="004668DD">
        <w:rPr>
          <w:bCs/>
          <w:lang w:val="sq-AL"/>
        </w:rPr>
        <w:t>s. Krahasuar me nj</w:t>
      </w:r>
      <w:r w:rsidR="00D52A00">
        <w:rPr>
          <w:bCs/>
          <w:lang w:val="sq-AL"/>
        </w:rPr>
        <w:t>ë</w:t>
      </w:r>
      <w:r w:rsidR="004668DD">
        <w:rPr>
          <w:bCs/>
          <w:lang w:val="sq-AL"/>
        </w:rPr>
        <w:t xml:space="preserve"> vit me par</w:t>
      </w:r>
      <w:r w:rsidR="00D52A00">
        <w:rPr>
          <w:bCs/>
          <w:lang w:val="sq-AL"/>
        </w:rPr>
        <w:t>ë</w:t>
      </w:r>
      <w:r w:rsidR="004668DD">
        <w:rPr>
          <w:bCs/>
          <w:lang w:val="sq-AL"/>
        </w:rPr>
        <w:t xml:space="preserve"> k</w:t>
      </w:r>
      <w:r w:rsidR="00D52A00">
        <w:rPr>
          <w:bCs/>
          <w:lang w:val="sq-AL"/>
        </w:rPr>
        <w:t>ë</w:t>
      </w:r>
      <w:r w:rsidR="004668DD">
        <w:rPr>
          <w:bCs/>
          <w:lang w:val="sq-AL"/>
        </w:rPr>
        <w:t>to shpenzime rezultojn</w:t>
      </w:r>
      <w:r w:rsidR="00D52A00">
        <w:rPr>
          <w:bCs/>
          <w:lang w:val="sq-AL"/>
        </w:rPr>
        <w:t>ë</w:t>
      </w:r>
      <w:r w:rsidR="004668DD">
        <w:rPr>
          <w:bCs/>
          <w:lang w:val="sq-AL"/>
        </w:rPr>
        <w:t xml:space="preserve"> rreth 504 milion</w:t>
      </w:r>
      <w:r w:rsidR="00D52A00">
        <w:rPr>
          <w:bCs/>
          <w:lang w:val="sq-AL"/>
        </w:rPr>
        <w:t>ë</w:t>
      </w:r>
      <w:r w:rsidR="004668DD">
        <w:rPr>
          <w:bCs/>
          <w:lang w:val="sq-AL"/>
        </w:rPr>
        <w:t xml:space="preserve"> lek</w:t>
      </w:r>
      <w:r w:rsidR="00D52A00">
        <w:rPr>
          <w:bCs/>
          <w:lang w:val="sq-AL"/>
        </w:rPr>
        <w:t>ë</w:t>
      </w:r>
      <w:r w:rsidR="004668DD">
        <w:rPr>
          <w:bCs/>
          <w:lang w:val="sq-AL"/>
        </w:rPr>
        <w:t xml:space="preserve"> m</w:t>
      </w:r>
      <w:r w:rsidR="00D52A00">
        <w:rPr>
          <w:bCs/>
          <w:lang w:val="sq-AL"/>
        </w:rPr>
        <w:t>ë</w:t>
      </w:r>
      <w:r w:rsidR="004668DD">
        <w:rPr>
          <w:bCs/>
          <w:lang w:val="sq-AL"/>
        </w:rPr>
        <w:t xml:space="preserve"> shum</w:t>
      </w:r>
      <w:r w:rsidR="00D52A00">
        <w:rPr>
          <w:bCs/>
          <w:lang w:val="sq-AL"/>
        </w:rPr>
        <w:t>ë</w:t>
      </w:r>
      <w:r w:rsidR="004668DD">
        <w:rPr>
          <w:bCs/>
          <w:lang w:val="sq-AL"/>
        </w:rPr>
        <w:t xml:space="preserve"> ose rreth 252.0 p</w:t>
      </w:r>
      <w:r w:rsidR="00D52A00">
        <w:rPr>
          <w:bCs/>
          <w:lang w:val="sq-AL"/>
        </w:rPr>
        <w:t>ë</w:t>
      </w:r>
      <w:r w:rsidR="004668DD">
        <w:rPr>
          <w:bCs/>
          <w:lang w:val="sq-AL"/>
        </w:rPr>
        <w:t>rqind m</w:t>
      </w:r>
      <w:r w:rsidR="00D52A00">
        <w:rPr>
          <w:bCs/>
          <w:lang w:val="sq-AL"/>
        </w:rPr>
        <w:t>ë</w:t>
      </w:r>
      <w:r w:rsidR="004668DD">
        <w:rPr>
          <w:bCs/>
          <w:lang w:val="sq-AL"/>
        </w:rPr>
        <w:t xml:space="preserve"> t</w:t>
      </w:r>
      <w:r w:rsidR="00D52A00">
        <w:rPr>
          <w:bCs/>
          <w:lang w:val="sq-AL"/>
        </w:rPr>
        <w:t>ë</w:t>
      </w:r>
      <w:r w:rsidR="009614B9" w:rsidRPr="009614B9">
        <w:rPr>
          <w:bCs/>
          <w:lang w:val="sq-AL"/>
        </w:rPr>
        <w:t xml:space="preserve"> larta</w:t>
      </w:r>
      <w:r w:rsidRPr="001F505E">
        <w:rPr>
          <w:bCs/>
          <w:lang w:val="sq-AL"/>
        </w:rPr>
        <w:t>.</w:t>
      </w:r>
    </w:p>
    <w:p w:rsidR="0031704F" w:rsidRDefault="0031704F" w:rsidP="0031704F">
      <w:pPr>
        <w:rPr>
          <w:bCs/>
          <w:lang w:val="sq-AL"/>
        </w:rPr>
      </w:pPr>
    </w:p>
    <w:p w:rsidR="00E0153D" w:rsidRPr="001F505E" w:rsidRDefault="00E0153D" w:rsidP="0031704F">
      <w:pPr>
        <w:rPr>
          <w:bCs/>
          <w:lang w:val="sq-AL"/>
        </w:rPr>
      </w:pPr>
      <w:r w:rsidRPr="001F505E">
        <w:rPr>
          <w:bCs/>
          <w:lang w:val="sq-AL"/>
        </w:rPr>
        <w:t>Shpenzimet p</w:t>
      </w:r>
      <w:r w:rsidR="00275D49" w:rsidRPr="001F505E">
        <w:rPr>
          <w:bCs/>
          <w:lang w:val="sq-AL"/>
        </w:rPr>
        <w:t>ë</w:t>
      </w:r>
      <w:r w:rsidR="004668DD">
        <w:rPr>
          <w:bCs/>
          <w:lang w:val="sq-AL"/>
        </w:rPr>
        <w:t>r Sigurimet Sociale J</w:t>
      </w:r>
      <w:r w:rsidRPr="001F505E">
        <w:rPr>
          <w:bCs/>
          <w:lang w:val="sq-AL"/>
        </w:rPr>
        <w:t>anar</w:t>
      </w:r>
      <w:r w:rsidR="004668DD">
        <w:rPr>
          <w:bCs/>
          <w:lang w:val="sq-AL"/>
        </w:rPr>
        <w:t xml:space="preserve"> </w:t>
      </w:r>
      <w:r w:rsidRPr="001F505E">
        <w:rPr>
          <w:bCs/>
          <w:lang w:val="sq-AL"/>
        </w:rPr>
        <w:t>-</w:t>
      </w:r>
      <w:r w:rsidR="004668DD">
        <w:rPr>
          <w:bCs/>
          <w:lang w:val="sq-AL"/>
        </w:rPr>
        <w:t xml:space="preserve"> K</w:t>
      </w:r>
      <w:r w:rsidR="009614B9">
        <w:rPr>
          <w:bCs/>
          <w:lang w:val="sq-AL"/>
        </w:rPr>
        <w:t>orrik</w:t>
      </w:r>
    </w:p>
    <w:p w:rsidR="00E0153D" w:rsidRPr="001F505E" w:rsidRDefault="008E3C2C" w:rsidP="009614B9">
      <w:pPr>
        <w:rPr>
          <w:b/>
          <w:bCs/>
          <w:noProof/>
          <w:lang w:val="sq-AL"/>
        </w:rPr>
      </w:pPr>
      <w:r>
        <w:rPr>
          <w:noProof/>
          <w:lang w:val="sq-AL" w:eastAsia="sq-AL"/>
        </w:rPr>
        <w:drawing>
          <wp:inline distT="0" distB="0" distL="0" distR="0">
            <wp:extent cx="4865370" cy="2130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4865370" cy="2130425"/>
                    </a:xfrm>
                    <a:prstGeom prst="rect">
                      <a:avLst/>
                    </a:prstGeom>
                    <a:noFill/>
                    <a:ln w="9525">
                      <a:noFill/>
                      <a:miter lim="800000"/>
                      <a:headEnd/>
                      <a:tailEnd/>
                    </a:ln>
                  </pic:spPr>
                </pic:pic>
              </a:graphicData>
            </a:graphic>
          </wp:inline>
        </w:drawing>
      </w:r>
    </w:p>
    <w:p w:rsidR="00FC6ACD" w:rsidRPr="001F505E" w:rsidRDefault="00FC6ACD" w:rsidP="009614B9">
      <w:pPr>
        <w:rPr>
          <w:b/>
          <w:bCs/>
          <w:noProof/>
          <w:lang w:val="sq-AL"/>
        </w:rPr>
      </w:pPr>
    </w:p>
    <w:p w:rsidR="00E0153D" w:rsidRPr="0031704F" w:rsidRDefault="00E0153D" w:rsidP="009614B9">
      <w:pPr>
        <w:rPr>
          <w:b/>
          <w:noProof/>
          <w:lang w:val="sq-AL"/>
        </w:rPr>
      </w:pPr>
      <w:r w:rsidRPr="0031704F">
        <w:rPr>
          <w:b/>
          <w:noProof/>
          <w:lang w:val="sq-AL"/>
        </w:rPr>
        <w:t>Shpenzime të Pushtetit Lokal</w:t>
      </w:r>
      <w:r w:rsidR="0031704F">
        <w:rPr>
          <w:b/>
          <w:noProof/>
          <w:lang w:val="sq-AL"/>
        </w:rPr>
        <w:tab/>
      </w:r>
      <w:r w:rsidR="009614B9" w:rsidRPr="009614B9">
        <w:rPr>
          <w:lang w:val="sq-AL"/>
        </w:rPr>
        <w:t>Shpenzimet e pushtetit vendor zunë rreth 9.2 përqind të shpen</w:t>
      </w:r>
      <w:r w:rsidR="004668DD">
        <w:rPr>
          <w:lang w:val="sq-AL"/>
        </w:rPr>
        <w:t>zimeve korrente. Për periudhën J</w:t>
      </w:r>
      <w:r w:rsidR="009614B9" w:rsidRPr="009614B9">
        <w:rPr>
          <w:lang w:val="sq-AL"/>
        </w:rPr>
        <w:t>anar</w:t>
      </w:r>
      <w:r w:rsidR="004668DD">
        <w:rPr>
          <w:lang w:val="sq-AL"/>
        </w:rPr>
        <w:t xml:space="preserve"> - K</w:t>
      </w:r>
      <w:r w:rsidR="009614B9" w:rsidRPr="009614B9">
        <w:rPr>
          <w:lang w:val="sq-AL"/>
        </w:rPr>
        <w:t xml:space="preserve">orrik 2013 ato kanë arritur në rreth 17.5 miliardë lekë nga rreth 15.7 miliardë lekë të planifikuara për këtë periudhë të vitit 2013, duke rezultuar me një tejkalim per rreth 1.8 miliardë lekë ose rreth 11.6 përqind mbi parashikimin e periudhës. Kundrejt planit vjetor këto shpenzime kanë arritur në rreth 59.8 përqind të tij. Krahasuar me një vit më parë këto shpenzime rezultojne rreth 2.2 miliardë lekë më të larta ose rreth 14.4 përqind më shume. Ecuria e shpenzimeve të </w:t>
      </w:r>
      <w:r w:rsidR="004668DD">
        <w:rPr>
          <w:lang w:val="sq-AL"/>
        </w:rPr>
        <w:t>pushtetit vendor për periudhen J</w:t>
      </w:r>
      <w:r w:rsidR="009614B9" w:rsidRPr="009614B9">
        <w:rPr>
          <w:lang w:val="sq-AL"/>
        </w:rPr>
        <w:t>anar</w:t>
      </w:r>
      <w:r w:rsidR="004668DD">
        <w:rPr>
          <w:lang w:val="sq-AL"/>
        </w:rPr>
        <w:t xml:space="preserve"> - K</w:t>
      </w:r>
      <w:r w:rsidR="009614B9" w:rsidRPr="009614B9">
        <w:rPr>
          <w:lang w:val="sq-AL"/>
        </w:rPr>
        <w:t>orrik për disa vite jepet nga grafiku i mëposhtëm</w:t>
      </w:r>
      <w:r w:rsidRPr="001F505E">
        <w:rPr>
          <w:lang w:val="sq-AL"/>
        </w:rPr>
        <w:t>.</w:t>
      </w:r>
    </w:p>
    <w:p w:rsidR="00E0153D" w:rsidRPr="001F505E" w:rsidRDefault="004668DD" w:rsidP="009614B9">
      <w:pPr>
        <w:rPr>
          <w:noProof/>
          <w:lang w:val="sq-AL"/>
        </w:rPr>
      </w:pPr>
      <w:r>
        <w:rPr>
          <w:lang w:val="sq-AL"/>
        </w:rPr>
        <w:t>Shpenzimet për pushtetin lokal J</w:t>
      </w:r>
      <w:r w:rsidR="00E0153D" w:rsidRPr="001F505E">
        <w:rPr>
          <w:lang w:val="sq-AL"/>
        </w:rPr>
        <w:t>anar</w:t>
      </w:r>
      <w:r>
        <w:rPr>
          <w:lang w:val="sq-AL"/>
        </w:rPr>
        <w:t xml:space="preserve"> </w:t>
      </w:r>
      <w:r w:rsidR="00E0153D" w:rsidRPr="001F505E">
        <w:rPr>
          <w:lang w:val="sq-AL"/>
        </w:rPr>
        <w:t>-</w:t>
      </w:r>
      <w:r>
        <w:rPr>
          <w:lang w:val="sq-AL"/>
        </w:rPr>
        <w:t xml:space="preserve"> K</w:t>
      </w:r>
      <w:r w:rsidR="009614B9">
        <w:rPr>
          <w:lang w:val="sq-AL"/>
        </w:rPr>
        <w:t>orrik</w:t>
      </w:r>
    </w:p>
    <w:p w:rsidR="00E0153D" w:rsidRPr="001F505E" w:rsidRDefault="008E3C2C" w:rsidP="009614B9">
      <w:pPr>
        <w:rPr>
          <w:b/>
          <w:noProof/>
          <w:lang w:val="sq-AL"/>
        </w:rPr>
      </w:pPr>
      <w:r>
        <w:rPr>
          <w:noProof/>
          <w:lang w:val="sq-AL" w:eastAsia="sq-AL"/>
        </w:rPr>
        <w:drawing>
          <wp:inline distT="0" distB="0" distL="0" distR="0">
            <wp:extent cx="4675505" cy="2251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4675505" cy="2251710"/>
                    </a:xfrm>
                    <a:prstGeom prst="rect">
                      <a:avLst/>
                    </a:prstGeom>
                    <a:noFill/>
                    <a:ln w="9525">
                      <a:noFill/>
                      <a:miter lim="800000"/>
                      <a:headEnd/>
                      <a:tailEnd/>
                    </a:ln>
                  </pic:spPr>
                </pic:pic>
              </a:graphicData>
            </a:graphic>
          </wp:inline>
        </w:drawing>
      </w:r>
    </w:p>
    <w:p w:rsidR="00FC6ACD" w:rsidRPr="001F505E" w:rsidRDefault="00FC6ACD" w:rsidP="009614B9">
      <w:pPr>
        <w:rPr>
          <w:b/>
          <w:noProof/>
          <w:lang w:val="sq-AL"/>
        </w:rPr>
      </w:pPr>
    </w:p>
    <w:p w:rsidR="00E0153D" w:rsidRPr="0031704F" w:rsidRDefault="00E0153D" w:rsidP="009614B9">
      <w:pPr>
        <w:rPr>
          <w:b/>
          <w:noProof/>
          <w:lang w:val="sq-AL"/>
        </w:rPr>
      </w:pPr>
      <w:r w:rsidRPr="0031704F">
        <w:rPr>
          <w:b/>
          <w:noProof/>
          <w:lang w:val="sq-AL"/>
        </w:rPr>
        <w:t>Pagesa e Papunësisë</w:t>
      </w:r>
      <w:r w:rsidR="0031704F">
        <w:rPr>
          <w:b/>
          <w:noProof/>
          <w:lang w:val="sq-AL"/>
        </w:rPr>
        <w:tab/>
      </w:r>
      <w:r w:rsidR="0031704F">
        <w:rPr>
          <w:b/>
          <w:noProof/>
          <w:lang w:val="sq-AL"/>
        </w:rPr>
        <w:tab/>
      </w:r>
      <w:r w:rsidR="009614B9" w:rsidRPr="007F33AE">
        <w:rPr>
          <w:bCs/>
          <w:lang w:val="sq-AL"/>
        </w:rPr>
        <w:t>Pagesa e papun</w:t>
      </w:r>
      <w:r w:rsidR="009614B9">
        <w:rPr>
          <w:bCs/>
          <w:lang w:val="sq-AL"/>
        </w:rPr>
        <w:t>ë</w:t>
      </w:r>
      <w:r w:rsidR="009614B9" w:rsidRPr="007F33AE">
        <w:rPr>
          <w:bCs/>
          <w:lang w:val="sq-AL"/>
        </w:rPr>
        <w:t>sis</w:t>
      </w:r>
      <w:r w:rsidR="009614B9">
        <w:rPr>
          <w:bCs/>
          <w:lang w:val="sq-AL"/>
        </w:rPr>
        <w:t>ë</w:t>
      </w:r>
      <w:r w:rsidR="009614B9" w:rsidRPr="007F33AE">
        <w:rPr>
          <w:bCs/>
          <w:lang w:val="sq-AL"/>
        </w:rPr>
        <w:t xml:space="preserve"> </w:t>
      </w:r>
      <w:r w:rsidR="009614B9">
        <w:rPr>
          <w:bCs/>
          <w:lang w:val="sq-AL"/>
        </w:rPr>
        <w:t>ë</w:t>
      </w:r>
      <w:r w:rsidR="009614B9" w:rsidRPr="007F33AE">
        <w:rPr>
          <w:bCs/>
          <w:lang w:val="sq-AL"/>
        </w:rPr>
        <w:t>sht</w:t>
      </w:r>
      <w:r w:rsidR="009614B9">
        <w:rPr>
          <w:bCs/>
          <w:lang w:val="sq-AL"/>
        </w:rPr>
        <w:t>ë</w:t>
      </w:r>
      <w:r w:rsidR="009614B9" w:rsidRPr="007F33AE">
        <w:rPr>
          <w:bCs/>
          <w:lang w:val="sq-AL"/>
        </w:rPr>
        <w:t xml:space="preserve"> realizuar n</w:t>
      </w:r>
      <w:r w:rsidR="009614B9">
        <w:rPr>
          <w:bCs/>
          <w:lang w:val="sq-AL"/>
        </w:rPr>
        <w:t>ë</w:t>
      </w:r>
      <w:r w:rsidR="009614B9" w:rsidRPr="007F33AE">
        <w:rPr>
          <w:bCs/>
          <w:lang w:val="sq-AL"/>
        </w:rPr>
        <w:t xml:space="preserve"> rreth </w:t>
      </w:r>
      <w:r w:rsidR="009614B9">
        <w:rPr>
          <w:bCs/>
          <w:lang w:val="sq-AL"/>
        </w:rPr>
        <w:t>83.9</w:t>
      </w:r>
      <w:r w:rsidR="009614B9" w:rsidRPr="007F33AE">
        <w:rPr>
          <w:bCs/>
          <w:lang w:val="sq-AL"/>
        </w:rPr>
        <w:t xml:space="preserve"> p</w:t>
      </w:r>
      <w:r w:rsidR="009614B9">
        <w:rPr>
          <w:bCs/>
          <w:lang w:val="sq-AL"/>
        </w:rPr>
        <w:t>ë</w:t>
      </w:r>
      <w:r w:rsidR="009614B9" w:rsidRPr="007F33AE">
        <w:rPr>
          <w:bCs/>
          <w:lang w:val="sq-AL"/>
        </w:rPr>
        <w:t>rqind t</w:t>
      </w:r>
      <w:r w:rsidR="009614B9">
        <w:rPr>
          <w:bCs/>
          <w:lang w:val="sq-AL"/>
        </w:rPr>
        <w:t>ë</w:t>
      </w:r>
      <w:r w:rsidR="009614B9" w:rsidRPr="007F33AE">
        <w:rPr>
          <w:bCs/>
          <w:lang w:val="sq-AL"/>
        </w:rPr>
        <w:t xml:space="preserve"> parashikimit t</w:t>
      </w:r>
      <w:r w:rsidR="009614B9">
        <w:rPr>
          <w:bCs/>
          <w:lang w:val="sq-AL"/>
        </w:rPr>
        <w:t>ë</w:t>
      </w:r>
      <w:r w:rsidR="009614B9" w:rsidRPr="007F33AE">
        <w:rPr>
          <w:bCs/>
          <w:lang w:val="sq-AL"/>
        </w:rPr>
        <w:t xml:space="preserve"> periudh</w:t>
      </w:r>
      <w:r w:rsidR="009614B9">
        <w:rPr>
          <w:bCs/>
          <w:lang w:val="sq-AL"/>
        </w:rPr>
        <w:t>ë</w:t>
      </w:r>
      <w:r w:rsidR="009614B9" w:rsidRPr="007F33AE">
        <w:rPr>
          <w:bCs/>
          <w:lang w:val="sq-AL"/>
        </w:rPr>
        <w:t>s, duke q</w:t>
      </w:r>
      <w:r w:rsidR="009614B9">
        <w:rPr>
          <w:bCs/>
          <w:lang w:val="sq-AL"/>
        </w:rPr>
        <w:t>ë</w:t>
      </w:r>
      <w:r w:rsidR="009614B9" w:rsidRPr="007F33AE">
        <w:rPr>
          <w:bCs/>
          <w:lang w:val="sq-AL"/>
        </w:rPr>
        <w:t>n</w:t>
      </w:r>
      <w:r w:rsidR="009614B9">
        <w:rPr>
          <w:bCs/>
          <w:lang w:val="sq-AL"/>
        </w:rPr>
        <w:t>ë</w:t>
      </w:r>
      <w:r w:rsidR="009614B9" w:rsidRPr="007F33AE">
        <w:rPr>
          <w:bCs/>
          <w:lang w:val="sq-AL"/>
        </w:rPr>
        <w:t xml:space="preserve"> rreth </w:t>
      </w:r>
      <w:r w:rsidR="009614B9">
        <w:rPr>
          <w:bCs/>
          <w:lang w:val="sq-AL"/>
        </w:rPr>
        <w:t>47.5</w:t>
      </w:r>
      <w:r w:rsidR="009614B9" w:rsidRPr="007F33AE">
        <w:rPr>
          <w:bCs/>
          <w:lang w:val="sq-AL"/>
        </w:rPr>
        <w:t xml:space="preserve"> p</w:t>
      </w:r>
      <w:r w:rsidR="009614B9">
        <w:rPr>
          <w:bCs/>
          <w:lang w:val="sq-AL"/>
        </w:rPr>
        <w:t>ë</w:t>
      </w:r>
      <w:r w:rsidR="009614B9" w:rsidRPr="007F33AE">
        <w:rPr>
          <w:bCs/>
          <w:lang w:val="sq-AL"/>
        </w:rPr>
        <w:t xml:space="preserve">rqind e parashikimit vjetor dhe </w:t>
      </w:r>
      <w:r w:rsidR="009614B9">
        <w:rPr>
          <w:bCs/>
          <w:lang w:val="sq-AL"/>
        </w:rPr>
        <w:t xml:space="preserve">rreth 114 milione leke me pak ose rreth 19.4 perqind me pak se </w:t>
      </w:r>
      <w:r w:rsidR="009614B9" w:rsidRPr="007F33AE">
        <w:rPr>
          <w:bCs/>
          <w:lang w:val="sq-AL"/>
        </w:rPr>
        <w:t>n</w:t>
      </w:r>
      <w:r w:rsidR="009614B9">
        <w:rPr>
          <w:bCs/>
          <w:lang w:val="sq-AL"/>
        </w:rPr>
        <w:t>ë</w:t>
      </w:r>
      <w:r w:rsidR="009614B9" w:rsidRPr="007F33AE">
        <w:rPr>
          <w:bCs/>
          <w:lang w:val="sq-AL"/>
        </w:rPr>
        <w:t xml:space="preserve"> t</w:t>
      </w:r>
      <w:r w:rsidR="009614B9">
        <w:rPr>
          <w:bCs/>
          <w:lang w:val="sq-AL"/>
        </w:rPr>
        <w:t>ë</w:t>
      </w:r>
      <w:r w:rsidR="009614B9" w:rsidRPr="007F33AE">
        <w:rPr>
          <w:bCs/>
          <w:lang w:val="sq-AL"/>
        </w:rPr>
        <w:t xml:space="preserve"> nj</w:t>
      </w:r>
      <w:r w:rsidR="009614B9">
        <w:rPr>
          <w:bCs/>
          <w:lang w:val="sq-AL"/>
        </w:rPr>
        <w:t>ë</w:t>
      </w:r>
      <w:r w:rsidR="009614B9" w:rsidRPr="007F33AE">
        <w:rPr>
          <w:bCs/>
          <w:lang w:val="sq-AL"/>
        </w:rPr>
        <w:t>jt</w:t>
      </w:r>
      <w:r w:rsidR="009614B9">
        <w:rPr>
          <w:bCs/>
          <w:lang w:val="sq-AL"/>
        </w:rPr>
        <w:t>ë</w:t>
      </w:r>
      <w:r w:rsidR="009614B9" w:rsidRPr="007F33AE">
        <w:rPr>
          <w:bCs/>
          <w:lang w:val="sq-AL"/>
        </w:rPr>
        <w:t>n periudh</w:t>
      </w:r>
      <w:r w:rsidR="009614B9">
        <w:rPr>
          <w:bCs/>
          <w:lang w:val="sq-AL"/>
        </w:rPr>
        <w:t>ë</w:t>
      </w:r>
      <w:r w:rsidR="009614B9" w:rsidRPr="007F33AE">
        <w:rPr>
          <w:bCs/>
          <w:lang w:val="sq-AL"/>
        </w:rPr>
        <w:t xml:space="preserve"> t</w:t>
      </w:r>
      <w:r w:rsidR="009614B9">
        <w:rPr>
          <w:bCs/>
          <w:lang w:val="sq-AL"/>
        </w:rPr>
        <w:t>ë</w:t>
      </w:r>
      <w:r w:rsidR="009614B9" w:rsidRPr="007F33AE">
        <w:rPr>
          <w:bCs/>
          <w:lang w:val="sq-AL"/>
        </w:rPr>
        <w:t xml:space="preserve"> nj</w:t>
      </w:r>
      <w:r w:rsidR="009614B9">
        <w:rPr>
          <w:bCs/>
          <w:lang w:val="sq-AL"/>
        </w:rPr>
        <w:t>ë</w:t>
      </w:r>
      <w:r w:rsidR="009614B9" w:rsidRPr="007F33AE">
        <w:rPr>
          <w:bCs/>
          <w:lang w:val="sq-AL"/>
        </w:rPr>
        <w:t xml:space="preserve"> viti m</w:t>
      </w:r>
      <w:r w:rsidR="009614B9">
        <w:rPr>
          <w:bCs/>
          <w:lang w:val="sq-AL"/>
        </w:rPr>
        <w:t>ë</w:t>
      </w:r>
      <w:r w:rsidR="009614B9" w:rsidRPr="007F33AE">
        <w:rPr>
          <w:bCs/>
          <w:lang w:val="sq-AL"/>
        </w:rPr>
        <w:t xml:space="preserve"> par</w:t>
      </w:r>
      <w:r w:rsidR="009614B9">
        <w:rPr>
          <w:bCs/>
          <w:lang w:val="sq-AL"/>
        </w:rPr>
        <w:t>ë</w:t>
      </w:r>
      <w:r w:rsidR="009614B9" w:rsidRPr="007F33AE">
        <w:rPr>
          <w:bCs/>
          <w:lang w:val="sq-AL"/>
        </w:rPr>
        <w:t>. Ndihma ekonomike gjat</w:t>
      </w:r>
      <w:r w:rsidR="009614B9">
        <w:rPr>
          <w:bCs/>
          <w:lang w:val="sq-AL"/>
        </w:rPr>
        <w:t>ë</w:t>
      </w:r>
      <w:r w:rsidR="009614B9" w:rsidRPr="007F33AE">
        <w:rPr>
          <w:bCs/>
          <w:lang w:val="sq-AL"/>
        </w:rPr>
        <w:t xml:space="preserve"> periudh</w:t>
      </w:r>
      <w:r w:rsidR="009614B9">
        <w:rPr>
          <w:bCs/>
          <w:lang w:val="sq-AL"/>
        </w:rPr>
        <w:t>ë</w:t>
      </w:r>
      <w:r w:rsidR="004668DD">
        <w:rPr>
          <w:bCs/>
          <w:lang w:val="sq-AL"/>
        </w:rPr>
        <w:t>s J</w:t>
      </w:r>
      <w:r w:rsidR="009614B9" w:rsidRPr="007F33AE">
        <w:rPr>
          <w:bCs/>
          <w:lang w:val="sq-AL"/>
        </w:rPr>
        <w:t>anar</w:t>
      </w:r>
      <w:r w:rsidR="004668DD">
        <w:rPr>
          <w:bCs/>
          <w:lang w:val="sq-AL"/>
        </w:rPr>
        <w:t xml:space="preserve"> </w:t>
      </w:r>
      <w:r w:rsidR="009614B9" w:rsidRPr="007F33AE">
        <w:rPr>
          <w:bCs/>
          <w:lang w:val="sq-AL"/>
        </w:rPr>
        <w:t>-</w:t>
      </w:r>
      <w:r w:rsidR="004668DD">
        <w:rPr>
          <w:bCs/>
          <w:lang w:val="sq-AL"/>
        </w:rPr>
        <w:t xml:space="preserve"> K</w:t>
      </w:r>
      <w:r w:rsidR="009614B9">
        <w:rPr>
          <w:bCs/>
          <w:lang w:val="sq-AL"/>
        </w:rPr>
        <w:t>orrik</w:t>
      </w:r>
      <w:r w:rsidR="009614B9" w:rsidRPr="007F33AE">
        <w:rPr>
          <w:bCs/>
          <w:lang w:val="sq-AL"/>
        </w:rPr>
        <w:t xml:space="preserve"> 201</w:t>
      </w:r>
      <w:r w:rsidR="009614B9">
        <w:rPr>
          <w:bCs/>
          <w:lang w:val="sq-AL"/>
        </w:rPr>
        <w:t>3</w:t>
      </w:r>
      <w:r w:rsidR="009614B9" w:rsidRPr="007F33AE">
        <w:rPr>
          <w:bCs/>
          <w:lang w:val="sq-AL"/>
        </w:rPr>
        <w:t xml:space="preserve"> rezulton rreth </w:t>
      </w:r>
      <w:r w:rsidR="009614B9">
        <w:rPr>
          <w:bCs/>
          <w:lang w:val="sq-AL"/>
        </w:rPr>
        <w:t>1.4</w:t>
      </w:r>
      <w:r w:rsidR="009614B9" w:rsidRPr="007F33AE">
        <w:rPr>
          <w:bCs/>
          <w:lang w:val="sq-AL"/>
        </w:rPr>
        <w:t xml:space="preserve"> mili</w:t>
      </w:r>
      <w:r w:rsidR="009614B9">
        <w:rPr>
          <w:bCs/>
          <w:lang w:val="sq-AL"/>
        </w:rPr>
        <w:t>ardë</w:t>
      </w:r>
      <w:r w:rsidR="009614B9" w:rsidRPr="007F33AE">
        <w:rPr>
          <w:bCs/>
          <w:lang w:val="sq-AL"/>
        </w:rPr>
        <w:t xml:space="preserve"> lek</w:t>
      </w:r>
      <w:r w:rsidR="009614B9">
        <w:rPr>
          <w:bCs/>
          <w:lang w:val="sq-AL"/>
        </w:rPr>
        <w:t>ë</w:t>
      </w:r>
      <w:r w:rsidR="009614B9" w:rsidRPr="007F33AE">
        <w:rPr>
          <w:bCs/>
          <w:lang w:val="sq-AL"/>
        </w:rPr>
        <w:t xml:space="preserve"> m</w:t>
      </w:r>
      <w:r w:rsidR="009614B9">
        <w:rPr>
          <w:bCs/>
          <w:lang w:val="sq-AL"/>
        </w:rPr>
        <w:t>ë</w:t>
      </w:r>
      <w:r w:rsidR="009614B9" w:rsidRPr="007F33AE">
        <w:rPr>
          <w:bCs/>
          <w:lang w:val="sq-AL"/>
        </w:rPr>
        <w:t xml:space="preserve"> </w:t>
      </w:r>
      <w:r w:rsidR="009614B9">
        <w:rPr>
          <w:bCs/>
          <w:lang w:val="sq-AL"/>
        </w:rPr>
        <w:t>shume</w:t>
      </w:r>
      <w:r w:rsidR="009614B9" w:rsidRPr="007F33AE">
        <w:rPr>
          <w:bCs/>
          <w:lang w:val="sq-AL"/>
        </w:rPr>
        <w:t xml:space="preserve"> ose rreth </w:t>
      </w:r>
      <w:r w:rsidR="009614B9">
        <w:rPr>
          <w:bCs/>
          <w:lang w:val="sq-AL"/>
        </w:rPr>
        <w:t>12.2</w:t>
      </w:r>
      <w:r w:rsidR="009614B9" w:rsidRPr="007F33AE">
        <w:rPr>
          <w:bCs/>
          <w:lang w:val="sq-AL"/>
        </w:rPr>
        <w:t xml:space="preserve"> p</w:t>
      </w:r>
      <w:r w:rsidR="009614B9">
        <w:rPr>
          <w:bCs/>
          <w:lang w:val="sq-AL"/>
        </w:rPr>
        <w:t>ë</w:t>
      </w:r>
      <w:r w:rsidR="009614B9" w:rsidRPr="007F33AE">
        <w:rPr>
          <w:bCs/>
          <w:lang w:val="sq-AL"/>
        </w:rPr>
        <w:t>rqind</w:t>
      </w:r>
      <w:r w:rsidR="009614B9">
        <w:rPr>
          <w:bCs/>
          <w:lang w:val="sq-AL"/>
        </w:rPr>
        <w:t xml:space="preserve"> mbi</w:t>
      </w:r>
      <w:r w:rsidR="009614B9" w:rsidRPr="007F33AE">
        <w:rPr>
          <w:bCs/>
          <w:lang w:val="sq-AL"/>
        </w:rPr>
        <w:t xml:space="preserve"> parashikimin e periudh</w:t>
      </w:r>
      <w:r w:rsidR="009614B9">
        <w:rPr>
          <w:bCs/>
          <w:lang w:val="sq-AL"/>
        </w:rPr>
        <w:t>ë</w:t>
      </w:r>
      <w:r w:rsidR="009614B9" w:rsidRPr="007F33AE">
        <w:rPr>
          <w:bCs/>
          <w:lang w:val="sq-AL"/>
        </w:rPr>
        <w:t>s</w:t>
      </w:r>
      <w:r w:rsidR="009614B9" w:rsidRPr="00DB6862">
        <w:rPr>
          <w:bCs/>
          <w:lang w:val="sq-AL"/>
        </w:rPr>
        <w:t xml:space="preserve">, duke qënë në të njëjtën kohë rreth </w:t>
      </w:r>
      <w:r w:rsidR="009614B9">
        <w:rPr>
          <w:bCs/>
          <w:lang w:val="sq-AL"/>
        </w:rPr>
        <w:t>71.9</w:t>
      </w:r>
      <w:r w:rsidR="009614B9" w:rsidRPr="00DB6862">
        <w:rPr>
          <w:bCs/>
          <w:lang w:val="sq-AL"/>
        </w:rPr>
        <w:t xml:space="preserve"> përqind e planit vjetor. Kundrejt të njëjtës periudhë të një viti më parë ndihma ekonomike rezulton rreth </w:t>
      </w:r>
      <w:r w:rsidR="004668DD">
        <w:rPr>
          <w:bCs/>
          <w:lang w:val="sq-AL"/>
        </w:rPr>
        <w:t>1.9 miliard</w:t>
      </w:r>
      <w:r w:rsidR="00D52A00">
        <w:rPr>
          <w:bCs/>
          <w:lang w:val="sq-AL"/>
        </w:rPr>
        <w:t>ë</w:t>
      </w:r>
      <w:r w:rsidR="004668DD">
        <w:rPr>
          <w:bCs/>
          <w:lang w:val="sq-AL"/>
        </w:rPr>
        <w:t xml:space="preserve"> lek</w:t>
      </w:r>
      <w:r w:rsidR="00D52A00">
        <w:rPr>
          <w:bCs/>
          <w:lang w:val="sq-AL"/>
        </w:rPr>
        <w:t>ë</w:t>
      </w:r>
      <w:r w:rsidR="004668DD">
        <w:rPr>
          <w:bCs/>
          <w:lang w:val="sq-AL"/>
        </w:rPr>
        <w:t xml:space="preserve"> m</w:t>
      </w:r>
      <w:r w:rsidR="00D52A00">
        <w:rPr>
          <w:bCs/>
          <w:lang w:val="sq-AL"/>
        </w:rPr>
        <w:t>ë</w:t>
      </w:r>
      <w:r w:rsidR="004668DD">
        <w:rPr>
          <w:bCs/>
          <w:lang w:val="sq-AL"/>
        </w:rPr>
        <w:t xml:space="preserve"> shum</w:t>
      </w:r>
      <w:r w:rsidR="00D52A00">
        <w:rPr>
          <w:bCs/>
          <w:lang w:val="sq-AL"/>
        </w:rPr>
        <w:t>ë</w:t>
      </w:r>
      <w:r w:rsidR="009614B9" w:rsidRPr="00DB6862">
        <w:rPr>
          <w:bCs/>
          <w:lang w:val="sq-AL"/>
        </w:rPr>
        <w:t xml:space="preserve"> ose rreth </w:t>
      </w:r>
      <w:r w:rsidR="009614B9">
        <w:rPr>
          <w:bCs/>
          <w:lang w:val="sq-AL"/>
        </w:rPr>
        <w:t>17.7</w:t>
      </w:r>
      <w:r w:rsidR="004668DD">
        <w:rPr>
          <w:bCs/>
          <w:lang w:val="sq-AL"/>
        </w:rPr>
        <w:t xml:space="preserve"> p</w:t>
      </w:r>
      <w:r w:rsidR="00D52A00">
        <w:rPr>
          <w:bCs/>
          <w:lang w:val="sq-AL"/>
        </w:rPr>
        <w:t>ë</w:t>
      </w:r>
      <w:r w:rsidR="004668DD">
        <w:rPr>
          <w:bCs/>
          <w:lang w:val="sq-AL"/>
        </w:rPr>
        <w:t>rqind m</w:t>
      </w:r>
      <w:r w:rsidR="00D52A00">
        <w:rPr>
          <w:bCs/>
          <w:lang w:val="sq-AL"/>
        </w:rPr>
        <w:t>ë</w:t>
      </w:r>
      <w:r w:rsidR="004668DD">
        <w:rPr>
          <w:bCs/>
          <w:lang w:val="sq-AL"/>
        </w:rPr>
        <w:t xml:space="preserve"> e lart</w:t>
      </w:r>
      <w:r w:rsidR="00D52A00">
        <w:rPr>
          <w:bCs/>
          <w:lang w:val="sq-AL"/>
        </w:rPr>
        <w:t>ë</w:t>
      </w:r>
      <w:r w:rsidRPr="001F505E">
        <w:rPr>
          <w:bCs/>
          <w:lang w:val="sq-AL"/>
        </w:rPr>
        <w:t>.</w:t>
      </w:r>
    </w:p>
    <w:p w:rsidR="00E0153D" w:rsidRPr="001F505E" w:rsidRDefault="00E0153D" w:rsidP="009614B9">
      <w:pPr>
        <w:rPr>
          <w:lang w:val="sq-AL"/>
        </w:rPr>
      </w:pPr>
      <w:r w:rsidRPr="001F505E">
        <w:rPr>
          <w:lang w:val="sq-AL"/>
        </w:rPr>
        <w:t>Sh</w:t>
      </w:r>
      <w:r w:rsidR="004668DD">
        <w:rPr>
          <w:lang w:val="sq-AL"/>
        </w:rPr>
        <w:t>penzimet për mbrojtjen sociale J</w:t>
      </w:r>
      <w:r w:rsidRPr="001F505E">
        <w:rPr>
          <w:lang w:val="sq-AL"/>
        </w:rPr>
        <w:t>anar</w:t>
      </w:r>
      <w:r w:rsidR="004668DD">
        <w:rPr>
          <w:lang w:val="sq-AL"/>
        </w:rPr>
        <w:t xml:space="preserve"> </w:t>
      </w:r>
      <w:r w:rsidRPr="001F505E">
        <w:rPr>
          <w:lang w:val="sq-AL"/>
        </w:rPr>
        <w:t xml:space="preserve">- </w:t>
      </w:r>
      <w:r w:rsidR="004668DD">
        <w:rPr>
          <w:lang w:val="sq-AL"/>
        </w:rPr>
        <w:t>K</w:t>
      </w:r>
      <w:r w:rsidR="009614B9">
        <w:rPr>
          <w:lang w:val="sq-AL"/>
        </w:rPr>
        <w:t>orrik</w:t>
      </w:r>
    </w:p>
    <w:p w:rsidR="00E0153D" w:rsidRPr="001F505E" w:rsidRDefault="008E3C2C" w:rsidP="009614B9">
      <w:pPr>
        <w:rPr>
          <w:lang w:val="sq-AL"/>
        </w:rPr>
      </w:pPr>
      <w:r>
        <w:rPr>
          <w:noProof/>
          <w:lang w:val="sq-AL" w:eastAsia="sq-AL"/>
        </w:rPr>
        <w:drawing>
          <wp:inline distT="0" distB="0" distL="0" distR="0">
            <wp:extent cx="4675505" cy="2199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4675505" cy="2199640"/>
                    </a:xfrm>
                    <a:prstGeom prst="rect">
                      <a:avLst/>
                    </a:prstGeom>
                    <a:noFill/>
                    <a:ln w="9525">
                      <a:noFill/>
                      <a:miter lim="800000"/>
                      <a:headEnd/>
                      <a:tailEnd/>
                    </a:ln>
                  </pic:spPr>
                </pic:pic>
              </a:graphicData>
            </a:graphic>
          </wp:inline>
        </w:drawing>
      </w:r>
    </w:p>
    <w:p w:rsidR="009614B9" w:rsidRDefault="00E0153D" w:rsidP="009614B9">
      <w:pPr>
        <w:rPr>
          <w:lang w:val="sq-AL"/>
        </w:rPr>
      </w:pPr>
      <w:r w:rsidRPr="001F505E">
        <w:rPr>
          <w:b/>
          <w:lang w:val="sq-AL"/>
        </w:rPr>
        <w:lastRenderedPageBreak/>
        <w:t>Kompensimi p</w:t>
      </w:r>
      <w:r w:rsidR="00832127" w:rsidRPr="001F505E">
        <w:rPr>
          <w:b/>
          <w:lang w:val="sq-AL"/>
        </w:rPr>
        <w:t>ë</w:t>
      </w:r>
      <w:r w:rsidRPr="001F505E">
        <w:rPr>
          <w:b/>
          <w:lang w:val="sq-AL"/>
        </w:rPr>
        <w:t>r t</w:t>
      </w:r>
      <w:r w:rsidR="00832127" w:rsidRPr="001F505E">
        <w:rPr>
          <w:b/>
          <w:lang w:val="sq-AL"/>
        </w:rPr>
        <w:t>ë</w:t>
      </w:r>
      <w:r w:rsidRPr="001F505E">
        <w:rPr>
          <w:b/>
          <w:lang w:val="sq-AL"/>
        </w:rPr>
        <w:t xml:space="preserve"> p</w:t>
      </w:r>
      <w:r w:rsidR="00832127" w:rsidRPr="001F505E">
        <w:rPr>
          <w:b/>
          <w:lang w:val="sq-AL"/>
        </w:rPr>
        <w:t>ë</w:t>
      </w:r>
      <w:r w:rsidRPr="001F505E">
        <w:rPr>
          <w:b/>
          <w:lang w:val="sq-AL"/>
        </w:rPr>
        <w:t>rndjekurit politik</w:t>
      </w:r>
      <w:r w:rsidR="00832127" w:rsidRPr="001F505E">
        <w:rPr>
          <w:b/>
          <w:lang w:val="sq-AL"/>
        </w:rPr>
        <w:t>ë</w:t>
      </w:r>
      <w:r w:rsidRPr="001F505E">
        <w:rPr>
          <w:b/>
          <w:lang w:val="sq-AL"/>
        </w:rPr>
        <w:t xml:space="preserve">, </w:t>
      </w:r>
      <w:r w:rsidR="004668DD">
        <w:rPr>
          <w:lang w:val="sq-AL"/>
        </w:rPr>
        <w:t>n</w:t>
      </w:r>
      <w:r w:rsidR="00D52A00">
        <w:rPr>
          <w:lang w:val="sq-AL"/>
        </w:rPr>
        <w:t>ë</w:t>
      </w:r>
      <w:r w:rsidR="004668DD">
        <w:rPr>
          <w:lang w:val="sq-AL"/>
        </w:rPr>
        <w:t xml:space="preserve"> fund t</w:t>
      </w:r>
      <w:r w:rsidR="00D52A00">
        <w:rPr>
          <w:lang w:val="sq-AL"/>
        </w:rPr>
        <w:t>ë</w:t>
      </w:r>
      <w:r w:rsidR="004668DD">
        <w:rPr>
          <w:lang w:val="sq-AL"/>
        </w:rPr>
        <w:t xml:space="preserve"> muajit Korrik 2013, arriti n</w:t>
      </w:r>
      <w:r w:rsidR="00D52A00">
        <w:rPr>
          <w:lang w:val="sq-AL"/>
        </w:rPr>
        <w:t>ë</w:t>
      </w:r>
      <w:r w:rsidR="004668DD">
        <w:rPr>
          <w:lang w:val="sq-AL"/>
        </w:rPr>
        <w:t xml:space="preserve"> rreth 2.9 miliard</w:t>
      </w:r>
      <w:r w:rsidR="00D52A00">
        <w:rPr>
          <w:lang w:val="sq-AL"/>
        </w:rPr>
        <w:t>ë</w:t>
      </w:r>
      <w:r w:rsidR="004668DD">
        <w:rPr>
          <w:lang w:val="sq-AL"/>
        </w:rPr>
        <w:t xml:space="preserve"> lek</w:t>
      </w:r>
      <w:r w:rsidR="00D52A00">
        <w:rPr>
          <w:lang w:val="sq-AL"/>
        </w:rPr>
        <w:t>ë</w:t>
      </w:r>
      <w:r w:rsidR="004668DD">
        <w:rPr>
          <w:lang w:val="sq-AL"/>
        </w:rPr>
        <w:t>, ose rreth 351 milion</w:t>
      </w:r>
      <w:r w:rsidR="00D52A00">
        <w:rPr>
          <w:lang w:val="sq-AL"/>
        </w:rPr>
        <w:t>ë</w:t>
      </w:r>
      <w:r w:rsidR="004668DD">
        <w:rPr>
          <w:lang w:val="sq-AL"/>
        </w:rPr>
        <w:t xml:space="preserve"> lek</w:t>
      </w:r>
      <w:r w:rsidR="00D52A00">
        <w:rPr>
          <w:lang w:val="sq-AL"/>
        </w:rPr>
        <w:t>ë</w:t>
      </w:r>
      <w:r w:rsidR="004668DD">
        <w:rPr>
          <w:lang w:val="sq-AL"/>
        </w:rPr>
        <w:t xml:space="preserve"> m</w:t>
      </w:r>
      <w:r w:rsidR="00D52A00">
        <w:rPr>
          <w:lang w:val="sq-AL"/>
        </w:rPr>
        <w:t>ë</w:t>
      </w:r>
      <w:r w:rsidR="004668DD">
        <w:rPr>
          <w:lang w:val="sq-AL"/>
        </w:rPr>
        <w:t xml:space="preserve"> shum</w:t>
      </w:r>
      <w:r w:rsidR="00D52A00">
        <w:rPr>
          <w:lang w:val="sq-AL"/>
        </w:rPr>
        <w:t>ë</w:t>
      </w:r>
      <w:r w:rsidR="004668DD">
        <w:rPr>
          <w:lang w:val="sq-AL"/>
        </w:rPr>
        <w:t xml:space="preserve"> se parashikimi i periudh</w:t>
      </w:r>
      <w:r w:rsidR="00D52A00">
        <w:rPr>
          <w:lang w:val="sq-AL"/>
        </w:rPr>
        <w:t>ë</w:t>
      </w:r>
      <w:r w:rsidR="004668DD">
        <w:rPr>
          <w:lang w:val="sq-AL"/>
        </w:rPr>
        <w:t>s, duke q</w:t>
      </w:r>
      <w:r w:rsidR="00D52A00">
        <w:rPr>
          <w:lang w:val="sq-AL"/>
        </w:rPr>
        <w:t>ë</w:t>
      </w:r>
      <w:r w:rsidR="004668DD">
        <w:rPr>
          <w:lang w:val="sq-AL"/>
        </w:rPr>
        <w:t>n</w:t>
      </w:r>
      <w:r w:rsidR="00D52A00">
        <w:rPr>
          <w:lang w:val="sq-AL"/>
        </w:rPr>
        <w:t>ë</w:t>
      </w:r>
      <w:r w:rsidR="004668DD">
        <w:rPr>
          <w:lang w:val="sq-AL"/>
        </w:rPr>
        <w:t xml:space="preserve"> n</w:t>
      </w:r>
      <w:r w:rsidR="00D52A00">
        <w:rPr>
          <w:lang w:val="sq-AL"/>
        </w:rPr>
        <w:t>ë</w:t>
      </w:r>
      <w:r w:rsidR="004668DD">
        <w:rPr>
          <w:lang w:val="sq-AL"/>
        </w:rPr>
        <w:t xml:space="preserve"> t</w:t>
      </w:r>
      <w:r w:rsidR="00D52A00">
        <w:rPr>
          <w:lang w:val="sq-AL"/>
        </w:rPr>
        <w:t>ë</w:t>
      </w:r>
      <w:r w:rsidR="004668DD">
        <w:rPr>
          <w:lang w:val="sq-AL"/>
        </w:rPr>
        <w:t xml:space="preserve"> njejt</w:t>
      </w:r>
      <w:r w:rsidR="00D52A00">
        <w:rPr>
          <w:lang w:val="sq-AL"/>
        </w:rPr>
        <w:t>ë</w:t>
      </w:r>
      <w:r w:rsidR="004668DD">
        <w:rPr>
          <w:lang w:val="sq-AL"/>
        </w:rPr>
        <w:t>n koh</w:t>
      </w:r>
      <w:r w:rsidR="00D52A00">
        <w:rPr>
          <w:lang w:val="sq-AL"/>
        </w:rPr>
        <w:t>ë</w:t>
      </w:r>
      <w:r w:rsidR="004668DD">
        <w:rPr>
          <w:lang w:val="sq-AL"/>
        </w:rPr>
        <w:t xml:space="preserve"> rreth 95.0 p</w:t>
      </w:r>
      <w:r w:rsidR="00D52A00">
        <w:rPr>
          <w:lang w:val="sq-AL"/>
        </w:rPr>
        <w:t>ë</w:t>
      </w:r>
      <w:r w:rsidR="009614B9" w:rsidRPr="009614B9">
        <w:rPr>
          <w:lang w:val="sq-AL"/>
        </w:rPr>
        <w:t>rqi</w:t>
      </w:r>
      <w:r w:rsidR="004668DD">
        <w:rPr>
          <w:lang w:val="sq-AL"/>
        </w:rPr>
        <w:t>nd e planit vjetor. Kundrejt nj</w:t>
      </w:r>
      <w:r w:rsidR="00D52A00">
        <w:rPr>
          <w:lang w:val="sq-AL"/>
        </w:rPr>
        <w:t>ë</w:t>
      </w:r>
      <w:r w:rsidR="004668DD">
        <w:rPr>
          <w:lang w:val="sq-AL"/>
        </w:rPr>
        <w:t xml:space="preserve"> viti m</w:t>
      </w:r>
      <w:r w:rsidR="00D52A00">
        <w:rPr>
          <w:lang w:val="sq-AL"/>
        </w:rPr>
        <w:t>ë</w:t>
      </w:r>
      <w:r w:rsidR="004668DD">
        <w:rPr>
          <w:lang w:val="sq-AL"/>
        </w:rPr>
        <w:t xml:space="preserve"> par</w:t>
      </w:r>
      <w:r w:rsidR="00D52A00">
        <w:rPr>
          <w:lang w:val="sq-AL"/>
        </w:rPr>
        <w:t>ë</w:t>
      </w:r>
      <w:r w:rsidR="004668DD">
        <w:rPr>
          <w:lang w:val="sq-AL"/>
        </w:rPr>
        <w:t xml:space="preserve"> k</w:t>
      </w:r>
      <w:r w:rsidR="00D52A00">
        <w:rPr>
          <w:lang w:val="sq-AL"/>
        </w:rPr>
        <w:t>ë</w:t>
      </w:r>
      <w:r w:rsidR="009614B9" w:rsidRPr="009614B9">
        <w:rPr>
          <w:lang w:val="sq-AL"/>
        </w:rPr>
        <w:t>to shpenzime rezultojne rreth 1.4 miliarde leke me te larta.</w:t>
      </w:r>
    </w:p>
    <w:p w:rsidR="009614B9" w:rsidRPr="0031704F" w:rsidRDefault="00E0153D" w:rsidP="009614B9">
      <w:pPr>
        <w:rPr>
          <w:b/>
          <w:noProof/>
          <w:lang w:val="sq-AL"/>
        </w:rPr>
      </w:pPr>
      <w:r w:rsidRPr="009614B9">
        <w:rPr>
          <w:b/>
          <w:noProof/>
          <w:lang w:val="sq-AL"/>
        </w:rPr>
        <w:t>Shpenzimet Kapitale</w:t>
      </w:r>
      <w:r w:rsidR="0031704F">
        <w:rPr>
          <w:b/>
          <w:noProof/>
          <w:lang w:val="sq-AL"/>
        </w:rPr>
        <w:tab/>
      </w:r>
      <w:r w:rsidR="0031704F">
        <w:rPr>
          <w:b/>
          <w:noProof/>
          <w:lang w:val="sq-AL"/>
        </w:rPr>
        <w:tab/>
      </w:r>
      <w:r w:rsidR="009614B9" w:rsidRPr="009614B9">
        <w:rPr>
          <w:lang w:val="sq-AL"/>
        </w:rPr>
        <w:t>Shpenzimet k</w:t>
      </w:r>
      <w:r w:rsidR="004668DD">
        <w:rPr>
          <w:lang w:val="sq-AL"/>
        </w:rPr>
        <w:t>apitale deri në fund të muajit K</w:t>
      </w:r>
      <w:r w:rsidR="009614B9" w:rsidRPr="009614B9">
        <w:rPr>
          <w:lang w:val="sq-AL"/>
        </w:rPr>
        <w:t>orrik 2013 janë realizuar në rreth 53.0 p</w:t>
      </w:r>
      <w:r w:rsidR="004668DD">
        <w:rPr>
          <w:lang w:val="sq-AL"/>
        </w:rPr>
        <w:t>ërqind të planit vjetor, plan q</w:t>
      </w:r>
      <w:r w:rsidR="00D52A00">
        <w:rPr>
          <w:lang w:val="sq-AL"/>
        </w:rPr>
        <w:t>ë</w:t>
      </w:r>
      <w:r w:rsidR="004668DD">
        <w:rPr>
          <w:lang w:val="sq-AL"/>
        </w:rPr>
        <w:t xml:space="preserve"> mban n</w:t>
      </w:r>
      <w:r w:rsidR="00D52A00">
        <w:rPr>
          <w:lang w:val="sq-AL"/>
        </w:rPr>
        <w:t>ë</w:t>
      </w:r>
      <w:r w:rsidR="004668DD">
        <w:rPr>
          <w:lang w:val="sq-AL"/>
        </w:rPr>
        <w:t xml:space="preserve"> konsiderat</w:t>
      </w:r>
      <w:r w:rsidR="00D52A00">
        <w:rPr>
          <w:lang w:val="sq-AL"/>
        </w:rPr>
        <w:t>ë</w:t>
      </w:r>
      <w:r w:rsidR="004668DD">
        <w:rPr>
          <w:lang w:val="sq-AL"/>
        </w:rPr>
        <w:t xml:space="preserve"> edhe t</w:t>
      </w:r>
      <w:r w:rsidR="00D52A00">
        <w:rPr>
          <w:lang w:val="sq-AL"/>
        </w:rPr>
        <w:t>ë</w:t>
      </w:r>
      <w:r w:rsidR="004668DD">
        <w:rPr>
          <w:lang w:val="sq-AL"/>
        </w:rPr>
        <w:t xml:space="preserve"> ardhurat, prej 12 miliard</w:t>
      </w:r>
      <w:r w:rsidR="00D52A00">
        <w:rPr>
          <w:lang w:val="sq-AL"/>
        </w:rPr>
        <w:t>ë</w:t>
      </w:r>
      <w:r w:rsidR="004668DD">
        <w:rPr>
          <w:lang w:val="sq-AL"/>
        </w:rPr>
        <w:t xml:space="preserve"> lek</w:t>
      </w:r>
      <w:r w:rsidR="00D52A00">
        <w:rPr>
          <w:lang w:val="sq-AL"/>
        </w:rPr>
        <w:t>ë</w:t>
      </w:r>
      <w:r w:rsidR="004668DD">
        <w:rPr>
          <w:lang w:val="sq-AL"/>
        </w:rPr>
        <w:t xml:space="preserve"> t</w:t>
      </w:r>
      <w:r w:rsidR="00D52A00">
        <w:rPr>
          <w:lang w:val="sq-AL"/>
        </w:rPr>
        <w:t>ë</w:t>
      </w:r>
      <w:r w:rsidR="009614B9" w:rsidRPr="009614B9">
        <w:rPr>
          <w:lang w:val="sq-AL"/>
        </w:rPr>
        <w:t xml:space="preserve"> </w:t>
      </w:r>
      <w:r w:rsidR="004668DD">
        <w:rPr>
          <w:lang w:val="sq-AL"/>
        </w:rPr>
        <w:t>siguruara nga privatizimi i kat</w:t>
      </w:r>
      <w:r w:rsidR="00D52A00">
        <w:rPr>
          <w:lang w:val="sq-AL"/>
        </w:rPr>
        <w:t>ë</w:t>
      </w:r>
      <w:r w:rsidR="004668DD">
        <w:rPr>
          <w:lang w:val="sq-AL"/>
        </w:rPr>
        <w:t xml:space="preserve">r hidrocentraleve (pasi </w:t>
      </w:r>
      <w:r w:rsidR="00D52A00">
        <w:rPr>
          <w:lang w:val="sq-AL"/>
        </w:rPr>
        <w:t>ë</w:t>
      </w:r>
      <w:r w:rsidR="004668DD">
        <w:rPr>
          <w:lang w:val="sq-AL"/>
        </w:rPr>
        <w:t>sht</w:t>
      </w:r>
      <w:r w:rsidR="00D52A00">
        <w:rPr>
          <w:lang w:val="sq-AL"/>
        </w:rPr>
        <w:t>ë</w:t>
      </w:r>
      <w:r w:rsidR="009614B9" w:rsidRPr="009614B9">
        <w:rPr>
          <w:lang w:val="sq-AL"/>
        </w:rPr>
        <w:t xml:space="preserve"> zbritur pagesa e prapam</w:t>
      </w:r>
      <w:r w:rsidR="004668DD">
        <w:rPr>
          <w:lang w:val="sq-AL"/>
        </w:rPr>
        <w:t>betur e TVSH së rimbursueshme p</w:t>
      </w:r>
      <w:r w:rsidR="00D52A00">
        <w:rPr>
          <w:lang w:val="sq-AL"/>
        </w:rPr>
        <w:t>ë</w:t>
      </w:r>
      <w:r w:rsidR="004668DD">
        <w:rPr>
          <w:lang w:val="sq-AL"/>
        </w:rPr>
        <w:t>r shoqerin</w:t>
      </w:r>
      <w:r w:rsidR="00D52A00">
        <w:rPr>
          <w:lang w:val="sq-AL"/>
        </w:rPr>
        <w:t>ë</w:t>
      </w:r>
      <w:r w:rsidR="004668DD">
        <w:rPr>
          <w:lang w:val="sq-AL"/>
        </w:rPr>
        <w:t xml:space="preserve"> Kurum, prej rreth 3.5 miliard</w:t>
      </w:r>
      <w:r w:rsidR="00D52A00">
        <w:rPr>
          <w:lang w:val="sq-AL"/>
        </w:rPr>
        <w:t>ë</w:t>
      </w:r>
      <w:r w:rsidR="004668DD">
        <w:rPr>
          <w:lang w:val="sq-AL"/>
        </w:rPr>
        <w:t xml:space="preserve"> lek</w:t>
      </w:r>
      <w:r w:rsidR="00D52A00">
        <w:rPr>
          <w:lang w:val="sq-AL"/>
        </w:rPr>
        <w:t>ë</w:t>
      </w:r>
      <w:r w:rsidR="009614B9" w:rsidRPr="009614B9">
        <w:rPr>
          <w:lang w:val="sq-AL"/>
        </w:rPr>
        <w:t xml:space="preserve">). Këtu duhet të mbahet parasysh se rreth 99.4 milionë lekë janë dhënë nga fondi rezervë i buxhetit të shtetit për investime. Brenda këtyre shpenzimeve, investimet me financim të brendshëm janë realizuar në masën 66.8 përqind, ndërkohë që investimet me financim të huaj janë realizuar në masën 41.7 përqind të parashikimit vjetor. </w:t>
      </w:r>
    </w:p>
    <w:p w:rsidR="00E0153D" w:rsidRPr="001F505E" w:rsidRDefault="009614B9" w:rsidP="009614B9">
      <w:pPr>
        <w:rPr>
          <w:lang w:val="sq-AL"/>
        </w:rPr>
      </w:pPr>
      <w:r w:rsidRPr="009614B9">
        <w:rPr>
          <w:lang w:val="sq-AL"/>
        </w:rPr>
        <w:t>Krahasuar me të njëjtën periudhë të vitit të kaluar investimet e brendëshme rezultojnë rreth 7.7 miliardë lekë më të larta ose rreth 44.8 përqi</w:t>
      </w:r>
      <w:r w:rsidR="004668DD">
        <w:rPr>
          <w:lang w:val="sq-AL"/>
        </w:rPr>
        <w:t>nd më shum</w:t>
      </w:r>
      <w:r w:rsidR="00D52A00">
        <w:rPr>
          <w:lang w:val="sq-AL"/>
        </w:rPr>
        <w:t>ë</w:t>
      </w:r>
      <w:r w:rsidRPr="009614B9">
        <w:rPr>
          <w:lang w:val="sq-AL"/>
        </w:rPr>
        <w:t>, ndërkohë që investimet me financim të huaj rezultojnë rreth 4.4 miliardë lekë më të larta ose rreth 29.8 përqind më shumë. Për rrjedhojë, investi</w:t>
      </w:r>
      <w:r w:rsidR="004668DD">
        <w:rPr>
          <w:lang w:val="sq-AL"/>
        </w:rPr>
        <w:t>met në total në fund të muajit K</w:t>
      </w:r>
      <w:r w:rsidRPr="009614B9">
        <w:rPr>
          <w:lang w:val="sq-AL"/>
        </w:rPr>
        <w:t>orrik 2013 janë rreth 37.9 përqind më të larta ose rreth 12.1 miliardë lekë më shume se në të njëjtën periudhë të një viti më parë</w:t>
      </w:r>
      <w:r w:rsidR="00E0153D" w:rsidRPr="001F505E">
        <w:rPr>
          <w:lang w:val="sq-AL"/>
        </w:rPr>
        <w:t>.</w:t>
      </w:r>
    </w:p>
    <w:p w:rsidR="00E0153D" w:rsidRPr="001F505E" w:rsidRDefault="004668DD" w:rsidP="009614B9">
      <w:pPr>
        <w:rPr>
          <w:bCs/>
          <w:noProof/>
          <w:lang w:val="sq-AL"/>
        </w:rPr>
      </w:pPr>
      <w:r>
        <w:rPr>
          <w:lang w:val="sq-AL"/>
        </w:rPr>
        <w:t>Shpenzimet kapitale J</w:t>
      </w:r>
      <w:r w:rsidR="00E0153D" w:rsidRPr="001F505E">
        <w:rPr>
          <w:lang w:val="sq-AL"/>
        </w:rPr>
        <w:t>anar</w:t>
      </w:r>
      <w:r>
        <w:rPr>
          <w:lang w:val="sq-AL"/>
        </w:rPr>
        <w:t xml:space="preserve"> </w:t>
      </w:r>
      <w:r w:rsidR="00E0153D" w:rsidRPr="001F505E">
        <w:rPr>
          <w:lang w:val="sq-AL"/>
        </w:rPr>
        <w:t>-</w:t>
      </w:r>
      <w:r>
        <w:rPr>
          <w:lang w:val="sq-AL"/>
        </w:rPr>
        <w:t xml:space="preserve"> K</w:t>
      </w:r>
      <w:r w:rsidR="009614B9">
        <w:rPr>
          <w:lang w:val="sq-AL"/>
        </w:rPr>
        <w:t>orrik</w:t>
      </w:r>
    </w:p>
    <w:p w:rsidR="00E0153D" w:rsidRPr="001F505E" w:rsidRDefault="008E3C2C" w:rsidP="009614B9">
      <w:pPr>
        <w:rPr>
          <w:bCs/>
          <w:noProof/>
          <w:lang w:val="sq-AL"/>
        </w:rPr>
      </w:pPr>
      <w:r>
        <w:rPr>
          <w:noProof/>
          <w:lang w:val="sq-AL" w:eastAsia="sq-AL"/>
        </w:rPr>
        <w:drawing>
          <wp:inline distT="0" distB="0" distL="0" distR="0">
            <wp:extent cx="4675505" cy="2553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4675505" cy="2553335"/>
                    </a:xfrm>
                    <a:prstGeom prst="rect">
                      <a:avLst/>
                    </a:prstGeom>
                    <a:noFill/>
                    <a:ln w="9525">
                      <a:noFill/>
                      <a:miter lim="800000"/>
                      <a:headEnd/>
                      <a:tailEnd/>
                    </a:ln>
                  </pic:spPr>
                </pic:pic>
              </a:graphicData>
            </a:graphic>
          </wp:inline>
        </w:drawing>
      </w:r>
    </w:p>
    <w:p w:rsidR="00E0153D" w:rsidRPr="001F505E" w:rsidRDefault="009614B9" w:rsidP="009614B9">
      <w:pPr>
        <w:rPr>
          <w:lang w:val="sq-AL"/>
        </w:rPr>
      </w:pPr>
      <w:r w:rsidRPr="009614B9">
        <w:rPr>
          <w:lang w:val="sq-AL"/>
        </w:rPr>
        <w:t>Struktura e investimeve kapital</w:t>
      </w:r>
      <w:r w:rsidR="004668DD">
        <w:rPr>
          <w:lang w:val="sq-AL"/>
        </w:rPr>
        <w:t>e të realizuar gjatë periudhës J</w:t>
      </w:r>
      <w:r w:rsidRPr="009614B9">
        <w:rPr>
          <w:lang w:val="sq-AL"/>
        </w:rPr>
        <w:t>anar</w:t>
      </w:r>
      <w:r w:rsidR="004668DD">
        <w:rPr>
          <w:lang w:val="sq-AL"/>
        </w:rPr>
        <w:t xml:space="preserve"> </w:t>
      </w:r>
      <w:r w:rsidRPr="009614B9">
        <w:rPr>
          <w:lang w:val="sq-AL"/>
        </w:rPr>
        <w:t>-</w:t>
      </w:r>
      <w:r w:rsidR="004668DD">
        <w:rPr>
          <w:lang w:val="sq-AL"/>
        </w:rPr>
        <w:t xml:space="preserve"> K</w:t>
      </w:r>
      <w:r w:rsidRPr="009614B9">
        <w:rPr>
          <w:lang w:val="sq-AL"/>
        </w:rPr>
        <w:t>orrik 2013 është rreth 56.</w:t>
      </w:r>
      <w:r w:rsidR="004668DD">
        <w:rPr>
          <w:lang w:val="sq-AL"/>
        </w:rPr>
        <w:t>8 përqind nga financimi i brend</w:t>
      </w:r>
      <w:r w:rsidRPr="009614B9">
        <w:rPr>
          <w:lang w:val="sq-AL"/>
        </w:rPr>
        <w:t xml:space="preserve">shëm dhe rreth 43.2 përqind nga financimi i huaj. </w:t>
      </w:r>
    </w:p>
    <w:p w:rsidR="00E0153D" w:rsidRPr="001F505E" w:rsidRDefault="00E0153D" w:rsidP="00E0153D">
      <w:pPr>
        <w:jc w:val="center"/>
        <w:rPr>
          <w:lang w:val="sq-AL"/>
        </w:rPr>
      </w:pPr>
    </w:p>
    <w:p w:rsidR="001049CE" w:rsidRPr="001F505E" w:rsidRDefault="001049CE" w:rsidP="00E0153D">
      <w:pPr>
        <w:rPr>
          <w:lang w:val="sq-AL"/>
        </w:rPr>
      </w:pPr>
    </w:p>
    <w:sectPr w:rsidR="001049CE" w:rsidRPr="001F505E" w:rsidSect="001049CE">
      <w:pgSz w:w="12240" w:h="1584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9D7" w:rsidRDefault="001939D7">
      <w:r>
        <w:separator/>
      </w:r>
    </w:p>
  </w:endnote>
  <w:endnote w:type="continuationSeparator" w:id="1">
    <w:p w:rsidR="001939D7" w:rsidRDefault="00193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93" w:rsidRDefault="00DF3656" w:rsidP="00590217">
    <w:pPr>
      <w:pStyle w:val="Footer"/>
      <w:framePr w:wrap="around" w:vAnchor="text" w:hAnchor="margin" w:xAlign="center" w:y="1"/>
      <w:rPr>
        <w:rStyle w:val="PageNumber"/>
      </w:rPr>
    </w:pPr>
    <w:r>
      <w:rPr>
        <w:rStyle w:val="PageNumber"/>
      </w:rPr>
      <w:fldChar w:fldCharType="begin"/>
    </w:r>
    <w:r w:rsidR="00210993">
      <w:rPr>
        <w:rStyle w:val="PageNumber"/>
      </w:rPr>
      <w:instrText xml:space="preserve">PAGE  </w:instrText>
    </w:r>
    <w:r>
      <w:rPr>
        <w:rStyle w:val="PageNumber"/>
      </w:rPr>
      <w:fldChar w:fldCharType="end"/>
    </w:r>
  </w:p>
  <w:p w:rsidR="00210993" w:rsidRDefault="002109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93" w:rsidRDefault="00DF3656" w:rsidP="00590217">
    <w:pPr>
      <w:pStyle w:val="Footer"/>
      <w:framePr w:wrap="around" w:vAnchor="text" w:hAnchor="margin" w:xAlign="center" w:y="1"/>
      <w:rPr>
        <w:rStyle w:val="PageNumber"/>
      </w:rPr>
    </w:pPr>
    <w:r>
      <w:rPr>
        <w:rStyle w:val="PageNumber"/>
      </w:rPr>
      <w:fldChar w:fldCharType="begin"/>
    </w:r>
    <w:r w:rsidR="00210993">
      <w:rPr>
        <w:rStyle w:val="PageNumber"/>
      </w:rPr>
      <w:instrText xml:space="preserve">PAGE  </w:instrText>
    </w:r>
    <w:r>
      <w:rPr>
        <w:rStyle w:val="PageNumber"/>
      </w:rPr>
      <w:fldChar w:fldCharType="separate"/>
    </w:r>
    <w:r w:rsidR="001776F2">
      <w:rPr>
        <w:rStyle w:val="PageNumber"/>
        <w:noProof/>
      </w:rPr>
      <w:t>18</w:t>
    </w:r>
    <w:r>
      <w:rPr>
        <w:rStyle w:val="PageNumber"/>
      </w:rPr>
      <w:fldChar w:fldCharType="end"/>
    </w:r>
  </w:p>
  <w:p w:rsidR="00210993" w:rsidRDefault="00210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9D7" w:rsidRDefault="001939D7">
      <w:r>
        <w:separator/>
      </w:r>
    </w:p>
  </w:footnote>
  <w:footnote w:type="continuationSeparator" w:id="1">
    <w:p w:rsidR="001939D7" w:rsidRDefault="001939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64371"/>
    <w:multiLevelType w:val="multilevel"/>
    <w:tmpl w:val="5B32F2E4"/>
    <w:lvl w:ilvl="0">
      <w:start w:val="1"/>
      <w:numFmt w:val="none"/>
      <w:lvlText w:val="%1"/>
      <w:lvlJc w:val="left"/>
      <w:pPr>
        <w:tabs>
          <w:tab w:val="num" w:pos="0"/>
        </w:tabs>
        <w:ind w:left="0" w:firstLine="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9694019"/>
    <w:multiLevelType w:val="multilevel"/>
    <w:tmpl w:val="E8BAEE16"/>
    <w:lvl w:ilvl="0">
      <w:start w:val="1"/>
      <w:numFmt w:val="decimal"/>
      <w:pStyle w:val="Heading1"/>
      <w:suff w:val="space"/>
      <w:lvlText w:val="%1"/>
      <w:lvlJc w:val="left"/>
      <w:pPr>
        <w:ind w:left="0" w:firstLine="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AFA52B7"/>
    <w:multiLevelType w:val="multilevel"/>
    <w:tmpl w:val="94F06336"/>
    <w:lvl w:ilvl="0">
      <w:start w:val="1"/>
      <w:numFmt w:val="decimal"/>
      <w:suff w:val="space"/>
      <w:lvlText w:val="%1"/>
      <w:lvlJc w:val="left"/>
      <w:pPr>
        <w:ind w:left="0" w:firstLine="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3FE032D6"/>
    <w:multiLevelType w:val="hybridMultilevel"/>
    <w:tmpl w:val="0F6AC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6A44A5D"/>
    <w:multiLevelType w:val="multilevel"/>
    <w:tmpl w:val="F0080FC2"/>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56B44B3"/>
    <w:multiLevelType w:val="multilevel"/>
    <w:tmpl w:val="279E493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nsid w:val="685715CB"/>
    <w:multiLevelType w:val="multilevel"/>
    <w:tmpl w:val="9B7443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8B81E8D"/>
    <w:multiLevelType w:val="multilevel"/>
    <w:tmpl w:val="13669E9E"/>
    <w:lvl w:ilvl="0">
      <w:start w:val="1"/>
      <w:numFmt w:val="decimal"/>
      <w:suff w:val="nothing"/>
      <w:lvlText w:val="%1"/>
      <w:lvlJc w:val="left"/>
      <w:pPr>
        <w:ind w:left="0" w:firstLine="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5"/>
  </w:num>
  <w:num w:numId="7">
    <w:abstractNumId w:val="0"/>
  </w:num>
  <w:num w:numId="8">
    <w:abstractNumId w:val="4"/>
  </w:num>
  <w:num w:numId="9">
    <w:abstractNumId w:val="7"/>
  </w:num>
  <w:num w:numId="10">
    <w:abstractNumId w:val="1"/>
  </w:num>
  <w:num w:numId="11">
    <w:abstractNumId w:val="6"/>
  </w:num>
  <w:num w:numId="12">
    <w:abstractNumId w:val="2"/>
  </w:num>
  <w:num w:numId="13">
    <w:abstractNumId w:val="1"/>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efaultTableStyle w:val="TableColumns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86752"/>
    <w:rsid w:val="00000BE4"/>
    <w:rsid w:val="00014EBC"/>
    <w:rsid w:val="00016A14"/>
    <w:rsid w:val="0001701A"/>
    <w:rsid w:val="00017971"/>
    <w:rsid w:val="00017DC4"/>
    <w:rsid w:val="00023844"/>
    <w:rsid w:val="00025256"/>
    <w:rsid w:val="00026492"/>
    <w:rsid w:val="00027B7E"/>
    <w:rsid w:val="00030565"/>
    <w:rsid w:val="0003300C"/>
    <w:rsid w:val="00034231"/>
    <w:rsid w:val="0004183E"/>
    <w:rsid w:val="00042062"/>
    <w:rsid w:val="0004266A"/>
    <w:rsid w:val="00042C16"/>
    <w:rsid w:val="00051B54"/>
    <w:rsid w:val="00053501"/>
    <w:rsid w:val="0005363B"/>
    <w:rsid w:val="000557BA"/>
    <w:rsid w:val="0005713F"/>
    <w:rsid w:val="00062306"/>
    <w:rsid w:val="00062801"/>
    <w:rsid w:val="000643DA"/>
    <w:rsid w:val="00070F81"/>
    <w:rsid w:val="00072298"/>
    <w:rsid w:val="0007301A"/>
    <w:rsid w:val="00074969"/>
    <w:rsid w:val="00075A24"/>
    <w:rsid w:val="00077415"/>
    <w:rsid w:val="000806D1"/>
    <w:rsid w:val="00094CD9"/>
    <w:rsid w:val="00095B42"/>
    <w:rsid w:val="00095FAC"/>
    <w:rsid w:val="00097290"/>
    <w:rsid w:val="000A2552"/>
    <w:rsid w:val="000A4ED0"/>
    <w:rsid w:val="000A4F8F"/>
    <w:rsid w:val="000A6407"/>
    <w:rsid w:val="000A6E1A"/>
    <w:rsid w:val="000A71BC"/>
    <w:rsid w:val="000B0531"/>
    <w:rsid w:val="000B1215"/>
    <w:rsid w:val="000B2A78"/>
    <w:rsid w:val="000B37A7"/>
    <w:rsid w:val="000B6B28"/>
    <w:rsid w:val="000C3F3F"/>
    <w:rsid w:val="000C57F3"/>
    <w:rsid w:val="000C5C86"/>
    <w:rsid w:val="000C7A29"/>
    <w:rsid w:val="000D0318"/>
    <w:rsid w:val="000D0DB5"/>
    <w:rsid w:val="000D1DDE"/>
    <w:rsid w:val="000D5CDD"/>
    <w:rsid w:val="000E22FD"/>
    <w:rsid w:val="000E2BC3"/>
    <w:rsid w:val="000E4357"/>
    <w:rsid w:val="000E4441"/>
    <w:rsid w:val="000E4FCB"/>
    <w:rsid w:val="000E5A4E"/>
    <w:rsid w:val="000F2DAD"/>
    <w:rsid w:val="000F3860"/>
    <w:rsid w:val="000F584E"/>
    <w:rsid w:val="000F6611"/>
    <w:rsid w:val="000F7CA3"/>
    <w:rsid w:val="00101A3E"/>
    <w:rsid w:val="00102DFF"/>
    <w:rsid w:val="00103BB0"/>
    <w:rsid w:val="001049CE"/>
    <w:rsid w:val="00105B84"/>
    <w:rsid w:val="001061BF"/>
    <w:rsid w:val="001075E2"/>
    <w:rsid w:val="00107EA5"/>
    <w:rsid w:val="0011213A"/>
    <w:rsid w:val="00112AC8"/>
    <w:rsid w:val="00115E7A"/>
    <w:rsid w:val="001169C9"/>
    <w:rsid w:val="00123146"/>
    <w:rsid w:val="0012329C"/>
    <w:rsid w:val="00127230"/>
    <w:rsid w:val="0013552A"/>
    <w:rsid w:val="00137445"/>
    <w:rsid w:val="00140357"/>
    <w:rsid w:val="0014341C"/>
    <w:rsid w:val="001446FC"/>
    <w:rsid w:val="00144BDB"/>
    <w:rsid w:val="0014509C"/>
    <w:rsid w:val="00147F83"/>
    <w:rsid w:val="00151B3F"/>
    <w:rsid w:val="001528F0"/>
    <w:rsid w:val="00154689"/>
    <w:rsid w:val="001625D0"/>
    <w:rsid w:val="00162FA9"/>
    <w:rsid w:val="001644A4"/>
    <w:rsid w:val="001706E2"/>
    <w:rsid w:val="00175F37"/>
    <w:rsid w:val="00176C44"/>
    <w:rsid w:val="001776F2"/>
    <w:rsid w:val="00180AE9"/>
    <w:rsid w:val="0018181E"/>
    <w:rsid w:val="00190A1C"/>
    <w:rsid w:val="0019144A"/>
    <w:rsid w:val="00192675"/>
    <w:rsid w:val="001939D7"/>
    <w:rsid w:val="00194438"/>
    <w:rsid w:val="0019647B"/>
    <w:rsid w:val="001A094A"/>
    <w:rsid w:val="001A127B"/>
    <w:rsid w:val="001A3ECB"/>
    <w:rsid w:val="001A44CE"/>
    <w:rsid w:val="001B34CC"/>
    <w:rsid w:val="001B3508"/>
    <w:rsid w:val="001B51FB"/>
    <w:rsid w:val="001B550B"/>
    <w:rsid w:val="001B6340"/>
    <w:rsid w:val="001B7251"/>
    <w:rsid w:val="001C0232"/>
    <w:rsid w:val="001C0C8E"/>
    <w:rsid w:val="001C0D31"/>
    <w:rsid w:val="001C3FF7"/>
    <w:rsid w:val="001C6F70"/>
    <w:rsid w:val="001C7476"/>
    <w:rsid w:val="001D0642"/>
    <w:rsid w:val="001D24F3"/>
    <w:rsid w:val="001D282E"/>
    <w:rsid w:val="001D6331"/>
    <w:rsid w:val="001E057F"/>
    <w:rsid w:val="001E0C7E"/>
    <w:rsid w:val="001E1259"/>
    <w:rsid w:val="001E2D94"/>
    <w:rsid w:val="001E3003"/>
    <w:rsid w:val="001E570C"/>
    <w:rsid w:val="001F0E7A"/>
    <w:rsid w:val="001F252D"/>
    <w:rsid w:val="001F3026"/>
    <w:rsid w:val="001F505E"/>
    <w:rsid w:val="001F717B"/>
    <w:rsid w:val="0020329B"/>
    <w:rsid w:val="0020483D"/>
    <w:rsid w:val="00210318"/>
    <w:rsid w:val="00210993"/>
    <w:rsid w:val="00212476"/>
    <w:rsid w:val="002151B3"/>
    <w:rsid w:val="00216F41"/>
    <w:rsid w:val="00223C48"/>
    <w:rsid w:val="0022412D"/>
    <w:rsid w:val="002257AB"/>
    <w:rsid w:val="00226B51"/>
    <w:rsid w:val="0023484A"/>
    <w:rsid w:val="002404D7"/>
    <w:rsid w:val="00242C8A"/>
    <w:rsid w:val="00245C28"/>
    <w:rsid w:val="00250143"/>
    <w:rsid w:val="0025063A"/>
    <w:rsid w:val="00250BA7"/>
    <w:rsid w:val="0025254E"/>
    <w:rsid w:val="00252742"/>
    <w:rsid w:val="0025683D"/>
    <w:rsid w:val="00263916"/>
    <w:rsid w:val="00275301"/>
    <w:rsid w:val="0027580D"/>
    <w:rsid w:val="00275D49"/>
    <w:rsid w:val="0027657C"/>
    <w:rsid w:val="00282585"/>
    <w:rsid w:val="00283C57"/>
    <w:rsid w:val="00286752"/>
    <w:rsid w:val="00286FC3"/>
    <w:rsid w:val="00287D79"/>
    <w:rsid w:val="00291A7F"/>
    <w:rsid w:val="00294342"/>
    <w:rsid w:val="00294B8E"/>
    <w:rsid w:val="00297182"/>
    <w:rsid w:val="002A4757"/>
    <w:rsid w:val="002B00D9"/>
    <w:rsid w:val="002B25AF"/>
    <w:rsid w:val="002B41BB"/>
    <w:rsid w:val="002B745C"/>
    <w:rsid w:val="002C3EC6"/>
    <w:rsid w:val="002C4697"/>
    <w:rsid w:val="002C519F"/>
    <w:rsid w:val="002C66FB"/>
    <w:rsid w:val="002D0B28"/>
    <w:rsid w:val="002D1F29"/>
    <w:rsid w:val="002D4BBC"/>
    <w:rsid w:val="002D5CDB"/>
    <w:rsid w:val="002E1839"/>
    <w:rsid w:val="002E6265"/>
    <w:rsid w:val="002E6EB7"/>
    <w:rsid w:val="002F41C8"/>
    <w:rsid w:val="002F44D4"/>
    <w:rsid w:val="0030161B"/>
    <w:rsid w:val="00303796"/>
    <w:rsid w:val="00310462"/>
    <w:rsid w:val="00313000"/>
    <w:rsid w:val="00313209"/>
    <w:rsid w:val="0031704F"/>
    <w:rsid w:val="003212E1"/>
    <w:rsid w:val="0032141E"/>
    <w:rsid w:val="00321AF6"/>
    <w:rsid w:val="0033034A"/>
    <w:rsid w:val="003355AA"/>
    <w:rsid w:val="00336FA8"/>
    <w:rsid w:val="003371C2"/>
    <w:rsid w:val="00340CBC"/>
    <w:rsid w:val="00342CFA"/>
    <w:rsid w:val="00343890"/>
    <w:rsid w:val="00343CF9"/>
    <w:rsid w:val="00345A63"/>
    <w:rsid w:val="00347B20"/>
    <w:rsid w:val="00351557"/>
    <w:rsid w:val="0035258D"/>
    <w:rsid w:val="003533D1"/>
    <w:rsid w:val="00361D78"/>
    <w:rsid w:val="00363606"/>
    <w:rsid w:val="00367BD3"/>
    <w:rsid w:val="0037044E"/>
    <w:rsid w:val="0037788F"/>
    <w:rsid w:val="00382517"/>
    <w:rsid w:val="003829A6"/>
    <w:rsid w:val="00384DBA"/>
    <w:rsid w:val="00390052"/>
    <w:rsid w:val="00390D42"/>
    <w:rsid w:val="003917CC"/>
    <w:rsid w:val="0039214D"/>
    <w:rsid w:val="003923B2"/>
    <w:rsid w:val="003A53E7"/>
    <w:rsid w:val="003A76E2"/>
    <w:rsid w:val="003B173C"/>
    <w:rsid w:val="003B1DDF"/>
    <w:rsid w:val="003B2710"/>
    <w:rsid w:val="003B53A5"/>
    <w:rsid w:val="003B556C"/>
    <w:rsid w:val="003C029E"/>
    <w:rsid w:val="003C34A0"/>
    <w:rsid w:val="003D2F7C"/>
    <w:rsid w:val="003D467F"/>
    <w:rsid w:val="003D7DCA"/>
    <w:rsid w:val="003E1521"/>
    <w:rsid w:val="003E4CBC"/>
    <w:rsid w:val="003E5077"/>
    <w:rsid w:val="003E591F"/>
    <w:rsid w:val="003F06ED"/>
    <w:rsid w:val="003F4270"/>
    <w:rsid w:val="003F599C"/>
    <w:rsid w:val="00400590"/>
    <w:rsid w:val="0040227D"/>
    <w:rsid w:val="00403AC9"/>
    <w:rsid w:val="00407036"/>
    <w:rsid w:val="00407A66"/>
    <w:rsid w:val="00412E84"/>
    <w:rsid w:val="00414277"/>
    <w:rsid w:val="0041668B"/>
    <w:rsid w:val="004222D3"/>
    <w:rsid w:val="004238D8"/>
    <w:rsid w:val="00423C31"/>
    <w:rsid w:val="00424329"/>
    <w:rsid w:val="004245EC"/>
    <w:rsid w:val="00424F52"/>
    <w:rsid w:val="00433C9C"/>
    <w:rsid w:val="004354BD"/>
    <w:rsid w:val="00440799"/>
    <w:rsid w:val="00445BAB"/>
    <w:rsid w:val="004462FB"/>
    <w:rsid w:val="00446494"/>
    <w:rsid w:val="00447F47"/>
    <w:rsid w:val="0045021C"/>
    <w:rsid w:val="004526A7"/>
    <w:rsid w:val="004601AE"/>
    <w:rsid w:val="00460FD2"/>
    <w:rsid w:val="00461D82"/>
    <w:rsid w:val="004620EB"/>
    <w:rsid w:val="00462AF8"/>
    <w:rsid w:val="004668DD"/>
    <w:rsid w:val="00467A74"/>
    <w:rsid w:val="0047098F"/>
    <w:rsid w:val="00472131"/>
    <w:rsid w:val="00472553"/>
    <w:rsid w:val="00472D34"/>
    <w:rsid w:val="004753F0"/>
    <w:rsid w:val="00481DA0"/>
    <w:rsid w:val="00487C34"/>
    <w:rsid w:val="00490FFD"/>
    <w:rsid w:val="004919F3"/>
    <w:rsid w:val="00493E96"/>
    <w:rsid w:val="00496409"/>
    <w:rsid w:val="0049654B"/>
    <w:rsid w:val="004A02CC"/>
    <w:rsid w:val="004B355A"/>
    <w:rsid w:val="004B482A"/>
    <w:rsid w:val="004B5D5F"/>
    <w:rsid w:val="004B7729"/>
    <w:rsid w:val="004C5795"/>
    <w:rsid w:val="004D12E4"/>
    <w:rsid w:val="004D1FF1"/>
    <w:rsid w:val="004D4DFE"/>
    <w:rsid w:val="004D5C85"/>
    <w:rsid w:val="004D5D47"/>
    <w:rsid w:val="004D5F94"/>
    <w:rsid w:val="004E3DE9"/>
    <w:rsid w:val="004E494E"/>
    <w:rsid w:val="004E5B49"/>
    <w:rsid w:val="004E6F43"/>
    <w:rsid w:val="004F004F"/>
    <w:rsid w:val="004F0CE7"/>
    <w:rsid w:val="004F1BBF"/>
    <w:rsid w:val="004F2944"/>
    <w:rsid w:val="004F4A7E"/>
    <w:rsid w:val="004F5167"/>
    <w:rsid w:val="004F79D9"/>
    <w:rsid w:val="005006DA"/>
    <w:rsid w:val="00501116"/>
    <w:rsid w:val="005024CF"/>
    <w:rsid w:val="005030E5"/>
    <w:rsid w:val="005038A2"/>
    <w:rsid w:val="00504312"/>
    <w:rsid w:val="005078E3"/>
    <w:rsid w:val="005079CB"/>
    <w:rsid w:val="00515921"/>
    <w:rsid w:val="005164B5"/>
    <w:rsid w:val="005165A1"/>
    <w:rsid w:val="005169D6"/>
    <w:rsid w:val="0052374A"/>
    <w:rsid w:val="005247D1"/>
    <w:rsid w:val="005248F3"/>
    <w:rsid w:val="0053282A"/>
    <w:rsid w:val="00534ED0"/>
    <w:rsid w:val="005358F1"/>
    <w:rsid w:val="00547656"/>
    <w:rsid w:val="005537F2"/>
    <w:rsid w:val="005540CE"/>
    <w:rsid w:val="00560052"/>
    <w:rsid w:val="00561518"/>
    <w:rsid w:val="00570F8A"/>
    <w:rsid w:val="00571D9B"/>
    <w:rsid w:val="0057343E"/>
    <w:rsid w:val="0057545D"/>
    <w:rsid w:val="00575F27"/>
    <w:rsid w:val="00581A38"/>
    <w:rsid w:val="00587AE8"/>
    <w:rsid w:val="00590217"/>
    <w:rsid w:val="00591385"/>
    <w:rsid w:val="00596700"/>
    <w:rsid w:val="005A19A2"/>
    <w:rsid w:val="005A3694"/>
    <w:rsid w:val="005A497A"/>
    <w:rsid w:val="005A5784"/>
    <w:rsid w:val="005A5C81"/>
    <w:rsid w:val="005B10DA"/>
    <w:rsid w:val="005B22F4"/>
    <w:rsid w:val="005B46DE"/>
    <w:rsid w:val="005B508F"/>
    <w:rsid w:val="005B50AE"/>
    <w:rsid w:val="005B66F2"/>
    <w:rsid w:val="005B6DF6"/>
    <w:rsid w:val="005C0287"/>
    <w:rsid w:val="005C1A97"/>
    <w:rsid w:val="005C5EF9"/>
    <w:rsid w:val="005C70A9"/>
    <w:rsid w:val="005D0A17"/>
    <w:rsid w:val="005D31CF"/>
    <w:rsid w:val="005D516E"/>
    <w:rsid w:val="005D6563"/>
    <w:rsid w:val="005D6DBF"/>
    <w:rsid w:val="005E1E2D"/>
    <w:rsid w:val="005E214E"/>
    <w:rsid w:val="005E4FE0"/>
    <w:rsid w:val="005F23AC"/>
    <w:rsid w:val="005F7147"/>
    <w:rsid w:val="005F71C2"/>
    <w:rsid w:val="005F7822"/>
    <w:rsid w:val="006008E3"/>
    <w:rsid w:val="00603F10"/>
    <w:rsid w:val="006041B1"/>
    <w:rsid w:val="00604AEC"/>
    <w:rsid w:val="00604FE1"/>
    <w:rsid w:val="00607282"/>
    <w:rsid w:val="006114B7"/>
    <w:rsid w:val="006116E1"/>
    <w:rsid w:val="00611F71"/>
    <w:rsid w:val="00613494"/>
    <w:rsid w:val="00614A16"/>
    <w:rsid w:val="00614ED5"/>
    <w:rsid w:val="00624B79"/>
    <w:rsid w:val="00625D4A"/>
    <w:rsid w:val="00630D85"/>
    <w:rsid w:val="00632109"/>
    <w:rsid w:val="0063232B"/>
    <w:rsid w:val="0063410B"/>
    <w:rsid w:val="00635B2A"/>
    <w:rsid w:val="00637D7F"/>
    <w:rsid w:val="00646C56"/>
    <w:rsid w:val="00653B77"/>
    <w:rsid w:val="00653D99"/>
    <w:rsid w:val="0066136B"/>
    <w:rsid w:val="00661E6D"/>
    <w:rsid w:val="006669DA"/>
    <w:rsid w:val="006739C1"/>
    <w:rsid w:val="00674A2E"/>
    <w:rsid w:val="00677A20"/>
    <w:rsid w:val="0068021C"/>
    <w:rsid w:val="00680F88"/>
    <w:rsid w:val="0068253D"/>
    <w:rsid w:val="00683ED7"/>
    <w:rsid w:val="0068506A"/>
    <w:rsid w:val="00686C33"/>
    <w:rsid w:val="00691482"/>
    <w:rsid w:val="00694E6B"/>
    <w:rsid w:val="006A0DFC"/>
    <w:rsid w:val="006A10CF"/>
    <w:rsid w:val="006A3726"/>
    <w:rsid w:val="006A47B3"/>
    <w:rsid w:val="006B2322"/>
    <w:rsid w:val="006B6BDA"/>
    <w:rsid w:val="006C3893"/>
    <w:rsid w:val="006C406B"/>
    <w:rsid w:val="006C4EE5"/>
    <w:rsid w:val="006C5886"/>
    <w:rsid w:val="006C61B4"/>
    <w:rsid w:val="006D1EA5"/>
    <w:rsid w:val="006D2BB1"/>
    <w:rsid w:val="006D6AD3"/>
    <w:rsid w:val="006D6D67"/>
    <w:rsid w:val="006E20E1"/>
    <w:rsid w:val="006E373F"/>
    <w:rsid w:val="006E48E8"/>
    <w:rsid w:val="006E5829"/>
    <w:rsid w:val="006E6BB2"/>
    <w:rsid w:val="006F0B55"/>
    <w:rsid w:val="006F4C53"/>
    <w:rsid w:val="006F4CBC"/>
    <w:rsid w:val="006F548D"/>
    <w:rsid w:val="006F7090"/>
    <w:rsid w:val="00700ED3"/>
    <w:rsid w:val="007011C3"/>
    <w:rsid w:val="00701582"/>
    <w:rsid w:val="00702DCC"/>
    <w:rsid w:val="00703D01"/>
    <w:rsid w:val="00703EF3"/>
    <w:rsid w:val="00712664"/>
    <w:rsid w:val="00712A80"/>
    <w:rsid w:val="00712B40"/>
    <w:rsid w:val="00715AD5"/>
    <w:rsid w:val="007164BE"/>
    <w:rsid w:val="00720423"/>
    <w:rsid w:val="00727093"/>
    <w:rsid w:val="00731345"/>
    <w:rsid w:val="007329CD"/>
    <w:rsid w:val="0073571D"/>
    <w:rsid w:val="00735D54"/>
    <w:rsid w:val="00744BEC"/>
    <w:rsid w:val="00745907"/>
    <w:rsid w:val="00746BA9"/>
    <w:rsid w:val="00747762"/>
    <w:rsid w:val="0075160E"/>
    <w:rsid w:val="00751F3B"/>
    <w:rsid w:val="00756D3B"/>
    <w:rsid w:val="00757D92"/>
    <w:rsid w:val="00764F3A"/>
    <w:rsid w:val="00765947"/>
    <w:rsid w:val="007666BD"/>
    <w:rsid w:val="0077237E"/>
    <w:rsid w:val="00772542"/>
    <w:rsid w:val="00775763"/>
    <w:rsid w:val="007819BF"/>
    <w:rsid w:val="007826E8"/>
    <w:rsid w:val="007836A1"/>
    <w:rsid w:val="00785445"/>
    <w:rsid w:val="00785779"/>
    <w:rsid w:val="00785D4B"/>
    <w:rsid w:val="00795C80"/>
    <w:rsid w:val="007A1386"/>
    <w:rsid w:val="007A14B3"/>
    <w:rsid w:val="007A30BF"/>
    <w:rsid w:val="007B01BE"/>
    <w:rsid w:val="007B06FA"/>
    <w:rsid w:val="007B1050"/>
    <w:rsid w:val="007B1B58"/>
    <w:rsid w:val="007B1C83"/>
    <w:rsid w:val="007B25DF"/>
    <w:rsid w:val="007B2B83"/>
    <w:rsid w:val="007B41B3"/>
    <w:rsid w:val="007B71F6"/>
    <w:rsid w:val="007C4B8A"/>
    <w:rsid w:val="007C6228"/>
    <w:rsid w:val="007D0F79"/>
    <w:rsid w:val="007D1FD9"/>
    <w:rsid w:val="007D22FC"/>
    <w:rsid w:val="007D3392"/>
    <w:rsid w:val="007D4B6B"/>
    <w:rsid w:val="007D5F64"/>
    <w:rsid w:val="007D6F14"/>
    <w:rsid w:val="007E0B82"/>
    <w:rsid w:val="007E1734"/>
    <w:rsid w:val="007E3AA1"/>
    <w:rsid w:val="007E5C2A"/>
    <w:rsid w:val="007E6174"/>
    <w:rsid w:val="007E7DA7"/>
    <w:rsid w:val="007F0E68"/>
    <w:rsid w:val="007F1B08"/>
    <w:rsid w:val="007F3941"/>
    <w:rsid w:val="007F3C12"/>
    <w:rsid w:val="007F4234"/>
    <w:rsid w:val="007F497E"/>
    <w:rsid w:val="007F62D0"/>
    <w:rsid w:val="00800E3E"/>
    <w:rsid w:val="00802018"/>
    <w:rsid w:val="0080327B"/>
    <w:rsid w:val="00807B2F"/>
    <w:rsid w:val="008123B0"/>
    <w:rsid w:val="00814FD2"/>
    <w:rsid w:val="00815AB1"/>
    <w:rsid w:val="0081693E"/>
    <w:rsid w:val="0082071A"/>
    <w:rsid w:val="00822D28"/>
    <w:rsid w:val="00825616"/>
    <w:rsid w:val="00826650"/>
    <w:rsid w:val="00826BE0"/>
    <w:rsid w:val="00831D52"/>
    <w:rsid w:val="00832127"/>
    <w:rsid w:val="00832369"/>
    <w:rsid w:val="008349D0"/>
    <w:rsid w:val="00835CB3"/>
    <w:rsid w:val="0083686D"/>
    <w:rsid w:val="00837BC3"/>
    <w:rsid w:val="00837DCD"/>
    <w:rsid w:val="00840742"/>
    <w:rsid w:val="00846020"/>
    <w:rsid w:val="008501CF"/>
    <w:rsid w:val="00854041"/>
    <w:rsid w:val="0085507C"/>
    <w:rsid w:val="008557CB"/>
    <w:rsid w:val="00855C8D"/>
    <w:rsid w:val="008564AF"/>
    <w:rsid w:val="008578F7"/>
    <w:rsid w:val="00857CDC"/>
    <w:rsid w:val="008609C0"/>
    <w:rsid w:val="0086474A"/>
    <w:rsid w:val="00865F7D"/>
    <w:rsid w:val="00866E0D"/>
    <w:rsid w:val="00872FDE"/>
    <w:rsid w:val="0087474D"/>
    <w:rsid w:val="008757BB"/>
    <w:rsid w:val="00876CB6"/>
    <w:rsid w:val="0088057A"/>
    <w:rsid w:val="0088229D"/>
    <w:rsid w:val="00882405"/>
    <w:rsid w:val="008849ED"/>
    <w:rsid w:val="0088516C"/>
    <w:rsid w:val="008908B8"/>
    <w:rsid w:val="00890D57"/>
    <w:rsid w:val="00893EBF"/>
    <w:rsid w:val="008940F6"/>
    <w:rsid w:val="00895920"/>
    <w:rsid w:val="00895EFB"/>
    <w:rsid w:val="008A156D"/>
    <w:rsid w:val="008A1D35"/>
    <w:rsid w:val="008A4BFA"/>
    <w:rsid w:val="008A6593"/>
    <w:rsid w:val="008A69E6"/>
    <w:rsid w:val="008A7C29"/>
    <w:rsid w:val="008B45DD"/>
    <w:rsid w:val="008B4B28"/>
    <w:rsid w:val="008B6C0D"/>
    <w:rsid w:val="008B7939"/>
    <w:rsid w:val="008C0638"/>
    <w:rsid w:val="008C1D3A"/>
    <w:rsid w:val="008C248E"/>
    <w:rsid w:val="008C24C7"/>
    <w:rsid w:val="008C2C39"/>
    <w:rsid w:val="008C3FB5"/>
    <w:rsid w:val="008C6F4D"/>
    <w:rsid w:val="008C703E"/>
    <w:rsid w:val="008C7E06"/>
    <w:rsid w:val="008D393E"/>
    <w:rsid w:val="008D4213"/>
    <w:rsid w:val="008D51D5"/>
    <w:rsid w:val="008D61F3"/>
    <w:rsid w:val="008D7B13"/>
    <w:rsid w:val="008E1E9E"/>
    <w:rsid w:val="008E3B94"/>
    <w:rsid w:val="008E3C2C"/>
    <w:rsid w:val="008E5EC4"/>
    <w:rsid w:val="008E620F"/>
    <w:rsid w:val="008E7679"/>
    <w:rsid w:val="008F2913"/>
    <w:rsid w:val="008F681F"/>
    <w:rsid w:val="0090530D"/>
    <w:rsid w:val="00910DD2"/>
    <w:rsid w:val="0091183C"/>
    <w:rsid w:val="00912611"/>
    <w:rsid w:val="00912ECF"/>
    <w:rsid w:val="0091447B"/>
    <w:rsid w:val="0092211D"/>
    <w:rsid w:val="00922772"/>
    <w:rsid w:val="00923620"/>
    <w:rsid w:val="0092389F"/>
    <w:rsid w:val="00931C4E"/>
    <w:rsid w:val="00934094"/>
    <w:rsid w:val="00935024"/>
    <w:rsid w:val="0093516F"/>
    <w:rsid w:val="0093523B"/>
    <w:rsid w:val="00937415"/>
    <w:rsid w:val="0093774F"/>
    <w:rsid w:val="00942394"/>
    <w:rsid w:val="0094388E"/>
    <w:rsid w:val="00951CDE"/>
    <w:rsid w:val="009520BA"/>
    <w:rsid w:val="00954755"/>
    <w:rsid w:val="009556EB"/>
    <w:rsid w:val="0095619B"/>
    <w:rsid w:val="00961067"/>
    <w:rsid w:val="009614B9"/>
    <w:rsid w:val="00961D87"/>
    <w:rsid w:val="009621F8"/>
    <w:rsid w:val="009627C9"/>
    <w:rsid w:val="00965503"/>
    <w:rsid w:val="009732CD"/>
    <w:rsid w:val="00973770"/>
    <w:rsid w:val="00980C10"/>
    <w:rsid w:val="00981751"/>
    <w:rsid w:val="00981F7D"/>
    <w:rsid w:val="00985342"/>
    <w:rsid w:val="0098671A"/>
    <w:rsid w:val="0098797C"/>
    <w:rsid w:val="0099340E"/>
    <w:rsid w:val="0099360F"/>
    <w:rsid w:val="009A11CA"/>
    <w:rsid w:val="009A14C5"/>
    <w:rsid w:val="009A16A0"/>
    <w:rsid w:val="009A4F4B"/>
    <w:rsid w:val="009A5B2F"/>
    <w:rsid w:val="009A6047"/>
    <w:rsid w:val="009A621E"/>
    <w:rsid w:val="009B324B"/>
    <w:rsid w:val="009B546B"/>
    <w:rsid w:val="009B55E1"/>
    <w:rsid w:val="009C4117"/>
    <w:rsid w:val="009D03B2"/>
    <w:rsid w:val="009D10BC"/>
    <w:rsid w:val="009D18F8"/>
    <w:rsid w:val="009D279B"/>
    <w:rsid w:val="009D3C23"/>
    <w:rsid w:val="009D4213"/>
    <w:rsid w:val="009E09EB"/>
    <w:rsid w:val="009E4603"/>
    <w:rsid w:val="009E6731"/>
    <w:rsid w:val="009F3AD6"/>
    <w:rsid w:val="009F617D"/>
    <w:rsid w:val="009F6634"/>
    <w:rsid w:val="009F6A23"/>
    <w:rsid w:val="00A0066B"/>
    <w:rsid w:val="00A012B8"/>
    <w:rsid w:val="00A03461"/>
    <w:rsid w:val="00A06D07"/>
    <w:rsid w:val="00A06D28"/>
    <w:rsid w:val="00A07FFE"/>
    <w:rsid w:val="00A15B23"/>
    <w:rsid w:val="00A15EDD"/>
    <w:rsid w:val="00A21126"/>
    <w:rsid w:val="00A27A0D"/>
    <w:rsid w:val="00A27F19"/>
    <w:rsid w:val="00A325F7"/>
    <w:rsid w:val="00A326D7"/>
    <w:rsid w:val="00A339A8"/>
    <w:rsid w:val="00A36A05"/>
    <w:rsid w:val="00A36EE3"/>
    <w:rsid w:val="00A3758B"/>
    <w:rsid w:val="00A37A41"/>
    <w:rsid w:val="00A44699"/>
    <w:rsid w:val="00A44A99"/>
    <w:rsid w:val="00A478A8"/>
    <w:rsid w:val="00A64CAF"/>
    <w:rsid w:val="00A65650"/>
    <w:rsid w:val="00A67FF5"/>
    <w:rsid w:val="00A7257C"/>
    <w:rsid w:val="00A734DF"/>
    <w:rsid w:val="00A7754F"/>
    <w:rsid w:val="00A82520"/>
    <w:rsid w:val="00A8603E"/>
    <w:rsid w:val="00A86744"/>
    <w:rsid w:val="00A92958"/>
    <w:rsid w:val="00A941CB"/>
    <w:rsid w:val="00A9592E"/>
    <w:rsid w:val="00A96C9B"/>
    <w:rsid w:val="00AA6D72"/>
    <w:rsid w:val="00AB1B3F"/>
    <w:rsid w:val="00AB72D7"/>
    <w:rsid w:val="00AC3206"/>
    <w:rsid w:val="00AC352F"/>
    <w:rsid w:val="00AD18E4"/>
    <w:rsid w:val="00AD5FAF"/>
    <w:rsid w:val="00AD68AB"/>
    <w:rsid w:val="00AD76ED"/>
    <w:rsid w:val="00AD79C2"/>
    <w:rsid w:val="00AE4FB8"/>
    <w:rsid w:val="00AF31DA"/>
    <w:rsid w:val="00AF60CF"/>
    <w:rsid w:val="00B01222"/>
    <w:rsid w:val="00B01366"/>
    <w:rsid w:val="00B01ACF"/>
    <w:rsid w:val="00B05F53"/>
    <w:rsid w:val="00B077BC"/>
    <w:rsid w:val="00B125CA"/>
    <w:rsid w:val="00B12BD5"/>
    <w:rsid w:val="00B1462F"/>
    <w:rsid w:val="00B154BF"/>
    <w:rsid w:val="00B16BED"/>
    <w:rsid w:val="00B21225"/>
    <w:rsid w:val="00B30937"/>
    <w:rsid w:val="00B3270F"/>
    <w:rsid w:val="00B34555"/>
    <w:rsid w:val="00B362C6"/>
    <w:rsid w:val="00B36F97"/>
    <w:rsid w:val="00B405B7"/>
    <w:rsid w:val="00B40883"/>
    <w:rsid w:val="00B4416C"/>
    <w:rsid w:val="00B46624"/>
    <w:rsid w:val="00B46DEC"/>
    <w:rsid w:val="00B47D96"/>
    <w:rsid w:val="00B53093"/>
    <w:rsid w:val="00B5342F"/>
    <w:rsid w:val="00B55903"/>
    <w:rsid w:val="00B605B8"/>
    <w:rsid w:val="00B610B9"/>
    <w:rsid w:val="00B63BB7"/>
    <w:rsid w:val="00B640C0"/>
    <w:rsid w:val="00B64C0C"/>
    <w:rsid w:val="00B66F31"/>
    <w:rsid w:val="00B675E3"/>
    <w:rsid w:val="00B702BE"/>
    <w:rsid w:val="00B731C1"/>
    <w:rsid w:val="00B73B66"/>
    <w:rsid w:val="00B74C65"/>
    <w:rsid w:val="00B76F7D"/>
    <w:rsid w:val="00B81CF2"/>
    <w:rsid w:val="00B82BD9"/>
    <w:rsid w:val="00B86191"/>
    <w:rsid w:val="00B86D36"/>
    <w:rsid w:val="00B901AA"/>
    <w:rsid w:val="00B9082D"/>
    <w:rsid w:val="00B96D44"/>
    <w:rsid w:val="00BA1C63"/>
    <w:rsid w:val="00BA4926"/>
    <w:rsid w:val="00BB1DFD"/>
    <w:rsid w:val="00BB227D"/>
    <w:rsid w:val="00BB46CA"/>
    <w:rsid w:val="00BB7BBA"/>
    <w:rsid w:val="00BC0986"/>
    <w:rsid w:val="00BC17EE"/>
    <w:rsid w:val="00BC3DA4"/>
    <w:rsid w:val="00BD09BB"/>
    <w:rsid w:val="00BD2222"/>
    <w:rsid w:val="00BD33E6"/>
    <w:rsid w:val="00BD7DFA"/>
    <w:rsid w:val="00BE0D4F"/>
    <w:rsid w:val="00BE2C3E"/>
    <w:rsid w:val="00BE728D"/>
    <w:rsid w:val="00BF2534"/>
    <w:rsid w:val="00BF3E93"/>
    <w:rsid w:val="00BF4032"/>
    <w:rsid w:val="00BF70C2"/>
    <w:rsid w:val="00C02A01"/>
    <w:rsid w:val="00C02C4B"/>
    <w:rsid w:val="00C032D6"/>
    <w:rsid w:val="00C04E60"/>
    <w:rsid w:val="00C11F10"/>
    <w:rsid w:val="00C16199"/>
    <w:rsid w:val="00C202B4"/>
    <w:rsid w:val="00C20F4A"/>
    <w:rsid w:val="00C25053"/>
    <w:rsid w:val="00C25CDA"/>
    <w:rsid w:val="00C27D4D"/>
    <w:rsid w:val="00C326E2"/>
    <w:rsid w:val="00C32FF2"/>
    <w:rsid w:val="00C37184"/>
    <w:rsid w:val="00C37736"/>
    <w:rsid w:val="00C37BEF"/>
    <w:rsid w:val="00C41CD6"/>
    <w:rsid w:val="00C431A2"/>
    <w:rsid w:val="00C438F7"/>
    <w:rsid w:val="00C44BA2"/>
    <w:rsid w:val="00C45FA3"/>
    <w:rsid w:val="00C51101"/>
    <w:rsid w:val="00C54AC7"/>
    <w:rsid w:val="00C56932"/>
    <w:rsid w:val="00C570AC"/>
    <w:rsid w:val="00C57EED"/>
    <w:rsid w:val="00C60B71"/>
    <w:rsid w:val="00C62E36"/>
    <w:rsid w:val="00C66113"/>
    <w:rsid w:val="00C712E8"/>
    <w:rsid w:val="00C7195E"/>
    <w:rsid w:val="00C72633"/>
    <w:rsid w:val="00C72EB1"/>
    <w:rsid w:val="00C778F3"/>
    <w:rsid w:val="00C77BBE"/>
    <w:rsid w:val="00C80A34"/>
    <w:rsid w:val="00C80BD2"/>
    <w:rsid w:val="00C83436"/>
    <w:rsid w:val="00C84F71"/>
    <w:rsid w:val="00C87B82"/>
    <w:rsid w:val="00C902BD"/>
    <w:rsid w:val="00C95E0E"/>
    <w:rsid w:val="00C964A6"/>
    <w:rsid w:val="00C975E2"/>
    <w:rsid w:val="00C97AAB"/>
    <w:rsid w:val="00CA5132"/>
    <w:rsid w:val="00CA5666"/>
    <w:rsid w:val="00CA7613"/>
    <w:rsid w:val="00CA77E5"/>
    <w:rsid w:val="00CB3920"/>
    <w:rsid w:val="00CB4B2C"/>
    <w:rsid w:val="00CB4DA5"/>
    <w:rsid w:val="00CC5734"/>
    <w:rsid w:val="00CC6265"/>
    <w:rsid w:val="00CC661A"/>
    <w:rsid w:val="00CD0E7D"/>
    <w:rsid w:val="00CD2D61"/>
    <w:rsid w:val="00CD3489"/>
    <w:rsid w:val="00CD4921"/>
    <w:rsid w:val="00CE1A4E"/>
    <w:rsid w:val="00CE6E9D"/>
    <w:rsid w:val="00CF417A"/>
    <w:rsid w:val="00CF4F95"/>
    <w:rsid w:val="00CF5414"/>
    <w:rsid w:val="00CF6766"/>
    <w:rsid w:val="00CF7A3B"/>
    <w:rsid w:val="00D0161A"/>
    <w:rsid w:val="00D0172E"/>
    <w:rsid w:val="00D03DD5"/>
    <w:rsid w:val="00D0650C"/>
    <w:rsid w:val="00D13BA6"/>
    <w:rsid w:val="00D14A7A"/>
    <w:rsid w:val="00D1522A"/>
    <w:rsid w:val="00D170EB"/>
    <w:rsid w:val="00D17DE2"/>
    <w:rsid w:val="00D20066"/>
    <w:rsid w:val="00D2083B"/>
    <w:rsid w:val="00D22345"/>
    <w:rsid w:val="00D25F0D"/>
    <w:rsid w:val="00D26556"/>
    <w:rsid w:val="00D30A87"/>
    <w:rsid w:val="00D36F81"/>
    <w:rsid w:val="00D47F20"/>
    <w:rsid w:val="00D50190"/>
    <w:rsid w:val="00D514B1"/>
    <w:rsid w:val="00D51674"/>
    <w:rsid w:val="00D52A00"/>
    <w:rsid w:val="00D52AE0"/>
    <w:rsid w:val="00D56D69"/>
    <w:rsid w:val="00D67199"/>
    <w:rsid w:val="00D67952"/>
    <w:rsid w:val="00D67D19"/>
    <w:rsid w:val="00D7110A"/>
    <w:rsid w:val="00D7433B"/>
    <w:rsid w:val="00D7604F"/>
    <w:rsid w:val="00D81240"/>
    <w:rsid w:val="00D91FE0"/>
    <w:rsid w:val="00D94DF0"/>
    <w:rsid w:val="00D95EE2"/>
    <w:rsid w:val="00D97CF3"/>
    <w:rsid w:val="00DA1156"/>
    <w:rsid w:val="00DA15DF"/>
    <w:rsid w:val="00DA7D4A"/>
    <w:rsid w:val="00DB4175"/>
    <w:rsid w:val="00DB4C25"/>
    <w:rsid w:val="00DB57EA"/>
    <w:rsid w:val="00DB6267"/>
    <w:rsid w:val="00DB7BF2"/>
    <w:rsid w:val="00DB7C22"/>
    <w:rsid w:val="00DC1FCD"/>
    <w:rsid w:val="00DC5689"/>
    <w:rsid w:val="00DC6B93"/>
    <w:rsid w:val="00DD0D1E"/>
    <w:rsid w:val="00DD0E40"/>
    <w:rsid w:val="00DD395B"/>
    <w:rsid w:val="00DD4951"/>
    <w:rsid w:val="00DD703C"/>
    <w:rsid w:val="00DE23F4"/>
    <w:rsid w:val="00DE6B85"/>
    <w:rsid w:val="00DF193F"/>
    <w:rsid w:val="00DF279B"/>
    <w:rsid w:val="00DF2CB9"/>
    <w:rsid w:val="00DF3656"/>
    <w:rsid w:val="00DF6862"/>
    <w:rsid w:val="00E0016D"/>
    <w:rsid w:val="00E004BE"/>
    <w:rsid w:val="00E0153D"/>
    <w:rsid w:val="00E02338"/>
    <w:rsid w:val="00E0303E"/>
    <w:rsid w:val="00E05E40"/>
    <w:rsid w:val="00E06488"/>
    <w:rsid w:val="00E10A58"/>
    <w:rsid w:val="00E14D11"/>
    <w:rsid w:val="00E165E7"/>
    <w:rsid w:val="00E21077"/>
    <w:rsid w:val="00E217A5"/>
    <w:rsid w:val="00E2464B"/>
    <w:rsid w:val="00E30D3B"/>
    <w:rsid w:val="00E3300F"/>
    <w:rsid w:val="00E3552A"/>
    <w:rsid w:val="00E41CAA"/>
    <w:rsid w:val="00E41EE7"/>
    <w:rsid w:val="00E41F18"/>
    <w:rsid w:val="00E46851"/>
    <w:rsid w:val="00E50E8E"/>
    <w:rsid w:val="00E5104B"/>
    <w:rsid w:val="00E53ECB"/>
    <w:rsid w:val="00E54413"/>
    <w:rsid w:val="00E553DD"/>
    <w:rsid w:val="00E63510"/>
    <w:rsid w:val="00E6535B"/>
    <w:rsid w:val="00E66513"/>
    <w:rsid w:val="00E669E6"/>
    <w:rsid w:val="00E67A8D"/>
    <w:rsid w:val="00E71457"/>
    <w:rsid w:val="00E7515A"/>
    <w:rsid w:val="00E75345"/>
    <w:rsid w:val="00E7641E"/>
    <w:rsid w:val="00E770E7"/>
    <w:rsid w:val="00E77295"/>
    <w:rsid w:val="00E80A45"/>
    <w:rsid w:val="00E8150A"/>
    <w:rsid w:val="00E81659"/>
    <w:rsid w:val="00E82CA4"/>
    <w:rsid w:val="00E838E0"/>
    <w:rsid w:val="00E84634"/>
    <w:rsid w:val="00EA4738"/>
    <w:rsid w:val="00EA5F0E"/>
    <w:rsid w:val="00EB3EDD"/>
    <w:rsid w:val="00EC0207"/>
    <w:rsid w:val="00EC163B"/>
    <w:rsid w:val="00EC1862"/>
    <w:rsid w:val="00ED4154"/>
    <w:rsid w:val="00ED4830"/>
    <w:rsid w:val="00ED7BCF"/>
    <w:rsid w:val="00EE0413"/>
    <w:rsid w:val="00EE07E4"/>
    <w:rsid w:val="00EE3BAB"/>
    <w:rsid w:val="00EF00C7"/>
    <w:rsid w:val="00EF17A9"/>
    <w:rsid w:val="00F00B52"/>
    <w:rsid w:val="00F12D7B"/>
    <w:rsid w:val="00F13389"/>
    <w:rsid w:val="00F14221"/>
    <w:rsid w:val="00F142B6"/>
    <w:rsid w:val="00F168B9"/>
    <w:rsid w:val="00F16C3C"/>
    <w:rsid w:val="00F22BDF"/>
    <w:rsid w:val="00F23E60"/>
    <w:rsid w:val="00F26CE3"/>
    <w:rsid w:val="00F354F6"/>
    <w:rsid w:val="00F37D5F"/>
    <w:rsid w:val="00F41F91"/>
    <w:rsid w:val="00F4340F"/>
    <w:rsid w:val="00F4433F"/>
    <w:rsid w:val="00F5003D"/>
    <w:rsid w:val="00F50066"/>
    <w:rsid w:val="00F502BD"/>
    <w:rsid w:val="00F524D6"/>
    <w:rsid w:val="00F53B61"/>
    <w:rsid w:val="00F60BA7"/>
    <w:rsid w:val="00F655C8"/>
    <w:rsid w:val="00F66836"/>
    <w:rsid w:val="00F7093A"/>
    <w:rsid w:val="00F70AA2"/>
    <w:rsid w:val="00F71A7E"/>
    <w:rsid w:val="00F72EE4"/>
    <w:rsid w:val="00F730AE"/>
    <w:rsid w:val="00F73456"/>
    <w:rsid w:val="00F748EB"/>
    <w:rsid w:val="00F83B61"/>
    <w:rsid w:val="00F85091"/>
    <w:rsid w:val="00F85E7D"/>
    <w:rsid w:val="00F85F67"/>
    <w:rsid w:val="00F86ACD"/>
    <w:rsid w:val="00F91BD5"/>
    <w:rsid w:val="00F946E0"/>
    <w:rsid w:val="00F954C1"/>
    <w:rsid w:val="00F95BFC"/>
    <w:rsid w:val="00F95C61"/>
    <w:rsid w:val="00F96A49"/>
    <w:rsid w:val="00F97208"/>
    <w:rsid w:val="00FA4733"/>
    <w:rsid w:val="00FB46CB"/>
    <w:rsid w:val="00FB4B4F"/>
    <w:rsid w:val="00FC1A56"/>
    <w:rsid w:val="00FC5E49"/>
    <w:rsid w:val="00FC6ACD"/>
    <w:rsid w:val="00FC7A2E"/>
    <w:rsid w:val="00FD0039"/>
    <w:rsid w:val="00FD1270"/>
    <w:rsid w:val="00FD17E9"/>
    <w:rsid w:val="00FD3C27"/>
    <w:rsid w:val="00FE1C84"/>
    <w:rsid w:val="00FE1E5C"/>
    <w:rsid w:val="00FE6007"/>
    <w:rsid w:val="00FE6E33"/>
    <w:rsid w:val="00FE716A"/>
    <w:rsid w:val="00FF1826"/>
    <w:rsid w:val="00FF44CD"/>
    <w:rsid w:val="00FF466D"/>
    <w:rsid w:val="00FF5BF0"/>
    <w:rsid w:val="00FF70A5"/>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752"/>
    <w:pPr>
      <w:spacing w:before="120" w:after="120"/>
      <w:jc w:val="both"/>
    </w:pPr>
    <w:rPr>
      <w:rFonts w:ascii="Trebuchet MS" w:hAnsi="Trebuchet MS"/>
      <w:sz w:val="22"/>
      <w:szCs w:val="22"/>
      <w:lang w:val="fr-FR" w:eastAsia="fr-FR"/>
    </w:rPr>
  </w:style>
  <w:style w:type="paragraph" w:styleId="Heading1">
    <w:name w:val="heading 1"/>
    <w:basedOn w:val="Normal"/>
    <w:next w:val="Normal"/>
    <w:qFormat/>
    <w:rsid w:val="00E838E0"/>
    <w:pPr>
      <w:keepNext/>
      <w:numPr>
        <w:numId w:val="5"/>
      </w:numPr>
      <w:spacing w:before="240" w:after="240"/>
      <w:jc w:val="left"/>
      <w:outlineLvl w:val="0"/>
    </w:pPr>
    <w:rPr>
      <w:rFonts w:cs="Arial"/>
      <w:b/>
      <w:bCs/>
      <w:caps/>
      <w:kern w:val="32"/>
      <w:sz w:val="24"/>
      <w:szCs w:val="24"/>
      <w:lang w:val="en-US" w:eastAsia="en-US"/>
    </w:rPr>
  </w:style>
  <w:style w:type="paragraph" w:styleId="Heading3">
    <w:name w:val="heading 3"/>
    <w:basedOn w:val="Normal"/>
    <w:next w:val="Normal"/>
    <w:autoRedefine/>
    <w:qFormat/>
    <w:rsid w:val="003F4270"/>
    <w:pPr>
      <w:keepNext/>
      <w:spacing w:before="240" w:after="60"/>
      <w:outlineLvl w:val="2"/>
    </w:pPr>
    <w:rPr>
      <w:rFonts w:cs="Arial"/>
      <w:b/>
      <w:bCs/>
      <w:szCs w:val="26"/>
    </w:rPr>
  </w:style>
  <w:style w:type="paragraph" w:styleId="Heading4">
    <w:name w:val="heading 4"/>
    <w:basedOn w:val="Normal"/>
    <w:next w:val="Normal"/>
    <w:qFormat/>
    <w:rsid w:val="00E838E0"/>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rsid w:val="00E838E0"/>
    <w:pPr>
      <w:numPr>
        <w:ilvl w:val="4"/>
        <w:numId w:val="5"/>
      </w:numPr>
      <w:spacing w:before="240" w:after="60"/>
      <w:outlineLvl w:val="4"/>
    </w:pPr>
    <w:rPr>
      <w:b/>
      <w:bCs/>
      <w:i/>
      <w:iCs/>
      <w:sz w:val="26"/>
      <w:szCs w:val="26"/>
    </w:rPr>
  </w:style>
  <w:style w:type="paragraph" w:styleId="Heading6">
    <w:name w:val="heading 6"/>
    <w:basedOn w:val="Normal"/>
    <w:next w:val="Normal"/>
    <w:qFormat/>
    <w:rsid w:val="00E838E0"/>
    <w:pPr>
      <w:numPr>
        <w:ilvl w:val="5"/>
        <w:numId w:val="5"/>
      </w:numPr>
      <w:spacing w:before="240" w:after="60"/>
      <w:outlineLvl w:val="5"/>
    </w:pPr>
    <w:rPr>
      <w:rFonts w:ascii="Times New Roman" w:hAnsi="Times New Roman"/>
      <w:b/>
      <w:bCs/>
    </w:rPr>
  </w:style>
  <w:style w:type="paragraph" w:styleId="Heading7">
    <w:name w:val="heading 7"/>
    <w:basedOn w:val="Normal"/>
    <w:next w:val="Normal"/>
    <w:qFormat/>
    <w:rsid w:val="00E838E0"/>
    <w:pPr>
      <w:numPr>
        <w:ilvl w:val="6"/>
        <w:numId w:val="5"/>
      </w:numPr>
      <w:spacing w:before="240" w:after="60"/>
      <w:outlineLvl w:val="6"/>
    </w:pPr>
    <w:rPr>
      <w:rFonts w:ascii="Times New Roman" w:hAnsi="Times New Roman"/>
      <w:sz w:val="24"/>
      <w:szCs w:val="24"/>
    </w:rPr>
  </w:style>
  <w:style w:type="paragraph" w:styleId="Heading8">
    <w:name w:val="heading 8"/>
    <w:basedOn w:val="Normal"/>
    <w:next w:val="Normal"/>
    <w:qFormat/>
    <w:rsid w:val="00E838E0"/>
    <w:pPr>
      <w:numPr>
        <w:ilvl w:val="7"/>
        <w:numId w:val="5"/>
      </w:numPr>
      <w:spacing w:before="240" w:after="60"/>
      <w:outlineLvl w:val="7"/>
    </w:pPr>
    <w:rPr>
      <w:rFonts w:ascii="Times New Roman" w:hAnsi="Times New Roman"/>
      <w:i/>
      <w:iCs/>
      <w:sz w:val="24"/>
      <w:szCs w:val="24"/>
    </w:rPr>
  </w:style>
  <w:style w:type="paragraph" w:styleId="Heading9">
    <w:name w:val="heading 9"/>
    <w:basedOn w:val="Normal"/>
    <w:next w:val="Normal"/>
    <w:qFormat/>
    <w:rsid w:val="00E838E0"/>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286752"/>
    <w:pPr>
      <w:ind w:left="720"/>
      <w:contextualSpacing/>
    </w:pPr>
  </w:style>
  <w:style w:type="table" w:styleId="TableSimple1">
    <w:name w:val="Table Simple 1"/>
    <w:basedOn w:val="TableNormal"/>
    <w:rsid w:val="009D279B"/>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rsid w:val="007A14B3"/>
    <w:pPr>
      <w:spacing w:before="0" w:after="0"/>
    </w:pPr>
    <w:rPr>
      <w:rFonts w:ascii="Tahoma" w:hAnsi="Tahoma" w:cs="Tahoma"/>
      <w:sz w:val="16"/>
      <w:szCs w:val="16"/>
    </w:rPr>
  </w:style>
  <w:style w:type="character" w:customStyle="1" w:styleId="BalloonTextChar">
    <w:name w:val="Balloon Text Char"/>
    <w:basedOn w:val="DefaultParagraphFont"/>
    <w:link w:val="BalloonText"/>
    <w:rsid w:val="007A14B3"/>
    <w:rPr>
      <w:rFonts w:ascii="Tahoma" w:hAnsi="Tahoma" w:cs="Tahoma"/>
      <w:sz w:val="16"/>
      <w:szCs w:val="16"/>
    </w:rPr>
  </w:style>
  <w:style w:type="table" w:styleId="TableGrid">
    <w:name w:val="Table Grid"/>
    <w:basedOn w:val="TableNormal"/>
    <w:rsid w:val="00AC35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rsid w:val="000E5A4E"/>
    <w:pPr>
      <w:tabs>
        <w:tab w:val="center" w:pos="4320"/>
        <w:tab w:val="right" w:pos="8640"/>
      </w:tabs>
    </w:pPr>
  </w:style>
  <w:style w:type="paragraph" w:styleId="Footer">
    <w:name w:val="footer"/>
    <w:basedOn w:val="Normal"/>
    <w:rsid w:val="000E5A4E"/>
    <w:pPr>
      <w:tabs>
        <w:tab w:val="center" w:pos="4320"/>
        <w:tab w:val="right" w:pos="8640"/>
      </w:tabs>
    </w:pPr>
  </w:style>
  <w:style w:type="character" w:styleId="PageNumber">
    <w:name w:val="page number"/>
    <w:basedOn w:val="DefaultParagraphFont"/>
    <w:rsid w:val="00CE6E9D"/>
  </w:style>
  <w:style w:type="character" w:styleId="CommentReference">
    <w:name w:val="annotation reference"/>
    <w:basedOn w:val="DefaultParagraphFont"/>
    <w:semiHidden/>
    <w:rsid w:val="008C3FB5"/>
    <w:rPr>
      <w:sz w:val="16"/>
      <w:szCs w:val="16"/>
    </w:rPr>
  </w:style>
  <w:style w:type="paragraph" w:styleId="CommentText">
    <w:name w:val="annotation text"/>
    <w:basedOn w:val="Normal"/>
    <w:semiHidden/>
    <w:rsid w:val="008C3FB5"/>
    <w:rPr>
      <w:sz w:val="20"/>
      <w:szCs w:val="20"/>
    </w:rPr>
  </w:style>
  <w:style w:type="paragraph" w:styleId="CommentSubject">
    <w:name w:val="annotation subject"/>
    <w:basedOn w:val="CommentText"/>
    <w:next w:val="CommentText"/>
    <w:semiHidden/>
    <w:rsid w:val="008C3FB5"/>
    <w:rPr>
      <w:b/>
      <w:bCs/>
    </w:rPr>
  </w:style>
  <w:style w:type="paragraph" w:styleId="FootnoteText">
    <w:name w:val="footnote text"/>
    <w:basedOn w:val="Normal"/>
    <w:semiHidden/>
    <w:rsid w:val="00E0016D"/>
    <w:rPr>
      <w:sz w:val="20"/>
      <w:szCs w:val="20"/>
    </w:rPr>
  </w:style>
  <w:style w:type="character" w:styleId="FootnoteReference">
    <w:name w:val="footnote reference"/>
    <w:basedOn w:val="DefaultParagraphFont"/>
    <w:semiHidden/>
    <w:rsid w:val="00E0016D"/>
    <w:rPr>
      <w:vertAlign w:val="superscript"/>
    </w:rPr>
  </w:style>
  <w:style w:type="character" w:customStyle="1" w:styleId="shorttext">
    <w:name w:val="short_text"/>
    <w:basedOn w:val="DefaultParagraphFont"/>
    <w:rsid w:val="00026492"/>
  </w:style>
  <w:style w:type="paragraph" w:styleId="Title">
    <w:name w:val="Title"/>
    <w:basedOn w:val="Normal"/>
    <w:qFormat/>
    <w:rsid w:val="00226B51"/>
    <w:pPr>
      <w:spacing w:before="0" w:after="0"/>
      <w:jc w:val="center"/>
    </w:pPr>
    <w:rPr>
      <w:rFonts w:ascii="Arial Gras" w:hAnsi="Arial Gras" w:cs="Arial"/>
      <w:b/>
      <w:bCs/>
      <w:caps/>
      <w:sz w:val="28"/>
      <w:szCs w:val="32"/>
      <w:lang w:val="en-US" w:eastAsia="en-US"/>
    </w:rPr>
  </w:style>
  <w:style w:type="paragraph" w:styleId="NoSpacing">
    <w:name w:val="No Spacing"/>
    <w:link w:val="NoSpacingChar"/>
    <w:uiPriority w:val="99"/>
    <w:qFormat/>
    <w:rsid w:val="00F72EE4"/>
    <w:rPr>
      <w:rFonts w:ascii="Calibri" w:hAnsi="Calibri"/>
      <w:sz w:val="22"/>
      <w:szCs w:val="22"/>
    </w:rPr>
  </w:style>
  <w:style w:type="character" w:customStyle="1" w:styleId="NoSpacingChar">
    <w:name w:val="No Spacing Char"/>
    <w:basedOn w:val="DefaultParagraphFont"/>
    <w:link w:val="NoSpacing"/>
    <w:uiPriority w:val="99"/>
    <w:rsid w:val="00F72EE4"/>
    <w:rPr>
      <w:rFonts w:ascii="Calibri" w:hAnsi="Calibri"/>
      <w:sz w:val="22"/>
      <w:szCs w:val="22"/>
      <w:lang w:val="en-US" w:eastAsia="en-US" w:bidi="ar-SA"/>
    </w:rPr>
  </w:style>
  <w:style w:type="table" w:styleId="TableClassic1">
    <w:name w:val="Table Classic 1"/>
    <w:basedOn w:val="TableNormal"/>
    <w:rsid w:val="008E620F"/>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8E620F"/>
    <w:pPr>
      <w:spacing w:before="120"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3300C"/>
    <w:pPr>
      <w:spacing w:before="120"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03300C"/>
    <w:pPr>
      <w:spacing w:before="120"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03300C"/>
    <w:pPr>
      <w:spacing w:before="120"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MessageHeaderLabel">
    <w:name w:val="Message Header Label"/>
    <w:rsid w:val="00E0153D"/>
    <w:rPr>
      <w:rFonts w:ascii="Arial Black" w:hAnsi="Arial Black"/>
      <w:spacing w:val="-10"/>
      <w:sz w:val="18"/>
    </w:rPr>
  </w:style>
  <w:style w:type="paragraph" w:customStyle="1" w:styleId="CharCharChar">
    <w:name w:val="Char Char Char"/>
    <w:basedOn w:val="Normal"/>
    <w:rsid w:val="00E0153D"/>
    <w:pPr>
      <w:spacing w:before="0" w:after="160" w:line="240" w:lineRule="exact"/>
      <w:jc w:val="left"/>
    </w:pPr>
    <w:rPr>
      <w:rFonts w:ascii="Tahoma" w:hAnsi="Tahoma"/>
      <w:sz w:val="20"/>
      <w:szCs w:val="20"/>
      <w:lang w:val="en-US" w:eastAsia="en-US"/>
    </w:rPr>
  </w:style>
  <w:style w:type="paragraph" w:styleId="TOCHeading">
    <w:name w:val="TOC Heading"/>
    <w:basedOn w:val="Heading1"/>
    <w:next w:val="Normal"/>
    <w:uiPriority w:val="39"/>
    <w:semiHidden/>
    <w:unhideWhenUsed/>
    <w:qFormat/>
    <w:rsid w:val="003F4270"/>
    <w:pPr>
      <w:keepLines/>
      <w:numPr>
        <w:numId w:val="0"/>
      </w:numPr>
      <w:spacing w:before="480" w:after="0" w:line="276" w:lineRule="auto"/>
      <w:outlineLvl w:val="9"/>
    </w:pPr>
    <w:rPr>
      <w:rFonts w:ascii="Cambria" w:eastAsia="Times New Roman" w:hAnsi="Cambria" w:cs="Times New Roman"/>
      <w:caps w:val="0"/>
      <w:color w:val="365F91"/>
      <w:kern w:val="0"/>
      <w:sz w:val="28"/>
      <w:szCs w:val="28"/>
    </w:rPr>
  </w:style>
  <w:style w:type="paragraph" w:styleId="TOC1">
    <w:name w:val="toc 1"/>
    <w:basedOn w:val="Normal"/>
    <w:next w:val="Normal"/>
    <w:autoRedefine/>
    <w:uiPriority w:val="39"/>
    <w:rsid w:val="003F4270"/>
    <w:pPr>
      <w:spacing w:after="100"/>
    </w:pPr>
  </w:style>
  <w:style w:type="character" w:styleId="Hyperlink">
    <w:name w:val="Hyperlink"/>
    <w:basedOn w:val="DefaultParagraphFont"/>
    <w:uiPriority w:val="99"/>
    <w:unhideWhenUsed/>
    <w:rsid w:val="003F4270"/>
    <w:rPr>
      <w:color w:val="0000FF"/>
      <w:u w:val="single"/>
    </w:rPr>
  </w:style>
  <w:style w:type="paragraph" w:styleId="TOC3">
    <w:name w:val="toc 3"/>
    <w:basedOn w:val="Normal"/>
    <w:next w:val="Normal"/>
    <w:autoRedefine/>
    <w:uiPriority w:val="39"/>
    <w:rsid w:val="008C24C7"/>
    <w:pPr>
      <w:spacing w:after="100"/>
      <w:ind w:left="440"/>
    </w:pPr>
  </w:style>
</w:styles>
</file>

<file path=word/webSettings.xml><?xml version="1.0" encoding="utf-8"?>
<w:webSettings xmlns:r="http://schemas.openxmlformats.org/officeDocument/2006/relationships" xmlns:w="http://schemas.openxmlformats.org/wordprocessingml/2006/main">
  <w:divs>
    <w:div w:id="333192867">
      <w:bodyDiv w:val="1"/>
      <w:marLeft w:val="0"/>
      <w:marRight w:val="0"/>
      <w:marTop w:val="0"/>
      <w:marBottom w:val="0"/>
      <w:divBdr>
        <w:top w:val="none" w:sz="0" w:space="0" w:color="auto"/>
        <w:left w:val="none" w:sz="0" w:space="0" w:color="auto"/>
        <w:bottom w:val="none" w:sz="0" w:space="0" w:color="auto"/>
        <w:right w:val="none" w:sz="0" w:space="0" w:color="auto"/>
      </w:divBdr>
    </w:div>
    <w:div w:id="469445432">
      <w:bodyDiv w:val="1"/>
      <w:marLeft w:val="0"/>
      <w:marRight w:val="0"/>
      <w:marTop w:val="0"/>
      <w:marBottom w:val="0"/>
      <w:divBdr>
        <w:top w:val="none" w:sz="0" w:space="0" w:color="auto"/>
        <w:left w:val="none" w:sz="0" w:space="0" w:color="auto"/>
        <w:bottom w:val="none" w:sz="0" w:space="0" w:color="auto"/>
        <w:right w:val="none" w:sz="0" w:space="0" w:color="auto"/>
      </w:divBdr>
    </w:div>
    <w:div w:id="686948653">
      <w:bodyDiv w:val="1"/>
      <w:marLeft w:val="0"/>
      <w:marRight w:val="0"/>
      <w:marTop w:val="0"/>
      <w:marBottom w:val="0"/>
      <w:divBdr>
        <w:top w:val="none" w:sz="0" w:space="0" w:color="auto"/>
        <w:left w:val="none" w:sz="0" w:space="0" w:color="auto"/>
        <w:bottom w:val="none" w:sz="0" w:space="0" w:color="auto"/>
        <w:right w:val="none" w:sz="0" w:space="0" w:color="auto"/>
      </w:divBdr>
    </w:div>
    <w:div w:id="687633680">
      <w:bodyDiv w:val="1"/>
      <w:marLeft w:val="0"/>
      <w:marRight w:val="0"/>
      <w:marTop w:val="0"/>
      <w:marBottom w:val="0"/>
      <w:divBdr>
        <w:top w:val="none" w:sz="0" w:space="0" w:color="auto"/>
        <w:left w:val="none" w:sz="0" w:space="0" w:color="auto"/>
        <w:bottom w:val="none" w:sz="0" w:space="0" w:color="auto"/>
        <w:right w:val="none" w:sz="0" w:space="0" w:color="auto"/>
      </w:divBdr>
    </w:div>
    <w:div w:id="700940125">
      <w:bodyDiv w:val="1"/>
      <w:marLeft w:val="0"/>
      <w:marRight w:val="0"/>
      <w:marTop w:val="0"/>
      <w:marBottom w:val="0"/>
      <w:divBdr>
        <w:top w:val="none" w:sz="0" w:space="0" w:color="auto"/>
        <w:left w:val="none" w:sz="0" w:space="0" w:color="auto"/>
        <w:bottom w:val="none" w:sz="0" w:space="0" w:color="auto"/>
        <w:right w:val="none" w:sz="0" w:space="0" w:color="auto"/>
      </w:divBdr>
    </w:div>
    <w:div w:id="1132141389">
      <w:bodyDiv w:val="1"/>
      <w:marLeft w:val="0"/>
      <w:marRight w:val="0"/>
      <w:marTop w:val="0"/>
      <w:marBottom w:val="0"/>
      <w:divBdr>
        <w:top w:val="none" w:sz="0" w:space="0" w:color="auto"/>
        <w:left w:val="none" w:sz="0" w:space="0" w:color="auto"/>
        <w:bottom w:val="none" w:sz="0" w:space="0" w:color="auto"/>
        <w:right w:val="none" w:sz="0" w:space="0" w:color="auto"/>
      </w:divBdr>
    </w:div>
    <w:div w:id="1255094191">
      <w:bodyDiv w:val="1"/>
      <w:marLeft w:val="0"/>
      <w:marRight w:val="0"/>
      <w:marTop w:val="0"/>
      <w:marBottom w:val="0"/>
      <w:divBdr>
        <w:top w:val="none" w:sz="0" w:space="0" w:color="auto"/>
        <w:left w:val="none" w:sz="0" w:space="0" w:color="auto"/>
        <w:bottom w:val="none" w:sz="0" w:space="0" w:color="auto"/>
        <w:right w:val="none" w:sz="0" w:space="0" w:color="auto"/>
      </w:divBdr>
    </w:div>
    <w:div w:id="1293830025">
      <w:bodyDiv w:val="1"/>
      <w:marLeft w:val="0"/>
      <w:marRight w:val="0"/>
      <w:marTop w:val="0"/>
      <w:marBottom w:val="0"/>
      <w:divBdr>
        <w:top w:val="none" w:sz="0" w:space="0" w:color="auto"/>
        <w:left w:val="none" w:sz="0" w:space="0" w:color="auto"/>
        <w:bottom w:val="none" w:sz="0" w:space="0" w:color="auto"/>
        <w:right w:val="none" w:sz="0" w:space="0" w:color="auto"/>
      </w:divBdr>
    </w:div>
    <w:div w:id="1301954964">
      <w:bodyDiv w:val="1"/>
      <w:marLeft w:val="0"/>
      <w:marRight w:val="0"/>
      <w:marTop w:val="0"/>
      <w:marBottom w:val="0"/>
      <w:divBdr>
        <w:top w:val="none" w:sz="0" w:space="0" w:color="auto"/>
        <w:left w:val="none" w:sz="0" w:space="0" w:color="auto"/>
        <w:bottom w:val="none" w:sz="0" w:space="0" w:color="auto"/>
        <w:right w:val="none" w:sz="0" w:space="0" w:color="auto"/>
      </w:divBdr>
    </w:div>
    <w:div w:id="1578855937">
      <w:bodyDiv w:val="1"/>
      <w:marLeft w:val="0"/>
      <w:marRight w:val="0"/>
      <w:marTop w:val="0"/>
      <w:marBottom w:val="0"/>
      <w:divBdr>
        <w:top w:val="none" w:sz="0" w:space="0" w:color="auto"/>
        <w:left w:val="none" w:sz="0" w:space="0" w:color="auto"/>
        <w:bottom w:val="none" w:sz="0" w:space="0" w:color="auto"/>
        <w:right w:val="none" w:sz="0" w:space="0" w:color="auto"/>
      </w:divBdr>
    </w:div>
    <w:div w:id="1649624280">
      <w:bodyDiv w:val="1"/>
      <w:marLeft w:val="0"/>
      <w:marRight w:val="0"/>
      <w:marTop w:val="0"/>
      <w:marBottom w:val="0"/>
      <w:divBdr>
        <w:top w:val="none" w:sz="0" w:space="0" w:color="auto"/>
        <w:left w:val="none" w:sz="0" w:space="0" w:color="auto"/>
        <w:bottom w:val="none" w:sz="0" w:space="0" w:color="auto"/>
        <w:right w:val="none" w:sz="0" w:space="0" w:color="auto"/>
      </w:divBdr>
    </w:div>
    <w:div w:id="1717386045">
      <w:bodyDiv w:val="1"/>
      <w:marLeft w:val="0"/>
      <w:marRight w:val="0"/>
      <w:marTop w:val="0"/>
      <w:marBottom w:val="0"/>
      <w:divBdr>
        <w:top w:val="none" w:sz="0" w:space="0" w:color="auto"/>
        <w:left w:val="none" w:sz="0" w:space="0" w:color="auto"/>
        <w:bottom w:val="none" w:sz="0" w:space="0" w:color="auto"/>
        <w:right w:val="none" w:sz="0" w:space="0" w:color="auto"/>
      </w:divBdr>
    </w:div>
    <w:div w:id="17318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D8086C-CB20-4045-A74E-0EEE22E5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Raporti Fiskal Tremujor</vt:lpstr>
    </vt:vector>
  </TitlesOfParts>
  <Company>Drejtoria e Politikave Fiskale</Company>
  <LinksUpToDate>false</LinksUpToDate>
  <CharactersWithSpaces>33876</CharactersWithSpaces>
  <SharedDoc>false</SharedDoc>
  <HLinks>
    <vt:vector size="90" baseType="variant">
      <vt:variant>
        <vt:i4>1900595</vt:i4>
      </vt:variant>
      <vt:variant>
        <vt:i4>86</vt:i4>
      </vt:variant>
      <vt:variant>
        <vt:i4>0</vt:i4>
      </vt:variant>
      <vt:variant>
        <vt:i4>5</vt:i4>
      </vt:variant>
      <vt:variant>
        <vt:lpwstr/>
      </vt:variant>
      <vt:variant>
        <vt:lpwstr>_Toc367712694</vt:lpwstr>
      </vt:variant>
      <vt:variant>
        <vt:i4>1900595</vt:i4>
      </vt:variant>
      <vt:variant>
        <vt:i4>80</vt:i4>
      </vt:variant>
      <vt:variant>
        <vt:i4>0</vt:i4>
      </vt:variant>
      <vt:variant>
        <vt:i4>5</vt:i4>
      </vt:variant>
      <vt:variant>
        <vt:lpwstr/>
      </vt:variant>
      <vt:variant>
        <vt:lpwstr>_Toc367712693</vt:lpwstr>
      </vt:variant>
      <vt:variant>
        <vt:i4>1900595</vt:i4>
      </vt:variant>
      <vt:variant>
        <vt:i4>74</vt:i4>
      </vt:variant>
      <vt:variant>
        <vt:i4>0</vt:i4>
      </vt:variant>
      <vt:variant>
        <vt:i4>5</vt:i4>
      </vt:variant>
      <vt:variant>
        <vt:lpwstr/>
      </vt:variant>
      <vt:variant>
        <vt:lpwstr>_Toc367712692</vt:lpwstr>
      </vt:variant>
      <vt:variant>
        <vt:i4>1900595</vt:i4>
      </vt:variant>
      <vt:variant>
        <vt:i4>68</vt:i4>
      </vt:variant>
      <vt:variant>
        <vt:i4>0</vt:i4>
      </vt:variant>
      <vt:variant>
        <vt:i4>5</vt:i4>
      </vt:variant>
      <vt:variant>
        <vt:lpwstr/>
      </vt:variant>
      <vt:variant>
        <vt:lpwstr>_Toc367712691</vt:lpwstr>
      </vt:variant>
      <vt:variant>
        <vt:i4>1900595</vt:i4>
      </vt:variant>
      <vt:variant>
        <vt:i4>62</vt:i4>
      </vt:variant>
      <vt:variant>
        <vt:i4>0</vt:i4>
      </vt:variant>
      <vt:variant>
        <vt:i4>5</vt:i4>
      </vt:variant>
      <vt:variant>
        <vt:lpwstr/>
      </vt:variant>
      <vt:variant>
        <vt:lpwstr>_Toc367712690</vt:lpwstr>
      </vt:variant>
      <vt:variant>
        <vt:i4>1835059</vt:i4>
      </vt:variant>
      <vt:variant>
        <vt:i4>56</vt:i4>
      </vt:variant>
      <vt:variant>
        <vt:i4>0</vt:i4>
      </vt:variant>
      <vt:variant>
        <vt:i4>5</vt:i4>
      </vt:variant>
      <vt:variant>
        <vt:lpwstr/>
      </vt:variant>
      <vt:variant>
        <vt:lpwstr>_Toc367712689</vt:lpwstr>
      </vt:variant>
      <vt:variant>
        <vt:i4>1835059</vt:i4>
      </vt:variant>
      <vt:variant>
        <vt:i4>50</vt:i4>
      </vt:variant>
      <vt:variant>
        <vt:i4>0</vt:i4>
      </vt:variant>
      <vt:variant>
        <vt:i4>5</vt:i4>
      </vt:variant>
      <vt:variant>
        <vt:lpwstr/>
      </vt:variant>
      <vt:variant>
        <vt:lpwstr>_Toc367712688</vt:lpwstr>
      </vt:variant>
      <vt:variant>
        <vt:i4>1835059</vt:i4>
      </vt:variant>
      <vt:variant>
        <vt:i4>44</vt:i4>
      </vt:variant>
      <vt:variant>
        <vt:i4>0</vt:i4>
      </vt:variant>
      <vt:variant>
        <vt:i4>5</vt:i4>
      </vt:variant>
      <vt:variant>
        <vt:lpwstr/>
      </vt:variant>
      <vt:variant>
        <vt:lpwstr>_Toc367712687</vt:lpwstr>
      </vt:variant>
      <vt:variant>
        <vt:i4>1835059</vt:i4>
      </vt:variant>
      <vt:variant>
        <vt:i4>38</vt:i4>
      </vt:variant>
      <vt:variant>
        <vt:i4>0</vt:i4>
      </vt:variant>
      <vt:variant>
        <vt:i4>5</vt:i4>
      </vt:variant>
      <vt:variant>
        <vt:lpwstr/>
      </vt:variant>
      <vt:variant>
        <vt:lpwstr>_Toc367712686</vt:lpwstr>
      </vt:variant>
      <vt:variant>
        <vt:i4>1835059</vt:i4>
      </vt:variant>
      <vt:variant>
        <vt:i4>32</vt:i4>
      </vt:variant>
      <vt:variant>
        <vt:i4>0</vt:i4>
      </vt:variant>
      <vt:variant>
        <vt:i4>5</vt:i4>
      </vt:variant>
      <vt:variant>
        <vt:lpwstr/>
      </vt:variant>
      <vt:variant>
        <vt:lpwstr>_Toc367712685</vt:lpwstr>
      </vt:variant>
      <vt:variant>
        <vt:i4>1835059</vt:i4>
      </vt:variant>
      <vt:variant>
        <vt:i4>26</vt:i4>
      </vt:variant>
      <vt:variant>
        <vt:i4>0</vt:i4>
      </vt:variant>
      <vt:variant>
        <vt:i4>5</vt:i4>
      </vt:variant>
      <vt:variant>
        <vt:lpwstr/>
      </vt:variant>
      <vt:variant>
        <vt:lpwstr>_Toc367712684</vt:lpwstr>
      </vt:variant>
      <vt:variant>
        <vt:i4>1835059</vt:i4>
      </vt:variant>
      <vt:variant>
        <vt:i4>20</vt:i4>
      </vt:variant>
      <vt:variant>
        <vt:i4>0</vt:i4>
      </vt:variant>
      <vt:variant>
        <vt:i4>5</vt:i4>
      </vt:variant>
      <vt:variant>
        <vt:lpwstr/>
      </vt:variant>
      <vt:variant>
        <vt:lpwstr>_Toc367712683</vt:lpwstr>
      </vt:variant>
      <vt:variant>
        <vt:i4>1835059</vt:i4>
      </vt:variant>
      <vt:variant>
        <vt:i4>14</vt:i4>
      </vt:variant>
      <vt:variant>
        <vt:i4>0</vt:i4>
      </vt:variant>
      <vt:variant>
        <vt:i4>5</vt:i4>
      </vt:variant>
      <vt:variant>
        <vt:lpwstr/>
      </vt:variant>
      <vt:variant>
        <vt:lpwstr>_Toc367712682</vt:lpwstr>
      </vt:variant>
      <vt:variant>
        <vt:i4>1835059</vt:i4>
      </vt:variant>
      <vt:variant>
        <vt:i4>8</vt:i4>
      </vt:variant>
      <vt:variant>
        <vt:i4>0</vt:i4>
      </vt:variant>
      <vt:variant>
        <vt:i4>5</vt:i4>
      </vt:variant>
      <vt:variant>
        <vt:lpwstr/>
      </vt:variant>
      <vt:variant>
        <vt:lpwstr>_Toc367712681</vt:lpwstr>
      </vt:variant>
      <vt:variant>
        <vt:i4>1835059</vt:i4>
      </vt:variant>
      <vt:variant>
        <vt:i4>2</vt:i4>
      </vt:variant>
      <vt:variant>
        <vt:i4>0</vt:i4>
      </vt:variant>
      <vt:variant>
        <vt:i4>5</vt:i4>
      </vt:variant>
      <vt:variant>
        <vt:lpwstr/>
      </vt:variant>
      <vt:variant>
        <vt:lpwstr>_Toc367712680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Fiskal Tremujor</dc:title>
  <dc:subject>Zhvillimet fiskale ne tremujorin e pare 2010</dc:subject>
  <dc:creator>sigitagjoka</dc:creator>
  <cp:lastModifiedBy>aida.malaj</cp:lastModifiedBy>
  <cp:revision>2</cp:revision>
  <cp:lastPrinted>2013-09-23T13:21:00Z</cp:lastPrinted>
  <dcterms:created xsi:type="dcterms:W3CDTF">2014-07-09T10:56:00Z</dcterms:created>
  <dcterms:modified xsi:type="dcterms:W3CDTF">2014-07-09T10:56:00Z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-1776613827</vt:i4>
  </property>
  <property fmtid="{D5CDD505-2E9C-101B-9397-08002B2CF9AE}" pid="3" name="_NewReviewCycle">
    <vt:lpwstr/>
  </property>
  <property fmtid="{D5CDD505-2E9C-101B-9397-08002B2CF9AE}" pid="4" name="_TentativeReviewCycleID">
    <vt:i4>-1776613827</vt:i4>
  </property>
  <property fmtid="{D5CDD505-2E9C-101B-9397-08002B2CF9AE}" pid="5" name="_EmailEntryID">
    <vt:lpwstr>00000000DE56FF69B36A1743A2DB1F9E34D53735E42A3400</vt:lpwstr>
  </property>
  <property fmtid="{D5CDD505-2E9C-101B-9397-08002B2CF9AE}" pid="6" name="_EmailStoreID">
    <vt:lpwstr>0000000038A1BB1005E5101AA1BB08002B2A56C200006D737073742E646C6C00000000004E495441F9BFB80100AA0037D96E0000000044003A005C005300690067006900740061002E007000730074000000</vt:lpwstr>
  </property>
  <property fmtid="{D5CDD505-2E9C-101B-9397-08002B2CF9AE}" pid="7" name="_ReviewingToolsShownOnce">
    <vt:lpwstr/>
  </property>
</Properties>
</file>