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vertAnchor="page" w:horzAnchor="page" w:tblpYSpec="top"/>
        <w:tblW w:w="0" w:type="auto"/>
        <w:tblLook w:val="00A0"/>
      </w:tblPr>
      <w:tblGrid>
        <w:gridCol w:w="1445"/>
        <w:gridCol w:w="2530"/>
      </w:tblGrid>
      <w:tr w:rsidR="002032FB" w:rsidRPr="00672CAC">
        <w:trPr>
          <w:trHeight w:val="1410"/>
        </w:trPr>
        <w:tc>
          <w:tcPr>
            <w:tcW w:w="1445" w:type="dxa"/>
            <w:tcBorders>
              <w:right w:val="single" w:sz="4" w:space="0" w:color="FFFFFF"/>
            </w:tcBorders>
            <w:shd w:val="clear" w:color="auto" w:fill="943634"/>
          </w:tcPr>
          <w:p w:rsidR="002032FB" w:rsidRPr="00672CAC" w:rsidRDefault="002032FB" w:rsidP="003C571B">
            <w:pPr>
              <w:rPr>
                <w:rFonts w:cs="Times New Roman"/>
                <w:noProof/>
                <w:sz w:val="96"/>
                <w:szCs w:val="96"/>
                <w:lang w:val="sq-AL"/>
              </w:rPr>
            </w:pPr>
          </w:p>
        </w:tc>
        <w:tc>
          <w:tcPr>
            <w:tcW w:w="2530" w:type="dxa"/>
            <w:tcBorders>
              <w:left w:val="single" w:sz="4" w:space="0" w:color="FFFFFF"/>
            </w:tcBorders>
            <w:shd w:val="clear" w:color="auto" w:fill="943634"/>
            <w:vAlign w:val="bottom"/>
          </w:tcPr>
          <w:p w:rsidR="002032FB" w:rsidRPr="00672CAC" w:rsidRDefault="002032FB" w:rsidP="003C571B">
            <w:pPr>
              <w:pStyle w:val="NoSpacing"/>
              <w:jc w:val="both"/>
              <w:rPr>
                <w:rFonts w:ascii="Cambria" w:hAnsi="Cambria" w:cs="Cambria"/>
                <w:b/>
                <w:bCs/>
                <w:noProof/>
                <w:color w:val="FFFFFF"/>
                <w:sz w:val="96"/>
                <w:szCs w:val="96"/>
                <w:lang w:val="sq-AL"/>
              </w:rPr>
            </w:pPr>
            <w:r w:rsidRPr="00672CAC">
              <w:rPr>
                <w:rFonts w:ascii="Cambria" w:hAnsi="Cambria" w:cs="Cambria"/>
                <w:b/>
                <w:bCs/>
                <w:noProof/>
                <w:sz w:val="96"/>
                <w:szCs w:val="96"/>
                <w:lang w:val="sq-AL"/>
              </w:rPr>
              <w:t>2012</w:t>
            </w:r>
          </w:p>
        </w:tc>
      </w:tr>
      <w:tr w:rsidR="002032FB" w:rsidRPr="00672CAC">
        <w:trPr>
          <w:trHeight w:val="2820"/>
        </w:trPr>
        <w:tc>
          <w:tcPr>
            <w:tcW w:w="1445" w:type="dxa"/>
            <w:tcBorders>
              <w:right w:val="single" w:sz="4" w:space="0" w:color="000000"/>
            </w:tcBorders>
          </w:tcPr>
          <w:p w:rsidR="002032FB" w:rsidRPr="00672CAC" w:rsidRDefault="002032FB" w:rsidP="003C571B">
            <w:pPr>
              <w:rPr>
                <w:rFonts w:cs="Times New Roman"/>
                <w:noProof/>
                <w:lang w:val="sq-AL"/>
              </w:rPr>
            </w:pPr>
          </w:p>
        </w:tc>
        <w:tc>
          <w:tcPr>
            <w:tcW w:w="2530" w:type="dxa"/>
            <w:tcBorders>
              <w:left w:val="single" w:sz="4" w:space="0" w:color="000000"/>
            </w:tcBorders>
            <w:vAlign w:val="center"/>
          </w:tcPr>
          <w:p w:rsidR="002032FB" w:rsidRPr="00672CAC" w:rsidRDefault="002032FB" w:rsidP="003C571B">
            <w:pPr>
              <w:pStyle w:val="NoSpacing"/>
              <w:jc w:val="both"/>
              <w:rPr>
                <w:rFonts w:cs="Times New Roman"/>
                <w:noProof/>
                <w:color w:val="76923C"/>
                <w:lang w:val="sq-AL"/>
              </w:rPr>
            </w:pPr>
          </w:p>
        </w:tc>
      </w:tr>
    </w:tbl>
    <w:p w:rsidR="002032FB" w:rsidRPr="00672CAC" w:rsidRDefault="002032FB" w:rsidP="003C571B">
      <w:pPr>
        <w:rPr>
          <w:rFonts w:cs="Times New Roman"/>
          <w:noProof/>
          <w:lang w:val="sq-AL"/>
        </w:rPr>
      </w:pPr>
    </w:p>
    <w:p w:rsidR="002032FB" w:rsidRPr="00672CAC" w:rsidRDefault="00E2761F" w:rsidP="003C571B">
      <w:pPr>
        <w:rPr>
          <w:rFonts w:cs="Times New Roman"/>
          <w:noProof/>
          <w:lang w:val="sq-AL"/>
        </w:rPr>
      </w:pPr>
      <w:r>
        <w:rPr>
          <w:noProof/>
        </w:rPr>
        <w:drawing>
          <wp:anchor distT="0" distB="0" distL="114300" distR="114300" simplePos="0" relativeHeight="251657728" behindDoc="1" locked="0" layoutInCell="1" allowOverlap="1">
            <wp:simplePos x="0" y="0"/>
            <wp:positionH relativeFrom="column">
              <wp:posOffset>573405</wp:posOffset>
            </wp:positionH>
            <wp:positionV relativeFrom="paragraph">
              <wp:posOffset>238760</wp:posOffset>
            </wp:positionV>
            <wp:extent cx="1524000" cy="1036320"/>
            <wp:effectExtent l="19050" t="0" r="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524000" cy="1036320"/>
                    </a:xfrm>
                    <a:prstGeom prst="rect">
                      <a:avLst/>
                    </a:prstGeom>
                    <a:noFill/>
                  </pic:spPr>
                </pic:pic>
              </a:graphicData>
            </a:graphic>
          </wp:anchor>
        </w:drawing>
      </w:r>
    </w:p>
    <w:tbl>
      <w:tblPr>
        <w:tblpPr w:leftFromText="187" w:rightFromText="187" w:horzAnchor="margin" w:tblpXSpec="center" w:tblpYSpec="bottom"/>
        <w:tblW w:w="5000" w:type="pct"/>
        <w:tblLook w:val="00A0"/>
      </w:tblPr>
      <w:tblGrid>
        <w:gridCol w:w="8862"/>
      </w:tblGrid>
      <w:tr w:rsidR="002032FB" w:rsidRPr="00672CAC">
        <w:tc>
          <w:tcPr>
            <w:tcW w:w="0" w:type="auto"/>
          </w:tcPr>
          <w:p w:rsidR="002032FB" w:rsidRPr="00672CAC" w:rsidRDefault="002032FB" w:rsidP="003C571B">
            <w:pPr>
              <w:pStyle w:val="NoSpacing"/>
              <w:jc w:val="both"/>
              <w:rPr>
                <w:rFonts w:cs="Times New Roman"/>
                <w:b/>
                <w:bCs/>
                <w:caps/>
                <w:noProof/>
                <w:sz w:val="72"/>
                <w:szCs w:val="72"/>
                <w:lang w:val="sq-AL"/>
              </w:rPr>
            </w:pPr>
          </w:p>
        </w:tc>
      </w:tr>
      <w:tr w:rsidR="002032FB" w:rsidRPr="00672CAC">
        <w:tc>
          <w:tcPr>
            <w:tcW w:w="0" w:type="auto"/>
          </w:tcPr>
          <w:p w:rsidR="002032FB" w:rsidRPr="00672CAC" w:rsidRDefault="002032FB" w:rsidP="003C571B">
            <w:pPr>
              <w:pStyle w:val="NoSpacing"/>
              <w:jc w:val="both"/>
              <w:rPr>
                <w:rFonts w:cs="Times New Roman"/>
                <w:noProof/>
                <w:color w:val="7F7F7F"/>
                <w:lang w:val="sq-AL"/>
              </w:rPr>
            </w:pPr>
          </w:p>
        </w:tc>
      </w:tr>
    </w:tbl>
    <w:p w:rsidR="002032FB" w:rsidRPr="00672CAC" w:rsidRDefault="002032FB" w:rsidP="003C571B">
      <w:pPr>
        <w:rPr>
          <w:rFonts w:cs="Times New Roman"/>
          <w:noProof/>
          <w:lang w:val="sq-AL"/>
        </w:rPr>
      </w:pPr>
    </w:p>
    <w:tbl>
      <w:tblPr>
        <w:tblpPr w:leftFromText="187" w:rightFromText="187" w:vertAnchor="page" w:horzAnchor="margin" w:tblpXSpec="center" w:tblpY="6631"/>
        <w:tblW w:w="4216" w:type="pct"/>
        <w:tblBorders>
          <w:left w:val="single" w:sz="18" w:space="0" w:color="4F81BD"/>
        </w:tblBorders>
        <w:tblLook w:val="00A0"/>
      </w:tblPr>
      <w:tblGrid>
        <w:gridCol w:w="7484"/>
      </w:tblGrid>
      <w:tr w:rsidR="002032FB" w:rsidRPr="00672CAC">
        <w:trPr>
          <w:trHeight w:val="267"/>
        </w:trPr>
        <w:tc>
          <w:tcPr>
            <w:tcW w:w="7484" w:type="dxa"/>
            <w:tcMar>
              <w:top w:w="216" w:type="dxa"/>
              <w:left w:w="115" w:type="dxa"/>
              <w:bottom w:w="216" w:type="dxa"/>
              <w:right w:w="115" w:type="dxa"/>
            </w:tcMar>
          </w:tcPr>
          <w:p w:rsidR="002032FB" w:rsidRPr="00672CAC" w:rsidRDefault="002032FB" w:rsidP="003C571B">
            <w:pPr>
              <w:pStyle w:val="NoSpacing"/>
              <w:jc w:val="both"/>
              <w:rPr>
                <w:rFonts w:ascii="Cambria" w:hAnsi="Cambria" w:cs="Cambria"/>
                <w:noProof/>
                <w:lang w:val="sq-AL"/>
              </w:rPr>
            </w:pPr>
          </w:p>
        </w:tc>
      </w:tr>
      <w:tr w:rsidR="002032FB" w:rsidRPr="00672CAC">
        <w:trPr>
          <w:trHeight w:val="1652"/>
        </w:trPr>
        <w:tc>
          <w:tcPr>
            <w:tcW w:w="7484" w:type="dxa"/>
          </w:tcPr>
          <w:p w:rsidR="002032FB" w:rsidRPr="00563927" w:rsidRDefault="002032FB" w:rsidP="003C571B">
            <w:pPr>
              <w:pStyle w:val="NoSpacing"/>
              <w:jc w:val="both"/>
              <w:rPr>
                <w:noProof/>
                <w:color w:val="4F81BD"/>
                <w:sz w:val="80"/>
                <w:szCs w:val="80"/>
                <w:lang w:val="sq-AL"/>
              </w:rPr>
            </w:pPr>
            <w:r w:rsidRPr="00563927">
              <w:rPr>
                <w:noProof/>
                <w:color w:val="4F81BD"/>
                <w:sz w:val="80"/>
                <w:szCs w:val="80"/>
                <w:lang w:val="sq-AL"/>
              </w:rPr>
              <w:t>Raporti fiskal mujor</w:t>
            </w:r>
          </w:p>
        </w:tc>
      </w:tr>
      <w:tr w:rsidR="002032FB" w:rsidRPr="00672CAC">
        <w:trPr>
          <w:trHeight w:val="623"/>
        </w:trPr>
        <w:tc>
          <w:tcPr>
            <w:tcW w:w="7484" w:type="dxa"/>
            <w:tcMar>
              <w:top w:w="216" w:type="dxa"/>
              <w:left w:w="115" w:type="dxa"/>
              <w:bottom w:w="216" w:type="dxa"/>
              <w:right w:w="115" w:type="dxa"/>
            </w:tcMar>
          </w:tcPr>
          <w:p w:rsidR="002032FB" w:rsidRPr="00672CAC" w:rsidRDefault="002032FB" w:rsidP="003C571B">
            <w:pPr>
              <w:pStyle w:val="NoSpacing"/>
              <w:ind w:left="720"/>
              <w:jc w:val="both"/>
              <w:rPr>
                <w:rFonts w:cs="Times New Roman"/>
                <w:i/>
                <w:iCs/>
                <w:noProof/>
                <w:color w:val="4F81BD"/>
                <w:sz w:val="36"/>
                <w:szCs w:val="36"/>
                <w:lang w:val="sq-AL"/>
              </w:rPr>
            </w:pPr>
          </w:p>
          <w:p w:rsidR="002032FB" w:rsidRPr="00672CAC" w:rsidRDefault="002032FB" w:rsidP="003C571B">
            <w:pPr>
              <w:pStyle w:val="NoSpacing"/>
              <w:ind w:left="720"/>
              <w:jc w:val="both"/>
              <w:rPr>
                <w:rFonts w:cs="Times New Roman"/>
                <w:i/>
                <w:iCs/>
                <w:noProof/>
                <w:color w:val="4F81BD"/>
                <w:sz w:val="36"/>
                <w:szCs w:val="36"/>
                <w:lang w:val="sq-AL"/>
              </w:rPr>
            </w:pPr>
          </w:p>
          <w:p w:rsidR="002032FB" w:rsidRPr="00563927" w:rsidRDefault="002032FB" w:rsidP="006B1913">
            <w:pPr>
              <w:pStyle w:val="NoSpacing"/>
              <w:rPr>
                <w:i/>
                <w:iCs/>
                <w:noProof/>
                <w:color w:val="4F81BD"/>
                <w:sz w:val="36"/>
                <w:szCs w:val="36"/>
                <w:lang w:val="sq-AL"/>
              </w:rPr>
            </w:pPr>
            <w:r w:rsidRPr="00563927">
              <w:rPr>
                <w:i/>
                <w:iCs/>
                <w:noProof/>
                <w:color w:val="4F81BD"/>
                <w:sz w:val="36"/>
                <w:szCs w:val="36"/>
                <w:lang w:val="sq-AL"/>
              </w:rPr>
              <w:t xml:space="preserve">                           Janar - Dhjetor, 2012</w:t>
            </w:r>
          </w:p>
          <w:p w:rsidR="002032FB" w:rsidRPr="00672CAC" w:rsidRDefault="002032FB" w:rsidP="003C571B">
            <w:pPr>
              <w:pStyle w:val="NoSpacing"/>
              <w:jc w:val="both"/>
              <w:rPr>
                <w:rFonts w:cs="Times New Roman"/>
                <w:noProof/>
                <w:lang w:val="sq-AL"/>
              </w:rPr>
            </w:pPr>
          </w:p>
        </w:tc>
      </w:tr>
    </w:tbl>
    <w:p w:rsidR="002032FB" w:rsidRPr="00672CAC" w:rsidRDefault="002032FB" w:rsidP="003C571B">
      <w:pPr>
        <w:rPr>
          <w:rFonts w:cs="Times New Roman"/>
          <w:noProof/>
          <w:color w:val="800000"/>
          <w:sz w:val="48"/>
          <w:szCs w:val="48"/>
          <w:lang w:val="sq-AL"/>
        </w:rPr>
      </w:pPr>
    </w:p>
    <w:p w:rsidR="002032FB" w:rsidRPr="00672CAC" w:rsidRDefault="002032FB" w:rsidP="003C571B">
      <w:pPr>
        <w:rPr>
          <w:rFonts w:cs="Times New Roman"/>
          <w:noProof/>
          <w:color w:val="800000"/>
          <w:spacing w:val="20"/>
          <w:sz w:val="36"/>
          <w:szCs w:val="36"/>
          <w:lang w:val="sq-AL"/>
        </w:rPr>
      </w:pPr>
    </w:p>
    <w:p w:rsidR="002032FB" w:rsidRPr="00672CAC" w:rsidRDefault="002032FB" w:rsidP="006B1913">
      <w:pPr>
        <w:rPr>
          <w:b/>
          <w:bCs/>
          <w:noProof/>
          <w:spacing w:val="20"/>
          <w:sz w:val="36"/>
          <w:szCs w:val="36"/>
          <w:lang w:val="sq-AL"/>
        </w:rPr>
      </w:pPr>
      <w:r w:rsidRPr="00672CAC">
        <w:rPr>
          <w:b/>
          <w:bCs/>
          <w:noProof/>
          <w:spacing w:val="20"/>
          <w:sz w:val="36"/>
          <w:szCs w:val="36"/>
          <w:lang w:val="sq-AL"/>
        </w:rPr>
        <w:t>REPUBLIKA E SHQIPËRISË</w:t>
      </w:r>
    </w:p>
    <w:p w:rsidR="002032FB" w:rsidRPr="00672CAC" w:rsidRDefault="002032FB" w:rsidP="006B1913">
      <w:pPr>
        <w:jc w:val="center"/>
        <w:rPr>
          <w:b/>
          <w:bCs/>
          <w:noProof/>
          <w:spacing w:val="20"/>
          <w:sz w:val="36"/>
          <w:szCs w:val="36"/>
          <w:lang w:val="sq-AL"/>
        </w:rPr>
      </w:pPr>
      <w:r w:rsidRPr="00672CAC">
        <w:rPr>
          <w:b/>
          <w:bCs/>
          <w:noProof/>
          <w:spacing w:val="20"/>
          <w:sz w:val="36"/>
          <w:szCs w:val="36"/>
          <w:lang w:val="sq-AL"/>
        </w:rPr>
        <w:t>Ministria e Financave</w:t>
      </w:r>
    </w:p>
    <w:p w:rsidR="002032FB" w:rsidRPr="00672CAC" w:rsidRDefault="002032FB" w:rsidP="003C571B">
      <w:pPr>
        <w:rPr>
          <w:rFonts w:cs="Times New Roman"/>
          <w:b/>
          <w:bCs/>
          <w:noProof/>
          <w:spacing w:val="20"/>
          <w:sz w:val="36"/>
          <w:szCs w:val="36"/>
          <w:lang w:val="sq-AL"/>
        </w:rPr>
      </w:pPr>
    </w:p>
    <w:p w:rsidR="002032FB" w:rsidRPr="00672CAC" w:rsidRDefault="002032FB" w:rsidP="003C571B">
      <w:pPr>
        <w:rPr>
          <w:rFonts w:cs="Times New Roman"/>
          <w:b/>
          <w:bCs/>
          <w:noProof/>
          <w:spacing w:val="20"/>
          <w:sz w:val="36"/>
          <w:szCs w:val="36"/>
          <w:lang w:val="sq-AL"/>
        </w:rPr>
      </w:pPr>
    </w:p>
    <w:p w:rsidR="002032FB" w:rsidRPr="00672CAC" w:rsidRDefault="002032FB" w:rsidP="003C571B">
      <w:pPr>
        <w:rPr>
          <w:rFonts w:cs="Times New Roman"/>
          <w:b/>
          <w:bCs/>
          <w:noProof/>
          <w:spacing w:val="20"/>
          <w:sz w:val="36"/>
          <w:szCs w:val="36"/>
          <w:lang w:val="sq-AL"/>
        </w:rPr>
      </w:pPr>
    </w:p>
    <w:p w:rsidR="002032FB" w:rsidRPr="00672CAC" w:rsidRDefault="002032FB" w:rsidP="003C571B">
      <w:pPr>
        <w:rPr>
          <w:rFonts w:cs="Times New Roman"/>
          <w:b/>
          <w:bCs/>
          <w:noProof/>
          <w:spacing w:val="20"/>
          <w:sz w:val="36"/>
          <w:szCs w:val="36"/>
          <w:lang w:val="sq-AL"/>
        </w:rPr>
      </w:pPr>
    </w:p>
    <w:p w:rsidR="002032FB" w:rsidRPr="00672CAC" w:rsidRDefault="002032FB" w:rsidP="003C571B">
      <w:pPr>
        <w:rPr>
          <w:rFonts w:cs="Times New Roman"/>
          <w:b/>
          <w:bCs/>
          <w:noProof/>
          <w:spacing w:val="20"/>
          <w:sz w:val="36"/>
          <w:szCs w:val="36"/>
          <w:lang w:val="sq-AL"/>
        </w:rPr>
      </w:pPr>
    </w:p>
    <w:p w:rsidR="002032FB" w:rsidRPr="00672CAC" w:rsidRDefault="002032FB" w:rsidP="003C571B">
      <w:pPr>
        <w:rPr>
          <w:rFonts w:cs="Times New Roman"/>
          <w:noProof/>
          <w:color w:val="800000"/>
          <w:sz w:val="44"/>
          <w:szCs w:val="44"/>
          <w:lang w:val="sq-AL"/>
        </w:rPr>
      </w:pPr>
    </w:p>
    <w:p w:rsidR="002032FB" w:rsidRPr="00672CAC" w:rsidRDefault="002032FB" w:rsidP="003C571B">
      <w:pPr>
        <w:rPr>
          <w:rFonts w:cs="Times New Roman"/>
          <w:noProof/>
          <w:color w:val="800000"/>
          <w:sz w:val="44"/>
          <w:szCs w:val="44"/>
          <w:lang w:val="sq-AL"/>
        </w:rPr>
      </w:pPr>
    </w:p>
    <w:p w:rsidR="002032FB" w:rsidRPr="00672CAC" w:rsidRDefault="002032FB" w:rsidP="003C571B">
      <w:pPr>
        <w:rPr>
          <w:rFonts w:cs="Times New Roman"/>
          <w:noProof/>
          <w:lang w:val="sq-AL"/>
        </w:rPr>
      </w:pPr>
    </w:p>
    <w:p w:rsidR="002032FB" w:rsidRPr="00672CAC" w:rsidRDefault="002032FB" w:rsidP="003C571B">
      <w:pPr>
        <w:rPr>
          <w:rFonts w:cs="Times New Roman"/>
          <w:noProof/>
          <w:color w:val="808080"/>
          <w:lang w:val="sq-AL"/>
        </w:rPr>
      </w:pPr>
    </w:p>
    <w:tbl>
      <w:tblPr>
        <w:tblpPr w:leftFromText="187" w:rightFromText="187" w:vertAnchor="page" w:horzAnchor="margin" w:tblpXSpec="center" w:tblpY="13141"/>
        <w:tblW w:w="4000" w:type="pct"/>
        <w:tblLook w:val="00A0"/>
      </w:tblPr>
      <w:tblGrid>
        <w:gridCol w:w="7101"/>
      </w:tblGrid>
      <w:tr w:rsidR="002032FB" w:rsidRPr="00672CAC">
        <w:tc>
          <w:tcPr>
            <w:tcW w:w="7101" w:type="dxa"/>
            <w:tcMar>
              <w:top w:w="216" w:type="dxa"/>
              <w:left w:w="115" w:type="dxa"/>
              <w:bottom w:w="216" w:type="dxa"/>
              <w:right w:w="115" w:type="dxa"/>
            </w:tcMar>
          </w:tcPr>
          <w:p w:rsidR="002032FB" w:rsidRPr="00672CAC" w:rsidRDefault="002032FB" w:rsidP="003C571B">
            <w:pPr>
              <w:pStyle w:val="NoSpacing"/>
              <w:jc w:val="both"/>
              <w:rPr>
                <w:rFonts w:cs="Times New Roman"/>
                <w:noProof/>
                <w:color w:val="4F81BD"/>
                <w:lang w:val="sq-AL"/>
              </w:rPr>
            </w:pPr>
          </w:p>
        </w:tc>
      </w:tr>
    </w:tbl>
    <w:p w:rsidR="002032FB" w:rsidRPr="00672CAC" w:rsidRDefault="002032FB" w:rsidP="003C571B">
      <w:pPr>
        <w:spacing w:before="0" w:after="0"/>
        <w:rPr>
          <w:rFonts w:cs="Times New Roman"/>
          <w:noProof/>
          <w:lang w:val="sq-AL"/>
        </w:rPr>
      </w:pPr>
      <w:r w:rsidRPr="00672CAC">
        <w:rPr>
          <w:rFonts w:cs="Times New Roman"/>
          <w:noProof/>
          <w:lang w:val="sq-AL"/>
        </w:rPr>
        <w:br w:type="page"/>
      </w:r>
    </w:p>
    <w:p w:rsidR="002032FB" w:rsidRPr="00672CAC" w:rsidRDefault="002032FB" w:rsidP="003C571B">
      <w:pPr>
        <w:spacing w:before="0" w:after="0"/>
        <w:rPr>
          <w:rFonts w:cs="Times New Roman"/>
          <w:noProof/>
          <w:lang w:val="sq-AL"/>
        </w:rPr>
      </w:pPr>
    </w:p>
    <w:p w:rsidR="002032FB" w:rsidRPr="00841E98" w:rsidRDefault="002032FB" w:rsidP="003C571B">
      <w:pPr>
        <w:spacing w:before="0" w:after="0"/>
        <w:rPr>
          <w:b/>
          <w:bCs/>
          <w:noProof/>
          <w:sz w:val="32"/>
          <w:szCs w:val="32"/>
          <w:lang w:val="sq-AL"/>
        </w:rPr>
      </w:pPr>
      <w:r w:rsidRPr="00841E98">
        <w:rPr>
          <w:b/>
          <w:bCs/>
          <w:noProof/>
          <w:sz w:val="32"/>
          <w:szCs w:val="32"/>
          <w:lang w:val="sq-AL"/>
        </w:rPr>
        <w:t>TABELA E PËRMBAJTJES</w:t>
      </w:r>
    </w:p>
    <w:p w:rsidR="002032FB" w:rsidRPr="00841E98" w:rsidRDefault="002032FB" w:rsidP="003C571B">
      <w:pPr>
        <w:pStyle w:val="TOCHeading"/>
        <w:numPr>
          <w:ilvl w:val="0"/>
          <w:numId w:val="0"/>
        </w:numPr>
        <w:jc w:val="both"/>
        <w:rPr>
          <w:rFonts w:cs="Times New Roman"/>
          <w:noProof/>
          <w:lang w:val="sq-AL"/>
        </w:rPr>
      </w:pPr>
    </w:p>
    <w:p w:rsidR="002032FB" w:rsidRDefault="00583722">
      <w:pPr>
        <w:pStyle w:val="TOC1"/>
        <w:rPr>
          <w:rFonts w:eastAsia="Times New Roman" w:cs="Times New Roman"/>
          <w:b w:val="0"/>
          <w:bCs w:val="0"/>
          <w:sz w:val="22"/>
          <w:szCs w:val="22"/>
          <w:lang w:val="en-US"/>
        </w:rPr>
      </w:pPr>
      <w:r w:rsidRPr="00841E98">
        <w:rPr>
          <w:rStyle w:val="Hyperlink"/>
        </w:rPr>
        <w:fldChar w:fldCharType="begin"/>
      </w:r>
      <w:r w:rsidR="002032FB" w:rsidRPr="00841E98">
        <w:rPr>
          <w:rStyle w:val="Hyperlink"/>
        </w:rPr>
        <w:instrText xml:space="preserve"> TOC \o "1-3" \h \z \u </w:instrText>
      </w:r>
      <w:r w:rsidRPr="00841E98">
        <w:rPr>
          <w:rStyle w:val="Hyperlink"/>
        </w:rPr>
        <w:fldChar w:fldCharType="separate"/>
      </w:r>
      <w:hyperlink w:anchor="_Toc353453833" w:history="1">
        <w:r w:rsidR="002032FB" w:rsidRPr="00127758">
          <w:rPr>
            <w:rStyle w:val="Hyperlink"/>
          </w:rPr>
          <w:t>TREGUESIT FISKALЁ PЁR PERIUDHЁN JANAR – DHJETOR 2012</w:t>
        </w:r>
        <w:r w:rsidR="002032FB">
          <w:rPr>
            <w:rFonts w:cs="Times New Roman"/>
            <w:webHidden/>
          </w:rPr>
          <w:tab/>
        </w:r>
        <w:r>
          <w:rPr>
            <w:webHidden/>
          </w:rPr>
          <w:fldChar w:fldCharType="begin"/>
        </w:r>
        <w:r w:rsidR="002032FB">
          <w:rPr>
            <w:webHidden/>
          </w:rPr>
          <w:instrText xml:space="preserve"> PAGEREF _Toc353453833 \h </w:instrText>
        </w:r>
        <w:r>
          <w:rPr>
            <w:webHidden/>
          </w:rPr>
        </w:r>
        <w:r>
          <w:rPr>
            <w:webHidden/>
          </w:rPr>
          <w:fldChar w:fldCharType="separate"/>
        </w:r>
        <w:r w:rsidR="009A0F6B">
          <w:rPr>
            <w:webHidden/>
          </w:rPr>
          <w:t>2</w:t>
        </w:r>
        <w:r>
          <w:rPr>
            <w:webHidden/>
          </w:rPr>
          <w:fldChar w:fldCharType="end"/>
        </w:r>
      </w:hyperlink>
    </w:p>
    <w:p w:rsidR="002032FB" w:rsidRDefault="00583722">
      <w:pPr>
        <w:pStyle w:val="TOC1"/>
        <w:rPr>
          <w:rFonts w:eastAsia="Times New Roman" w:cs="Times New Roman"/>
          <w:b w:val="0"/>
          <w:bCs w:val="0"/>
          <w:sz w:val="22"/>
          <w:szCs w:val="22"/>
          <w:lang w:val="en-US"/>
        </w:rPr>
      </w:pPr>
      <w:hyperlink w:anchor="_Toc353453834" w:history="1">
        <w:r w:rsidR="002032FB" w:rsidRPr="00127758">
          <w:rPr>
            <w:rStyle w:val="Hyperlink"/>
            <w:spacing w:val="-10"/>
          </w:rPr>
          <w:t>ANALIZA E TЁ ARDHURAVE PЁR PERIUDHЁN JANAR – DHJETOR 2012</w:t>
        </w:r>
        <w:r w:rsidR="002032FB">
          <w:rPr>
            <w:rFonts w:cs="Times New Roman"/>
            <w:webHidden/>
          </w:rPr>
          <w:tab/>
        </w:r>
        <w:r>
          <w:rPr>
            <w:webHidden/>
          </w:rPr>
          <w:fldChar w:fldCharType="begin"/>
        </w:r>
        <w:r w:rsidR="002032FB">
          <w:rPr>
            <w:webHidden/>
          </w:rPr>
          <w:instrText xml:space="preserve"> PAGEREF _Toc353453834 \h </w:instrText>
        </w:r>
        <w:r>
          <w:rPr>
            <w:webHidden/>
          </w:rPr>
        </w:r>
        <w:r>
          <w:rPr>
            <w:webHidden/>
          </w:rPr>
          <w:fldChar w:fldCharType="separate"/>
        </w:r>
        <w:r w:rsidR="009A0F6B">
          <w:rPr>
            <w:webHidden/>
          </w:rPr>
          <w:t>2</w:t>
        </w:r>
        <w:r>
          <w:rPr>
            <w:webHidden/>
          </w:rPr>
          <w:fldChar w:fldCharType="end"/>
        </w:r>
      </w:hyperlink>
    </w:p>
    <w:p w:rsidR="002032FB" w:rsidRDefault="00583722">
      <w:pPr>
        <w:pStyle w:val="TOC2"/>
        <w:rPr>
          <w:rFonts w:eastAsia="Times New Roman" w:cs="Times New Roman"/>
          <w:b w:val="0"/>
          <w:bCs w:val="0"/>
          <w:sz w:val="22"/>
          <w:szCs w:val="22"/>
          <w:lang w:val="en-US"/>
        </w:rPr>
      </w:pPr>
      <w:hyperlink w:anchor="_Toc353453835" w:history="1">
        <w:r w:rsidR="002032FB" w:rsidRPr="00127758">
          <w:rPr>
            <w:rStyle w:val="Hyperlink"/>
          </w:rPr>
          <w:t>Vështrim i përgjithshëm</w:t>
        </w:r>
        <w:r w:rsidR="002032FB">
          <w:rPr>
            <w:rFonts w:cs="Times New Roman"/>
            <w:webHidden/>
          </w:rPr>
          <w:tab/>
        </w:r>
        <w:r>
          <w:rPr>
            <w:webHidden/>
          </w:rPr>
          <w:fldChar w:fldCharType="begin"/>
        </w:r>
        <w:r w:rsidR="002032FB">
          <w:rPr>
            <w:webHidden/>
          </w:rPr>
          <w:instrText xml:space="preserve"> PAGEREF _Toc353453835 \h </w:instrText>
        </w:r>
        <w:r>
          <w:rPr>
            <w:webHidden/>
          </w:rPr>
        </w:r>
        <w:r>
          <w:rPr>
            <w:webHidden/>
          </w:rPr>
          <w:fldChar w:fldCharType="separate"/>
        </w:r>
        <w:r w:rsidR="009A0F6B">
          <w:rPr>
            <w:webHidden/>
          </w:rPr>
          <w:t>2</w:t>
        </w:r>
        <w:r>
          <w:rPr>
            <w:webHidden/>
          </w:rPr>
          <w:fldChar w:fldCharType="end"/>
        </w:r>
      </w:hyperlink>
    </w:p>
    <w:p w:rsidR="002032FB" w:rsidRDefault="00583722">
      <w:pPr>
        <w:pStyle w:val="TOC2"/>
        <w:rPr>
          <w:rFonts w:eastAsia="Times New Roman" w:cs="Times New Roman"/>
          <w:b w:val="0"/>
          <w:bCs w:val="0"/>
          <w:sz w:val="22"/>
          <w:szCs w:val="22"/>
          <w:lang w:val="en-US"/>
        </w:rPr>
      </w:pPr>
      <w:hyperlink w:anchor="_Toc353453836" w:history="1">
        <w:r w:rsidR="002032FB" w:rsidRPr="00127758">
          <w:rPr>
            <w:rStyle w:val="Hyperlink"/>
          </w:rPr>
          <w:t>Të ardhurat sipas taksave, tatimeve dhe burimeve të tjera</w:t>
        </w:r>
        <w:r w:rsidR="002032FB">
          <w:rPr>
            <w:rFonts w:cs="Times New Roman"/>
            <w:webHidden/>
          </w:rPr>
          <w:tab/>
        </w:r>
        <w:r>
          <w:rPr>
            <w:webHidden/>
          </w:rPr>
          <w:fldChar w:fldCharType="begin"/>
        </w:r>
        <w:r w:rsidR="002032FB">
          <w:rPr>
            <w:webHidden/>
          </w:rPr>
          <w:instrText xml:space="preserve"> PAGEREF _Toc353453836 \h </w:instrText>
        </w:r>
        <w:r>
          <w:rPr>
            <w:webHidden/>
          </w:rPr>
        </w:r>
        <w:r>
          <w:rPr>
            <w:webHidden/>
          </w:rPr>
          <w:fldChar w:fldCharType="separate"/>
        </w:r>
        <w:r w:rsidR="009A0F6B">
          <w:rPr>
            <w:webHidden/>
          </w:rPr>
          <w:t>5</w:t>
        </w:r>
        <w:r>
          <w:rPr>
            <w:webHidden/>
          </w:rPr>
          <w:fldChar w:fldCharType="end"/>
        </w:r>
      </w:hyperlink>
    </w:p>
    <w:p w:rsidR="002032FB" w:rsidRDefault="00583722">
      <w:pPr>
        <w:pStyle w:val="TOC2"/>
        <w:rPr>
          <w:rFonts w:eastAsia="Times New Roman" w:cs="Times New Roman"/>
          <w:b w:val="0"/>
          <w:bCs w:val="0"/>
          <w:sz w:val="22"/>
          <w:szCs w:val="22"/>
          <w:lang w:val="en-US"/>
        </w:rPr>
      </w:pPr>
      <w:hyperlink w:anchor="_Toc353453837" w:history="1">
        <w:r w:rsidR="002032FB" w:rsidRPr="00127758">
          <w:rPr>
            <w:rStyle w:val="Hyperlink"/>
          </w:rPr>
          <w:t>Taksimi i konsumit (indirekt)</w:t>
        </w:r>
        <w:r w:rsidR="002032FB">
          <w:rPr>
            <w:rFonts w:cs="Times New Roman"/>
            <w:webHidden/>
          </w:rPr>
          <w:tab/>
        </w:r>
        <w:r>
          <w:rPr>
            <w:webHidden/>
          </w:rPr>
          <w:fldChar w:fldCharType="begin"/>
        </w:r>
        <w:r w:rsidR="002032FB">
          <w:rPr>
            <w:webHidden/>
          </w:rPr>
          <w:instrText xml:space="preserve"> PAGEREF _Toc353453837 \h </w:instrText>
        </w:r>
        <w:r>
          <w:rPr>
            <w:webHidden/>
          </w:rPr>
        </w:r>
        <w:r>
          <w:rPr>
            <w:webHidden/>
          </w:rPr>
          <w:fldChar w:fldCharType="separate"/>
        </w:r>
        <w:r w:rsidR="009A0F6B">
          <w:rPr>
            <w:webHidden/>
          </w:rPr>
          <w:t>5</w:t>
        </w:r>
        <w:r>
          <w:rPr>
            <w:webHidden/>
          </w:rPr>
          <w:fldChar w:fldCharType="end"/>
        </w:r>
      </w:hyperlink>
    </w:p>
    <w:p w:rsidR="002032FB" w:rsidRDefault="00583722">
      <w:pPr>
        <w:pStyle w:val="TOC2"/>
        <w:rPr>
          <w:rFonts w:eastAsia="Times New Roman" w:cs="Times New Roman"/>
          <w:b w:val="0"/>
          <w:bCs w:val="0"/>
          <w:sz w:val="22"/>
          <w:szCs w:val="22"/>
          <w:lang w:val="en-US"/>
        </w:rPr>
      </w:pPr>
      <w:hyperlink w:anchor="_Toc353453838" w:history="1">
        <w:r w:rsidR="002032FB" w:rsidRPr="00127758">
          <w:rPr>
            <w:rStyle w:val="Hyperlink"/>
          </w:rPr>
          <w:t>Taksimi direkt</w:t>
        </w:r>
        <w:r w:rsidR="002032FB">
          <w:rPr>
            <w:rFonts w:cs="Times New Roman"/>
            <w:webHidden/>
          </w:rPr>
          <w:tab/>
        </w:r>
        <w:r>
          <w:rPr>
            <w:webHidden/>
          </w:rPr>
          <w:fldChar w:fldCharType="begin"/>
        </w:r>
        <w:r w:rsidR="002032FB">
          <w:rPr>
            <w:webHidden/>
          </w:rPr>
          <w:instrText xml:space="preserve"> PAGEREF _Toc353453838 \h </w:instrText>
        </w:r>
        <w:r>
          <w:rPr>
            <w:webHidden/>
          </w:rPr>
        </w:r>
        <w:r>
          <w:rPr>
            <w:webHidden/>
          </w:rPr>
          <w:fldChar w:fldCharType="separate"/>
        </w:r>
        <w:r w:rsidR="009A0F6B">
          <w:rPr>
            <w:webHidden/>
          </w:rPr>
          <w:t>7</w:t>
        </w:r>
        <w:r>
          <w:rPr>
            <w:webHidden/>
          </w:rPr>
          <w:fldChar w:fldCharType="end"/>
        </w:r>
      </w:hyperlink>
    </w:p>
    <w:p w:rsidR="002032FB" w:rsidRDefault="00583722">
      <w:pPr>
        <w:pStyle w:val="TOC1"/>
        <w:rPr>
          <w:rFonts w:eastAsia="Times New Roman" w:cs="Times New Roman"/>
          <w:b w:val="0"/>
          <w:bCs w:val="0"/>
          <w:sz w:val="22"/>
          <w:szCs w:val="22"/>
          <w:lang w:val="en-US"/>
        </w:rPr>
      </w:pPr>
      <w:hyperlink w:anchor="_Toc353453839" w:history="1">
        <w:r w:rsidR="002032FB" w:rsidRPr="00127758">
          <w:rPr>
            <w:rStyle w:val="Hyperlink"/>
            <w:spacing w:val="-10"/>
          </w:rPr>
          <w:t>ANALIZA E SHPENZIMEVE PËR PERIUDHËN JANAR – DHJETOR 2012</w:t>
        </w:r>
        <w:r w:rsidR="002032FB">
          <w:rPr>
            <w:rFonts w:cs="Times New Roman"/>
            <w:webHidden/>
          </w:rPr>
          <w:tab/>
        </w:r>
        <w:r>
          <w:rPr>
            <w:webHidden/>
          </w:rPr>
          <w:fldChar w:fldCharType="begin"/>
        </w:r>
        <w:r w:rsidR="002032FB">
          <w:rPr>
            <w:webHidden/>
          </w:rPr>
          <w:instrText xml:space="preserve"> PAGEREF _Toc353453839 \h </w:instrText>
        </w:r>
        <w:r>
          <w:rPr>
            <w:webHidden/>
          </w:rPr>
        </w:r>
        <w:r>
          <w:rPr>
            <w:webHidden/>
          </w:rPr>
          <w:fldChar w:fldCharType="separate"/>
        </w:r>
        <w:r w:rsidR="009A0F6B">
          <w:rPr>
            <w:webHidden/>
          </w:rPr>
          <w:t>11</w:t>
        </w:r>
        <w:r>
          <w:rPr>
            <w:webHidden/>
          </w:rPr>
          <w:fldChar w:fldCharType="end"/>
        </w:r>
      </w:hyperlink>
    </w:p>
    <w:p w:rsidR="002032FB" w:rsidRPr="00841E98" w:rsidRDefault="00583722" w:rsidP="00F85F2E">
      <w:pPr>
        <w:pStyle w:val="TOC1"/>
        <w:rPr>
          <w:rFonts w:cs="Times New Roman"/>
          <w:highlight w:val="yellow"/>
        </w:rPr>
      </w:pPr>
      <w:r w:rsidRPr="00841E98">
        <w:rPr>
          <w:rStyle w:val="Hyperlink"/>
        </w:rPr>
        <w:fldChar w:fldCharType="end"/>
      </w:r>
    </w:p>
    <w:p w:rsidR="002032FB" w:rsidRPr="00841E98" w:rsidRDefault="002032FB" w:rsidP="003C571B">
      <w:pPr>
        <w:spacing w:before="0" w:after="0"/>
        <w:rPr>
          <w:rFonts w:cs="Times New Roman"/>
          <w:b/>
          <w:bCs/>
          <w:noProof/>
          <w:highlight w:val="yellow"/>
          <w:lang w:val="sq-AL"/>
        </w:rPr>
      </w:pPr>
    </w:p>
    <w:p w:rsidR="002032FB" w:rsidRPr="00841E98" w:rsidRDefault="002032FB" w:rsidP="003C571B">
      <w:pPr>
        <w:spacing w:before="0" w:after="0"/>
        <w:rPr>
          <w:rFonts w:cs="Times New Roman"/>
          <w:b/>
          <w:bCs/>
          <w:noProof/>
          <w:highlight w:val="yellow"/>
          <w:lang w:val="sq-AL"/>
        </w:rPr>
      </w:pPr>
    </w:p>
    <w:p w:rsidR="002032FB" w:rsidRPr="00841E98" w:rsidRDefault="002032FB" w:rsidP="003C571B">
      <w:pPr>
        <w:spacing w:before="0" w:after="0"/>
        <w:rPr>
          <w:rFonts w:cs="Times New Roman"/>
          <w:b/>
          <w:bCs/>
          <w:noProof/>
          <w:highlight w:val="yellow"/>
          <w:lang w:val="sq-AL"/>
        </w:rPr>
      </w:pPr>
    </w:p>
    <w:p w:rsidR="002032FB" w:rsidRPr="00841E98" w:rsidRDefault="002032FB" w:rsidP="003C571B">
      <w:pPr>
        <w:spacing w:before="0" w:after="0"/>
        <w:rPr>
          <w:rFonts w:cs="Times New Roman"/>
          <w:b/>
          <w:bCs/>
          <w:noProof/>
          <w:highlight w:val="yellow"/>
          <w:lang w:val="sq-AL"/>
        </w:rPr>
      </w:pPr>
    </w:p>
    <w:p w:rsidR="002032FB" w:rsidRPr="00841E98" w:rsidRDefault="002032FB" w:rsidP="003C571B">
      <w:pPr>
        <w:spacing w:before="0" w:after="0"/>
        <w:rPr>
          <w:rFonts w:cs="Times New Roman"/>
          <w:b/>
          <w:bCs/>
          <w:noProof/>
          <w:highlight w:val="yellow"/>
          <w:lang w:val="sq-AL"/>
        </w:rPr>
      </w:pPr>
    </w:p>
    <w:p w:rsidR="002032FB" w:rsidRPr="00841E98" w:rsidRDefault="002032FB" w:rsidP="003C571B">
      <w:pPr>
        <w:spacing w:before="0" w:after="0"/>
        <w:rPr>
          <w:rFonts w:cs="Times New Roman"/>
          <w:b/>
          <w:bCs/>
          <w:noProof/>
          <w:highlight w:val="yellow"/>
          <w:lang w:val="sq-AL"/>
        </w:rPr>
      </w:pPr>
    </w:p>
    <w:p w:rsidR="002032FB" w:rsidRPr="00841E98" w:rsidRDefault="002032FB" w:rsidP="003C571B">
      <w:pPr>
        <w:spacing w:before="0" w:after="0"/>
        <w:rPr>
          <w:rFonts w:cs="Times New Roman"/>
          <w:b/>
          <w:bCs/>
          <w:noProof/>
          <w:highlight w:val="yellow"/>
          <w:lang w:val="sq-AL"/>
        </w:rPr>
      </w:pPr>
    </w:p>
    <w:p w:rsidR="002032FB" w:rsidRPr="00841E98" w:rsidRDefault="002032FB" w:rsidP="003C571B">
      <w:pPr>
        <w:spacing w:before="0" w:after="0"/>
        <w:rPr>
          <w:rFonts w:cs="Times New Roman"/>
          <w:b/>
          <w:bCs/>
          <w:noProof/>
          <w:highlight w:val="yellow"/>
          <w:lang w:val="sq-AL"/>
        </w:rPr>
      </w:pPr>
    </w:p>
    <w:p w:rsidR="002032FB" w:rsidRPr="00841E98" w:rsidRDefault="002032FB" w:rsidP="003C571B">
      <w:pPr>
        <w:spacing w:before="0" w:after="0"/>
        <w:rPr>
          <w:rFonts w:cs="Times New Roman"/>
          <w:b/>
          <w:bCs/>
          <w:noProof/>
          <w:highlight w:val="yellow"/>
          <w:lang w:val="sq-AL"/>
        </w:rPr>
      </w:pPr>
    </w:p>
    <w:p w:rsidR="002032FB" w:rsidRPr="00841E98" w:rsidRDefault="002032FB" w:rsidP="003C571B">
      <w:pPr>
        <w:spacing w:before="0" w:after="0"/>
        <w:rPr>
          <w:rFonts w:cs="Times New Roman"/>
          <w:b/>
          <w:bCs/>
          <w:noProof/>
          <w:highlight w:val="yellow"/>
          <w:lang w:val="sq-AL"/>
        </w:rPr>
      </w:pPr>
    </w:p>
    <w:p w:rsidR="002032FB" w:rsidRPr="00841E98" w:rsidRDefault="002032FB" w:rsidP="003C571B">
      <w:pPr>
        <w:spacing w:before="0" w:after="0"/>
        <w:rPr>
          <w:rFonts w:cs="Times New Roman"/>
          <w:b/>
          <w:bCs/>
          <w:noProof/>
          <w:highlight w:val="yellow"/>
          <w:lang w:val="sq-AL"/>
        </w:rPr>
      </w:pPr>
    </w:p>
    <w:p w:rsidR="002032FB" w:rsidRPr="00841E98" w:rsidRDefault="002032FB" w:rsidP="003C571B">
      <w:pPr>
        <w:spacing w:before="0" w:after="0"/>
        <w:rPr>
          <w:rFonts w:cs="Times New Roman"/>
          <w:b/>
          <w:bCs/>
          <w:noProof/>
          <w:highlight w:val="yellow"/>
          <w:lang w:val="sq-AL"/>
        </w:rPr>
      </w:pPr>
    </w:p>
    <w:p w:rsidR="002032FB" w:rsidRPr="00841E98" w:rsidRDefault="002032FB" w:rsidP="003C571B">
      <w:pPr>
        <w:spacing w:before="0" w:after="0"/>
        <w:rPr>
          <w:rFonts w:cs="Times New Roman"/>
          <w:b/>
          <w:bCs/>
          <w:noProof/>
          <w:highlight w:val="yellow"/>
          <w:lang w:val="sq-AL"/>
        </w:rPr>
      </w:pPr>
    </w:p>
    <w:p w:rsidR="002032FB" w:rsidRPr="00841E98" w:rsidRDefault="002032FB" w:rsidP="003C571B">
      <w:pPr>
        <w:spacing w:before="0" w:after="0"/>
        <w:rPr>
          <w:rFonts w:cs="Times New Roman"/>
          <w:b/>
          <w:bCs/>
          <w:noProof/>
          <w:highlight w:val="yellow"/>
          <w:lang w:val="sq-AL"/>
        </w:rPr>
      </w:pPr>
    </w:p>
    <w:p w:rsidR="002032FB" w:rsidRPr="00841E98" w:rsidRDefault="002032FB" w:rsidP="003C571B">
      <w:pPr>
        <w:spacing w:before="0" w:after="0"/>
        <w:rPr>
          <w:rFonts w:cs="Times New Roman"/>
          <w:b/>
          <w:bCs/>
          <w:noProof/>
          <w:highlight w:val="yellow"/>
          <w:lang w:val="sq-AL"/>
        </w:rPr>
      </w:pPr>
      <w:r w:rsidRPr="00841E98">
        <w:rPr>
          <w:rFonts w:cs="Times New Roman"/>
          <w:b/>
          <w:bCs/>
          <w:noProof/>
          <w:highlight w:val="yellow"/>
          <w:lang w:val="sq-AL"/>
        </w:rPr>
        <w:br w:type="page"/>
      </w:r>
    </w:p>
    <w:p w:rsidR="002032FB" w:rsidRPr="00841E98" w:rsidRDefault="002032FB" w:rsidP="003C571B">
      <w:pPr>
        <w:pStyle w:val="Heading1"/>
        <w:numPr>
          <w:ilvl w:val="0"/>
          <w:numId w:val="0"/>
        </w:numPr>
        <w:ind w:left="432" w:hanging="432"/>
        <w:jc w:val="both"/>
        <w:rPr>
          <w:rStyle w:val="MessageHeaderLabel"/>
          <w:rFonts w:ascii="Calibri" w:hAnsi="Calibri" w:cs="Times New Roman"/>
          <w:noProof/>
          <w:spacing w:val="0"/>
          <w:sz w:val="24"/>
          <w:szCs w:val="24"/>
          <w:lang w:val="sq-AL"/>
        </w:rPr>
      </w:pPr>
      <w:bookmarkStart w:id="0" w:name="_Toc353453833"/>
      <w:r w:rsidRPr="00841E98">
        <w:rPr>
          <w:rStyle w:val="MessageHeaderLabel"/>
          <w:rFonts w:ascii="Calibri" w:hAnsi="Calibri" w:cs="Calibri"/>
          <w:noProof/>
          <w:spacing w:val="0"/>
          <w:sz w:val="24"/>
          <w:szCs w:val="24"/>
          <w:lang w:val="sq-AL"/>
        </w:rPr>
        <w:lastRenderedPageBreak/>
        <w:t>TREGUESIT FISKALЁ PЁR PERIUDHЁN JANAR – Dhjetor 2012</w:t>
      </w:r>
      <w:bookmarkEnd w:id="0"/>
      <w:r w:rsidRPr="00841E98">
        <w:rPr>
          <w:rStyle w:val="MessageHeaderLabel"/>
          <w:rFonts w:ascii="Calibri" w:hAnsi="Calibri" w:cs="Calibri"/>
          <w:noProof/>
          <w:spacing w:val="0"/>
          <w:sz w:val="24"/>
          <w:szCs w:val="24"/>
          <w:lang w:val="sq-AL"/>
        </w:rPr>
        <w:t xml:space="preserve"> </w:t>
      </w:r>
      <w:r w:rsidR="00583722">
        <w:rPr>
          <w:rStyle w:val="MessageHeaderLabel"/>
          <w:rFonts w:ascii="Calibri" w:hAnsi="Calibri" w:cs="Calibri"/>
          <w:noProof/>
          <w:spacing w:val="0"/>
          <w:sz w:val="24"/>
          <w:szCs w:val="24"/>
          <w:lang w:val="sq-AL"/>
        </w:rPr>
        <w:fldChar w:fldCharType="begin"/>
      </w:r>
      <w:r w:rsidRPr="00841E98">
        <w:rPr>
          <w:rFonts w:cs="Times New Roman"/>
          <w:noProof/>
          <w:lang w:val="sq-AL"/>
        </w:rPr>
        <w:instrText>tc "</w:instrText>
      </w:r>
      <w:bookmarkStart w:id="1" w:name="_Toc314487248"/>
      <w:r w:rsidRPr="00841E98">
        <w:rPr>
          <w:rStyle w:val="MessageHeaderLabel"/>
          <w:rFonts w:ascii="Calibri" w:hAnsi="Calibri" w:cs="Calibri"/>
          <w:noProof/>
          <w:spacing w:val="0"/>
          <w:sz w:val="24"/>
          <w:szCs w:val="24"/>
          <w:lang w:val="sq-AL"/>
        </w:rPr>
        <w:instrText>treguesit fiskale kryesorË pËr periudhËn janar-</w:instrText>
      </w:r>
      <w:bookmarkEnd w:id="1"/>
      <w:r w:rsidRPr="00841E98">
        <w:rPr>
          <w:rStyle w:val="MessageHeaderLabel"/>
          <w:rFonts w:ascii="Calibri" w:hAnsi="Calibri" w:cs="Calibri"/>
          <w:noProof/>
          <w:spacing w:val="0"/>
          <w:sz w:val="24"/>
          <w:szCs w:val="24"/>
          <w:lang w:val="sq-AL"/>
        </w:rPr>
        <w:instrText>tetor 2012</w:instrText>
      </w:r>
      <w:r w:rsidRPr="00841E98">
        <w:rPr>
          <w:rFonts w:cs="Times New Roman"/>
          <w:noProof/>
          <w:lang w:val="sq-AL"/>
        </w:rPr>
        <w:instrText>" \f C \l 0</w:instrText>
      </w:r>
      <w:r w:rsidRPr="00841E98">
        <w:rPr>
          <w:noProof/>
          <w:lang w:val="sq-AL"/>
        </w:rPr>
        <w:instrText>000000001</w:instrText>
      </w:r>
      <w:r w:rsidR="00583722">
        <w:rPr>
          <w:rStyle w:val="MessageHeaderLabel"/>
          <w:rFonts w:ascii="Calibri" w:hAnsi="Calibri" w:cs="Calibri"/>
          <w:noProof/>
          <w:spacing w:val="0"/>
          <w:sz w:val="24"/>
          <w:szCs w:val="24"/>
          <w:lang w:val="sq-AL"/>
        </w:rPr>
        <w:fldChar w:fldCharType="end"/>
      </w:r>
    </w:p>
    <w:p w:rsidR="002032FB" w:rsidRPr="00841E98" w:rsidRDefault="002032FB" w:rsidP="00785E0D">
      <w:pPr>
        <w:rPr>
          <w:rFonts w:cs="Times New Roman"/>
          <w:lang w:val="sq-AL"/>
        </w:rPr>
      </w:pPr>
      <w:r w:rsidRPr="00841E98">
        <w:rPr>
          <w:noProof/>
          <w:lang w:val="it-IT"/>
        </w:rPr>
        <w:t>Të ardhurat e buxhetit të konsoliduar për periudhën 12 mujore arritën në 329.8 miliardë lekë, 0.9 përqind më pak se parashikimi për 12 mujorin e vitit 2012 dhe 0.2 përqind më pak se një vit më parë</w:t>
      </w:r>
      <w:r w:rsidRPr="00841E98">
        <w:rPr>
          <w:noProof/>
        </w:rPr>
        <w:t xml:space="preserve">. </w:t>
      </w:r>
      <w:r w:rsidRPr="00841E98">
        <w:rPr>
          <w:lang w:val="sq-AL"/>
        </w:rPr>
        <w:t xml:space="preserve">Shpenzimet e përgjithshme të buxhetit, në fund të muajit dhjetor 2012 arritën në rreth 375.2 miliardë lekë nga rreth 382.3 miliardë lekë të parashikuara për këtë periudhë, duke u realizuar në rreth 98 përqind të parashikimit të periudhës ose me një mosrealizim prej rreth 7 miliardë lekë. </w:t>
      </w:r>
    </w:p>
    <w:p w:rsidR="002032FB" w:rsidRPr="00841E98" w:rsidRDefault="002032FB" w:rsidP="003C571B">
      <w:pPr>
        <w:rPr>
          <w:rFonts w:cs="Times New Roman"/>
          <w:noProof/>
          <w:color w:val="000000"/>
          <w:highlight w:val="yellow"/>
          <w:lang w:val="sq-AL"/>
        </w:rPr>
      </w:pPr>
      <w:r w:rsidRPr="00841E98">
        <w:rPr>
          <w:noProof/>
          <w:color w:val="000000"/>
          <w:lang w:val="sq-AL"/>
        </w:rPr>
        <w:t>Defiçiti fiskal, i llogaritur si diferenca e të ardhurave me shpenzimet gjithsej të buxhetit të konsoliduar, arriti në këtë 12 mujor në -45.4 miliardë lekë, 4.2 miliardë lekë më shumë se planifikimi dhe 0.457 miliardë më i ulët se e njëjta periudhë e një viti më parë. Defiçiti është financuar në pjesën më të madhe me burime të brendshme (kryesisht huamarrje): 1.2 miliardë lekë janë të ardhurat nga privatizimi të destinuara për financimin e defiçitit; 24.8 miliardë lekë të ardhurat nga huamarrja e brendshme neto. Financimi i huaj neto i defiçitit ka qenë në nivelin rreth 18.9 miliardë lekë ose 3.5 miliardë lekë më pak se planifikimi.</w:t>
      </w:r>
    </w:p>
    <w:p w:rsidR="002032FB" w:rsidRPr="00C8509A" w:rsidRDefault="00184E66" w:rsidP="00C8509A">
      <w:pPr>
        <w:jc w:val="left"/>
        <w:rPr>
          <w:rFonts w:cs="Times New Roman"/>
          <w:noProof/>
          <w:lang w:val="sq-AL"/>
        </w:rPr>
      </w:pPr>
      <w:r w:rsidRPr="00C8509A">
        <w:rPr>
          <w:rFonts w:cs="Times New Roman"/>
          <w:noProof/>
          <w:lang w:val="sq-AL"/>
        </w:rPr>
        <w:t>Grafik 1. Te ardhura, shpenzime, deficit, 2009-2012</w:t>
      </w:r>
    </w:p>
    <w:p w:rsidR="00C8509A" w:rsidRDefault="00C8509A" w:rsidP="00C8509A">
      <w:pPr>
        <w:jc w:val="center"/>
        <w:rPr>
          <w:rFonts w:cs="Times New Roman"/>
          <w:noProof/>
          <w:highlight w:val="yellow"/>
          <w:lang w:val="sq-AL"/>
        </w:rPr>
      </w:pPr>
      <w:r w:rsidRPr="00C8509A">
        <w:drawing>
          <wp:inline distT="0" distB="0" distL="0" distR="0">
            <wp:extent cx="3360573" cy="2022847"/>
            <wp:effectExtent l="1905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360913" cy="2023052"/>
                    </a:xfrm>
                    <a:prstGeom prst="rect">
                      <a:avLst/>
                    </a:prstGeom>
                    <a:noFill/>
                    <a:ln w="9525">
                      <a:noFill/>
                      <a:miter lim="800000"/>
                      <a:headEnd/>
                      <a:tailEnd/>
                    </a:ln>
                  </pic:spPr>
                </pic:pic>
              </a:graphicData>
            </a:graphic>
          </wp:inline>
        </w:drawing>
      </w:r>
    </w:p>
    <w:p w:rsidR="00B945DC" w:rsidRPr="00841E98" w:rsidRDefault="00B945DC" w:rsidP="00C8509A">
      <w:pPr>
        <w:jc w:val="center"/>
        <w:rPr>
          <w:rFonts w:cs="Times New Roman"/>
          <w:noProof/>
          <w:highlight w:val="yellow"/>
          <w:lang w:val="sq-AL"/>
        </w:rPr>
      </w:pPr>
    </w:p>
    <w:p w:rsidR="002032FB" w:rsidRPr="00841E98" w:rsidRDefault="002032FB" w:rsidP="007D59CF">
      <w:pPr>
        <w:pStyle w:val="Heading1"/>
        <w:numPr>
          <w:ilvl w:val="0"/>
          <w:numId w:val="0"/>
        </w:numPr>
        <w:jc w:val="both"/>
        <w:rPr>
          <w:rStyle w:val="MessageHeaderLabel"/>
          <w:rFonts w:ascii="Calibri" w:hAnsi="Calibri" w:cs="Times New Roman"/>
          <w:b w:val="0"/>
          <w:bCs w:val="0"/>
          <w:sz w:val="24"/>
          <w:szCs w:val="24"/>
        </w:rPr>
      </w:pPr>
      <w:bookmarkStart w:id="2" w:name="_Toc339363681"/>
      <w:bookmarkStart w:id="3" w:name="_Toc353453834"/>
      <w:r w:rsidRPr="00841E98">
        <w:rPr>
          <w:rStyle w:val="MessageHeaderLabel"/>
          <w:rFonts w:ascii="Calibri" w:hAnsi="Calibri" w:cs="Calibri"/>
          <w:sz w:val="24"/>
          <w:szCs w:val="24"/>
        </w:rPr>
        <w:t>ANALIZA E TЁ ARDHURAVE PЁR PERIUDHЁN JANAR – Dhjetor 2012</w:t>
      </w:r>
      <w:bookmarkEnd w:id="2"/>
      <w:bookmarkEnd w:id="3"/>
    </w:p>
    <w:p w:rsidR="002032FB" w:rsidRPr="00841E98" w:rsidRDefault="002032FB" w:rsidP="007D59CF">
      <w:pPr>
        <w:pStyle w:val="Heading2"/>
        <w:numPr>
          <w:ilvl w:val="0"/>
          <w:numId w:val="0"/>
        </w:numPr>
        <w:spacing w:before="120" w:after="120"/>
        <w:rPr>
          <w:rFonts w:ascii="Calibri" w:hAnsi="Calibri" w:cs="Calibri"/>
          <w:sz w:val="24"/>
          <w:szCs w:val="24"/>
        </w:rPr>
      </w:pPr>
      <w:bookmarkStart w:id="4" w:name="_Toc339363682"/>
      <w:bookmarkStart w:id="5" w:name="_Toc353453835"/>
      <w:r w:rsidRPr="00841E98">
        <w:rPr>
          <w:rFonts w:ascii="Calibri" w:hAnsi="Calibri" w:cs="Calibri"/>
          <w:sz w:val="24"/>
          <w:szCs w:val="24"/>
        </w:rPr>
        <w:t>Vështrim i përgjithshëm</w:t>
      </w:r>
      <w:bookmarkEnd w:id="4"/>
      <w:bookmarkEnd w:id="5"/>
      <w:r w:rsidR="00583722">
        <w:rPr>
          <w:rFonts w:ascii="Calibri" w:hAnsi="Calibri" w:cs="Calibri"/>
          <w:sz w:val="24"/>
          <w:szCs w:val="24"/>
        </w:rPr>
        <w:fldChar w:fldCharType="begin"/>
      </w:r>
      <w:r w:rsidRPr="00841E98">
        <w:rPr>
          <w:rFonts w:ascii="Calibri" w:hAnsi="Calibri" w:cs="Times New Roman"/>
          <w:sz w:val="24"/>
          <w:szCs w:val="24"/>
        </w:rPr>
        <w:instrText>tc "</w:instrText>
      </w:r>
      <w:bookmarkStart w:id="6" w:name="_Toc314487250"/>
      <w:r w:rsidRPr="00841E98">
        <w:rPr>
          <w:rFonts w:ascii="Calibri" w:hAnsi="Calibri" w:cs="Calibri"/>
          <w:sz w:val="24"/>
          <w:szCs w:val="24"/>
        </w:rPr>
        <w:instrText>Vështrim i përgjithshëm</w:instrText>
      </w:r>
      <w:bookmarkEnd w:id="6"/>
      <w:r w:rsidRPr="00841E98">
        <w:rPr>
          <w:rFonts w:ascii="Calibri" w:hAnsi="Calibri" w:cs="Calibri"/>
          <w:sz w:val="24"/>
          <w:szCs w:val="24"/>
        </w:rPr>
        <w:instrText>" \f C \l 02</w:instrText>
      </w:r>
      <w:r w:rsidR="00583722">
        <w:rPr>
          <w:rFonts w:ascii="Calibri" w:hAnsi="Calibri" w:cs="Calibri"/>
          <w:sz w:val="24"/>
          <w:szCs w:val="24"/>
        </w:rPr>
        <w:fldChar w:fldCharType="end"/>
      </w:r>
      <w:r w:rsidRPr="00841E98">
        <w:rPr>
          <w:rFonts w:ascii="Calibri" w:hAnsi="Calibri" w:cs="Calibri"/>
          <w:sz w:val="24"/>
          <w:szCs w:val="24"/>
        </w:rPr>
        <w:t xml:space="preserve"> </w:t>
      </w:r>
    </w:p>
    <w:p w:rsidR="002032FB" w:rsidRPr="003B5761" w:rsidRDefault="002032FB" w:rsidP="007D59CF">
      <w:pPr>
        <w:rPr>
          <w:rFonts w:cs="Times New Roman"/>
          <w:noProof/>
        </w:rPr>
      </w:pPr>
      <w:r w:rsidRPr="003B5761">
        <w:rPr>
          <w:noProof/>
          <w:lang w:val="it-IT"/>
        </w:rPr>
        <w:t>Të ardhurat e buxhetit të konsoliduar për periudhën 12 mujore arritën në 329.8 miliardë lekë, 0.9 përqind më pak se parashikimi për 12 mujorin e vitit 2012 dhe 0.2 përqind më pak se një vit më parë</w:t>
      </w:r>
      <w:r w:rsidR="00713219">
        <w:rPr>
          <w:noProof/>
          <w:lang w:val="it-IT"/>
        </w:rPr>
        <w:t xml:space="preserve"> ose 640 milione leke</w:t>
      </w:r>
      <w:r w:rsidRPr="003B5761">
        <w:rPr>
          <w:noProof/>
        </w:rPr>
        <w:t xml:space="preserve">. </w:t>
      </w:r>
    </w:p>
    <w:p w:rsidR="00B945DC" w:rsidRPr="00841E98" w:rsidRDefault="00B945DC" w:rsidP="00B945DC">
      <w:pPr>
        <w:rPr>
          <w:rFonts w:cs="Times New Roman"/>
          <w:highlight w:val="yellow"/>
          <w:u w:val="single"/>
        </w:rPr>
      </w:pPr>
      <w:r w:rsidRPr="00DC0C31">
        <w:rPr>
          <w:noProof/>
          <w:lang w:val="es-ES_tradnl"/>
        </w:rPr>
        <w:t>Të ardhurat nga tatimet dhe doganat ishin në nivelin 232.6 miliardë lekë, ose rreth 3.3 miliardë lekë më pak nga rreth 235.9 miliardë lekë të planifikuara për periudhën, dhe 1.2 përqind më pak krahasuar me 12 mujorin e një viti më parë</w:t>
      </w:r>
      <w:r>
        <w:rPr>
          <w:noProof/>
          <w:lang w:val="es-ES_tradnl"/>
        </w:rPr>
        <w:t xml:space="preserve"> ose 3 miliarde leke ne vlere absolute</w:t>
      </w:r>
      <w:r w:rsidRPr="00DC0C31">
        <w:rPr>
          <w:noProof/>
          <w:lang w:val="es-ES_tradnl"/>
        </w:rPr>
        <w:t>; të ardhurat nga pushteti vendor arritën në 10.9 miliardë lekë nga 11.1 miliardë lekë të planifikuara për këtë periudhë (1.9% më pak) dhe me rënie vjetore prej -7.9 përqind</w:t>
      </w:r>
      <w:r>
        <w:rPr>
          <w:noProof/>
          <w:lang w:val="es-ES_tradnl"/>
        </w:rPr>
        <w:t xml:space="preserve"> ose 1 miliard leke me pak</w:t>
      </w:r>
      <w:r w:rsidRPr="00DC0C31">
        <w:rPr>
          <w:noProof/>
          <w:lang w:val="es-ES_tradnl"/>
        </w:rPr>
        <w:t xml:space="preserve">; të ardhurat nga fondet speciale arritën 57.4 miliardë lekë nga rreth 58.5 miliardë lekë të planifikuara, me </w:t>
      </w:r>
      <w:r>
        <w:rPr>
          <w:noProof/>
          <w:lang w:val="es-ES_tradnl"/>
        </w:rPr>
        <w:t xml:space="preserve">mosrealizim </w:t>
      </w:r>
      <w:r w:rsidRPr="00DC0C31">
        <w:rPr>
          <w:noProof/>
          <w:lang w:val="es-ES_tradnl"/>
        </w:rPr>
        <w:t>prej 1.9 përqind</w:t>
      </w:r>
      <w:r>
        <w:rPr>
          <w:noProof/>
          <w:lang w:val="es-ES_tradnl"/>
        </w:rPr>
        <w:t xml:space="preserve"> por me rritje vjetore 1.4 % ose 800 milione leke</w:t>
      </w:r>
      <w:r w:rsidRPr="00DC0C31">
        <w:rPr>
          <w:noProof/>
          <w:lang w:val="es-ES_tradnl"/>
        </w:rPr>
        <w:t xml:space="preserve">; të ardhurat nga ndihmat rezultojnë për periudhën 5 miliardë lekë nga rreth 3.8 miliardë lekë të një viti më parë; të ardhurat jo-tatimore kanë qenë për këtë periudhë 23.97 miliardë lekë nga 22.7 </w:t>
      </w:r>
      <w:r w:rsidRPr="00DC0C31">
        <w:rPr>
          <w:noProof/>
          <w:lang w:val="es-ES_tradnl"/>
        </w:rPr>
        <w:lastRenderedPageBreak/>
        <w:t>miliardë të një viti më parë, me rritje vjetore 5.5 përqind dhe realizim të planit prej 103.2 përqind</w:t>
      </w:r>
      <w:r w:rsidRPr="00DC0C31">
        <w:t xml:space="preserve">. </w:t>
      </w:r>
    </w:p>
    <w:p w:rsidR="00470C12" w:rsidRDefault="00184E66" w:rsidP="007D59CF">
      <w:pPr>
        <w:rPr>
          <w:noProof/>
          <w:lang w:val="es-ES_tradnl"/>
        </w:rPr>
      </w:pPr>
      <w:r>
        <w:rPr>
          <w:noProof/>
          <w:lang w:val="es-ES_tradnl"/>
        </w:rPr>
        <w:t>Tabela 1</w:t>
      </w:r>
      <w:r w:rsidR="00470C12">
        <w:rPr>
          <w:noProof/>
          <w:lang w:val="es-ES_tradnl"/>
        </w:rPr>
        <w:t xml:space="preserve">. Ecuria e te ardhurave sipas </w:t>
      </w:r>
      <w:r>
        <w:rPr>
          <w:noProof/>
          <w:lang w:val="es-ES_tradnl"/>
        </w:rPr>
        <w:t>zerave</w:t>
      </w:r>
      <w:r w:rsidR="00470C12">
        <w:rPr>
          <w:noProof/>
          <w:lang w:val="es-ES_tradnl"/>
        </w:rPr>
        <w:t>, 2009-2012</w:t>
      </w:r>
    </w:p>
    <w:p w:rsidR="00A43A42" w:rsidRDefault="00B945DC" w:rsidP="00B945DC">
      <w:pPr>
        <w:jc w:val="center"/>
        <w:rPr>
          <w:noProof/>
          <w:lang w:val="es-ES_tradnl"/>
        </w:rPr>
      </w:pPr>
      <w:r w:rsidRPr="00B945DC">
        <w:drawing>
          <wp:inline distT="0" distB="0" distL="0" distR="0">
            <wp:extent cx="4855462" cy="2896819"/>
            <wp:effectExtent l="19050" t="0" r="2288" b="0"/>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852938" cy="2895313"/>
                    </a:xfrm>
                    <a:prstGeom prst="rect">
                      <a:avLst/>
                    </a:prstGeom>
                    <a:noFill/>
                    <a:ln w="9525">
                      <a:noFill/>
                      <a:miter lim="800000"/>
                      <a:headEnd/>
                      <a:tailEnd/>
                    </a:ln>
                  </pic:spPr>
                </pic:pic>
              </a:graphicData>
            </a:graphic>
          </wp:inline>
        </w:drawing>
      </w:r>
    </w:p>
    <w:p w:rsidR="00D47083" w:rsidRPr="001A1523" w:rsidRDefault="00D47083" w:rsidP="00D47083">
      <w:pPr>
        <w:rPr>
          <w:rFonts w:cs="Times New Roman"/>
          <w:i/>
          <w:sz w:val="20"/>
          <w:szCs w:val="20"/>
          <w:lang w:val="es-ES_tradnl"/>
        </w:rPr>
      </w:pPr>
      <w:r w:rsidRPr="001A1523">
        <w:rPr>
          <w:rFonts w:cs="Times New Roman"/>
          <w:i/>
          <w:sz w:val="20"/>
          <w:szCs w:val="20"/>
          <w:lang w:val="es-ES_tradnl"/>
        </w:rPr>
        <w:t xml:space="preserve">Burimi: </w:t>
      </w:r>
      <w:r>
        <w:rPr>
          <w:rFonts w:cs="Times New Roman"/>
          <w:i/>
          <w:sz w:val="20"/>
          <w:szCs w:val="20"/>
          <w:lang w:val="es-ES_tradnl"/>
        </w:rPr>
        <w:t>Ministria e Financave</w:t>
      </w:r>
    </w:p>
    <w:p w:rsidR="002032FB" w:rsidRDefault="002032FB" w:rsidP="007D59CF">
      <w:r w:rsidRPr="00DC0C31">
        <w:rPr>
          <w:noProof/>
          <w:lang w:val="es-ES_tradnl"/>
        </w:rPr>
        <w:t xml:space="preserve">Sipas agjencive të mbledhjes, administrata doganore ka mbledhur 128.4 miliardë lekë, 1.8 përqind më pak se parashikimi për 2012, dhe </w:t>
      </w:r>
      <w:r w:rsidR="0021255E">
        <w:rPr>
          <w:noProof/>
          <w:lang w:val="es-ES_tradnl"/>
        </w:rPr>
        <w:t xml:space="preserve">vetem 328 milione leke me shume se nje vit, me rritje pothuajse zero. </w:t>
      </w:r>
      <w:r w:rsidRPr="00DC0C31">
        <w:rPr>
          <w:noProof/>
          <w:lang w:val="es-ES_tradnl"/>
        </w:rPr>
        <w:t xml:space="preserve">Sipas zërave të të ardhurave që mbledhin doganat, </w:t>
      </w:r>
      <w:r w:rsidR="00B87DD0">
        <w:rPr>
          <w:noProof/>
          <w:lang w:val="es-ES_tradnl"/>
        </w:rPr>
        <w:t>i vetmi ze me rritje eshte renta</w:t>
      </w:r>
      <w:r w:rsidRPr="00DC0C31">
        <w:rPr>
          <w:noProof/>
          <w:lang w:val="es-ES_tradnl"/>
        </w:rPr>
        <w:t xml:space="preserve"> minerare në eksport, që është rritur mbi baza vjetore me rreth 60.2 përqind, kryesisht si pasojë e rritjes së eksporteve të burimeve natyrore. Të ardhurat nga akciza në doganë rezultojnë me rënie pre</w:t>
      </w:r>
      <w:r w:rsidR="00B87DD0">
        <w:rPr>
          <w:noProof/>
          <w:lang w:val="es-ES_tradnl"/>
        </w:rPr>
        <w:t xml:space="preserve">j -0.3 përqind kundrejt planit </w:t>
      </w:r>
      <w:r w:rsidRPr="00DC0C31">
        <w:rPr>
          <w:noProof/>
          <w:lang w:val="es-ES_tradnl"/>
        </w:rPr>
        <w:t>të rishikuar pas kalimit të a</w:t>
      </w:r>
      <w:r w:rsidR="00B87DD0">
        <w:rPr>
          <w:noProof/>
          <w:lang w:val="es-ES_tradnl"/>
        </w:rPr>
        <w:t>kcizës te administrata doganore dhe ne te njejtin nivel me nje vit me pare</w:t>
      </w:r>
      <w:r w:rsidRPr="00DC0C31">
        <w:rPr>
          <w:noProof/>
          <w:lang w:val="es-ES_tradnl"/>
        </w:rPr>
        <w:t xml:space="preserve">. Të ardhurat nga TVSH në import janë -1.2 përqind </w:t>
      </w:r>
      <w:r w:rsidR="00B87DD0">
        <w:rPr>
          <w:noProof/>
          <w:lang w:val="es-ES_tradnl"/>
        </w:rPr>
        <w:t xml:space="preserve">ose 1.2 miliarde leke </w:t>
      </w:r>
      <w:r w:rsidRPr="00DC0C31">
        <w:rPr>
          <w:noProof/>
          <w:lang w:val="es-ES_tradnl"/>
        </w:rPr>
        <w:t>më të ulëta se një vit më parë dhe -2.5 përqind më pak se parashikimi për per</w:t>
      </w:r>
      <w:r w:rsidR="00A43A42">
        <w:rPr>
          <w:noProof/>
          <w:lang w:val="es-ES_tradnl"/>
        </w:rPr>
        <w:t>iudhën 12 mujore</w:t>
      </w:r>
      <w:r w:rsidRPr="00DC0C31">
        <w:t xml:space="preserve">. </w:t>
      </w:r>
    </w:p>
    <w:p w:rsidR="00A43A42" w:rsidRPr="00687ADE" w:rsidRDefault="00A43A42" w:rsidP="007D59CF">
      <w:pPr>
        <w:rPr>
          <w:rFonts w:cs="Times New Roman"/>
        </w:rPr>
      </w:pPr>
      <w:r w:rsidRPr="00687ADE">
        <w:rPr>
          <w:rFonts w:cs="Times New Roman"/>
        </w:rPr>
        <w:t>Grafik 2. Te ardhurat ne dogana sipas muajve 2011-2012</w:t>
      </w:r>
      <w:r w:rsidR="00687ADE" w:rsidRPr="00687ADE">
        <w:rPr>
          <w:rFonts w:cs="Times New Roman"/>
        </w:rPr>
        <w:t xml:space="preserve"> (mln leke)</w:t>
      </w:r>
    </w:p>
    <w:p w:rsidR="00930DCB" w:rsidRDefault="00687ADE" w:rsidP="00687ADE">
      <w:pPr>
        <w:jc w:val="center"/>
        <w:rPr>
          <w:noProof/>
        </w:rPr>
      </w:pPr>
      <w:r w:rsidRPr="00687ADE">
        <w:drawing>
          <wp:inline distT="0" distB="0" distL="0" distR="0">
            <wp:extent cx="3441040" cy="2071283"/>
            <wp:effectExtent l="19050" t="0" r="7010"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3441387" cy="2071492"/>
                    </a:xfrm>
                    <a:prstGeom prst="rect">
                      <a:avLst/>
                    </a:prstGeom>
                    <a:noFill/>
                    <a:ln w="9525">
                      <a:noFill/>
                      <a:miter lim="800000"/>
                      <a:headEnd/>
                      <a:tailEnd/>
                    </a:ln>
                  </pic:spPr>
                </pic:pic>
              </a:graphicData>
            </a:graphic>
          </wp:inline>
        </w:drawing>
      </w:r>
    </w:p>
    <w:p w:rsidR="00930DCB" w:rsidRDefault="00930DCB" w:rsidP="007D59CF">
      <w:pPr>
        <w:rPr>
          <w:noProof/>
        </w:rPr>
      </w:pPr>
      <w:r w:rsidRPr="00DC0C31">
        <w:rPr>
          <w:noProof/>
        </w:rPr>
        <w:t xml:space="preserve">Administrata tatimore ka mbledhur (përfshirë kontributet) 157.1 miliardë lekë, që do të thotë 1.1 përqind më pak të ardhura se </w:t>
      </w:r>
      <w:r>
        <w:rPr>
          <w:noProof/>
        </w:rPr>
        <w:t>12 mujori i vitit 2011 ose 1,7 miliard</w:t>
      </w:r>
      <w:r w:rsidRPr="00DC0C31">
        <w:rPr>
          <w:noProof/>
        </w:rPr>
        <w:t xml:space="preserve">ë lekë më pak (përfshirë </w:t>
      </w:r>
      <w:r w:rsidRPr="00DC0C31">
        <w:rPr>
          <w:noProof/>
        </w:rPr>
        <w:lastRenderedPageBreak/>
        <w:t xml:space="preserve">dhe kontributet). Totali i të ardhurave tatimore (pa përfshirë kontributet) ishte për periudhën rreth 104.2 miliardë lekë, duke patur një rënie </w:t>
      </w:r>
      <w:r>
        <w:rPr>
          <w:noProof/>
        </w:rPr>
        <w:t xml:space="preserve">prej </w:t>
      </w:r>
      <w:r w:rsidRPr="00DC0C31">
        <w:rPr>
          <w:noProof/>
        </w:rPr>
        <w:t xml:space="preserve">2.9 përqind krahasuar me të njëjtën periudhë të një viti më parë dhe një mosrealizim të planit në masën -1 përqind, ndërsa të ardhurat nga kontributet janë rritur me 2.8 përqind mbi baza vjetore. </w:t>
      </w:r>
      <w:r>
        <w:rPr>
          <w:noProof/>
        </w:rPr>
        <w:t>Ecuri pozitive ka mbledhja e</w:t>
      </w:r>
      <w:r w:rsidRPr="00DC0C31">
        <w:rPr>
          <w:noProof/>
        </w:rPr>
        <w:t xml:space="preserve"> taksave nacionale për këtë periudhë krahasuar me një vit më parë me rritje të tyre në masën</w:t>
      </w:r>
      <w:r>
        <w:rPr>
          <w:noProof/>
        </w:rPr>
        <w:t xml:space="preserve"> </w:t>
      </w:r>
      <w:r w:rsidRPr="00DC0C31">
        <w:rPr>
          <w:noProof/>
        </w:rPr>
        <w:t>29.6 përqind</w:t>
      </w:r>
      <w:r>
        <w:rPr>
          <w:noProof/>
        </w:rPr>
        <w:t xml:space="preserve"> (kryesisht ne mbledhjen e takses se mjeteve te perdorura te transportit dhe rentes minerale)</w:t>
      </w:r>
      <w:r w:rsidRPr="00DC0C31">
        <w:rPr>
          <w:noProof/>
        </w:rPr>
        <w:t>, ndërsa TVSH ka pasur një rënie prej -5.8 % mbi baza vjetore; Tatim Fitimi ka pësuar rënie prej -14.1 përqind në krahasim me të njëjtën periudhë të një viti më parë; Tatimi mbi të ardhurat personale ka pësuar një rënie prej -0.5 % në krahasim me vitin 2011; Akciza ka pësuar rënie prej -25 % në krahasim me të njëjtën periudhë të një viti më parë, por duhen marrë në konsideratë ndryshimet e fundit ligjore</w:t>
      </w:r>
      <w:r>
        <w:rPr>
          <w:noProof/>
        </w:rPr>
        <w:t>,</w:t>
      </w:r>
      <w:r w:rsidRPr="00DC0C31">
        <w:rPr>
          <w:noProof/>
        </w:rPr>
        <w:t xml:space="preserve"> </w:t>
      </w:r>
      <w:r>
        <w:rPr>
          <w:noProof/>
        </w:rPr>
        <w:t>sipas te cilave administrimi dhe mbledhja e akcizes</w:t>
      </w:r>
      <w:r w:rsidRPr="00DC0C31">
        <w:rPr>
          <w:noProof/>
        </w:rPr>
        <w:t xml:space="preserve"> </w:t>
      </w:r>
      <w:r>
        <w:rPr>
          <w:noProof/>
        </w:rPr>
        <w:t xml:space="preserve">duke filluar nga data </w:t>
      </w:r>
      <w:r w:rsidRPr="00DC0C31">
        <w:rPr>
          <w:noProof/>
        </w:rPr>
        <w:t xml:space="preserve">1 tetor </w:t>
      </w:r>
      <w:r>
        <w:rPr>
          <w:noProof/>
        </w:rPr>
        <w:t>2012 I kaloi administrates doganore (shih Tabelën 4</w:t>
      </w:r>
      <w:r w:rsidRPr="00DC0C31">
        <w:rPr>
          <w:noProof/>
        </w:rPr>
        <w:t>).</w:t>
      </w:r>
    </w:p>
    <w:p w:rsidR="00A43A42" w:rsidRPr="001107A3" w:rsidRDefault="00A43A42" w:rsidP="00A43A42">
      <w:pPr>
        <w:rPr>
          <w:rFonts w:cs="Times New Roman"/>
        </w:rPr>
      </w:pPr>
      <w:r w:rsidRPr="001107A3">
        <w:rPr>
          <w:rFonts w:cs="Times New Roman"/>
        </w:rPr>
        <w:t xml:space="preserve">Grafik 3. Te ardhurat ne tatime </w:t>
      </w:r>
      <w:r w:rsidR="00687ADE" w:rsidRPr="001107A3">
        <w:rPr>
          <w:rFonts w:cs="Times New Roman"/>
        </w:rPr>
        <w:t xml:space="preserve">(pa kontribute) </w:t>
      </w:r>
      <w:r w:rsidRPr="001107A3">
        <w:rPr>
          <w:rFonts w:cs="Times New Roman"/>
        </w:rPr>
        <w:t>sipas muajve 2011-2012</w:t>
      </w:r>
      <w:r w:rsidR="00687ADE" w:rsidRPr="001107A3">
        <w:rPr>
          <w:rFonts w:cs="Times New Roman"/>
        </w:rPr>
        <w:t xml:space="preserve"> (mln leke)</w:t>
      </w:r>
    </w:p>
    <w:p w:rsidR="00930DCB" w:rsidRDefault="001107A3" w:rsidP="001107A3">
      <w:pPr>
        <w:jc w:val="center"/>
        <w:rPr>
          <w:rFonts w:cs="Times New Roman"/>
          <w:noProof/>
          <w:highlight w:val="yellow"/>
        </w:rPr>
      </w:pPr>
      <w:r w:rsidRPr="001107A3">
        <w:drawing>
          <wp:inline distT="0" distB="0" distL="0" distR="0">
            <wp:extent cx="3228899" cy="1943587"/>
            <wp:effectExtent l="19050" t="0" r="0" b="0"/>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3230210" cy="1944376"/>
                    </a:xfrm>
                    <a:prstGeom prst="rect">
                      <a:avLst/>
                    </a:prstGeom>
                    <a:noFill/>
                    <a:ln w="9525">
                      <a:noFill/>
                      <a:miter lim="800000"/>
                      <a:headEnd/>
                      <a:tailEnd/>
                    </a:ln>
                  </pic:spPr>
                </pic:pic>
              </a:graphicData>
            </a:graphic>
          </wp:inline>
        </w:drawing>
      </w:r>
    </w:p>
    <w:p w:rsidR="00486D5C" w:rsidRDefault="00486D5C" w:rsidP="007D59CF">
      <w:pPr>
        <w:rPr>
          <w:lang w:val="fr-FR"/>
        </w:rPr>
      </w:pPr>
    </w:p>
    <w:p w:rsidR="002032FB" w:rsidRDefault="00486D5C" w:rsidP="007D59CF">
      <w:pPr>
        <w:rPr>
          <w:lang w:val="fr-FR"/>
        </w:rPr>
      </w:pPr>
      <w:r>
        <w:rPr>
          <w:lang w:val="fr-FR"/>
        </w:rPr>
        <w:t>Nga te dhenat lidhur me kontributin e sektoreve te ekonomise ne totalin e te ardhurave tatimore (i referohemi ketu totalit te mbledhur nga DPT) rezulton nje reduktim i ndjeshem i te ardhurave te mbledhura nga ndertimi dhe prodhimi, perkatesisht me 17 dhe 26 perqind me pak se nje vit me pare. Me rritje te lehte te te ardhurave jane s</w:t>
      </w:r>
      <w:r w:rsidR="002032FB" w:rsidRPr="00396942">
        <w:rPr>
          <w:lang w:val="fr-FR"/>
        </w:rPr>
        <w:t xml:space="preserve">ektorët </w:t>
      </w:r>
      <w:r>
        <w:rPr>
          <w:lang w:val="fr-FR"/>
        </w:rPr>
        <w:t>Transport, Tregti dhe Shërbime,</w:t>
      </w:r>
      <w:r w:rsidR="002032FB" w:rsidRPr="00396942">
        <w:rPr>
          <w:lang w:val="fr-FR"/>
        </w:rPr>
        <w:t xml:space="preserve"> përkatësisht 2.7%, 1.5% dhe 5.5</w:t>
      </w:r>
      <w:r w:rsidR="002032FB" w:rsidRPr="00DE6D94">
        <w:rPr>
          <w:lang w:val="fr-FR"/>
        </w:rPr>
        <w:t xml:space="preserve">%. </w:t>
      </w:r>
      <w:r w:rsidR="00860401">
        <w:rPr>
          <w:lang w:val="fr-FR"/>
        </w:rPr>
        <w:t>T</w:t>
      </w:r>
      <w:r w:rsidR="002032FB" w:rsidRPr="00DE6D94">
        <w:rPr>
          <w:lang w:val="fr-FR"/>
        </w:rPr>
        <w:t xml:space="preserve">ë </w:t>
      </w:r>
      <w:r w:rsidR="00860401">
        <w:rPr>
          <w:lang w:val="fr-FR"/>
        </w:rPr>
        <w:t xml:space="preserve">dhënat janë pasqyruar në </w:t>
      </w:r>
      <w:r w:rsidR="00A06028">
        <w:rPr>
          <w:lang w:val="fr-FR"/>
        </w:rPr>
        <w:t xml:space="preserve">Grafikun </w:t>
      </w:r>
      <w:r w:rsidR="00A43A42">
        <w:rPr>
          <w:lang w:val="fr-FR"/>
        </w:rPr>
        <w:t>4</w:t>
      </w:r>
      <w:r w:rsidR="002032FB" w:rsidRPr="00DE6D94">
        <w:rPr>
          <w:lang w:val="fr-FR"/>
        </w:rPr>
        <w:t xml:space="preserve">. </w:t>
      </w:r>
    </w:p>
    <w:p w:rsidR="00A43A42" w:rsidRDefault="00A43A42" w:rsidP="007D59CF">
      <w:pPr>
        <w:rPr>
          <w:lang w:val="fr-FR"/>
        </w:rPr>
      </w:pPr>
      <w:r w:rsidRPr="003B7CF6">
        <w:rPr>
          <w:lang w:val="fr-FR"/>
        </w:rPr>
        <w:t>Grafik 4. Te ardhurat tatimore sipas sektoreve te ekonomise</w:t>
      </w:r>
    </w:p>
    <w:p w:rsidR="00602414" w:rsidRDefault="00602414" w:rsidP="00602414">
      <w:pPr>
        <w:jc w:val="center"/>
        <w:rPr>
          <w:lang w:val="fr-FR"/>
        </w:rPr>
      </w:pPr>
      <w:r w:rsidRPr="00602414">
        <w:drawing>
          <wp:inline distT="0" distB="0" distL="0" distR="0">
            <wp:extent cx="3427092" cy="2062887"/>
            <wp:effectExtent l="19050" t="0" r="1908" b="0"/>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3431753" cy="2065693"/>
                    </a:xfrm>
                    <a:prstGeom prst="rect">
                      <a:avLst/>
                    </a:prstGeom>
                    <a:noFill/>
                    <a:ln w="9525">
                      <a:noFill/>
                      <a:miter lim="800000"/>
                      <a:headEnd/>
                      <a:tailEnd/>
                    </a:ln>
                  </pic:spPr>
                </pic:pic>
              </a:graphicData>
            </a:graphic>
          </wp:inline>
        </w:drawing>
      </w:r>
    </w:p>
    <w:p w:rsidR="002032FB" w:rsidRPr="00396942" w:rsidRDefault="002032FB" w:rsidP="007D59CF">
      <w:pPr>
        <w:pStyle w:val="Heading2"/>
        <w:numPr>
          <w:ilvl w:val="0"/>
          <w:numId w:val="0"/>
        </w:numPr>
        <w:spacing w:before="120" w:after="120"/>
        <w:ind w:left="576" w:hanging="576"/>
        <w:rPr>
          <w:rFonts w:ascii="Calibri" w:hAnsi="Calibri" w:cs="Calibri"/>
          <w:noProof/>
          <w:sz w:val="24"/>
          <w:szCs w:val="24"/>
        </w:rPr>
      </w:pPr>
      <w:bookmarkStart w:id="7" w:name="_Toc339363683"/>
      <w:bookmarkStart w:id="8" w:name="_Toc353453836"/>
      <w:r w:rsidRPr="00396942">
        <w:rPr>
          <w:rFonts w:ascii="Calibri" w:hAnsi="Calibri" w:cs="Calibri"/>
          <w:noProof/>
          <w:sz w:val="24"/>
          <w:szCs w:val="24"/>
        </w:rPr>
        <w:lastRenderedPageBreak/>
        <w:t>Të ardhurat sipas taksave, tatimeve dhe burimeve të tjera</w:t>
      </w:r>
      <w:bookmarkEnd w:id="7"/>
      <w:bookmarkEnd w:id="8"/>
    </w:p>
    <w:p w:rsidR="002032FB" w:rsidRPr="009769F8" w:rsidRDefault="002032FB" w:rsidP="007D59CF">
      <w:pPr>
        <w:pStyle w:val="Heading2"/>
        <w:numPr>
          <w:ilvl w:val="0"/>
          <w:numId w:val="0"/>
        </w:numPr>
        <w:spacing w:before="120" w:after="120"/>
        <w:ind w:left="576" w:hanging="576"/>
        <w:rPr>
          <w:rFonts w:ascii="Calibri" w:hAnsi="Calibri" w:cs="Calibri"/>
          <w:noProof/>
          <w:sz w:val="24"/>
          <w:szCs w:val="24"/>
        </w:rPr>
      </w:pPr>
      <w:bookmarkStart w:id="9" w:name="_Toc339363684"/>
      <w:bookmarkStart w:id="10" w:name="_Toc353453837"/>
      <w:r w:rsidRPr="00396942">
        <w:rPr>
          <w:rFonts w:ascii="Calibri" w:hAnsi="Calibri" w:cs="Calibri"/>
          <w:noProof/>
          <w:sz w:val="24"/>
          <w:szCs w:val="24"/>
        </w:rPr>
        <w:t>Taksimi i konsumit (</w:t>
      </w:r>
      <w:r w:rsidRPr="009769F8">
        <w:rPr>
          <w:rFonts w:ascii="Calibri" w:hAnsi="Calibri" w:cs="Calibri"/>
          <w:noProof/>
          <w:sz w:val="24"/>
          <w:szCs w:val="24"/>
        </w:rPr>
        <w:t>indirekt)</w:t>
      </w:r>
      <w:bookmarkEnd w:id="9"/>
      <w:bookmarkEnd w:id="10"/>
      <w:r w:rsidR="00583722">
        <w:rPr>
          <w:rFonts w:ascii="Calibri" w:hAnsi="Calibri" w:cs="Calibri"/>
          <w:noProof/>
          <w:sz w:val="24"/>
          <w:szCs w:val="24"/>
        </w:rPr>
        <w:fldChar w:fldCharType="begin"/>
      </w:r>
      <w:r w:rsidRPr="009769F8">
        <w:rPr>
          <w:rFonts w:ascii="Calibri" w:hAnsi="Calibri" w:cs="Times New Roman"/>
          <w:sz w:val="24"/>
          <w:szCs w:val="24"/>
        </w:rPr>
        <w:instrText>tc "</w:instrText>
      </w:r>
      <w:bookmarkStart w:id="11" w:name="_Toc314487251"/>
      <w:r w:rsidRPr="009769F8">
        <w:rPr>
          <w:rFonts w:ascii="Calibri" w:hAnsi="Calibri" w:cs="Calibri"/>
          <w:noProof/>
          <w:sz w:val="24"/>
          <w:szCs w:val="24"/>
        </w:rPr>
        <w:instrText>Taksimi i konsumit (indirekt)</w:instrText>
      </w:r>
      <w:bookmarkEnd w:id="11"/>
      <w:r w:rsidRPr="009769F8">
        <w:rPr>
          <w:rFonts w:ascii="Calibri" w:hAnsi="Calibri" w:cs="Calibri"/>
          <w:sz w:val="24"/>
          <w:szCs w:val="24"/>
        </w:rPr>
        <w:instrText>" \f C \l 0000002</w:instrText>
      </w:r>
      <w:r w:rsidR="00583722">
        <w:rPr>
          <w:rFonts w:ascii="Calibri" w:hAnsi="Calibri" w:cs="Calibri"/>
          <w:noProof/>
          <w:sz w:val="24"/>
          <w:szCs w:val="24"/>
        </w:rPr>
        <w:fldChar w:fldCharType="end"/>
      </w:r>
    </w:p>
    <w:p w:rsidR="002032FB" w:rsidRPr="002032FB" w:rsidRDefault="00357CD5" w:rsidP="009769F8">
      <w:pPr>
        <w:jc w:val="left"/>
        <w:rPr>
          <w:rFonts w:cs="Times New Roman"/>
          <w:b/>
          <w:bCs/>
          <w:lang w:val="es-ES_tradnl"/>
        </w:rPr>
      </w:pPr>
      <w:r w:rsidRPr="00357CD5">
        <w:rPr>
          <w:b/>
          <w:bCs/>
          <w:lang w:val="es-ES_tradnl"/>
        </w:rPr>
        <w:t>Tatimi mbi Vleren e Shtuar</w:t>
      </w:r>
    </w:p>
    <w:p w:rsidR="002032FB" w:rsidRPr="009769F8" w:rsidRDefault="002032FB" w:rsidP="009769F8">
      <w:pPr>
        <w:jc w:val="left"/>
        <w:rPr>
          <w:rFonts w:cs="Times New Roman"/>
          <w:lang w:val="sq-AL"/>
        </w:rPr>
      </w:pPr>
      <w:r w:rsidRPr="009769F8">
        <w:rPr>
          <w:lang w:val="es-ES_tradnl"/>
        </w:rPr>
        <w:t>Nga Tatimi mbi Vlerën e Shtuar janë mbledhur gjithsej për 12 mujorin 116.5 miliardë lekë ose -2.2 përqind më pak se një vit më parë dhe -2.1 përqind më pak se parashikimi për vitin 2012</w:t>
      </w:r>
      <w:r w:rsidRPr="009769F8">
        <w:rPr>
          <w:lang w:val="sq-AL"/>
        </w:rPr>
        <w:t xml:space="preserve">. </w:t>
      </w:r>
    </w:p>
    <w:p w:rsidR="002032FB" w:rsidRPr="00584585" w:rsidRDefault="00747310" w:rsidP="007D59CF">
      <w:pPr>
        <w:rPr>
          <w:lang w:val="sq-AL"/>
        </w:rPr>
      </w:pPr>
      <w:r w:rsidRPr="00747310">
        <w:rPr>
          <w:bCs/>
          <w:iCs/>
          <w:lang w:val="es-ES_tradnl"/>
        </w:rPr>
        <w:t>Te ardhurat e mbledhura nga importet ishin nen nivelin e pritshem,</w:t>
      </w:r>
      <w:r>
        <w:rPr>
          <w:b/>
          <w:bCs/>
          <w:i/>
          <w:iCs/>
          <w:lang w:val="es-ES_tradnl"/>
        </w:rPr>
        <w:t xml:space="preserve"> </w:t>
      </w:r>
      <w:r w:rsidR="002032FB" w:rsidRPr="009769F8">
        <w:rPr>
          <w:lang w:val="sq-AL"/>
        </w:rPr>
        <w:t xml:space="preserve">91.7 miliardë lekë TVSH </w:t>
      </w:r>
      <w:r>
        <w:rPr>
          <w:lang w:val="sq-AL"/>
        </w:rPr>
        <w:t xml:space="preserve">nga </w:t>
      </w:r>
      <w:r w:rsidR="004A4ADA">
        <w:rPr>
          <w:lang w:val="sq-AL"/>
        </w:rPr>
        <w:t xml:space="preserve">93 miliarde te planifikuara. </w:t>
      </w:r>
      <w:r w:rsidR="002032FB" w:rsidRPr="009769F8">
        <w:rPr>
          <w:lang w:val="sq-AL"/>
        </w:rPr>
        <w:t>Për këtë periudhë, të ardhurat nga TVSH-ja në doganë përbëjnë rreth 78.8 përqind të të ardhurave gjithsej nga TVSH-ja. Ndërsa krahasuar me të njëtën periudhë të vitit të kaluar ato rezultojnë të jenë 1.2 miliardë lekë më pak ose -1.2 përqind. Për muajin dhjetor TVSH në doganë ka një mosrealizim prej 2,339 milionë lekë ose -23.6 përqind më pak se parashikimi mujor. Të ardhurat nga TVSH në doganë ndikohen direkt nga vlera e importeve (</w:t>
      </w:r>
      <w:r w:rsidR="002032FB" w:rsidRPr="00584585">
        <w:rPr>
          <w:lang w:val="sq-AL"/>
        </w:rPr>
        <w:t>volumet e importuara, çmimet në import dhe kursi i këmbimit). Nga statistikat e Drejtorisë së Përgjithshme të Doganave, importet e periudhës janar-dhjetor 2012 rezultojnë 554.5 miliardë lekë me rënie vjetore prej -1.6 përqind. Me rënie vjetore janë importi i taksuar (-3.6 përqind), dhe importi nën regjimin e përpunimit aktiv me rënie prej -3.6 përqind. Importi i pataksuar ka një rritje vjetore prej 10 përqind.</w:t>
      </w:r>
    </w:p>
    <w:p w:rsidR="002032FB" w:rsidRDefault="00C40FA5" w:rsidP="007D59CF">
      <w:pPr>
        <w:rPr>
          <w:lang w:val="da-DK"/>
        </w:rPr>
      </w:pPr>
      <w:r>
        <w:rPr>
          <w:bCs/>
          <w:iCs/>
          <w:lang w:val="da-DK"/>
        </w:rPr>
        <w:t xml:space="preserve">Te ardhurat e mbledhura mbi furnizimet e brendshme jane </w:t>
      </w:r>
      <w:r w:rsidR="002032FB" w:rsidRPr="00584585">
        <w:rPr>
          <w:lang w:val="da-DK"/>
        </w:rPr>
        <w:t xml:space="preserve">24.8 miliardë lekë TVSH </w:t>
      </w:r>
      <w:r>
        <w:rPr>
          <w:lang w:val="da-DK"/>
        </w:rPr>
        <w:t>per periudhen janar-dhjetor,</w:t>
      </w:r>
      <w:r w:rsidR="002032FB" w:rsidRPr="00584585">
        <w:rPr>
          <w:lang w:val="da-DK"/>
        </w:rPr>
        <w:t xml:space="preserve"> </w:t>
      </w:r>
      <w:r>
        <w:rPr>
          <w:lang w:val="da-DK"/>
        </w:rPr>
        <w:t xml:space="preserve">me renie vjetore te ndjeshme ne nivelin 6 përqind. </w:t>
      </w:r>
      <w:r w:rsidR="002032FB" w:rsidRPr="00343F92">
        <w:rPr>
          <w:bCs/>
          <w:iCs/>
          <w:noProof/>
          <w:lang w:val="da-DK"/>
        </w:rPr>
        <w:t>Rimbursimi i TVSH-së</w:t>
      </w:r>
      <w:r w:rsidR="002032FB" w:rsidRPr="00343F92">
        <w:rPr>
          <w:noProof/>
          <w:lang w:val="da-DK"/>
        </w:rPr>
        <w:t xml:space="preserve"> </w:t>
      </w:r>
      <w:r w:rsidR="002032FB" w:rsidRPr="00584585">
        <w:rPr>
          <w:noProof/>
          <w:lang w:val="da-DK"/>
        </w:rPr>
        <w:t>për periudhën 12 mujore nga tatimet dhe doganat ka arritur 10.4 miliardë lekë me një rritje vjetore prej 54.5 përqi</w:t>
      </w:r>
      <w:r w:rsidR="00147004">
        <w:rPr>
          <w:noProof/>
          <w:lang w:val="da-DK"/>
        </w:rPr>
        <w:t>nd</w:t>
      </w:r>
      <w:r w:rsidR="002032FB" w:rsidRPr="00584585">
        <w:rPr>
          <w:lang w:val="da-DK"/>
        </w:rPr>
        <w:t xml:space="preserve">. </w:t>
      </w:r>
    </w:p>
    <w:p w:rsidR="006A0A73" w:rsidRDefault="002032FB" w:rsidP="007D59CF">
      <w:pPr>
        <w:rPr>
          <w:lang w:val="da-DK"/>
        </w:rPr>
      </w:pPr>
      <w:r w:rsidRPr="00584585">
        <w:rPr>
          <w:lang w:val="da-DK"/>
        </w:rPr>
        <w:t xml:space="preserve">Në strukturën e të ardhurave tatimore që mbledhin tatimet, vihet re rënie e peshës specifike të TVSH-së ndaj totalit, nga 24.5 përqind në 12 mujorin 2011 në 23.8 përqind për 12 mujorin 2012. </w:t>
      </w:r>
      <w:r w:rsidR="00887A30">
        <w:rPr>
          <w:lang w:val="da-DK"/>
        </w:rPr>
        <w:t xml:space="preserve">Te dhenat mbi shperndarjen sektoriale te TVSH-se tregojne se </w:t>
      </w:r>
      <w:r w:rsidR="005A3C00">
        <w:rPr>
          <w:lang w:val="da-DK"/>
        </w:rPr>
        <w:t>prodhimi dhe sherbimet kane peshe</w:t>
      </w:r>
      <w:r w:rsidR="00B955F8">
        <w:rPr>
          <w:lang w:val="da-DK"/>
        </w:rPr>
        <w:t xml:space="preserve">n me te rendesishme </w:t>
      </w:r>
      <w:r w:rsidR="005A3C00">
        <w:rPr>
          <w:lang w:val="da-DK"/>
        </w:rPr>
        <w:t xml:space="preserve">ne totalin e TVSH se mbledhur brenda vendit, me rreth </w:t>
      </w:r>
      <w:r w:rsidR="00B955F8">
        <w:rPr>
          <w:lang w:val="da-DK"/>
        </w:rPr>
        <w:t xml:space="preserve">23 dhe 40 perqind te totalit te mbledhur, me pas ndertimi me 19 dhe tregtia me 17%. Vihet re zvogelimi i rendesise se sektorit te ndertimit </w:t>
      </w:r>
      <w:r w:rsidR="006A0A73">
        <w:rPr>
          <w:lang w:val="da-DK"/>
        </w:rPr>
        <w:t xml:space="preserve">dhe prodhimit </w:t>
      </w:r>
      <w:r w:rsidR="00B955F8">
        <w:rPr>
          <w:lang w:val="da-DK"/>
        </w:rPr>
        <w:t xml:space="preserve">si kontribues i TVSH dhe rritja e ndjeshme e peshes se sherbimeve ne totalin e TVSH-se, ne linje me ecurine e aktivitetit ekonomik ne vend. </w:t>
      </w:r>
    </w:p>
    <w:p w:rsidR="001A1523" w:rsidRDefault="001A1523" w:rsidP="007D59CF">
      <w:pPr>
        <w:rPr>
          <w:lang w:val="da-DK"/>
        </w:rPr>
      </w:pPr>
      <w:r>
        <w:rPr>
          <w:lang w:val="da-DK"/>
        </w:rPr>
        <w:t>Tabela 2. TVSH sipas sektoreve te ekonomise</w:t>
      </w:r>
    </w:p>
    <w:tbl>
      <w:tblPr>
        <w:tblW w:w="0" w:type="auto"/>
        <w:jc w:val="center"/>
        <w:tblInd w:w="-106" w:type="dxa"/>
        <w:tblLook w:val="0000"/>
      </w:tblPr>
      <w:tblGrid>
        <w:gridCol w:w="1028"/>
        <w:gridCol w:w="672"/>
        <w:gridCol w:w="672"/>
        <w:gridCol w:w="1069"/>
        <w:gridCol w:w="943"/>
        <w:gridCol w:w="943"/>
        <w:gridCol w:w="1069"/>
      </w:tblGrid>
      <w:tr w:rsidR="002032FB" w:rsidRPr="00841E98" w:rsidTr="001A1523">
        <w:trPr>
          <w:trHeight w:val="20"/>
          <w:jc w:val="center"/>
        </w:trPr>
        <w:tc>
          <w:tcPr>
            <w:tcW w:w="1028" w:type="dxa"/>
            <w:tcBorders>
              <w:top w:val="single" w:sz="12" w:space="0" w:color="000000"/>
              <w:left w:val="nil"/>
              <w:bottom w:val="single" w:sz="8" w:space="0" w:color="000000"/>
              <w:right w:val="nil"/>
            </w:tcBorders>
            <w:shd w:val="clear" w:color="auto" w:fill="800080"/>
            <w:noWrap/>
            <w:vAlign w:val="center"/>
          </w:tcPr>
          <w:p w:rsidR="002032FB" w:rsidRPr="00A8471C" w:rsidRDefault="002032FB" w:rsidP="007D59CF">
            <w:pPr>
              <w:spacing w:before="0" w:after="0"/>
              <w:jc w:val="left"/>
              <w:rPr>
                <w:b/>
                <w:bCs/>
                <w:color w:val="FFFFFF"/>
                <w:sz w:val="20"/>
                <w:szCs w:val="20"/>
              </w:rPr>
            </w:pPr>
            <w:r w:rsidRPr="00A8471C">
              <w:rPr>
                <w:b/>
                <w:bCs/>
                <w:color w:val="FFFFFF"/>
                <w:sz w:val="20"/>
                <w:szCs w:val="20"/>
              </w:rPr>
              <w:t>Emërtimi</w:t>
            </w:r>
          </w:p>
        </w:tc>
        <w:tc>
          <w:tcPr>
            <w:tcW w:w="672" w:type="dxa"/>
            <w:tcBorders>
              <w:top w:val="single" w:sz="12" w:space="0" w:color="000000"/>
              <w:left w:val="nil"/>
              <w:bottom w:val="single" w:sz="8" w:space="0" w:color="000000"/>
              <w:right w:val="nil"/>
            </w:tcBorders>
            <w:shd w:val="clear" w:color="auto" w:fill="800080"/>
            <w:vAlign w:val="center"/>
          </w:tcPr>
          <w:p w:rsidR="002032FB" w:rsidRPr="00A8471C" w:rsidRDefault="001A1523" w:rsidP="001A1523">
            <w:pPr>
              <w:spacing w:before="0" w:after="0"/>
              <w:jc w:val="left"/>
              <w:rPr>
                <w:b/>
                <w:bCs/>
                <w:color w:val="FFFFFF"/>
                <w:sz w:val="20"/>
                <w:szCs w:val="20"/>
              </w:rPr>
            </w:pPr>
            <w:r>
              <w:rPr>
                <w:b/>
                <w:bCs/>
                <w:color w:val="FFFFFF"/>
                <w:sz w:val="20"/>
                <w:szCs w:val="20"/>
              </w:rPr>
              <w:t>12</w:t>
            </w:r>
            <w:r w:rsidR="002032FB" w:rsidRPr="00A8471C">
              <w:rPr>
                <w:b/>
                <w:bCs/>
                <w:color w:val="FFFFFF"/>
                <w:sz w:val="20"/>
                <w:szCs w:val="20"/>
              </w:rPr>
              <w:t xml:space="preserve"> </w:t>
            </w:r>
            <w:r>
              <w:rPr>
                <w:b/>
                <w:bCs/>
                <w:color w:val="FFFFFF"/>
                <w:sz w:val="20"/>
                <w:szCs w:val="20"/>
              </w:rPr>
              <w:t>M</w:t>
            </w:r>
            <w:r w:rsidR="002032FB" w:rsidRPr="00A8471C">
              <w:rPr>
                <w:b/>
                <w:bCs/>
                <w:color w:val="FFFFFF"/>
                <w:sz w:val="20"/>
                <w:szCs w:val="20"/>
              </w:rPr>
              <w:t xml:space="preserve"> 2011</w:t>
            </w:r>
          </w:p>
        </w:tc>
        <w:tc>
          <w:tcPr>
            <w:tcW w:w="672" w:type="dxa"/>
            <w:tcBorders>
              <w:top w:val="single" w:sz="12" w:space="0" w:color="000000"/>
              <w:left w:val="nil"/>
              <w:bottom w:val="single" w:sz="8" w:space="0" w:color="000000"/>
              <w:right w:val="nil"/>
            </w:tcBorders>
            <w:shd w:val="clear" w:color="auto" w:fill="800080"/>
            <w:vAlign w:val="center"/>
          </w:tcPr>
          <w:p w:rsidR="002032FB" w:rsidRPr="00A8471C" w:rsidRDefault="001A1523" w:rsidP="001A1523">
            <w:pPr>
              <w:spacing w:before="0" w:after="0"/>
              <w:jc w:val="left"/>
              <w:rPr>
                <w:b/>
                <w:bCs/>
                <w:color w:val="FFFFFF"/>
                <w:sz w:val="20"/>
                <w:szCs w:val="20"/>
              </w:rPr>
            </w:pPr>
            <w:r>
              <w:rPr>
                <w:b/>
                <w:bCs/>
                <w:color w:val="FFFFFF"/>
                <w:sz w:val="20"/>
                <w:szCs w:val="20"/>
              </w:rPr>
              <w:t>12</w:t>
            </w:r>
            <w:r w:rsidR="002032FB" w:rsidRPr="00A8471C">
              <w:rPr>
                <w:b/>
                <w:bCs/>
                <w:color w:val="FFFFFF"/>
                <w:sz w:val="20"/>
                <w:szCs w:val="20"/>
              </w:rPr>
              <w:t xml:space="preserve"> </w:t>
            </w:r>
            <w:r>
              <w:rPr>
                <w:b/>
                <w:bCs/>
                <w:color w:val="FFFFFF"/>
                <w:sz w:val="20"/>
                <w:szCs w:val="20"/>
              </w:rPr>
              <w:t>M</w:t>
            </w:r>
            <w:r w:rsidR="002032FB" w:rsidRPr="00A8471C">
              <w:rPr>
                <w:b/>
                <w:bCs/>
                <w:color w:val="FFFFFF"/>
                <w:sz w:val="20"/>
                <w:szCs w:val="20"/>
              </w:rPr>
              <w:t xml:space="preserve"> 2012</w:t>
            </w:r>
          </w:p>
        </w:tc>
        <w:tc>
          <w:tcPr>
            <w:tcW w:w="1069" w:type="dxa"/>
            <w:tcBorders>
              <w:top w:val="single" w:sz="12" w:space="0" w:color="000000"/>
              <w:left w:val="nil"/>
              <w:bottom w:val="single" w:sz="8" w:space="0" w:color="000000"/>
              <w:right w:val="nil"/>
            </w:tcBorders>
            <w:shd w:val="clear" w:color="auto" w:fill="800080"/>
            <w:vAlign w:val="center"/>
          </w:tcPr>
          <w:p w:rsidR="002032FB" w:rsidRPr="00A8471C" w:rsidRDefault="002032FB" w:rsidP="007D59CF">
            <w:pPr>
              <w:spacing w:before="0" w:after="0"/>
              <w:jc w:val="left"/>
              <w:rPr>
                <w:b/>
                <w:bCs/>
                <w:color w:val="FFFFFF"/>
                <w:sz w:val="20"/>
                <w:szCs w:val="20"/>
              </w:rPr>
            </w:pPr>
            <w:r w:rsidRPr="00A8471C">
              <w:rPr>
                <w:b/>
                <w:bCs/>
                <w:color w:val="FFFFFF"/>
                <w:sz w:val="20"/>
                <w:szCs w:val="20"/>
              </w:rPr>
              <w:t xml:space="preserve">Ndryshimi </w:t>
            </w:r>
          </w:p>
        </w:tc>
        <w:tc>
          <w:tcPr>
            <w:tcW w:w="943" w:type="dxa"/>
            <w:tcBorders>
              <w:top w:val="single" w:sz="12" w:space="0" w:color="000000"/>
              <w:left w:val="nil"/>
              <w:bottom w:val="single" w:sz="8" w:space="0" w:color="000000"/>
              <w:right w:val="nil"/>
            </w:tcBorders>
            <w:shd w:val="clear" w:color="auto" w:fill="800080"/>
            <w:vAlign w:val="center"/>
          </w:tcPr>
          <w:p w:rsidR="002032FB" w:rsidRPr="00A8471C" w:rsidRDefault="002032FB" w:rsidP="007D59CF">
            <w:pPr>
              <w:spacing w:before="0" w:after="0"/>
              <w:jc w:val="left"/>
              <w:rPr>
                <w:b/>
                <w:bCs/>
                <w:color w:val="FFFFFF"/>
                <w:sz w:val="20"/>
                <w:szCs w:val="20"/>
              </w:rPr>
            </w:pPr>
            <w:r w:rsidRPr="00A8471C">
              <w:rPr>
                <w:b/>
                <w:bCs/>
                <w:color w:val="FFFFFF"/>
                <w:sz w:val="20"/>
                <w:szCs w:val="20"/>
              </w:rPr>
              <w:t xml:space="preserve">Subjekte pagues 2011 </w:t>
            </w:r>
          </w:p>
        </w:tc>
        <w:tc>
          <w:tcPr>
            <w:tcW w:w="943" w:type="dxa"/>
            <w:tcBorders>
              <w:top w:val="single" w:sz="12" w:space="0" w:color="000000"/>
              <w:left w:val="nil"/>
              <w:bottom w:val="single" w:sz="8" w:space="0" w:color="000000"/>
              <w:right w:val="nil"/>
            </w:tcBorders>
            <w:shd w:val="clear" w:color="auto" w:fill="800080"/>
            <w:vAlign w:val="center"/>
          </w:tcPr>
          <w:p w:rsidR="002032FB" w:rsidRPr="00A8471C" w:rsidRDefault="002032FB" w:rsidP="007D59CF">
            <w:pPr>
              <w:spacing w:before="0" w:after="0"/>
              <w:jc w:val="left"/>
              <w:rPr>
                <w:b/>
                <w:bCs/>
                <w:color w:val="FFFFFF"/>
                <w:sz w:val="20"/>
                <w:szCs w:val="20"/>
              </w:rPr>
            </w:pPr>
            <w:r w:rsidRPr="00A8471C">
              <w:rPr>
                <w:b/>
                <w:bCs/>
                <w:color w:val="FFFFFF"/>
                <w:sz w:val="20"/>
                <w:szCs w:val="20"/>
              </w:rPr>
              <w:t>Subjekte pagues 2012</w:t>
            </w:r>
          </w:p>
        </w:tc>
        <w:tc>
          <w:tcPr>
            <w:tcW w:w="1069" w:type="dxa"/>
            <w:tcBorders>
              <w:top w:val="single" w:sz="12" w:space="0" w:color="000000"/>
              <w:left w:val="nil"/>
              <w:bottom w:val="single" w:sz="8" w:space="0" w:color="000000"/>
              <w:right w:val="nil"/>
            </w:tcBorders>
            <w:shd w:val="clear" w:color="auto" w:fill="800080"/>
            <w:vAlign w:val="center"/>
          </w:tcPr>
          <w:p w:rsidR="002032FB" w:rsidRPr="00A8471C" w:rsidRDefault="002032FB" w:rsidP="007D59CF">
            <w:pPr>
              <w:spacing w:before="0" w:after="0"/>
              <w:jc w:val="left"/>
              <w:rPr>
                <w:b/>
                <w:bCs/>
                <w:color w:val="FFFFFF"/>
                <w:sz w:val="20"/>
                <w:szCs w:val="20"/>
              </w:rPr>
            </w:pPr>
            <w:r w:rsidRPr="00A8471C">
              <w:rPr>
                <w:b/>
                <w:bCs/>
                <w:color w:val="FFFFFF"/>
                <w:sz w:val="20"/>
                <w:szCs w:val="20"/>
              </w:rPr>
              <w:t xml:space="preserve">Ndryshimi </w:t>
            </w:r>
          </w:p>
        </w:tc>
      </w:tr>
      <w:tr w:rsidR="002032FB" w:rsidRPr="00841E98" w:rsidTr="001A1523">
        <w:trPr>
          <w:trHeight w:val="20"/>
          <w:jc w:val="center"/>
        </w:trPr>
        <w:tc>
          <w:tcPr>
            <w:tcW w:w="1028" w:type="dxa"/>
            <w:tcBorders>
              <w:top w:val="nil"/>
              <w:left w:val="nil"/>
              <w:bottom w:val="nil"/>
              <w:right w:val="nil"/>
            </w:tcBorders>
            <w:shd w:val="clear" w:color="auto" w:fill="C0C0C0"/>
            <w:noWrap/>
          </w:tcPr>
          <w:p w:rsidR="002032FB" w:rsidRPr="00A8471C" w:rsidRDefault="002032FB" w:rsidP="007D59CF">
            <w:pPr>
              <w:spacing w:before="0" w:after="0"/>
              <w:jc w:val="left"/>
              <w:rPr>
                <w:rFonts w:cs="Times New Roman"/>
                <w:b/>
                <w:bCs/>
                <w:color w:val="000000"/>
                <w:sz w:val="20"/>
                <w:szCs w:val="20"/>
              </w:rPr>
            </w:pPr>
            <w:r w:rsidRPr="00A8471C">
              <w:rPr>
                <w:rFonts w:cs="Times New Roman"/>
                <w:b/>
                <w:bCs/>
                <w:color w:val="000000"/>
                <w:sz w:val="20"/>
                <w:szCs w:val="20"/>
              </w:rPr>
              <w:t> </w:t>
            </w:r>
          </w:p>
        </w:tc>
        <w:tc>
          <w:tcPr>
            <w:tcW w:w="672" w:type="dxa"/>
            <w:tcBorders>
              <w:top w:val="nil"/>
              <w:left w:val="nil"/>
              <w:bottom w:val="nil"/>
              <w:right w:val="nil"/>
            </w:tcBorders>
            <w:noWrap/>
            <w:vAlign w:val="center"/>
          </w:tcPr>
          <w:p w:rsidR="002032FB" w:rsidRPr="00A8471C" w:rsidRDefault="002032FB" w:rsidP="001A1523">
            <w:pPr>
              <w:spacing w:before="0" w:after="0"/>
              <w:jc w:val="left"/>
              <w:rPr>
                <w:i/>
                <w:iCs/>
                <w:color w:val="000000"/>
                <w:sz w:val="20"/>
                <w:szCs w:val="20"/>
              </w:rPr>
            </w:pPr>
            <w:r w:rsidRPr="00A8471C">
              <w:rPr>
                <w:i/>
                <w:iCs/>
                <w:color w:val="000000"/>
                <w:sz w:val="20"/>
                <w:szCs w:val="20"/>
              </w:rPr>
              <w:t>(mln leke)</w:t>
            </w:r>
          </w:p>
        </w:tc>
        <w:tc>
          <w:tcPr>
            <w:tcW w:w="672" w:type="dxa"/>
            <w:tcBorders>
              <w:top w:val="nil"/>
              <w:left w:val="nil"/>
              <w:bottom w:val="nil"/>
              <w:right w:val="nil"/>
            </w:tcBorders>
            <w:noWrap/>
            <w:vAlign w:val="center"/>
          </w:tcPr>
          <w:p w:rsidR="002032FB" w:rsidRPr="00A8471C" w:rsidRDefault="002032FB" w:rsidP="001A1523">
            <w:pPr>
              <w:spacing w:before="0" w:after="0"/>
              <w:jc w:val="left"/>
              <w:rPr>
                <w:b/>
                <w:bCs/>
                <w:i/>
                <w:iCs/>
                <w:color w:val="000000"/>
                <w:sz w:val="20"/>
                <w:szCs w:val="20"/>
              </w:rPr>
            </w:pPr>
            <w:r w:rsidRPr="00A8471C">
              <w:rPr>
                <w:b/>
                <w:bCs/>
                <w:i/>
                <w:iCs/>
                <w:color w:val="000000"/>
                <w:sz w:val="20"/>
                <w:szCs w:val="20"/>
              </w:rPr>
              <w:t>(mln leke)</w:t>
            </w:r>
          </w:p>
        </w:tc>
        <w:tc>
          <w:tcPr>
            <w:tcW w:w="1069" w:type="dxa"/>
            <w:tcBorders>
              <w:top w:val="nil"/>
              <w:left w:val="nil"/>
              <w:bottom w:val="nil"/>
              <w:right w:val="nil"/>
            </w:tcBorders>
            <w:noWrap/>
            <w:vAlign w:val="center"/>
          </w:tcPr>
          <w:p w:rsidR="002032FB" w:rsidRPr="00A8471C" w:rsidRDefault="002032FB" w:rsidP="001A1523">
            <w:pPr>
              <w:spacing w:before="0" w:after="0"/>
              <w:jc w:val="left"/>
              <w:rPr>
                <w:i/>
                <w:iCs/>
                <w:color w:val="000000"/>
                <w:sz w:val="20"/>
                <w:szCs w:val="20"/>
              </w:rPr>
            </w:pPr>
            <w:r w:rsidRPr="00A8471C">
              <w:rPr>
                <w:i/>
                <w:iCs/>
                <w:color w:val="000000"/>
                <w:sz w:val="20"/>
                <w:szCs w:val="20"/>
              </w:rPr>
              <w:t>ne %</w:t>
            </w:r>
          </w:p>
        </w:tc>
        <w:tc>
          <w:tcPr>
            <w:tcW w:w="943" w:type="dxa"/>
            <w:tcBorders>
              <w:top w:val="nil"/>
              <w:left w:val="nil"/>
              <w:bottom w:val="nil"/>
              <w:right w:val="nil"/>
            </w:tcBorders>
            <w:noWrap/>
          </w:tcPr>
          <w:p w:rsidR="002032FB" w:rsidRPr="00A8471C" w:rsidRDefault="002032FB" w:rsidP="001A1523">
            <w:pPr>
              <w:spacing w:before="0" w:after="0"/>
              <w:jc w:val="left"/>
              <w:rPr>
                <w:i/>
                <w:iCs/>
                <w:color w:val="000000"/>
                <w:sz w:val="20"/>
                <w:szCs w:val="20"/>
              </w:rPr>
            </w:pPr>
            <w:r w:rsidRPr="00A8471C">
              <w:rPr>
                <w:i/>
                <w:iCs/>
                <w:color w:val="000000"/>
                <w:sz w:val="20"/>
                <w:szCs w:val="20"/>
              </w:rPr>
              <w:t>numër</w:t>
            </w:r>
          </w:p>
        </w:tc>
        <w:tc>
          <w:tcPr>
            <w:tcW w:w="943" w:type="dxa"/>
            <w:tcBorders>
              <w:top w:val="nil"/>
              <w:left w:val="nil"/>
              <w:bottom w:val="nil"/>
              <w:right w:val="nil"/>
            </w:tcBorders>
            <w:noWrap/>
            <w:vAlign w:val="center"/>
          </w:tcPr>
          <w:p w:rsidR="002032FB" w:rsidRPr="00A8471C" w:rsidRDefault="002032FB" w:rsidP="001A1523">
            <w:pPr>
              <w:spacing w:before="0" w:after="0"/>
              <w:jc w:val="left"/>
              <w:rPr>
                <w:i/>
                <w:iCs/>
                <w:color w:val="000000"/>
                <w:sz w:val="20"/>
                <w:szCs w:val="20"/>
              </w:rPr>
            </w:pPr>
            <w:r w:rsidRPr="00A8471C">
              <w:rPr>
                <w:i/>
                <w:iCs/>
                <w:color w:val="000000"/>
                <w:sz w:val="20"/>
                <w:szCs w:val="20"/>
              </w:rPr>
              <w:t>numër</w:t>
            </w:r>
          </w:p>
        </w:tc>
        <w:tc>
          <w:tcPr>
            <w:tcW w:w="1069" w:type="dxa"/>
            <w:tcBorders>
              <w:top w:val="nil"/>
              <w:left w:val="nil"/>
              <w:bottom w:val="nil"/>
              <w:right w:val="nil"/>
            </w:tcBorders>
            <w:noWrap/>
            <w:vAlign w:val="center"/>
          </w:tcPr>
          <w:p w:rsidR="002032FB" w:rsidRPr="00A8471C" w:rsidRDefault="002032FB" w:rsidP="001A1523">
            <w:pPr>
              <w:spacing w:before="0" w:after="0"/>
              <w:jc w:val="left"/>
              <w:rPr>
                <w:i/>
                <w:iCs/>
                <w:color w:val="000000"/>
                <w:sz w:val="20"/>
                <w:szCs w:val="20"/>
              </w:rPr>
            </w:pPr>
            <w:r w:rsidRPr="00A8471C">
              <w:rPr>
                <w:i/>
                <w:iCs/>
                <w:color w:val="000000"/>
                <w:sz w:val="20"/>
                <w:szCs w:val="20"/>
              </w:rPr>
              <w:t>ne %</w:t>
            </w:r>
          </w:p>
        </w:tc>
      </w:tr>
      <w:tr w:rsidR="002032FB" w:rsidRPr="00841E98" w:rsidTr="001A1523">
        <w:trPr>
          <w:trHeight w:val="20"/>
          <w:jc w:val="center"/>
        </w:trPr>
        <w:tc>
          <w:tcPr>
            <w:tcW w:w="1028" w:type="dxa"/>
            <w:tcBorders>
              <w:top w:val="nil"/>
              <w:left w:val="nil"/>
              <w:bottom w:val="nil"/>
              <w:right w:val="nil"/>
            </w:tcBorders>
            <w:shd w:val="clear" w:color="auto" w:fill="C0C0C0"/>
            <w:noWrap/>
          </w:tcPr>
          <w:p w:rsidR="002032FB" w:rsidRPr="00A8471C" w:rsidRDefault="002032FB" w:rsidP="007D59CF">
            <w:pPr>
              <w:spacing w:before="0" w:after="0"/>
              <w:jc w:val="left"/>
              <w:rPr>
                <w:b/>
                <w:bCs/>
                <w:color w:val="000000"/>
                <w:sz w:val="20"/>
                <w:szCs w:val="20"/>
              </w:rPr>
            </w:pPr>
            <w:r w:rsidRPr="00A8471C">
              <w:rPr>
                <w:b/>
                <w:bCs/>
                <w:color w:val="000000"/>
                <w:sz w:val="20"/>
                <w:szCs w:val="20"/>
              </w:rPr>
              <w:t>Prodhim</w:t>
            </w:r>
          </w:p>
        </w:tc>
        <w:tc>
          <w:tcPr>
            <w:tcW w:w="672" w:type="dxa"/>
            <w:tcBorders>
              <w:top w:val="nil"/>
              <w:left w:val="nil"/>
              <w:bottom w:val="nil"/>
              <w:right w:val="nil"/>
            </w:tcBorders>
            <w:noWrap/>
            <w:vAlign w:val="center"/>
          </w:tcPr>
          <w:p w:rsidR="002032FB" w:rsidRPr="00A8471C" w:rsidRDefault="002032FB" w:rsidP="001A1523">
            <w:pPr>
              <w:spacing w:before="0" w:after="0"/>
              <w:jc w:val="left"/>
              <w:rPr>
                <w:rFonts w:cs="Times New Roman"/>
                <w:color w:val="000000"/>
                <w:sz w:val="20"/>
                <w:szCs w:val="20"/>
              </w:rPr>
            </w:pPr>
            <w:r w:rsidRPr="00A8471C">
              <w:rPr>
                <w:color w:val="000000"/>
                <w:sz w:val="20"/>
                <w:szCs w:val="20"/>
              </w:rPr>
              <w:t>7,</w:t>
            </w:r>
            <w:r>
              <w:rPr>
                <w:color w:val="000000"/>
                <w:sz w:val="20"/>
                <w:szCs w:val="20"/>
              </w:rPr>
              <w:t>711</w:t>
            </w:r>
          </w:p>
        </w:tc>
        <w:tc>
          <w:tcPr>
            <w:tcW w:w="672" w:type="dxa"/>
            <w:tcBorders>
              <w:top w:val="nil"/>
              <w:left w:val="nil"/>
              <w:bottom w:val="nil"/>
              <w:right w:val="nil"/>
            </w:tcBorders>
            <w:noWrap/>
            <w:vAlign w:val="center"/>
          </w:tcPr>
          <w:p w:rsidR="002032FB" w:rsidRPr="00A8471C" w:rsidRDefault="002032FB" w:rsidP="001A1523">
            <w:pPr>
              <w:spacing w:before="0" w:after="0"/>
              <w:jc w:val="left"/>
              <w:rPr>
                <w:rFonts w:cs="Times New Roman"/>
                <w:color w:val="000000"/>
                <w:sz w:val="20"/>
                <w:szCs w:val="20"/>
              </w:rPr>
            </w:pPr>
            <w:r w:rsidRPr="00A8471C">
              <w:rPr>
                <w:color w:val="000000"/>
                <w:sz w:val="20"/>
                <w:szCs w:val="20"/>
              </w:rPr>
              <w:t>5,</w:t>
            </w:r>
            <w:r>
              <w:rPr>
                <w:color w:val="000000"/>
                <w:sz w:val="20"/>
                <w:szCs w:val="20"/>
              </w:rPr>
              <w:t>659</w:t>
            </w:r>
          </w:p>
        </w:tc>
        <w:tc>
          <w:tcPr>
            <w:tcW w:w="1069" w:type="dxa"/>
            <w:tcBorders>
              <w:top w:val="nil"/>
              <w:left w:val="nil"/>
              <w:bottom w:val="nil"/>
              <w:right w:val="nil"/>
            </w:tcBorders>
            <w:noWrap/>
            <w:vAlign w:val="center"/>
          </w:tcPr>
          <w:p w:rsidR="002032FB" w:rsidRPr="00A8471C" w:rsidRDefault="002032FB" w:rsidP="001A1523">
            <w:pPr>
              <w:spacing w:before="0" w:after="0"/>
              <w:jc w:val="left"/>
              <w:rPr>
                <w:rFonts w:cs="Times New Roman"/>
                <w:color w:val="000000"/>
                <w:sz w:val="20"/>
                <w:szCs w:val="20"/>
              </w:rPr>
            </w:pPr>
            <w:r w:rsidRPr="00A8471C">
              <w:rPr>
                <w:color w:val="FF0000"/>
                <w:sz w:val="20"/>
                <w:szCs w:val="20"/>
              </w:rPr>
              <w:t>-26.6%</w:t>
            </w:r>
          </w:p>
        </w:tc>
        <w:tc>
          <w:tcPr>
            <w:tcW w:w="943" w:type="dxa"/>
            <w:tcBorders>
              <w:top w:val="nil"/>
              <w:left w:val="nil"/>
              <w:bottom w:val="nil"/>
              <w:right w:val="nil"/>
            </w:tcBorders>
            <w:noWrap/>
            <w:vAlign w:val="center"/>
          </w:tcPr>
          <w:p w:rsidR="002032FB" w:rsidRPr="00A8471C" w:rsidRDefault="002032FB" w:rsidP="001A1523">
            <w:pPr>
              <w:spacing w:before="0" w:after="0"/>
              <w:jc w:val="left"/>
              <w:rPr>
                <w:rFonts w:cs="Times New Roman"/>
                <w:color w:val="000000"/>
                <w:sz w:val="20"/>
                <w:szCs w:val="20"/>
              </w:rPr>
            </w:pPr>
            <w:r w:rsidRPr="00A8471C">
              <w:rPr>
                <w:color w:val="000000"/>
                <w:sz w:val="20"/>
                <w:szCs w:val="20"/>
              </w:rPr>
              <w:t>1,</w:t>
            </w:r>
            <w:r>
              <w:rPr>
                <w:color w:val="000000"/>
                <w:sz w:val="20"/>
                <w:szCs w:val="20"/>
              </w:rPr>
              <w:t>528</w:t>
            </w:r>
          </w:p>
        </w:tc>
        <w:tc>
          <w:tcPr>
            <w:tcW w:w="943" w:type="dxa"/>
            <w:tcBorders>
              <w:top w:val="nil"/>
              <w:left w:val="nil"/>
              <w:bottom w:val="nil"/>
              <w:right w:val="nil"/>
            </w:tcBorders>
            <w:noWrap/>
            <w:vAlign w:val="center"/>
          </w:tcPr>
          <w:p w:rsidR="002032FB" w:rsidRPr="00A8471C" w:rsidRDefault="002032FB" w:rsidP="001A1523">
            <w:pPr>
              <w:spacing w:before="0" w:after="0"/>
              <w:jc w:val="left"/>
              <w:rPr>
                <w:rFonts w:cs="Times New Roman"/>
                <w:color w:val="000000"/>
                <w:sz w:val="20"/>
                <w:szCs w:val="20"/>
              </w:rPr>
            </w:pPr>
            <w:r w:rsidRPr="00A8471C">
              <w:rPr>
                <w:color w:val="000000"/>
                <w:sz w:val="20"/>
                <w:szCs w:val="20"/>
              </w:rPr>
              <w:t>1,</w:t>
            </w:r>
            <w:r>
              <w:rPr>
                <w:color w:val="000000"/>
                <w:sz w:val="20"/>
                <w:szCs w:val="20"/>
              </w:rPr>
              <w:t>507</w:t>
            </w:r>
          </w:p>
        </w:tc>
        <w:tc>
          <w:tcPr>
            <w:tcW w:w="1069" w:type="dxa"/>
            <w:tcBorders>
              <w:top w:val="nil"/>
              <w:left w:val="nil"/>
              <w:bottom w:val="nil"/>
              <w:right w:val="nil"/>
            </w:tcBorders>
            <w:noWrap/>
            <w:vAlign w:val="center"/>
          </w:tcPr>
          <w:p w:rsidR="002032FB" w:rsidRPr="00A8471C" w:rsidRDefault="002032FB" w:rsidP="001A1523">
            <w:pPr>
              <w:spacing w:before="0" w:after="0"/>
              <w:jc w:val="left"/>
              <w:rPr>
                <w:color w:val="FF0000"/>
                <w:sz w:val="20"/>
                <w:szCs w:val="20"/>
              </w:rPr>
            </w:pPr>
            <w:r w:rsidRPr="00A8471C">
              <w:rPr>
                <w:color w:val="FF0000"/>
                <w:sz w:val="20"/>
                <w:szCs w:val="20"/>
              </w:rPr>
              <w:t>-1.4%</w:t>
            </w:r>
          </w:p>
        </w:tc>
      </w:tr>
      <w:tr w:rsidR="002032FB" w:rsidRPr="00841E98" w:rsidTr="001A1523">
        <w:trPr>
          <w:trHeight w:val="20"/>
          <w:jc w:val="center"/>
        </w:trPr>
        <w:tc>
          <w:tcPr>
            <w:tcW w:w="1028" w:type="dxa"/>
            <w:tcBorders>
              <w:top w:val="nil"/>
              <w:left w:val="nil"/>
              <w:bottom w:val="nil"/>
              <w:right w:val="nil"/>
            </w:tcBorders>
            <w:shd w:val="clear" w:color="auto" w:fill="C0C0C0"/>
            <w:noWrap/>
            <w:vAlign w:val="center"/>
          </w:tcPr>
          <w:p w:rsidR="002032FB" w:rsidRPr="00A8471C" w:rsidRDefault="002032FB" w:rsidP="007D59CF">
            <w:pPr>
              <w:spacing w:before="0" w:after="0"/>
              <w:jc w:val="left"/>
              <w:rPr>
                <w:b/>
                <w:bCs/>
                <w:color w:val="000000"/>
                <w:sz w:val="20"/>
                <w:szCs w:val="20"/>
              </w:rPr>
            </w:pPr>
            <w:r w:rsidRPr="00A8471C">
              <w:rPr>
                <w:b/>
                <w:bCs/>
                <w:color w:val="000000"/>
                <w:sz w:val="20"/>
                <w:szCs w:val="20"/>
              </w:rPr>
              <w:t>Ndërtim</w:t>
            </w:r>
          </w:p>
        </w:tc>
        <w:tc>
          <w:tcPr>
            <w:tcW w:w="672" w:type="dxa"/>
            <w:tcBorders>
              <w:top w:val="nil"/>
              <w:left w:val="nil"/>
              <w:bottom w:val="nil"/>
              <w:right w:val="nil"/>
            </w:tcBorders>
            <w:noWrap/>
            <w:vAlign w:val="center"/>
          </w:tcPr>
          <w:p w:rsidR="002032FB" w:rsidRPr="00A8471C" w:rsidRDefault="002032FB" w:rsidP="001A1523">
            <w:pPr>
              <w:spacing w:before="0" w:after="0"/>
              <w:jc w:val="left"/>
              <w:rPr>
                <w:rFonts w:cs="Times New Roman"/>
                <w:color w:val="000000"/>
                <w:sz w:val="20"/>
                <w:szCs w:val="20"/>
              </w:rPr>
            </w:pPr>
            <w:r w:rsidRPr="00A8471C">
              <w:rPr>
                <w:color w:val="000000"/>
                <w:sz w:val="20"/>
                <w:szCs w:val="20"/>
              </w:rPr>
              <w:t>5,</w:t>
            </w:r>
            <w:r>
              <w:rPr>
                <w:color w:val="000000"/>
                <w:sz w:val="20"/>
                <w:szCs w:val="20"/>
              </w:rPr>
              <w:t>763</w:t>
            </w:r>
          </w:p>
        </w:tc>
        <w:tc>
          <w:tcPr>
            <w:tcW w:w="672" w:type="dxa"/>
            <w:tcBorders>
              <w:top w:val="nil"/>
              <w:left w:val="nil"/>
              <w:bottom w:val="nil"/>
              <w:right w:val="nil"/>
            </w:tcBorders>
            <w:noWrap/>
            <w:vAlign w:val="center"/>
          </w:tcPr>
          <w:p w:rsidR="002032FB" w:rsidRPr="00A8471C" w:rsidRDefault="002032FB" w:rsidP="001A1523">
            <w:pPr>
              <w:spacing w:before="0" w:after="0"/>
              <w:jc w:val="left"/>
              <w:rPr>
                <w:rFonts w:cs="Times New Roman"/>
                <w:color w:val="000000"/>
                <w:sz w:val="20"/>
                <w:szCs w:val="20"/>
              </w:rPr>
            </w:pPr>
            <w:r w:rsidRPr="00A8471C">
              <w:rPr>
                <w:color w:val="000000"/>
                <w:sz w:val="20"/>
                <w:szCs w:val="20"/>
              </w:rPr>
              <w:t>4,</w:t>
            </w:r>
            <w:r>
              <w:rPr>
                <w:color w:val="000000"/>
                <w:sz w:val="20"/>
                <w:szCs w:val="20"/>
              </w:rPr>
              <w:t>741</w:t>
            </w:r>
          </w:p>
        </w:tc>
        <w:tc>
          <w:tcPr>
            <w:tcW w:w="1069" w:type="dxa"/>
            <w:tcBorders>
              <w:top w:val="nil"/>
              <w:left w:val="nil"/>
              <w:bottom w:val="nil"/>
              <w:right w:val="nil"/>
            </w:tcBorders>
            <w:noWrap/>
            <w:vAlign w:val="center"/>
          </w:tcPr>
          <w:p w:rsidR="002032FB" w:rsidRPr="00A8471C" w:rsidRDefault="002032FB" w:rsidP="001A1523">
            <w:pPr>
              <w:spacing w:before="0" w:after="0"/>
              <w:jc w:val="left"/>
              <w:rPr>
                <w:rFonts w:cs="Times New Roman"/>
                <w:color w:val="000000"/>
                <w:sz w:val="20"/>
                <w:szCs w:val="20"/>
              </w:rPr>
            </w:pPr>
            <w:r w:rsidRPr="00A8471C">
              <w:rPr>
                <w:color w:val="FF0000"/>
                <w:sz w:val="20"/>
                <w:szCs w:val="20"/>
              </w:rPr>
              <w:t>-</w:t>
            </w:r>
            <w:r>
              <w:rPr>
                <w:color w:val="FF0000"/>
                <w:sz w:val="20"/>
                <w:szCs w:val="20"/>
              </w:rPr>
              <w:t>17.7</w:t>
            </w:r>
            <w:r w:rsidRPr="00A8471C">
              <w:rPr>
                <w:color w:val="FF0000"/>
                <w:sz w:val="20"/>
                <w:szCs w:val="20"/>
              </w:rPr>
              <w:t>%</w:t>
            </w:r>
          </w:p>
        </w:tc>
        <w:tc>
          <w:tcPr>
            <w:tcW w:w="943" w:type="dxa"/>
            <w:tcBorders>
              <w:top w:val="nil"/>
              <w:left w:val="nil"/>
              <w:bottom w:val="nil"/>
              <w:right w:val="nil"/>
            </w:tcBorders>
            <w:noWrap/>
            <w:vAlign w:val="center"/>
          </w:tcPr>
          <w:p w:rsidR="002032FB" w:rsidRPr="00A8471C" w:rsidRDefault="002032FB" w:rsidP="001A1523">
            <w:pPr>
              <w:spacing w:before="0" w:after="0"/>
              <w:jc w:val="left"/>
              <w:rPr>
                <w:rFonts w:cs="Times New Roman"/>
                <w:color w:val="000000"/>
                <w:sz w:val="20"/>
                <w:szCs w:val="20"/>
              </w:rPr>
            </w:pPr>
            <w:r w:rsidRPr="00A8471C">
              <w:rPr>
                <w:color w:val="000000"/>
                <w:sz w:val="20"/>
                <w:szCs w:val="20"/>
              </w:rPr>
              <w:t>1,9</w:t>
            </w:r>
            <w:r>
              <w:rPr>
                <w:color w:val="000000"/>
                <w:sz w:val="20"/>
                <w:szCs w:val="20"/>
              </w:rPr>
              <w:t>71</w:t>
            </w:r>
          </w:p>
        </w:tc>
        <w:tc>
          <w:tcPr>
            <w:tcW w:w="943" w:type="dxa"/>
            <w:tcBorders>
              <w:top w:val="nil"/>
              <w:left w:val="nil"/>
              <w:bottom w:val="nil"/>
              <w:right w:val="nil"/>
            </w:tcBorders>
            <w:noWrap/>
            <w:vAlign w:val="center"/>
          </w:tcPr>
          <w:p w:rsidR="002032FB" w:rsidRPr="00A8471C" w:rsidRDefault="002032FB" w:rsidP="001A1523">
            <w:pPr>
              <w:spacing w:before="0" w:after="0"/>
              <w:jc w:val="left"/>
              <w:rPr>
                <w:rFonts w:cs="Times New Roman"/>
                <w:color w:val="000000"/>
                <w:sz w:val="20"/>
                <w:szCs w:val="20"/>
              </w:rPr>
            </w:pPr>
            <w:r w:rsidRPr="00A8471C">
              <w:rPr>
                <w:color w:val="000000"/>
                <w:sz w:val="20"/>
                <w:szCs w:val="20"/>
              </w:rPr>
              <w:t>1,8</w:t>
            </w:r>
            <w:r>
              <w:rPr>
                <w:color w:val="000000"/>
                <w:sz w:val="20"/>
                <w:szCs w:val="20"/>
              </w:rPr>
              <w:t>50</w:t>
            </w:r>
          </w:p>
        </w:tc>
        <w:tc>
          <w:tcPr>
            <w:tcW w:w="1069" w:type="dxa"/>
            <w:tcBorders>
              <w:top w:val="nil"/>
              <w:left w:val="nil"/>
              <w:bottom w:val="nil"/>
              <w:right w:val="nil"/>
            </w:tcBorders>
            <w:noWrap/>
            <w:vAlign w:val="center"/>
          </w:tcPr>
          <w:p w:rsidR="002032FB" w:rsidRPr="00A8471C" w:rsidRDefault="002032FB" w:rsidP="001A1523">
            <w:pPr>
              <w:spacing w:before="0" w:after="0"/>
              <w:jc w:val="left"/>
              <w:rPr>
                <w:rFonts w:cs="Times New Roman"/>
                <w:color w:val="000000"/>
                <w:sz w:val="20"/>
                <w:szCs w:val="20"/>
              </w:rPr>
            </w:pPr>
            <w:r w:rsidRPr="00A8471C">
              <w:rPr>
                <w:color w:val="FF0000"/>
                <w:sz w:val="20"/>
                <w:szCs w:val="20"/>
              </w:rPr>
              <w:t>-</w:t>
            </w:r>
            <w:r>
              <w:rPr>
                <w:color w:val="FF0000"/>
                <w:sz w:val="20"/>
                <w:szCs w:val="20"/>
              </w:rPr>
              <w:t>6.1</w:t>
            </w:r>
            <w:r w:rsidRPr="00A8471C">
              <w:rPr>
                <w:color w:val="FF0000"/>
                <w:sz w:val="20"/>
                <w:szCs w:val="20"/>
              </w:rPr>
              <w:t>%</w:t>
            </w:r>
          </w:p>
        </w:tc>
      </w:tr>
      <w:tr w:rsidR="002032FB" w:rsidRPr="00841E98" w:rsidTr="001A1523">
        <w:trPr>
          <w:trHeight w:val="20"/>
          <w:jc w:val="center"/>
        </w:trPr>
        <w:tc>
          <w:tcPr>
            <w:tcW w:w="1028" w:type="dxa"/>
            <w:tcBorders>
              <w:top w:val="nil"/>
              <w:left w:val="nil"/>
              <w:bottom w:val="nil"/>
              <w:right w:val="nil"/>
            </w:tcBorders>
            <w:shd w:val="clear" w:color="auto" w:fill="C0C0C0"/>
            <w:noWrap/>
          </w:tcPr>
          <w:p w:rsidR="002032FB" w:rsidRPr="00A8471C" w:rsidRDefault="002032FB" w:rsidP="007D59CF">
            <w:pPr>
              <w:spacing w:before="0" w:after="0"/>
              <w:jc w:val="left"/>
              <w:rPr>
                <w:b/>
                <w:bCs/>
                <w:color w:val="000000"/>
                <w:sz w:val="20"/>
                <w:szCs w:val="20"/>
              </w:rPr>
            </w:pPr>
            <w:r w:rsidRPr="00A8471C">
              <w:rPr>
                <w:b/>
                <w:bCs/>
                <w:color w:val="000000"/>
                <w:sz w:val="20"/>
                <w:szCs w:val="20"/>
              </w:rPr>
              <w:t>Transport</w:t>
            </w:r>
          </w:p>
        </w:tc>
        <w:tc>
          <w:tcPr>
            <w:tcW w:w="672" w:type="dxa"/>
            <w:tcBorders>
              <w:top w:val="nil"/>
              <w:left w:val="nil"/>
              <w:bottom w:val="nil"/>
              <w:right w:val="nil"/>
            </w:tcBorders>
            <w:noWrap/>
            <w:vAlign w:val="center"/>
          </w:tcPr>
          <w:p w:rsidR="002032FB" w:rsidRPr="00A8471C" w:rsidRDefault="002032FB" w:rsidP="001A1523">
            <w:pPr>
              <w:spacing w:before="0" w:after="0"/>
              <w:jc w:val="left"/>
              <w:rPr>
                <w:rFonts w:cs="Times New Roman"/>
                <w:color w:val="000000"/>
                <w:sz w:val="20"/>
                <w:szCs w:val="20"/>
              </w:rPr>
            </w:pPr>
            <w:r w:rsidRPr="00A8471C">
              <w:rPr>
                <w:color w:val="000000"/>
                <w:sz w:val="20"/>
                <w:szCs w:val="20"/>
              </w:rPr>
              <w:t>4</w:t>
            </w:r>
            <w:r>
              <w:rPr>
                <w:color w:val="000000"/>
                <w:sz w:val="20"/>
                <w:szCs w:val="20"/>
              </w:rPr>
              <w:t>43</w:t>
            </w:r>
          </w:p>
        </w:tc>
        <w:tc>
          <w:tcPr>
            <w:tcW w:w="672" w:type="dxa"/>
            <w:tcBorders>
              <w:top w:val="nil"/>
              <w:left w:val="nil"/>
              <w:bottom w:val="nil"/>
              <w:right w:val="nil"/>
            </w:tcBorders>
            <w:noWrap/>
            <w:vAlign w:val="center"/>
          </w:tcPr>
          <w:p w:rsidR="002032FB" w:rsidRPr="00A8471C" w:rsidRDefault="002032FB" w:rsidP="001A1523">
            <w:pPr>
              <w:spacing w:before="0" w:after="0"/>
              <w:jc w:val="left"/>
              <w:rPr>
                <w:color w:val="000000"/>
                <w:sz w:val="20"/>
                <w:szCs w:val="20"/>
              </w:rPr>
            </w:pPr>
            <w:r>
              <w:rPr>
                <w:color w:val="000000"/>
                <w:sz w:val="20"/>
                <w:szCs w:val="20"/>
              </w:rPr>
              <w:t>317</w:t>
            </w:r>
            <w:r w:rsidRPr="00A8471C">
              <w:rPr>
                <w:color w:val="000000"/>
                <w:sz w:val="20"/>
                <w:szCs w:val="20"/>
              </w:rPr>
              <w:t xml:space="preserve"> </w:t>
            </w:r>
          </w:p>
        </w:tc>
        <w:tc>
          <w:tcPr>
            <w:tcW w:w="1069" w:type="dxa"/>
            <w:tcBorders>
              <w:top w:val="nil"/>
              <w:left w:val="nil"/>
              <w:bottom w:val="nil"/>
              <w:right w:val="nil"/>
            </w:tcBorders>
            <w:noWrap/>
            <w:vAlign w:val="center"/>
          </w:tcPr>
          <w:p w:rsidR="002032FB" w:rsidRPr="00A8471C" w:rsidRDefault="002032FB" w:rsidP="001A1523">
            <w:pPr>
              <w:spacing w:before="0" w:after="0"/>
              <w:jc w:val="left"/>
              <w:rPr>
                <w:rFonts w:cs="Times New Roman"/>
                <w:color w:val="000000"/>
                <w:sz w:val="20"/>
                <w:szCs w:val="20"/>
              </w:rPr>
            </w:pPr>
            <w:r>
              <w:rPr>
                <w:color w:val="FF0000"/>
                <w:sz w:val="20"/>
                <w:szCs w:val="20"/>
              </w:rPr>
              <w:t>-28.3</w:t>
            </w:r>
            <w:r w:rsidRPr="00A8471C">
              <w:rPr>
                <w:color w:val="FF0000"/>
                <w:sz w:val="20"/>
                <w:szCs w:val="20"/>
              </w:rPr>
              <w:t>%</w:t>
            </w:r>
          </w:p>
        </w:tc>
        <w:tc>
          <w:tcPr>
            <w:tcW w:w="943" w:type="dxa"/>
            <w:tcBorders>
              <w:top w:val="nil"/>
              <w:left w:val="nil"/>
              <w:bottom w:val="nil"/>
              <w:right w:val="nil"/>
            </w:tcBorders>
            <w:noWrap/>
            <w:vAlign w:val="center"/>
          </w:tcPr>
          <w:p w:rsidR="002032FB" w:rsidRPr="00A8471C" w:rsidRDefault="002032FB" w:rsidP="001A1523">
            <w:pPr>
              <w:spacing w:before="0" w:after="0"/>
              <w:jc w:val="left"/>
              <w:rPr>
                <w:rFonts w:cs="Times New Roman"/>
                <w:color w:val="000000"/>
                <w:sz w:val="20"/>
                <w:szCs w:val="20"/>
              </w:rPr>
            </w:pPr>
            <w:r w:rsidRPr="00A8471C">
              <w:rPr>
                <w:color w:val="000000"/>
                <w:sz w:val="20"/>
                <w:szCs w:val="20"/>
              </w:rPr>
              <w:t>3</w:t>
            </w:r>
            <w:r>
              <w:rPr>
                <w:color w:val="000000"/>
                <w:sz w:val="20"/>
                <w:szCs w:val="20"/>
              </w:rPr>
              <w:t>35</w:t>
            </w:r>
          </w:p>
        </w:tc>
        <w:tc>
          <w:tcPr>
            <w:tcW w:w="943" w:type="dxa"/>
            <w:tcBorders>
              <w:top w:val="nil"/>
              <w:left w:val="nil"/>
              <w:bottom w:val="nil"/>
              <w:right w:val="nil"/>
            </w:tcBorders>
            <w:noWrap/>
            <w:vAlign w:val="center"/>
          </w:tcPr>
          <w:p w:rsidR="002032FB" w:rsidRPr="00A8471C" w:rsidRDefault="002032FB" w:rsidP="001A1523">
            <w:pPr>
              <w:spacing w:before="0" w:after="0"/>
              <w:jc w:val="left"/>
              <w:rPr>
                <w:rFonts w:cs="Times New Roman"/>
                <w:color w:val="000000"/>
                <w:sz w:val="20"/>
                <w:szCs w:val="20"/>
              </w:rPr>
            </w:pPr>
            <w:r w:rsidRPr="00A8471C">
              <w:rPr>
                <w:color w:val="000000"/>
                <w:sz w:val="20"/>
                <w:szCs w:val="20"/>
              </w:rPr>
              <w:t>3</w:t>
            </w:r>
            <w:r>
              <w:rPr>
                <w:color w:val="000000"/>
                <w:sz w:val="20"/>
                <w:szCs w:val="20"/>
              </w:rPr>
              <w:t>70</w:t>
            </w:r>
          </w:p>
        </w:tc>
        <w:tc>
          <w:tcPr>
            <w:tcW w:w="1069" w:type="dxa"/>
            <w:tcBorders>
              <w:top w:val="nil"/>
              <w:left w:val="nil"/>
              <w:bottom w:val="nil"/>
              <w:right w:val="nil"/>
            </w:tcBorders>
            <w:noWrap/>
            <w:vAlign w:val="center"/>
          </w:tcPr>
          <w:p w:rsidR="002032FB" w:rsidRPr="00A8471C" w:rsidRDefault="002032FB" w:rsidP="001A1523">
            <w:pPr>
              <w:spacing w:before="0" w:after="0"/>
              <w:jc w:val="left"/>
              <w:rPr>
                <w:color w:val="000000"/>
                <w:sz w:val="20"/>
                <w:szCs w:val="20"/>
              </w:rPr>
            </w:pPr>
            <w:r>
              <w:rPr>
                <w:color w:val="000000"/>
                <w:sz w:val="20"/>
                <w:szCs w:val="20"/>
              </w:rPr>
              <w:t>10.4</w:t>
            </w:r>
            <w:r w:rsidRPr="00A8471C">
              <w:rPr>
                <w:color w:val="000000"/>
                <w:sz w:val="20"/>
                <w:szCs w:val="20"/>
              </w:rPr>
              <w:t>%</w:t>
            </w:r>
          </w:p>
        </w:tc>
      </w:tr>
      <w:tr w:rsidR="002032FB" w:rsidRPr="00841E98" w:rsidTr="001A1523">
        <w:trPr>
          <w:trHeight w:val="20"/>
          <w:jc w:val="center"/>
        </w:trPr>
        <w:tc>
          <w:tcPr>
            <w:tcW w:w="1028" w:type="dxa"/>
            <w:tcBorders>
              <w:top w:val="nil"/>
              <w:left w:val="nil"/>
              <w:bottom w:val="nil"/>
              <w:right w:val="nil"/>
            </w:tcBorders>
            <w:shd w:val="clear" w:color="auto" w:fill="C0C0C0"/>
            <w:noWrap/>
          </w:tcPr>
          <w:p w:rsidR="002032FB" w:rsidRPr="00A8471C" w:rsidRDefault="002032FB" w:rsidP="007D59CF">
            <w:pPr>
              <w:spacing w:before="0" w:after="0"/>
              <w:jc w:val="left"/>
              <w:rPr>
                <w:b/>
                <w:bCs/>
                <w:color w:val="000000"/>
                <w:sz w:val="20"/>
                <w:szCs w:val="20"/>
              </w:rPr>
            </w:pPr>
            <w:r w:rsidRPr="00A8471C">
              <w:rPr>
                <w:b/>
                <w:bCs/>
                <w:color w:val="000000"/>
                <w:sz w:val="20"/>
                <w:szCs w:val="20"/>
              </w:rPr>
              <w:t>Tregti</w:t>
            </w:r>
          </w:p>
        </w:tc>
        <w:tc>
          <w:tcPr>
            <w:tcW w:w="672" w:type="dxa"/>
            <w:tcBorders>
              <w:top w:val="nil"/>
              <w:left w:val="nil"/>
              <w:bottom w:val="nil"/>
              <w:right w:val="nil"/>
            </w:tcBorders>
            <w:noWrap/>
            <w:vAlign w:val="center"/>
          </w:tcPr>
          <w:p w:rsidR="002032FB" w:rsidRPr="00A8471C" w:rsidRDefault="002032FB" w:rsidP="001A1523">
            <w:pPr>
              <w:spacing w:before="0" w:after="0"/>
              <w:jc w:val="left"/>
              <w:rPr>
                <w:rFonts w:cs="Times New Roman"/>
                <w:color w:val="000000"/>
                <w:sz w:val="20"/>
                <w:szCs w:val="20"/>
              </w:rPr>
            </w:pPr>
            <w:r w:rsidRPr="00A8471C">
              <w:rPr>
                <w:color w:val="000000"/>
                <w:sz w:val="20"/>
                <w:szCs w:val="20"/>
              </w:rPr>
              <w:t>4,</w:t>
            </w:r>
            <w:r>
              <w:rPr>
                <w:color w:val="000000"/>
                <w:sz w:val="20"/>
                <w:szCs w:val="20"/>
              </w:rPr>
              <w:t>462</w:t>
            </w:r>
          </w:p>
        </w:tc>
        <w:tc>
          <w:tcPr>
            <w:tcW w:w="672" w:type="dxa"/>
            <w:tcBorders>
              <w:top w:val="nil"/>
              <w:left w:val="nil"/>
              <w:bottom w:val="nil"/>
              <w:right w:val="nil"/>
            </w:tcBorders>
            <w:noWrap/>
            <w:vAlign w:val="center"/>
          </w:tcPr>
          <w:p w:rsidR="002032FB" w:rsidRPr="00A8471C" w:rsidRDefault="002032FB" w:rsidP="001A1523">
            <w:pPr>
              <w:spacing w:before="0" w:after="0"/>
              <w:jc w:val="left"/>
              <w:rPr>
                <w:rFonts w:cs="Times New Roman"/>
                <w:color w:val="000000"/>
                <w:sz w:val="20"/>
                <w:szCs w:val="20"/>
              </w:rPr>
            </w:pPr>
            <w:r>
              <w:rPr>
                <w:color w:val="000000"/>
                <w:sz w:val="20"/>
                <w:szCs w:val="20"/>
              </w:rPr>
              <w:t>4,164</w:t>
            </w:r>
          </w:p>
        </w:tc>
        <w:tc>
          <w:tcPr>
            <w:tcW w:w="1069" w:type="dxa"/>
            <w:tcBorders>
              <w:top w:val="nil"/>
              <w:left w:val="nil"/>
              <w:bottom w:val="nil"/>
              <w:right w:val="nil"/>
            </w:tcBorders>
            <w:noWrap/>
            <w:vAlign w:val="center"/>
          </w:tcPr>
          <w:p w:rsidR="002032FB" w:rsidRPr="00A8471C" w:rsidRDefault="002032FB" w:rsidP="001A1523">
            <w:pPr>
              <w:spacing w:before="0" w:after="0"/>
              <w:jc w:val="left"/>
              <w:rPr>
                <w:rFonts w:cs="Times New Roman"/>
                <w:color w:val="000000"/>
                <w:sz w:val="20"/>
                <w:szCs w:val="20"/>
              </w:rPr>
            </w:pPr>
            <w:r>
              <w:rPr>
                <w:color w:val="FF0000"/>
                <w:sz w:val="20"/>
                <w:szCs w:val="20"/>
              </w:rPr>
              <w:t>-6.7</w:t>
            </w:r>
            <w:r w:rsidRPr="00A8471C">
              <w:rPr>
                <w:color w:val="FF0000"/>
                <w:sz w:val="20"/>
                <w:szCs w:val="20"/>
              </w:rPr>
              <w:t>%</w:t>
            </w:r>
          </w:p>
        </w:tc>
        <w:tc>
          <w:tcPr>
            <w:tcW w:w="943" w:type="dxa"/>
            <w:tcBorders>
              <w:top w:val="nil"/>
              <w:left w:val="nil"/>
              <w:bottom w:val="nil"/>
              <w:right w:val="nil"/>
            </w:tcBorders>
            <w:noWrap/>
            <w:vAlign w:val="center"/>
          </w:tcPr>
          <w:p w:rsidR="002032FB" w:rsidRPr="00A8471C" w:rsidRDefault="002032FB" w:rsidP="001A1523">
            <w:pPr>
              <w:spacing w:before="0" w:after="0"/>
              <w:jc w:val="left"/>
              <w:rPr>
                <w:color w:val="000000"/>
                <w:sz w:val="20"/>
                <w:szCs w:val="20"/>
              </w:rPr>
            </w:pPr>
            <w:r>
              <w:rPr>
                <w:color w:val="000000"/>
                <w:sz w:val="20"/>
                <w:szCs w:val="20"/>
              </w:rPr>
              <w:t>4,135</w:t>
            </w:r>
            <w:r w:rsidRPr="00A8471C">
              <w:rPr>
                <w:color w:val="000000"/>
                <w:sz w:val="20"/>
                <w:szCs w:val="20"/>
              </w:rPr>
              <w:t xml:space="preserve"> </w:t>
            </w:r>
          </w:p>
        </w:tc>
        <w:tc>
          <w:tcPr>
            <w:tcW w:w="943" w:type="dxa"/>
            <w:tcBorders>
              <w:top w:val="nil"/>
              <w:left w:val="nil"/>
              <w:bottom w:val="nil"/>
              <w:right w:val="nil"/>
            </w:tcBorders>
            <w:noWrap/>
            <w:vAlign w:val="center"/>
          </w:tcPr>
          <w:p w:rsidR="002032FB" w:rsidRPr="00A8471C" w:rsidRDefault="002032FB" w:rsidP="001A1523">
            <w:pPr>
              <w:spacing w:before="0" w:after="0"/>
              <w:jc w:val="left"/>
              <w:rPr>
                <w:color w:val="000000"/>
                <w:sz w:val="20"/>
                <w:szCs w:val="20"/>
              </w:rPr>
            </w:pPr>
            <w:r>
              <w:rPr>
                <w:color w:val="000000"/>
                <w:sz w:val="20"/>
                <w:szCs w:val="20"/>
              </w:rPr>
              <w:t>4,410</w:t>
            </w:r>
            <w:r w:rsidRPr="00A8471C">
              <w:rPr>
                <w:color w:val="000000"/>
                <w:sz w:val="20"/>
                <w:szCs w:val="20"/>
              </w:rPr>
              <w:t xml:space="preserve"> </w:t>
            </w:r>
          </w:p>
        </w:tc>
        <w:tc>
          <w:tcPr>
            <w:tcW w:w="1069" w:type="dxa"/>
            <w:tcBorders>
              <w:top w:val="nil"/>
              <w:left w:val="nil"/>
              <w:bottom w:val="nil"/>
              <w:right w:val="nil"/>
            </w:tcBorders>
            <w:noWrap/>
            <w:vAlign w:val="center"/>
          </w:tcPr>
          <w:p w:rsidR="002032FB" w:rsidRPr="00A8471C" w:rsidRDefault="002032FB" w:rsidP="001A1523">
            <w:pPr>
              <w:spacing w:before="0" w:after="0"/>
              <w:jc w:val="left"/>
              <w:rPr>
                <w:color w:val="000000"/>
                <w:sz w:val="20"/>
                <w:szCs w:val="20"/>
              </w:rPr>
            </w:pPr>
            <w:r>
              <w:rPr>
                <w:color w:val="000000"/>
                <w:sz w:val="20"/>
                <w:szCs w:val="20"/>
              </w:rPr>
              <w:t>6.7</w:t>
            </w:r>
            <w:r w:rsidRPr="00A8471C">
              <w:rPr>
                <w:color w:val="000000"/>
                <w:sz w:val="20"/>
                <w:szCs w:val="20"/>
              </w:rPr>
              <w:t>%</w:t>
            </w:r>
          </w:p>
        </w:tc>
      </w:tr>
      <w:tr w:rsidR="002032FB" w:rsidRPr="00841E98" w:rsidTr="001A1523">
        <w:trPr>
          <w:trHeight w:val="20"/>
          <w:jc w:val="center"/>
        </w:trPr>
        <w:tc>
          <w:tcPr>
            <w:tcW w:w="1028" w:type="dxa"/>
            <w:tcBorders>
              <w:top w:val="nil"/>
              <w:left w:val="nil"/>
              <w:bottom w:val="nil"/>
              <w:right w:val="nil"/>
            </w:tcBorders>
            <w:shd w:val="clear" w:color="auto" w:fill="C0C0C0"/>
            <w:noWrap/>
            <w:vAlign w:val="center"/>
          </w:tcPr>
          <w:p w:rsidR="002032FB" w:rsidRPr="00A8471C" w:rsidRDefault="002032FB" w:rsidP="007D59CF">
            <w:pPr>
              <w:spacing w:before="0" w:after="0"/>
              <w:jc w:val="left"/>
              <w:rPr>
                <w:b/>
                <w:bCs/>
                <w:color w:val="000000"/>
                <w:sz w:val="20"/>
                <w:szCs w:val="20"/>
              </w:rPr>
            </w:pPr>
            <w:r w:rsidRPr="00A8471C">
              <w:rPr>
                <w:b/>
                <w:bCs/>
                <w:color w:val="000000"/>
                <w:sz w:val="20"/>
                <w:szCs w:val="20"/>
              </w:rPr>
              <w:t>Shërbime</w:t>
            </w:r>
          </w:p>
        </w:tc>
        <w:tc>
          <w:tcPr>
            <w:tcW w:w="672" w:type="dxa"/>
            <w:tcBorders>
              <w:top w:val="nil"/>
              <w:left w:val="nil"/>
              <w:bottom w:val="nil"/>
              <w:right w:val="nil"/>
            </w:tcBorders>
            <w:noWrap/>
            <w:vAlign w:val="center"/>
          </w:tcPr>
          <w:p w:rsidR="002032FB" w:rsidRPr="00A8471C" w:rsidRDefault="002032FB" w:rsidP="001A1523">
            <w:pPr>
              <w:spacing w:before="0" w:after="0"/>
              <w:jc w:val="left"/>
              <w:rPr>
                <w:rFonts w:cs="Times New Roman"/>
                <w:color w:val="000000"/>
                <w:sz w:val="20"/>
                <w:szCs w:val="20"/>
              </w:rPr>
            </w:pPr>
            <w:r w:rsidRPr="00A8471C">
              <w:rPr>
                <w:color w:val="000000"/>
                <w:sz w:val="20"/>
                <w:szCs w:val="20"/>
              </w:rPr>
              <w:t>7,</w:t>
            </w:r>
            <w:r>
              <w:rPr>
                <w:color w:val="000000"/>
                <w:sz w:val="20"/>
                <w:szCs w:val="20"/>
              </w:rPr>
              <w:t>901</w:t>
            </w:r>
          </w:p>
        </w:tc>
        <w:tc>
          <w:tcPr>
            <w:tcW w:w="672" w:type="dxa"/>
            <w:tcBorders>
              <w:top w:val="nil"/>
              <w:left w:val="nil"/>
              <w:bottom w:val="nil"/>
              <w:right w:val="nil"/>
            </w:tcBorders>
            <w:noWrap/>
            <w:vAlign w:val="center"/>
          </w:tcPr>
          <w:p w:rsidR="002032FB" w:rsidRPr="00A8471C" w:rsidRDefault="002032FB" w:rsidP="001A1523">
            <w:pPr>
              <w:spacing w:before="0" w:after="0"/>
              <w:jc w:val="left"/>
              <w:rPr>
                <w:rFonts w:cs="Times New Roman"/>
                <w:color w:val="000000"/>
                <w:sz w:val="20"/>
                <w:szCs w:val="20"/>
              </w:rPr>
            </w:pPr>
            <w:r w:rsidRPr="00A8471C">
              <w:rPr>
                <w:color w:val="000000"/>
                <w:sz w:val="20"/>
                <w:szCs w:val="20"/>
              </w:rPr>
              <w:t>9,</w:t>
            </w:r>
            <w:r>
              <w:rPr>
                <w:color w:val="000000"/>
                <w:sz w:val="20"/>
                <w:szCs w:val="20"/>
              </w:rPr>
              <w:t>878</w:t>
            </w:r>
          </w:p>
        </w:tc>
        <w:tc>
          <w:tcPr>
            <w:tcW w:w="1069" w:type="dxa"/>
            <w:tcBorders>
              <w:top w:val="nil"/>
              <w:left w:val="nil"/>
              <w:bottom w:val="nil"/>
              <w:right w:val="nil"/>
            </w:tcBorders>
            <w:noWrap/>
            <w:vAlign w:val="center"/>
          </w:tcPr>
          <w:p w:rsidR="002032FB" w:rsidRPr="00A8471C" w:rsidRDefault="002032FB" w:rsidP="001A1523">
            <w:pPr>
              <w:spacing w:before="0" w:after="0"/>
              <w:jc w:val="left"/>
              <w:rPr>
                <w:color w:val="000000"/>
                <w:sz w:val="20"/>
                <w:szCs w:val="20"/>
              </w:rPr>
            </w:pPr>
            <w:r>
              <w:rPr>
                <w:color w:val="000000"/>
                <w:sz w:val="20"/>
                <w:szCs w:val="20"/>
              </w:rPr>
              <w:t>25</w:t>
            </w:r>
            <w:r w:rsidRPr="00A8471C">
              <w:rPr>
                <w:color w:val="000000"/>
                <w:sz w:val="20"/>
                <w:szCs w:val="20"/>
              </w:rPr>
              <w:t>%</w:t>
            </w:r>
          </w:p>
        </w:tc>
        <w:tc>
          <w:tcPr>
            <w:tcW w:w="943" w:type="dxa"/>
            <w:tcBorders>
              <w:top w:val="nil"/>
              <w:left w:val="nil"/>
              <w:bottom w:val="nil"/>
              <w:right w:val="nil"/>
            </w:tcBorders>
            <w:noWrap/>
            <w:vAlign w:val="center"/>
          </w:tcPr>
          <w:p w:rsidR="002032FB" w:rsidRPr="00A8471C" w:rsidRDefault="002032FB" w:rsidP="001A1523">
            <w:pPr>
              <w:spacing w:before="0" w:after="0"/>
              <w:jc w:val="left"/>
              <w:rPr>
                <w:color w:val="000000"/>
                <w:sz w:val="20"/>
                <w:szCs w:val="20"/>
              </w:rPr>
            </w:pPr>
            <w:r w:rsidRPr="00A8471C">
              <w:rPr>
                <w:color w:val="000000"/>
                <w:sz w:val="20"/>
                <w:szCs w:val="20"/>
              </w:rPr>
              <w:t>5,</w:t>
            </w:r>
            <w:r>
              <w:rPr>
                <w:color w:val="000000"/>
                <w:sz w:val="20"/>
                <w:szCs w:val="20"/>
              </w:rPr>
              <w:t>226</w:t>
            </w:r>
            <w:r w:rsidRPr="00A8471C">
              <w:rPr>
                <w:color w:val="000000"/>
                <w:sz w:val="20"/>
                <w:szCs w:val="20"/>
              </w:rPr>
              <w:t xml:space="preserve"> </w:t>
            </w:r>
          </w:p>
        </w:tc>
        <w:tc>
          <w:tcPr>
            <w:tcW w:w="943" w:type="dxa"/>
            <w:tcBorders>
              <w:top w:val="nil"/>
              <w:left w:val="nil"/>
              <w:bottom w:val="nil"/>
              <w:right w:val="nil"/>
            </w:tcBorders>
            <w:noWrap/>
            <w:vAlign w:val="center"/>
          </w:tcPr>
          <w:p w:rsidR="002032FB" w:rsidRPr="00A8471C" w:rsidRDefault="002032FB" w:rsidP="001A1523">
            <w:pPr>
              <w:spacing w:before="0" w:after="0"/>
              <w:jc w:val="left"/>
              <w:rPr>
                <w:rFonts w:cs="Times New Roman"/>
                <w:color w:val="000000"/>
                <w:sz w:val="20"/>
                <w:szCs w:val="20"/>
              </w:rPr>
            </w:pPr>
            <w:r w:rsidRPr="00A8471C">
              <w:rPr>
                <w:color w:val="000000"/>
                <w:sz w:val="20"/>
                <w:szCs w:val="20"/>
              </w:rPr>
              <w:t>5,</w:t>
            </w:r>
            <w:r>
              <w:rPr>
                <w:color w:val="000000"/>
                <w:sz w:val="20"/>
                <w:szCs w:val="20"/>
              </w:rPr>
              <w:t>864</w:t>
            </w:r>
          </w:p>
        </w:tc>
        <w:tc>
          <w:tcPr>
            <w:tcW w:w="1069" w:type="dxa"/>
            <w:tcBorders>
              <w:top w:val="nil"/>
              <w:left w:val="nil"/>
              <w:bottom w:val="nil"/>
              <w:right w:val="nil"/>
            </w:tcBorders>
            <w:noWrap/>
            <w:vAlign w:val="center"/>
          </w:tcPr>
          <w:p w:rsidR="002032FB" w:rsidRPr="00A8471C" w:rsidRDefault="002032FB" w:rsidP="001A1523">
            <w:pPr>
              <w:spacing w:before="0" w:after="0"/>
              <w:jc w:val="left"/>
              <w:rPr>
                <w:color w:val="000000"/>
                <w:sz w:val="20"/>
                <w:szCs w:val="20"/>
              </w:rPr>
            </w:pPr>
            <w:r>
              <w:rPr>
                <w:color w:val="000000"/>
                <w:sz w:val="20"/>
                <w:szCs w:val="20"/>
              </w:rPr>
              <w:t>12.2</w:t>
            </w:r>
            <w:r w:rsidRPr="00A8471C">
              <w:rPr>
                <w:color w:val="000000"/>
                <w:sz w:val="20"/>
                <w:szCs w:val="20"/>
              </w:rPr>
              <w:t>%</w:t>
            </w:r>
          </w:p>
        </w:tc>
      </w:tr>
    </w:tbl>
    <w:p w:rsidR="002032FB" w:rsidRPr="001A1523" w:rsidRDefault="001A1523" w:rsidP="007D59CF">
      <w:pPr>
        <w:rPr>
          <w:rFonts w:cs="Times New Roman"/>
          <w:i/>
          <w:sz w:val="20"/>
          <w:szCs w:val="20"/>
          <w:lang w:val="es-ES_tradnl"/>
        </w:rPr>
      </w:pPr>
      <w:r w:rsidRPr="001A1523">
        <w:rPr>
          <w:rFonts w:cs="Times New Roman"/>
          <w:i/>
          <w:sz w:val="20"/>
          <w:szCs w:val="20"/>
          <w:lang w:val="es-ES_tradnl"/>
        </w:rPr>
        <w:t>Burimi: Drejtoria e Pergjithshme e Tatimeve</w:t>
      </w:r>
    </w:p>
    <w:p w:rsidR="002F4EC7" w:rsidRDefault="00346F61" w:rsidP="002F4EC7">
      <w:pPr>
        <w:pStyle w:val="NormalWeb"/>
        <w:spacing w:before="120" w:beforeAutospacing="0" w:after="120" w:afterAutospacing="0"/>
        <w:contextualSpacing/>
        <w:jc w:val="both"/>
        <w:rPr>
          <w:rFonts w:ascii="Calibri" w:eastAsia="MS Mincho" w:hAnsi="Calibri" w:cs="Calibri"/>
          <w:sz w:val="22"/>
          <w:szCs w:val="22"/>
          <w:lang w:val="da-DK"/>
        </w:rPr>
      </w:pPr>
      <w:r w:rsidRPr="00164003">
        <w:rPr>
          <w:rFonts w:ascii="Calibri" w:eastAsia="MS Mincho" w:hAnsi="Calibri" w:cs="Calibri"/>
          <w:sz w:val="22"/>
          <w:szCs w:val="22"/>
          <w:lang w:val="da-DK"/>
        </w:rPr>
        <w:t xml:space="preserve">Nga informacioni i Drejtorise se Pergjithshme te Tatimeve, grup kategorite qe rezultojne me pagese te TVSH-se ndjeshem me te uleta se e njejta periudhe e nje viti </w:t>
      </w:r>
      <w:r w:rsidR="00164003">
        <w:rPr>
          <w:rFonts w:ascii="Calibri" w:eastAsia="MS Mincho" w:hAnsi="Calibri" w:cs="Calibri"/>
          <w:sz w:val="22"/>
          <w:szCs w:val="22"/>
          <w:lang w:val="da-DK"/>
        </w:rPr>
        <w:t xml:space="preserve">me pare jane: prodhim energjie (rreth 1.5 miliarde leke me pak), prodhim nafte (rreth 800 mln leke me pak), ndertim objekti (rreth 600 mln leke me pak), tregtim karburanti (rreth 400 mln leke me pak) dhe prodhim (rreth 300 mln leke me pak), duke permendur ato me me teper peshe. Ne sektoret qe </w:t>
      </w:r>
      <w:r w:rsidR="00164003">
        <w:rPr>
          <w:rFonts w:ascii="Calibri" w:eastAsia="MS Mincho" w:hAnsi="Calibri" w:cs="Calibri"/>
          <w:sz w:val="22"/>
          <w:szCs w:val="22"/>
          <w:lang w:val="da-DK"/>
        </w:rPr>
        <w:lastRenderedPageBreak/>
        <w:t>jane me pagese me te larte TVSH</w:t>
      </w:r>
      <w:r w:rsidR="008C1C04">
        <w:rPr>
          <w:rFonts w:ascii="Calibri" w:eastAsia="MS Mincho" w:hAnsi="Calibri" w:cs="Calibri"/>
          <w:sz w:val="22"/>
          <w:szCs w:val="22"/>
          <w:lang w:val="da-DK"/>
        </w:rPr>
        <w:t xml:space="preserve"> se nje vit me pare spikat grupet</w:t>
      </w:r>
      <w:r w:rsidR="00164003">
        <w:rPr>
          <w:rFonts w:ascii="Calibri" w:eastAsia="MS Mincho" w:hAnsi="Calibri" w:cs="Calibri"/>
          <w:sz w:val="22"/>
          <w:szCs w:val="22"/>
          <w:lang w:val="da-DK"/>
        </w:rPr>
        <w:t xml:space="preserve"> ”sherbime” </w:t>
      </w:r>
      <w:r w:rsidR="008C1C04">
        <w:rPr>
          <w:rFonts w:ascii="Calibri" w:eastAsia="MS Mincho" w:hAnsi="Calibri" w:cs="Calibri"/>
          <w:sz w:val="22"/>
          <w:szCs w:val="22"/>
          <w:lang w:val="da-DK"/>
        </w:rPr>
        <w:t xml:space="preserve">dhe ”telekomunikacion” </w:t>
      </w:r>
      <w:r w:rsidR="00164003">
        <w:rPr>
          <w:rFonts w:ascii="Calibri" w:eastAsia="MS Mincho" w:hAnsi="Calibri" w:cs="Calibri"/>
          <w:sz w:val="22"/>
          <w:szCs w:val="22"/>
          <w:lang w:val="da-DK"/>
        </w:rPr>
        <w:t xml:space="preserve">me rreth </w:t>
      </w:r>
      <w:r w:rsidR="008C1C04">
        <w:rPr>
          <w:rFonts w:ascii="Calibri" w:eastAsia="MS Mincho" w:hAnsi="Calibri" w:cs="Calibri"/>
          <w:sz w:val="22"/>
          <w:szCs w:val="22"/>
          <w:lang w:val="da-DK"/>
        </w:rPr>
        <w:t>1 miliard leke me shume ne total.</w:t>
      </w:r>
    </w:p>
    <w:p w:rsidR="00B61BB6" w:rsidRPr="002F4EC7" w:rsidRDefault="002F4EC7" w:rsidP="002F4EC7">
      <w:pPr>
        <w:pStyle w:val="NormalWeb"/>
        <w:spacing w:before="120" w:beforeAutospacing="0" w:after="120" w:afterAutospacing="0"/>
        <w:contextualSpacing/>
        <w:jc w:val="both"/>
        <w:rPr>
          <w:rFonts w:ascii="Calibri" w:eastAsia="MS Mincho" w:hAnsi="Calibri" w:cs="Calibri"/>
          <w:sz w:val="22"/>
          <w:szCs w:val="22"/>
          <w:lang w:val="da-DK"/>
        </w:rPr>
      </w:pPr>
      <w:r w:rsidRPr="002F4EC7">
        <w:rPr>
          <w:rFonts w:ascii="Calibri" w:eastAsia="MS Mincho" w:hAnsi="Calibri" w:cs="Calibri"/>
          <w:sz w:val="22"/>
          <w:szCs w:val="22"/>
          <w:lang w:val="da-DK"/>
        </w:rPr>
        <w:t>Persa i takon sektorit te</w:t>
      </w:r>
      <w:r w:rsidR="00B61BB6" w:rsidRPr="002F4EC7">
        <w:rPr>
          <w:rFonts w:ascii="Calibri" w:eastAsia="MS Mincho" w:hAnsi="Calibri" w:cs="Calibri"/>
          <w:sz w:val="22"/>
          <w:szCs w:val="22"/>
          <w:lang w:val="da-DK"/>
        </w:rPr>
        <w:t xml:space="preserve"> sherbimit te telefon</w:t>
      </w:r>
      <w:r>
        <w:rPr>
          <w:rFonts w:ascii="Calibri" w:eastAsia="MS Mincho" w:hAnsi="Calibri" w:cs="Calibri"/>
          <w:sz w:val="22"/>
          <w:szCs w:val="22"/>
          <w:lang w:val="da-DK"/>
        </w:rPr>
        <w:t>ise levizese, mobile dhe fikse, h</w:t>
      </w:r>
      <w:r w:rsidR="00B61BB6" w:rsidRPr="002F4EC7">
        <w:rPr>
          <w:rFonts w:ascii="Calibri" w:eastAsia="MS Mincho" w:hAnsi="Calibri" w:cs="Calibri"/>
          <w:sz w:val="22"/>
          <w:szCs w:val="22"/>
          <w:lang w:val="da-DK"/>
        </w:rPr>
        <w:t xml:space="preserve">yrja ne treg e operatorit te trete dhe te katert te telefonise levizese, Eagle Mobile dhe Plus Comunication, te cilat jane ne fazen e investimeve, duke prodhuar nje teprice te konsiderueshme kreditore ne </w:t>
      </w:r>
      <w:r w:rsidRPr="002F4EC7">
        <w:rPr>
          <w:rFonts w:ascii="Calibri" w:eastAsia="MS Mincho" w:hAnsi="Calibri" w:cs="Calibri"/>
          <w:sz w:val="22"/>
          <w:szCs w:val="22"/>
          <w:lang w:val="da-DK"/>
        </w:rPr>
        <w:t>TVSH</w:t>
      </w:r>
      <w:r w:rsidR="00B61BB6" w:rsidRPr="002F4EC7">
        <w:rPr>
          <w:rFonts w:ascii="Calibri" w:eastAsia="MS Mincho" w:hAnsi="Calibri" w:cs="Calibri"/>
          <w:sz w:val="22"/>
          <w:szCs w:val="22"/>
          <w:lang w:val="da-DK"/>
        </w:rPr>
        <w:t xml:space="preserve">, </w:t>
      </w:r>
      <w:r>
        <w:rPr>
          <w:rFonts w:ascii="Calibri" w:eastAsia="MS Mincho" w:hAnsi="Calibri" w:cs="Calibri"/>
          <w:sz w:val="22"/>
          <w:szCs w:val="22"/>
          <w:lang w:val="da-DK"/>
        </w:rPr>
        <w:t>ka ndikuar nivelin e te ardhurave te mbledhura nga TVSH; nje tjeter faktor me mndikim negativ ka qene dhe r</w:t>
      </w:r>
      <w:r w:rsidR="00B61BB6" w:rsidRPr="002F4EC7">
        <w:rPr>
          <w:rFonts w:ascii="Calibri" w:eastAsia="MS Mincho" w:hAnsi="Calibri" w:cs="Calibri"/>
          <w:sz w:val="22"/>
          <w:szCs w:val="22"/>
          <w:lang w:val="da-DK"/>
        </w:rPr>
        <w:t>eduktimi ne ulje I tarifave te telefonise mobile.</w:t>
      </w:r>
    </w:p>
    <w:p w:rsidR="00B61BB6" w:rsidRPr="002F4EC7" w:rsidRDefault="002F4EC7" w:rsidP="002F4EC7">
      <w:pPr>
        <w:pStyle w:val="NormalWeb"/>
        <w:spacing w:before="120" w:beforeAutospacing="0" w:after="120" w:afterAutospacing="0"/>
        <w:jc w:val="both"/>
        <w:rPr>
          <w:rFonts w:ascii="Calibri" w:eastAsia="MS Mincho" w:hAnsi="Calibri" w:cs="Calibri"/>
          <w:sz w:val="22"/>
          <w:szCs w:val="22"/>
          <w:lang w:val="da-DK"/>
        </w:rPr>
      </w:pPr>
      <w:r>
        <w:rPr>
          <w:rFonts w:ascii="Calibri" w:eastAsia="MS Mincho" w:hAnsi="Calibri" w:cs="Calibri"/>
          <w:sz w:val="22"/>
          <w:szCs w:val="22"/>
          <w:lang w:val="da-DK"/>
        </w:rPr>
        <w:t xml:space="preserve">Per </w:t>
      </w:r>
      <w:r w:rsidRPr="002F4EC7">
        <w:rPr>
          <w:rFonts w:ascii="Calibri" w:eastAsia="MS Mincho" w:hAnsi="Calibri" w:cs="Calibri"/>
          <w:sz w:val="22"/>
          <w:szCs w:val="22"/>
          <w:lang w:val="da-DK"/>
        </w:rPr>
        <w:t>sektori</w:t>
      </w:r>
      <w:r>
        <w:rPr>
          <w:rFonts w:ascii="Calibri" w:eastAsia="MS Mincho" w:hAnsi="Calibri" w:cs="Calibri"/>
          <w:sz w:val="22"/>
          <w:szCs w:val="22"/>
          <w:lang w:val="da-DK"/>
        </w:rPr>
        <w:t>n</w:t>
      </w:r>
      <w:r w:rsidRPr="002F4EC7">
        <w:rPr>
          <w:rFonts w:ascii="Calibri" w:eastAsia="MS Mincho" w:hAnsi="Calibri" w:cs="Calibri"/>
          <w:sz w:val="22"/>
          <w:szCs w:val="22"/>
          <w:lang w:val="da-DK"/>
        </w:rPr>
        <w:t xml:space="preserve"> </w:t>
      </w:r>
      <w:r>
        <w:rPr>
          <w:rFonts w:ascii="Calibri" w:eastAsia="MS Mincho" w:hAnsi="Calibri" w:cs="Calibri"/>
          <w:sz w:val="22"/>
          <w:szCs w:val="22"/>
          <w:lang w:val="da-DK"/>
        </w:rPr>
        <w:t>e</w:t>
      </w:r>
      <w:r w:rsidR="00B61BB6" w:rsidRPr="002F4EC7">
        <w:rPr>
          <w:rFonts w:ascii="Calibri" w:eastAsia="MS Mincho" w:hAnsi="Calibri" w:cs="Calibri"/>
          <w:sz w:val="22"/>
          <w:szCs w:val="22"/>
          <w:lang w:val="da-DK"/>
        </w:rPr>
        <w:t xml:space="preserve"> ndertimit, </w:t>
      </w:r>
      <w:r>
        <w:rPr>
          <w:rFonts w:ascii="Calibri" w:eastAsia="MS Mincho" w:hAnsi="Calibri" w:cs="Calibri"/>
          <w:sz w:val="22"/>
          <w:szCs w:val="22"/>
          <w:lang w:val="da-DK"/>
        </w:rPr>
        <w:t>ndikim</w:t>
      </w:r>
      <w:r w:rsidR="00B61BB6" w:rsidRPr="002F4EC7">
        <w:rPr>
          <w:rFonts w:ascii="Calibri" w:eastAsia="MS Mincho" w:hAnsi="Calibri" w:cs="Calibri"/>
          <w:sz w:val="22"/>
          <w:szCs w:val="22"/>
          <w:lang w:val="da-DK"/>
        </w:rPr>
        <w:t xml:space="preserve"> ne renie</w:t>
      </w:r>
      <w:r>
        <w:rPr>
          <w:rFonts w:ascii="Calibri" w:eastAsia="MS Mincho" w:hAnsi="Calibri" w:cs="Calibri"/>
          <w:sz w:val="22"/>
          <w:szCs w:val="22"/>
          <w:lang w:val="da-DK"/>
        </w:rPr>
        <w:t>n e</w:t>
      </w:r>
      <w:r w:rsidR="00B61BB6" w:rsidRPr="002F4EC7">
        <w:rPr>
          <w:rFonts w:ascii="Calibri" w:eastAsia="MS Mincho" w:hAnsi="Calibri" w:cs="Calibri"/>
          <w:sz w:val="22"/>
          <w:szCs w:val="22"/>
          <w:lang w:val="da-DK"/>
        </w:rPr>
        <w:t xml:space="preserve"> te ardhurave tatimore per </w:t>
      </w:r>
      <w:r w:rsidRPr="002F4EC7">
        <w:rPr>
          <w:rFonts w:ascii="Calibri" w:eastAsia="MS Mincho" w:hAnsi="Calibri" w:cs="Calibri"/>
          <w:sz w:val="22"/>
          <w:szCs w:val="22"/>
          <w:lang w:val="da-DK"/>
        </w:rPr>
        <w:t>TVSH</w:t>
      </w:r>
      <w:r w:rsidR="00B61BB6" w:rsidRPr="002F4EC7">
        <w:rPr>
          <w:rFonts w:ascii="Calibri" w:eastAsia="MS Mincho" w:hAnsi="Calibri" w:cs="Calibri"/>
          <w:sz w:val="22"/>
          <w:szCs w:val="22"/>
          <w:lang w:val="da-DK"/>
        </w:rPr>
        <w:t xml:space="preserve">-ne </w:t>
      </w:r>
      <w:r>
        <w:rPr>
          <w:rFonts w:ascii="Calibri" w:eastAsia="MS Mincho" w:hAnsi="Calibri" w:cs="Calibri"/>
          <w:sz w:val="22"/>
          <w:szCs w:val="22"/>
          <w:lang w:val="da-DK"/>
        </w:rPr>
        <w:t xml:space="preserve">kane patur </w:t>
      </w:r>
      <w:r w:rsidRPr="002F4EC7">
        <w:rPr>
          <w:rFonts w:ascii="Calibri" w:eastAsia="MS Mincho" w:hAnsi="Calibri" w:cs="Calibri"/>
          <w:sz w:val="22"/>
          <w:szCs w:val="22"/>
          <w:lang w:val="da-DK"/>
        </w:rPr>
        <w:t>pagesa</w:t>
      </w:r>
      <w:r>
        <w:rPr>
          <w:rFonts w:ascii="Calibri" w:eastAsia="MS Mincho" w:hAnsi="Calibri" w:cs="Calibri"/>
          <w:sz w:val="22"/>
          <w:szCs w:val="22"/>
          <w:lang w:val="da-DK"/>
        </w:rPr>
        <w:t>t</w:t>
      </w:r>
      <w:r w:rsidRPr="002F4EC7">
        <w:rPr>
          <w:rFonts w:ascii="Calibri" w:eastAsia="MS Mincho" w:hAnsi="Calibri" w:cs="Calibri"/>
          <w:sz w:val="22"/>
          <w:szCs w:val="22"/>
          <w:lang w:val="da-DK"/>
        </w:rPr>
        <w:t xml:space="preserve"> </w:t>
      </w:r>
      <w:r w:rsidR="00B61BB6" w:rsidRPr="002F4EC7">
        <w:rPr>
          <w:rFonts w:ascii="Calibri" w:eastAsia="MS Mincho" w:hAnsi="Calibri" w:cs="Calibri"/>
          <w:sz w:val="22"/>
          <w:szCs w:val="22"/>
          <w:lang w:val="da-DK"/>
        </w:rPr>
        <w:t xml:space="preserve">ne importe </w:t>
      </w:r>
      <w:r>
        <w:rPr>
          <w:rFonts w:ascii="Calibri" w:eastAsia="MS Mincho" w:hAnsi="Calibri" w:cs="Calibri"/>
          <w:sz w:val="22"/>
          <w:szCs w:val="22"/>
          <w:lang w:val="da-DK"/>
        </w:rPr>
        <w:t xml:space="preserve">te </w:t>
      </w:r>
      <w:r w:rsidR="00B61BB6" w:rsidRPr="002F4EC7">
        <w:rPr>
          <w:rFonts w:ascii="Calibri" w:eastAsia="MS Mincho" w:hAnsi="Calibri" w:cs="Calibri"/>
          <w:sz w:val="22"/>
          <w:szCs w:val="22"/>
          <w:lang w:val="da-DK"/>
        </w:rPr>
        <w:t>makinerive nga shoqerite e ndertimit per sipermarrjet e tyre.</w:t>
      </w:r>
    </w:p>
    <w:p w:rsidR="002032FB" w:rsidRPr="002032FB" w:rsidRDefault="00357CD5" w:rsidP="007D59CF">
      <w:pPr>
        <w:rPr>
          <w:rFonts w:cs="Times New Roman"/>
          <w:b/>
          <w:bCs/>
          <w:lang w:val="es-ES_tradnl"/>
        </w:rPr>
      </w:pPr>
      <w:r w:rsidRPr="00357CD5">
        <w:rPr>
          <w:b/>
          <w:bCs/>
          <w:lang w:val="es-ES_tradnl"/>
        </w:rPr>
        <w:t>Akciza</w:t>
      </w:r>
      <w:r w:rsidR="001A1523">
        <w:rPr>
          <w:b/>
          <w:bCs/>
          <w:lang w:val="es-ES_tradnl"/>
        </w:rPr>
        <w:t>t</w:t>
      </w:r>
    </w:p>
    <w:p w:rsidR="008E668C" w:rsidRDefault="002032FB" w:rsidP="004A0F35">
      <w:pPr>
        <w:rPr>
          <w:lang w:val="es-ES_tradnl"/>
        </w:rPr>
      </w:pPr>
      <w:r w:rsidRPr="00F809B7">
        <w:rPr>
          <w:lang w:val="es-ES_tradnl"/>
        </w:rPr>
        <w:t>Të ardhurat gjithsej nga Akciza</w:t>
      </w:r>
      <w:r w:rsidR="001A1523" w:rsidRPr="00F809B7">
        <w:rPr>
          <w:lang w:val="es-ES_tradnl"/>
        </w:rPr>
        <w:t xml:space="preserve"> për periudhën Janar – Dhjetor </w:t>
      </w:r>
      <w:r w:rsidRPr="00F809B7">
        <w:rPr>
          <w:lang w:val="es-ES_tradnl"/>
        </w:rPr>
        <w:t xml:space="preserve">arritën në rreth 36.4 miliardë lekë; krahasuar me të njëjtën periudhë të vitit 2011, të ardhurat nga kjo taksë kanë rënë në masën -9.9 përqind. Duke filluar nga 1 Tetor 2012 administrimi dhe mbledhja e akcizës kaloi tërësisht tek Administrata Doganore. </w:t>
      </w:r>
    </w:p>
    <w:p w:rsidR="008E668C" w:rsidRDefault="008E668C" w:rsidP="004A0F35">
      <w:pPr>
        <w:rPr>
          <w:lang w:val="es-ES_tradnl"/>
        </w:rPr>
      </w:pPr>
      <w:r>
        <w:rPr>
          <w:lang w:val="es-ES_tradnl"/>
        </w:rPr>
        <w:t xml:space="preserve">Duke iu referuar te gjithe vitit 2012, sipas grup-mallrave kryesore, verehet se: akciza mbi produktet e duhanit shenon </w:t>
      </w:r>
      <w:r w:rsidR="002F497D">
        <w:rPr>
          <w:lang w:val="es-ES_tradnl"/>
        </w:rPr>
        <w:t>…</w:t>
      </w:r>
    </w:p>
    <w:p w:rsidR="002F497D" w:rsidRDefault="002F497D" w:rsidP="004A0F35">
      <w:pPr>
        <w:rPr>
          <w:lang w:val="es-ES_tradnl"/>
        </w:rPr>
      </w:pPr>
      <w:r>
        <w:rPr>
          <w:lang w:val="es-ES_tradnl"/>
        </w:rPr>
        <w:t>Te dhenat pasqyrohen te permbledhura ne tabelat 3 dhe 4, lidhur me akcizen e paguar dhe zhdoganimet e mallrave</w:t>
      </w:r>
      <w:r w:rsidR="00423722">
        <w:rPr>
          <w:lang w:val="es-ES_tradnl"/>
        </w:rPr>
        <w:t xml:space="preserve"> te forta.</w:t>
      </w:r>
    </w:p>
    <w:p w:rsidR="00557AB4" w:rsidRDefault="00557AB4" w:rsidP="00557AB4">
      <w:pPr>
        <w:rPr>
          <w:rFonts w:cs="Times New Roman"/>
          <w:lang w:val="es-ES_tradnl"/>
        </w:rPr>
      </w:pPr>
      <w:r>
        <w:rPr>
          <w:lang w:val="es-ES_tradnl"/>
        </w:rPr>
        <w:t>Tabela 3. Mallrat e forta</w:t>
      </w:r>
    </w:p>
    <w:tbl>
      <w:tblPr>
        <w:tblW w:w="0" w:type="auto"/>
        <w:jc w:val="center"/>
        <w:tblInd w:w="-106" w:type="dxa"/>
        <w:tblLayout w:type="fixed"/>
        <w:tblLook w:val="0000"/>
      </w:tblPr>
      <w:tblGrid>
        <w:gridCol w:w="1908"/>
        <w:gridCol w:w="1080"/>
        <w:gridCol w:w="1154"/>
        <w:gridCol w:w="1246"/>
        <w:gridCol w:w="1176"/>
      </w:tblGrid>
      <w:tr w:rsidR="002F497D" w:rsidRPr="002F497D" w:rsidTr="00423722">
        <w:trPr>
          <w:trHeight w:val="20"/>
          <w:jc w:val="center"/>
        </w:trPr>
        <w:tc>
          <w:tcPr>
            <w:tcW w:w="1908" w:type="dxa"/>
            <w:tcBorders>
              <w:top w:val="single" w:sz="12" w:space="0" w:color="000000"/>
              <w:left w:val="nil"/>
              <w:bottom w:val="single" w:sz="8" w:space="0" w:color="000000"/>
              <w:right w:val="nil"/>
            </w:tcBorders>
            <w:shd w:val="clear" w:color="auto" w:fill="800080"/>
            <w:vAlign w:val="center"/>
          </w:tcPr>
          <w:p w:rsidR="002F497D" w:rsidRPr="002F497D" w:rsidRDefault="002F497D" w:rsidP="00423722">
            <w:pPr>
              <w:spacing w:before="0" w:after="0"/>
              <w:contextualSpacing/>
              <w:jc w:val="left"/>
              <w:rPr>
                <w:rFonts w:asciiTheme="minorHAnsi" w:hAnsiTheme="minorHAnsi" w:cs="Times New Roman"/>
                <w:color w:val="FFFFFF"/>
                <w:sz w:val="20"/>
                <w:szCs w:val="20"/>
                <w:lang w:val="es-ES_tradnl"/>
              </w:rPr>
            </w:pPr>
            <w:r w:rsidRPr="002F497D">
              <w:rPr>
                <w:rFonts w:asciiTheme="minorHAnsi" w:hAnsiTheme="minorHAnsi" w:cs="Times New Roman"/>
                <w:color w:val="FFFFFF"/>
                <w:sz w:val="20"/>
                <w:szCs w:val="20"/>
                <w:lang w:val="es-ES_tradnl"/>
              </w:rPr>
              <w:t> </w:t>
            </w:r>
          </w:p>
        </w:tc>
        <w:tc>
          <w:tcPr>
            <w:tcW w:w="1080" w:type="dxa"/>
            <w:tcBorders>
              <w:top w:val="single" w:sz="12" w:space="0" w:color="000000"/>
              <w:left w:val="nil"/>
              <w:bottom w:val="single" w:sz="8" w:space="0" w:color="000000"/>
              <w:right w:val="nil"/>
            </w:tcBorders>
            <w:shd w:val="clear" w:color="auto" w:fill="800080"/>
            <w:vAlign w:val="center"/>
          </w:tcPr>
          <w:p w:rsidR="002F497D" w:rsidRPr="002F497D" w:rsidRDefault="002F497D" w:rsidP="00423722">
            <w:pPr>
              <w:spacing w:before="0" w:after="0"/>
              <w:contextualSpacing/>
              <w:jc w:val="left"/>
              <w:rPr>
                <w:rFonts w:asciiTheme="minorHAnsi" w:hAnsiTheme="minorHAnsi"/>
                <w:b/>
                <w:bCs/>
                <w:color w:val="FFFFFF"/>
                <w:sz w:val="20"/>
                <w:szCs w:val="20"/>
              </w:rPr>
            </w:pPr>
            <w:r w:rsidRPr="002F497D">
              <w:rPr>
                <w:rFonts w:asciiTheme="minorHAnsi" w:hAnsiTheme="minorHAnsi"/>
                <w:b/>
                <w:bCs/>
                <w:color w:val="FFFFFF"/>
                <w:sz w:val="20"/>
                <w:szCs w:val="20"/>
              </w:rPr>
              <w:t>2009</w:t>
            </w:r>
          </w:p>
        </w:tc>
        <w:tc>
          <w:tcPr>
            <w:tcW w:w="1154" w:type="dxa"/>
            <w:tcBorders>
              <w:top w:val="single" w:sz="12" w:space="0" w:color="000000"/>
              <w:left w:val="nil"/>
              <w:bottom w:val="single" w:sz="8" w:space="0" w:color="000000"/>
              <w:right w:val="nil"/>
            </w:tcBorders>
            <w:shd w:val="clear" w:color="auto" w:fill="800080"/>
            <w:vAlign w:val="center"/>
          </w:tcPr>
          <w:p w:rsidR="002F497D" w:rsidRPr="002F497D" w:rsidRDefault="002F497D" w:rsidP="00423722">
            <w:pPr>
              <w:spacing w:before="0" w:after="0"/>
              <w:contextualSpacing/>
              <w:jc w:val="left"/>
              <w:rPr>
                <w:rFonts w:asciiTheme="minorHAnsi" w:hAnsiTheme="minorHAnsi"/>
                <w:b/>
                <w:bCs/>
                <w:color w:val="FFFFFF"/>
                <w:sz w:val="20"/>
                <w:szCs w:val="20"/>
              </w:rPr>
            </w:pPr>
            <w:r w:rsidRPr="002F497D">
              <w:rPr>
                <w:rFonts w:asciiTheme="minorHAnsi" w:hAnsiTheme="minorHAnsi"/>
                <w:b/>
                <w:bCs/>
                <w:color w:val="FFFFFF"/>
                <w:sz w:val="20"/>
                <w:szCs w:val="20"/>
              </w:rPr>
              <w:t>2010</w:t>
            </w:r>
          </w:p>
        </w:tc>
        <w:tc>
          <w:tcPr>
            <w:tcW w:w="1246" w:type="dxa"/>
            <w:tcBorders>
              <w:top w:val="single" w:sz="12" w:space="0" w:color="000000"/>
              <w:left w:val="nil"/>
              <w:bottom w:val="single" w:sz="8" w:space="0" w:color="000000"/>
              <w:right w:val="nil"/>
            </w:tcBorders>
            <w:shd w:val="clear" w:color="auto" w:fill="800080"/>
            <w:vAlign w:val="center"/>
          </w:tcPr>
          <w:p w:rsidR="002F497D" w:rsidRPr="002F497D" w:rsidRDefault="002F497D" w:rsidP="00423722">
            <w:pPr>
              <w:spacing w:before="0" w:after="0"/>
              <w:contextualSpacing/>
              <w:jc w:val="left"/>
              <w:rPr>
                <w:rFonts w:asciiTheme="minorHAnsi" w:hAnsiTheme="minorHAnsi"/>
                <w:b/>
                <w:bCs/>
                <w:color w:val="FFFFFF"/>
                <w:sz w:val="20"/>
                <w:szCs w:val="20"/>
              </w:rPr>
            </w:pPr>
            <w:r w:rsidRPr="002F497D">
              <w:rPr>
                <w:rFonts w:asciiTheme="minorHAnsi" w:hAnsiTheme="minorHAnsi"/>
                <w:b/>
                <w:bCs/>
                <w:color w:val="FFFFFF"/>
                <w:sz w:val="20"/>
                <w:szCs w:val="20"/>
              </w:rPr>
              <w:t>2011</w:t>
            </w:r>
          </w:p>
        </w:tc>
        <w:tc>
          <w:tcPr>
            <w:tcW w:w="1176" w:type="dxa"/>
            <w:tcBorders>
              <w:top w:val="single" w:sz="12" w:space="0" w:color="000000"/>
              <w:left w:val="nil"/>
              <w:bottom w:val="single" w:sz="8" w:space="0" w:color="000000"/>
              <w:right w:val="nil"/>
            </w:tcBorders>
            <w:shd w:val="clear" w:color="auto" w:fill="800080"/>
            <w:vAlign w:val="center"/>
          </w:tcPr>
          <w:p w:rsidR="002F497D" w:rsidRPr="002F497D" w:rsidRDefault="002F497D" w:rsidP="00423722">
            <w:pPr>
              <w:spacing w:before="0" w:after="0"/>
              <w:contextualSpacing/>
              <w:jc w:val="left"/>
              <w:rPr>
                <w:rFonts w:asciiTheme="minorHAnsi" w:hAnsiTheme="minorHAnsi"/>
                <w:b/>
                <w:bCs/>
                <w:color w:val="FFFFFF"/>
                <w:sz w:val="20"/>
                <w:szCs w:val="20"/>
              </w:rPr>
            </w:pPr>
            <w:r w:rsidRPr="002F497D">
              <w:rPr>
                <w:rFonts w:asciiTheme="minorHAnsi" w:hAnsiTheme="minorHAnsi"/>
                <w:b/>
                <w:bCs/>
                <w:color w:val="FFFFFF"/>
                <w:sz w:val="20"/>
                <w:szCs w:val="20"/>
              </w:rPr>
              <w:t>2012</w:t>
            </w:r>
          </w:p>
        </w:tc>
      </w:tr>
      <w:tr w:rsidR="002F497D" w:rsidRPr="002F497D" w:rsidTr="00423722">
        <w:trPr>
          <w:trHeight w:val="20"/>
          <w:jc w:val="center"/>
        </w:trPr>
        <w:tc>
          <w:tcPr>
            <w:tcW w:w="1908" w:type="dxa"/>
            <w:tcBorders>
              <w:top w:val="nil"/>
              <w:left w:val="nil"/>
              <w:bottom w:val="nil"/>
              <w:right w:val="nil"/>
            </w:tcBorders>
            <w:shd w:val="clear" w:color="auto" w:fill="C0C0C0"/>
            <w:noWrap/>
            <w:vAlign w:val="center"/>
          </w:tcPr>
          <w:p w:rsidR="002F497D" w:rsidRPr="002F497D" w:rsidRDefault="002F497D" w:rsidP="00423722">
            <w:pPr>
              <w:spacing w:before="0" w:after="0"/>
              <w:contextualSpacing/>
              <w:jc w:val="left"/>
              <w:rPr>
                <w:rFonts w:asciiTheme="minorHAnsi" w:hAnsiTheme="minorHAnsi"/>
                <w:color w:val="000000"/>
                <w:sz w:val="20"/>
                <w:szCs w:val="20"/>
              </w:rPr>
            </w:pPr>
            <w:r w:rsidRPr="002F497D">
              <w:rPr>
                <w:rFonts w:asciiTheme="minorHAnsi" w:hAnsiTheme="minorHAnsi"/>
                <w:color w:val="000000"/>
                <w:sz w:val="20"/>
                <w:szCs w:val="20"/>
              </w:rPr>
              <w:t>Karburantet (ton)</w:t>
            </w:r>
          </w:p>
        </w:tc>
        <w:tc>
          <w:tcPr>
            <w:tcW w:w="1080" w:type="dxa"/>
            <w:tcBorders>
              <w:top w:val="nil"/>
              <w:left w:val="nil"/>
              <w:bottom w:val="nil"/>
              <w:right w:val="nil"/>
            </w:tcBorders>
            <w:noWrap/>
            <w:vAlign w:val="bottom"/>
          </w:tcPr>
          <w:p w:rsidR="002F497D" w:rsidRPr="002F497D" w:rsidRDefault="002F497D" w:rsidP="00423722">
            <w:pPr>
              <w:spacing w:before="0" w:after="0"/>
              <w:contextualSpacing/>
              <w:jc w:val="left"/>
              <w:rPr>
                <w:rFonts w:asciiTheme="minorHAnsi" w:hAnsiTheme="minorHAnsi" w:cs="Times"/>
                <w:b/>
                <w:bCs/>
                <w:sz w:val="20"/>
                <w:szCs w:val="20"/>
              </w:rPr>
            </w:pPr>
            <w:r w:rsidRPr="002F497D">
              <w:rPr>
                <w:rFonts w:asciiTheme="minorHAnsi" w:hAnsiTheme="minorHAnsi" w:cs="Times"/>
                <w:b/>
                <w:bCs/>
                <w:sz w:val="20"/>
                <w:szCs w:val="20"/>
              </w:rPr>
              <w:t>432,131</w:t>
            </w:r>
          </w:p>
        </w:tc>
        <w:tc>
          <w:tcPr>
            <w:tcW w:w="1154" w:type="dxa"/>
            <w:tcBorders>
              <w:top w:val="nil"/>
              <w:left w:val="nil"/>
              <w:bottom w:val="nil"/>
              <w:right w:val="nil"/>
            </w:tcBorders>
            <w:noWrap/>
            <w:vAlign w:val="bottom"/>
          </w:tcPr>
          <w:p w:rsidR="002F497D" w:rsidRPr="002F497D" w:rsidRDefault="002F497D" w:rsidP="00423722">
            <w:pPr>
              <w:spacing w:before="0" w:after="0"/>
              <w:contextualSpacing/>
              <w:jc w:val="left"/>
              <w:rPr>
                <w:rFonts w:asciiTheme="minorHAnsi" w:hAnsiTheme="minorHAnsi" w:cs="Times"/>
                <w:b/>
                <w:bCs/>
                <w:sz w:val="20"/>
                <w:szCs w:val="20"/>
              </w:rPr>
            </w:pPr>
            <w:r w:rsidRPr="002F497D">
              <w:rPr>
                <w:rFonts w:asciiTheme="minorHAnsi" w:hAnsiTheme="minorHAnsi" w:cs="Times"/>
                <w:b/>
                <w:bCs/>
                <w:sz w:val="20"/>
                <w:szCs w:val="20"/>
              </w:rPr>
              <w:t>484,392</w:t>
            </w:r>
          </w:p>
        </w:tc>
        <w:tc>
          <w:tcPr>
            <w:tcW w:w="1246" w:type="dxa"/>
            <w:tcBorders>
              <w:top w:val="nil"/>
              <w:left w:val="nil"/>
              <w:bottom w:val="nil"/>
              <w:right w:val="nil"/>
            </w:tcBorders>
            <w:noWrap/>
            <w:vAlign w:val="bottom"/>
          </w:tcPr>
          <w:p w:rsidR="002F497D" w:rsidRPr="002F497D" w:rsidRDefault="002F497D" w:rsidP="00423722">
            <w:pPr>
              <w:spacing w:before="0" w:after="0"/>
              <w:contextualSpacing/>
              <w:jc w:val="left"/>
              <w:rPr>
                <w:rFonts w:asciiTheme="minorHAnsi" w:hAnsiTheme="minorHAnsi" w:cs="Times"/>
                <w:b/>
                <w:bCs/>
                <w:sz w:val="20"/>
                <w:szCs w:val="20"/>
              </w:rPr>
            </w:pPr>
            <w:r w:rsidRPr="002F497D">
              <w:rPr>
                <w:rFonts w:asciiTheme="minorHAnsi" w:hAnsiTheme="minorHAnsi" w:cs="Times"/>
                <w:b/>
                <w:bCs/>
                <w:sz w:val="20"/>
                <w:szCs w:val="20"/>
              </w:rPr>
              <w:t>457,297</w:t>
            </w:r>
          </w:p>
        </w:tc>
        <w:tc>
          <w:tcPr>
            <w:tcW w:w="1176" w:type="dxa"/>
            <w:tcBorders>
              <w:top w:val="nil"/>
              <w:left w:val="nil"/>
              <w:bottom w:val="nil"/>
              <w:right w:val="nil"/>
            </w:tcBorders>
            <w:noWrap/>
            <w:vAlign w:val="bottom"/>
          </w:tcPr>
          <w:p w:rsidR="002F497D" w:rsidRPr="002F497D" w:rsidRDefault="002F497D" w:rsidP="00423722">
            <w:pPr>
              <w:spacing w:before="0" w:after="0"/>
              <w:contextualSpacing/>
              <w:jc w:val="left"/>
              <w:rPr>
                <w:rFonts w:asciiTheme="minorHAnsi" w:hAnsiTheme="minorHAnsi" w:cs="Times"/>
                <w:b/>
                <w:bCs/>
                <w:sz w:val="20"/>
                <w:szCs w:val="20"/>
              </w:rPr>
            </w:pPr>
            <w:r w:rsidRPr="002F497D">
              <w:rPr>
                <w:rFonts w:asciiTheme="minorHAnsi" w:hAnsiTheme="minorHAnsi" w:cs="Times"/>
                <w:b/>
                <w:bCs/>
                <w:sz w:val="20"/>
                <w:szCs w:val="20"/>
              </w:rPr>
              <w:t>431,835</w:t>
            </w:r>
          </w:p>
        </w:tc>
      </w:tr>
      <w:tr w:rsidR="002F497D" w:rsidRPr="002F497D" w:rsidTr="00423722">
        <w:trPr>
          <w:trHeight w:val="20"/>
          <w:jc w:val="center"/>
        </w:trPr>
        <w:tc>
          <w:tcPr>
            <w:tcW w:w="1908" w:type="dxa"/>
            <w:tcBorders>
              <w:top w:val="nil"/>
              <w:left w:val="nil"/>
              <w:bottom w:val="nil"/>
              <w:right w:val="nil"/>
            </w:tcBorders>
            <w:shd w:val="clear" w:color="auto" w:fill="C0C0C0"/>
            <w:noWrap/>
            <w:vAlign w:val="center"/>
          </w:tcPr>
          <w:p w:rsidR="002F497D" w:rsidRPr="002F497D" w:rsidRDefault="002F497D" w:rsidP="00423722">
            <w:pPr>
              <w:spacing w:before="0" w:after="0"/>
              <w:contextualSpacing/>
              <w:jc w:val="left"/>
              <w:rPr>
                <w:rFonts w:asciiTheme="minorHAnsi" w:hAnsiTheme="minorHAnsi"/>
                <w:color w:val="000000"/>
                <w:sz w:val="20"/>
                <w:szCs w:val="20"/>
              </w:rPr>
            </w:pPr>
            <w:r w:rsidRPr="002F497D">
              <w:rPr>
                <w:rFonts w:asciiTheme="minorHAnsi" w:hAnsiTheme="minorHAnsi"/>
                <w:color w:val="000000"/>
                <w:sz w:val="20"/>
                <w:szCs w:val="20"/>
              </w:rPr>
              <w:t>Ndryshimi ne %</w:t>
            </w:r>
          </w:p>
        </w:tc>
        <w:tc>
          <w:tcPr>
            <w:tcW w:w="1080" w:type="dxa"/>
            <w:tcBorders>
              <w:top w:val="nil"/>
              <w:left w:val="nil"/>
              <w:bottom w:val="nil"/>
              <w:right w:val="nil"/>
            </w:tcBorders>
            <w:noWrap/>
            <w:vAlign w:val="bottom"/>
          </w:tcPr>
          <w:p w:rsidR="002F497D" w:rsidRPr="002F497D" w:rsidRDefault="002F497D" w:rsidP="00423722">
            <w:pPr>
              <w:spacing w:before="0" w:after="0"/>
              <w:contextualSpacing/>
              <w:jc w:val="left"/>
              <w:rPr>
                <w:rFonts w:asciiTheme="minorHAnsi" w:hAnsiTheme="minorHAnsi" w:cs="Times"/>
                <w:sz w:val="20"/>
                <w:szCs w:val="20"/>
              </w:rPr>
            </w:pPr>
            <w:r w:rsidRPr="002F497D">
              <w:rPr>
                <w:rFonts w:asciiTheme="minorHAnsi" w:hAnsiTheme="minorHAnsi" w:cs="Times"/>
                <w:sz w:val="20"/>
                <w:szCs w:val="20"/>
              </w:rPr>
              <w:t>-1%</w:t>
            </w:r>
          </w:p>
        </w:tc>
        <w:tc>
          <w:tcPr>
            <w:tcW w:w="1154" w:type="dxa"/>
            <w:tcBorders>
              <w:top w:val="nil"/>
              <w:left w:val="nil"/>
              <w:bottom w:val="nil"/>
              <w:right w:val="nil"/>
            </w:tcBorders>
            <w:noWrap/>
            <w:vAlign w:val="bottom"/>
          </w:tcPr>
          <w:p w:rsidR="002F497D" w:rsidRPr="002F497D" w:rsidRDefault="002F497D" w:rsidP="00423722">
            <w:pPr>
              <w:spacing w:before="0" w:after="0"/>
              <w:contextualSpacing/>
              <w:jc w:val="left"/>
              <w:rPr>
                <w:rFonts w:asciiTheme="minorHAnsi" w:hAnsiTheme="minorHAnsi" w:cs="Times"/>
                <w:sz w:val="20"/>
                <w:szCs w:val="20"/>
              </w:rPr>
            </w:pPr>
            <w:r w:rsidRPr="002F497D">
              <w:rPr>
                <w:rFonts w:asciiTheme="minorHAnsi" w:hAnsiTheme="minorHAnsi" w:cs="Times"/>
                <w:sz w:val="20"/>
                <w:szCs w:val="20"/>
              </w:rPr>
              <w:t>12%</w:t>
            </w:r>
          </w:p>
        </w:tc>
        <w:tc>
          <w:tcPr>
            <w:tcW w:w="1246" w:type="dxa"/>
            <w:tcBorders>
              <w:top w:val="nil"/>
              <w:left w:val="nil"/>
              <w:bottom w:val="nil"/>
              <w:right w:val="nil"/>
            </w:tcBorders>
            <w:noWrap/>
            <w:vAlign w:val="bottom"/>
          </w:tcPr>
          <w:p w:rsidR="002F497D" w:rsidRPr="002F497D" w:rsidRDefault="002F497D" w:rsidP="00423722">
            <w:pPr>
              <w:spacing w:before="0" w:after="0"/>
              <w:contextualSpacing/>
              <w:jc w:val="left"/>
              <w:rPr>
                <w:rFonts w:asciiTheme="minorHAnsi" w:hAnsiTheme="minorHAnsi" w:cs="Times"/>
                <w:sz w:val="20"/>
                <w:szCs w:val="20"/>
              </w:rPr>
            </w:pPr>
            <w:r w:rsidRPr="002F497D">
              <w:rPr>
                <w:rFonts w:asciiTheme="minorHAnsi" w:hAnsiTheme="minorHAnsi" w:cs="Times"/>
                <w:sz w:val="20"/>
                <w:szCs w:val="20"/>
              </w:rPr>
              <w:t>-6%</w:t>
            </w:r>
          </w:p>
        </w:tc>
        <w:tc>
          <w:tcPr>
            <w:tcW w:w="1176" w:type="dxa"/>
            <w:tcBorders>
              <w:top w:val="nil"/>
              <w:left w:val="nil"/>
              <w:bottom w:val="nil"/>
              <w:right w:val="nil"/>
            </w:tcBorders>
            <w:noWrap/>
            <w:vAlign w:val="bottom"/>
          </w:tcPr>
          <w:p w:rsidR="002F497D" w:rsidRPr="002F497D" w:rsidRDefault="002F497D" w:rsidP="00423722">
            <w:pPr>
              <w:spacing w:before="0" w:after="0"/>
              <w:contextualSpacing/>
              <w:jc w:val="left"/>
              <w:rPr>
                <w:rFonts w:asciiTheme="minorHAnsi" w:hAnsiTheme="minorHAnsi" w:cs="Times"/>
                <w:sz w:val="20"/>
                <w:szCs w:val="20"/>
              </w:rPr>
            </w:pPr>
            <w:r w:rsidRPr="002F497D">
              <w:rPr>
                <w:rFonts w:asciiTheme="minorHAnsi" w:hAnsiTheme="minorHAnsi" w:cs="Times"/>
                <w:sz w:val="20"/>
                <w:szCs w:val="20"/>
              </w:rPr>
              <w:t>-6%</w:t>
            </w:r>
          </w:p>
        </w:tc>
      </w:tr>
      <w:tr w:rsidR="002F497D" w:rsidRPr="002F497D" w:rsidTr="00423722">
        <w:trPr>
          <w:trHeight w:val="20"/>
          <w:jc w:val="center"/>
        </w:trPr>
        <w:tc>
          <w:tcPr>
            <w:tcW w:w="1908" w:type="dxa"/>
            <w:tcBorders>
              <w:top w:val="nil"/>
              <w:left w:val="nil"/>
              <w:bottom w:val="nil"/>
              <w:right w:val="nil"/>
            </w:tcBorders>
            <w:shd w:val="clear" w:color="auto" w:fill="C0C0C0"/>
            <w:noWrap/>
            <w:vAlign w:val="center"/>
          </w:tcPr>
          <w:p w:rsidR="002F497D" w:rsidRPr="002F497D" w:rsidRDefault="002F497D" w:rsidP="00423722">
            <w:pPr>
              <w:spacing w:before="0" w:after="0"/>
              <w:contextualSpacing/>
              <w:jc w:val="left"/>
              <w:rPr>
                <w:rFonts w:asciiTheme="minorHAnsi" w:hAnsiTheme="minorHAnsi"/>
                <w:color w:val="000000"/>
                <w:sz w:val="20"/>
                <w:szCs w:val="20"/>
              </w:rPr>
            </w:pPr>
            <w:r w:rsidRPr="002F497D">
              <w:rPr>
                <w:rFonts w:asciiTheme="minorHAnsi" w:hAnsiTheme="minorHAnsi"/>
                <w:color w:val="000000"/>
                <w:sz w:val="20"/>
                <w:szCs w:val="20"/>
              </w:rPr>
              <w:t>Birre (000 litra)</w:t>
            </w:r>
          </w:p>
        </w:tc>
        <w:tc>
          <w:tcPr>
            <w:tcW w:w="1080" w:type="dxa"/>
            <w:tcBorders>
              <w:top w:val="nil"/>
              <w:left w:val="nil"/>
              <w:bottom w:val="nil"/>
              <w:right w:val="nil"/>
            </w:tcBorders>
            <w:noWrap/>
            <w:vAlign w:val="bottom"/>
          </w:tcPr>
          <w:p w:rsidR="002F497D" w:rsidRPr="002F497D" w:rsidRDefault="002F497D" w:rsidP="00423722">
            <w:pPr>
              <w:spacing w:before="0" w:after="0"/>
              <w:contextualSpacing/>
              <w:jc w:val="left"/>
              <w:rPr>
                <w:rFonts w:asciiTheme="minorHAnsi" w:hAnsiTheme="minorHAnsi" w:cs="Times"/>
                <w:b/>
                <w:bCs/>
                <w:sz w:val="20"/>
                <w:szCs w:val="20"/>
              </w:rPr>
            </w:pPr>
            <w:r w:rsidRPr="002F497D">
              <w:rPr>
                <w:rFonts w:asciiTheme="minorHAnsi" w:hAnsiTheme="minorHAnsi" w:cs="Times"/>
                <w:b/>
                <w:bCs/>
                <w:sz w:val="20"/>
                <w:szCs w:val="20"/>
              </w:rPr>
              <w:t>36,601</w:t>
            </w:r>
          </w:p>
        </w:tc>
        <w:tc>
          <w:tcPr>
            <w:tcW w:w="1154" w:type="dxa"/>
            <w:tcBorders>
              <w:top w:val="nil"/>
              <w:left w:val="nil"/>
              <w:bottom w:val="nil"/>
              <w:right w:val="nil"/>
            </w:tcBorders>
            <w:noWrap/>
            <w:vAlign w:val="bottom"/>
          </w:tcPr>
          <w:p w:rsidR="002F497D" w:rsidRPr="002F497D" w:rsidRDefault="002F497D" w:rsidP="00423722">
            <w:pPr>
              <w:spacing w:before="0" w:after="0"/>
              <w:contextualSpacing/>
              <w:jc w:val="left"/>
              <w:rPr>
                <w:rFonts w:asciiTheme="minorHAnsi" w:hAnsiTheme="minorHAnsi" w:cs="Times"/>
                <w:b/>
                <w:bCs/>
                <w:sz w:val="20"/>
                <w:szCs w:val="20"/>
              </w:rPr>
            </w:pPr>
            <w:r w:rsidRPr="002F497D">
              <w:rPr>
                <w:rFonts w:asciiTheme="minorHAnsi" w:hAnsiTheme="minorHAnsi" w:cs="Times"/>
                <w:b/>
                <w:bCs/>
                <w:sz w:val="20"/>
                <w:szCs w:val="20"/>
              </w:rPr>
              <w:t>33,944</w:t>
            </w:r>
          </w:p>
        </w:tc>
        <w:tc>
          <w:tcPr>
            <w:tcW w:w="1246" w:type="dxa"/>
            <w:tcBorders>
              <w:top w:val="nil"/>
              <w:left w:val="nil"/>
              <w:bottom w:val="nil"/>
              <w:right w:val="nil"/>
            </w:tcBorders>
            <w:noWrap/>
            <w:vAlign w:val="bottom"/>
          </w:tcPr>
          <w:p w:rsidR="002F497D" w:rsidRPr="002F497D" w:rsidRDefault="002F497D" w:rsidP="00423722">
            <w:pPr>
              <w:spacing w:before="0" w:after="0"/>
              <w:contextualSpacing/>
              <w:jc w:val="left"/>
              <w:rPr>
                <w:rFonts w:asciiTheme="minorHAnsi" w:hAnsiTheme="minorHAnsi" w:cs="Times"/>
                <w:b/>
                <w:bCs/>
                <w:sz w:val="20"/>
                <w:szCs w:val="20"/>
              </w:rPr>
            </w:pPr>
            <w:r w:rsidRPr="002F497D">
              <w:rPr>
                <w:rFonts w:asciiTheme="minorHAnsi" w:hAnsiTheme="minorHAnsi" w:cs="Times"/>
                <w:b/>
                <w:bCs/>
                <w:sz w:val="20"/>
                <w:szCs w:val="20"/>
              </w:rPr>
              <w:t>31,447</w:t>
            </w:r>
          </w:p>
        </w:tc>
        <w:tc>
          <w:tcPr>
            <w:tcW w:w="1176" w:type="dxa"/>
            <w:tcBorders>
              <w:top w:val="nil"/>
              <w:left w:val="nil"/>
              <w:bottom w:val="nil"/>
              <w:right w:val="nil"/>
            </w:tcBorders>
            <w:noWrap/>
            <w:vAlign w:val="bottom"/>
          </w:tcPr>
          <w:p w:rsidR="002F497D" w:rsidRPr="002F497D" w:rsidRDefault="002F497D" w:rsidP="00423722">
            <w:pPr>
              <w:spacing w:before="0" w:after="0"/>
              <w:contextualSpacing/>
              <w:jc w:val="left"/>
              <w:rPr>
                <w:rFonts w:asciiTheme="minorHAnsi" w:hAnsiTheme="minorHAnsi" w:cs="Times"/>
                <w:b/>
                <w:bCs/>
                <w:sz w:val="20"/>
                <w:szCs w:val="20"/>
              </w:rPr>
            </w:pPr>
            <w:r w:rsidRPr="002F497D">
              <w:rPr>
                <w:rFonts w:asciiTheme="minorHAnsi" w:hAnsiTheme="minorHAnsi" w:cs="Times"/>
                <w:b/>
                <w:bCs/>
                <w:sz w:val="20"/>
                <w:szCs w:val="20"/>
              </w:rPr>
              <w:t>29,674</w:t>
            </w:r>
          </w:p>
        </w:tc>
      </w:tr>
      <w:tr w:rsidR="002F497D" w:rsidRPr="002F497D" w:rsidTr="00423722">
        <w:trPr>
          <w:trHeight w:val="20"/>
          <w:jc w:val="center"/>
        </w:trPr>
        <w:tc>
          <w:tcPr>
            <w:tcW w:w="1908" w:type="dxa"/>
            <w:tcBorders>
              <w:top w:val="nil"/>
              <w:left w:val="nil"/>
              <w:bottom w:val="nil"/>
              <w:right w:val="nil"/>
            </w:tcBorders>
            <w:shd w:val="clear" w:color="auto" w:fill="C0C0C0"/>
            <w:noWrap/>
            <w:vAlign w:val="center"/>
          </w:tcPr>
          <w:p w:rsidR="002F497D" w:rsidRPr="002F497D" w:rsidRDefault="002F497D" w:rsidP="00423722">
            <w:pPr>
              <w:spacing w:before="0" w:after="0"/>
              <w:contextualSpacing/>
              <w:jc w:val="left"/>
              <w:rPr>
                <w:rFonts w:asciiTheme="minorHAnsi" w:hAnsiTheme="minorHAnsi"/>
                <w:color w:val="000000"/>
                <w:sz w:val="20"/>
                <w:szCs w:val="20"/>
              </w:rPr>
            </w:pPr>
            <w:r w:rsidRPr="002F497D">
              <w:rPr>
                <w:rFonts w:asciiTheme="minorHAnsi" w:hAnsiTheme="minorHAnsi"/>
                <w:color w:val="000000"/>
                <w:sz w:val="20"/>
                <w:szCs w:val="20"/>
              </w:rPr>
              <w:t>Ndryshimi ne %</w:t>
            </w:r>
          </w:p>
        </w:tc>
        <w:tc>
          <w:tcPr>
            <w:tcW w:w="1080" w:type="dxa"/>
            <w:tcBorders>
              <w:top w:val="nil"/>
              <w:left w:val="nil"/>
              <w:bottom w:val="nil"/>
              <w:right w:val="nil"/>
            </w:tcBorders>
            <w:noWrap/>
            <w:vAlign w:val="bottom"/>
          </w:tcPr>
          <w:p w:rsidR="002F497D" w:rsidRPr="002F497D" w:rsidRDefault="002F497D" w:rsidP="00423722">
            <w:pPr>
              <w:spacing w:before="0" w:after="0"/>
              <w:contextualSpacing/>
              <w:jc w:val="left"/>
              <w:rPr>
                <w:rFonts w:asciiTheme="minorHAnsi" w:hAnsiTheme="minorHAnsi" w:cs="Times"/>
                <w:sz w:val="20"/>
                <w:szCs w:val="20"/>
              </w:rPr>
            </w:pPr>
            <w:r w:rsidRPr="002F497D">
              <w:rPr>
                <w:rFonts w:asciiTheme="minorHAnsi" w:hAnsiTheme="minorHAnsi" w:cs="Times"/>
                <w:sz w:val="20"/>
                <w:szCs w:val="20"/>
              </w:rPr>
              <w:t>10%</w:t>
            </w:r>
          </w:p>
        </w:tc>
        <w:tc>
          <w:tcPr>
            <w:tcW w:w="1154" w:type="dxa"/>
            <w:tcBorders>
              <w:top w:val="nil"/>
              <w:left w:val="nil"/>
              <w:bottom w:val="nil"/>
              <w:right w:val="nil"/>
            </w:tcBorders>
            <w:noWrap/>
            <w:vAlign w:val="bottom"/>
          </w:tcPr>
          <w:p w:rsidR="002F497D" w:rsidRPr="002F497D" w:rsidRDefault="002F497D" w:rsidP="00423722">
            <w:pPr>
              <w:spacing w:before="0" w:after="0"/>
              <w:contextualSpacing/>
              <w:jc w:val="left"/>
              <w:rPr>
                <w:rFonts w:asciiTheme="minorHAnsi" w:hAnsiTheme="minorHAnsi" w:cs="Times"/>
                <w:sz w:val="20"/>
                <w:szCs w:val="20"/>
              </w:rPr>
            </w:pPr>
            <w:r w:rsidRPr="002F497D">
              <w:rPr>
                <w:rFonts w:asciiTheme="minorHAnsi" w:hAnsiTheme="minorHAnsi" w:cs="Times"/>
                <w:sz w:val="20"/>
                <w:szCs w:val="20"/>
              </w:rPr>
              <w:t>-7%</w:t>
            </w:r>
          </w:p>
        </w:tc>
        <w:tc>
          <w:tcPr>
            <w:tcW w:w="1246" w:type="dxa"/>
            <w:tcBorders>
              <w:top w:val="nil"/>
              <w:left w:val="nil"/>
              <w:bottom w:val="nil"/>
              <w:right w:val="nil"/>
            </w:tcBorders>
            <w:noWrap/>
            <w:vAlign w:val="bottom"/>
          </w:tcPr>
          <w:p w:rsidR="002F497D" w:rsidRPr="002F497D" w:rsidRDefault="002F497D" w:rsidP="00423722">
            <w:pPr>
              <w:spacing w:before="0" w:after="0"/>
              <w:contextualSpacing/>
              <w:jc w:val="left"/>
              <w:rPr>
                <w:rFonts w:asciiTheme="minorHAnsi" w:hAnsiTheme="minorHAnsi" w:cs="Times"/>
                <w:sz w:val="20"/>
                <w:szCs w:val="20"/>
              </w:rPr>
            </w:pPr>
            <w:r w:rsidRPr="002F497D">
              <w:rPr>
                <w:rFonts w:asciiTheme="minorHAnsi" w:hAnsiTheme="minorHAnsi" w:cs="Times"/>
                <w:sz w:val="20"/>
                <w:szCs w:val="20"/>
              </w:rPr>
              <w:t>-7%</w:t>
            </w:r>
          </w:p>
        </w:tc>
        <w:tc>
          <w:tcPr>
            <w:tcW w:w="1176" w:type="dxa"/>
            <w:tcBorders>
              <w:top w:val="nil"/>
              <w:left w:val="nil"/>
              <w:bottom w:val="nil"/>
              <w:right w:val="nil"/>
            </w:tcBorders>
            <w:noWrap/>
            <w:vAlign w:val="bottom"/>
          </w:tcPr>
          <w:p w:rsidR="002F497D" w:rsidRPr="002F497D" w:rsidRDefault="002F497D" w:rsidP="00423722">
            <w:pPr>
              <w:spacing w:before="0" w:after="0"/>
              <w:contextualSpacing/>
              <w:jc w:val="left"/>
              <w:rPr>
                <w:rFonts w:asciiTheme="minorHAnsi" w:hAnsiTheme="minorHAnsi" w:cs="Times"/>
                <w:sz w:val="20"/>
                <w:szCs w:val="20"/>
              </w:rPr>
            </w:pPr>
            <w:r w:rsidRPr="002F497D">
              <w:rPr>
                <w:rFonts w:asciiTheme="minorHAnsi" w:hAnsiTheme="minorHAnsi" w:cs="Times"/>
                <w:sz w:val="20"/>
                <w:szCs w:val="20"/>
              </w:rPr>
              <w:t>-6%</w:t>
            </w:r>
          </w:p>
        </w:tc>
      </w:tr>
      <w:tr w:rsidR="002F497D" w:rsidRPr="002F497D" w:rsidTr="00423722">
        <w:trPr>
          <w:trHeight w:val="20"/>
          <w:jc w:val="center"/>
        </w:trPr>
        <w:tc>
          <w:tcPr>
            <w:tcW w:w="1908" w:type="dxa"/>
            <w:tcBorders>
              <w:top w:val="nil"/>
              <w:left w:val="nil"/>
              <w:bottom w:val="nil"/>
              <w:right w:val="nil"/>
            </w:tcBorders>
            <w:shd w:val="clear" w:color="auto" w:fill="C0C0C0"/>
            <w:noWrap/>
            <w:vAlign w:val="center"/>
          </w:tcPr>
          <w:p w:rsidR="002F497D" w:rsidRPr="002F497D" w:rsidRDefault="002F497D" w:rsidP="00423722">
            <w:pPr>
              <w:spacing w:before="0" w:after="0"/>
              <w:contextualSpacing/>
              <w:jc w:val="left"/>
              <w:rPr>
                <w:rFonts w:asciiTheme="minorHAnsi" w:hAnsiTheme="minorHAnsi"/>
                <w:color w:val="000000"/>
                <w:sz w:val="20"/>
                <w:szCs w:val="20"/>
              </w:rPr>
            </w:pPr>
            <w:r w:rsidRPr="002F497D">
              <w:rPr>
                <w:rFonts w:asciiTheme="minorHAnsi" w:hAnsiTheme="minorHAnsi"/>
                <w:color w:val="000000"/>
                <w:sz w:val="20"/>
                <w:szCs w:val="20"/>
              </w:rPr>
              <w:t>Cigare (ton)</w:t>
            </w:r>
          </w:p>
        </w:tc>
        <w:tc>
          <w:tcPr>
            <w:tcW w:w="1080" w:type="dxa"/>
            <w:tcBorders>
              <w:top w:val="nil"/>
              <w:left w:val="nil"/>
              <w:bottom w:val="nil"/>
              <w:right w:val="nil"/>
            </w:tcBorders>
            <w:noWrap/>
            <w:vAlign w:val="bottom"/>
          </w:tcPr>
          <w:p w:rsidR="002F497D" w:rsidRPr="002F497D" w:rsidRDefault="002F497D" w:rsidP="00423722">
            <w:pPr>
              <w:spacing w:before="0" w:after="0"/>
              <w:contextualSpacing/>
              <w:jc w:val="left"/>
              <w:rPr>
                <w:rFonts w:asciiTheme="minorHAnsi" w:hAnsiTheme="minorHAnsi" w:cs="Times"/>
                <w:b/>
                <w:bCs/>
                <w:sz w:val="20"/>
                <w:szCs w:val="20"/>
              </w:rPr>
            </w:pPr>
            <w:r w:rsidRPr="002F497D">
              <w:rPr>
                <w:rFonts w:asciiTheme="minorHAnsi" w:hAnsiTheme="minorHAnsi" w:cs="Times"/>
                <w:b/>
                <w:bCs/>
                <w:sz w:val="20"/>
                <w:szCs w:val="20"/>
              </w:rPr>
              <w:t>4,064</w:t>
            </w:r>
          </w:p>
        </w:tc>
        <w:tc>
          <w:tcPr>
            <w:tcW w:w="1154" w:type="dxa"/>
            <w:tcBorders>
              <w:top w:val="nil"/>
              <w:left w:val="nil"/>
              <w:bottom w:val="nil"/>
              <w:right w:val="nil"/>
            </w:tcBorders>
            <w:noWrap/>
            <w:vAlign w:val="bottom"/>
          </w:tcPr>
          <w:p w:rsidR="002F497D" w:rsidRPr="002F497D" w:rsidRDefault="002F497D" w:rsidP="00423722">
            <w:pPr>
              <w:spacing w:before="0" w:after="0"/>
              <w:contextualSpacing/>
              <w:jc w:val="left"/>
              <w:rPr>
                <w:rFonts w:asciiTheme="minorHAnsi" w:hAnsiTheme="minorHAnsi" w:cs="Times"/>
                <w:b/>
                <w:bCs/>
                <w:sz w:val="20"/>
                <w:szCs w:val="20"/>
              </w:rPr>
            </w:pPr>
            <w:r w:rsidRPr="002F497D">
              <w:rPr>
                <w:rFonts w:asciiTheme="minorHAnsi" w:hAnsiTheme="minorHAnsi" w:cs="Times"/>
                <w:b/>
                <w:bCs/>
                <w:sz w:val="20"/>
                <w:szCs w:val="20"/>
              </w:rPr>
              <w:t>4,500</w:t>
            </w:r>
          </w:p>
        </w:tc>
        <w:tc>
          <w:tcPr>
            <w:tcW w:w="1246" w:type="dxa"/>
            <w:tcBorders>
              <w:top w:val="nil"/>
              <w:left w:val="nil"/>
              <w:bottom w:val="nil"/>
              <w:right w:val="nil"/>
            </w:tcBorders>
            <w:noWrap/>
            <w:vAlign w:val="bottom"/>
          </w:tcPr>
          <w:p w:rsidR="002F497D" w:rsidRPr="002F497D" w:rsidRDefault="002F497D" w:rsidP="00423722">
            <w:pPr>
              <w:spacing w:before="0" w:after="0"/>
              <w:contextualSpacing/>
              <w:jc w:val="left"/>
              <w:rPr>
                <w:rFonts w:asciiTheme="minorHAnsi" w:hAnsiTheme="minorHAnsi" w:cs="Times"/>
                <w:b/>
                <w:bCs/>
                <w:sz w:val="20"/>
                <w:szCs w:val="20"/>
              </w:rPr>
            </w:pPr>
            <w:r w:rsidRPr="002F497D">
              <w:rPr>
                <w:rFonts w:asciiTheme="minorHAnsi" w:hAnsiTheme="minorHAnsi" w:cs="Times"/>
                <w:b/>
                <w:bCs/>
                <w:sz w:val="20"/>
                <w:szCs w:val="20"/>
              </w:rPr>
              <w:t>3,250</w:t>
            </w:r>
          </w:p>
        </w:tc>
        <w:tc>
          <w:tcPr>
            <w:tcW w:w="1176" w:type="dxa"/>
            <w:tcBorders>
              <w:top w:val="nil"/>
              <w:left w:val="nil"/>
              <w:bottom w:val="nil"/>
              <w:right w:val="nil"/>
            </w:tcBorders>
            <w:noWrap/>
            <w:vAlign w:val="bottom"/>
          </w:tcPr>
          <w:p w:rsidR="002F497D" w:rsidRPr="002F497D" w:rsidRDefault="002F497D" w:rsidP="00423722">
            <w:pPr>
              <w:spacing w:before="0" w:after="0"/>
              <w:contextualSpacing/>
              <w:jc w:val="left"/>
              <w:rPr>
                <w:rFonts w:asciiTheme="minorHAnsi" w:hAnsiTheme="minorHAnsi" w:cs="Times"/>
                <w:b/>
                <w:bCs/>
                <w:sz w:val="20"/>
                <w:szCs w:val="20"/>
              </w:rPr>
            </w:pPr>
            <w:r w:rsidRPr="002F497D">
              <w:rPr>
                <w:rFonts w:asciiTheme="minorHAnsi" w:hAnsiTheme="minorHAnsi" w:cs="Times"/>
                <w:b/>
                <w:bCs/>
                <w:sz w:val="20"/>
                <w:szCs w:val="20"/>
              </w:rPr>
              <w:t>3,630</w:t>
            </w:r>
          </w:p>
        </w:tc>
      </w:tr>
      <w:tr w:rsidR="002F497D" w:rsidRPr="002F497D" w:rsidTr="00423722">
        <w:trPr>
          <w:trHeight w:val="20"/>
          <w:jc w:val="center"/>
        </w:trPr>
        <w:tc>
          <w:tcPr>
            <w:tcW w:w="1908" w:type="dxa"/>
            <w:tcBorders>
              <w:top w:val="nil"/>
              <w:left w:val="nil"/>
              <w:bottom w:val="nil"/>
              <w:right w:val="nil"/>
            </w:tcBorders>
            <w:shd w:val="clear" w:color="auto" w:fill="C0C0C0"/>
            <w:noWrap/>
            <w:vAlign w:val="center"/>
          </w:tcPr>
          <w:p w:rsidR="002F497D" w:rsidRPr="002F497D" w:rsidRDefault="002F497D" w:rsidP="00423722">
            <w:pPr>
              <w:spacing w:before="0" w:after="0"/>
              <w:contextualSpacing/>
              <w:jc w:val="left"/>
              <w:rPr>
                <w:rFonts w:asciiTheme="minorHAnsi" w:hAnsiTheme="minorHAnsi"/>
                <w:color w:val="000000"/>
                <w:sz w:val="20"/>
                <w:szCs w:val="20"/>
              </w:rPr>
            </w:pPr>
            <w:r w:rsidRPr="002F497D">
              <w:rPr>
                <w:rFonts w:asciiTheme="minorHAnsi" w:hAnsiTheme="minorHAnsi"/>
                <w:color w:val="000000"/>
                <w:sz w:val="20"/>
                <w:szCs w:val="20"/>
              </w:rPr>
              <w:t>Ndryshimi ne %</w:t>
            </w:r>
          </w:p>
        </w:tc>
        <w:tc>
          <w:tcPr>
            <w:tcW w:w="1080" w:type="dxa"/>
            <w:tcBorders>
              <w:top w:val="nil"/>
              <w:left w:val="nil"/>
              <w:bottom w:val="nil"/>
              <w:right w:val="nil"/>
            </w:tcBorders>
            <w:noWrap/>
            <w:vAlign w:val="bottom"/>
          </w:tcPr>
          <w:p w:rsidR="002F497D" w:rsidRPr="002F497D" w:rsidRDefault="002F497D" w:rsidP="00423722">
            <w:pPr>
              <w:spacing w:before="0" w:after="0"/>
              <w:contextualSpacing/>
              <w:jc w:val="left"/>
              <w:rPr>
                <w:rFonts w:asciiTheme="minorHAnsi" w:hAnsiTheme="minorHAnsi" w:cs="Times"/>
                <w:sz w:val="20"/>
                <w:szCs w:val="20"/>
              </w:rPr>
            </w:pPr>
            <w:r w:rsidRPr="002F497D">
              <w:rPr>
                <w:rFonts w:asciiTheme="minorHAnsi" w:hAnsiTheme="minorHAnsi" w:cs="Times"/>
                <w:sz w:val="20"/>
                <w:szCs w:val="20"/>
              </w:rPr>
              <w:t>-4%</w:t>
            </w:r>
          </w:p>
        </w:tc>
        <w:tc>
          <w:tcPr>
            <w:tcW w:w="1154" w:type="dxa"/>
            <w:tcBorders>
              <w:top w:val="nil"/>
              <w:left w:val="nil"/>
              <w:bottom w:val="nil"/>
              <w:right w:val="nil"/>
            </w:tcBorders>
            <w:noWrap/>
            <w:vAlign w:val="bottom"/>
          </w:tcPr>
          <w:p w:rsidR="002F497D" w:rsidRPr="002F497D" w:rsidRDefault="002F497D" w:rsidP="00423722">
            <w:pPr>
              <w:spacing w:before="0" w:after="0"/>
              <w:contextualSpacing/>
              <w:jc w:val="left"/>
              <w:rPr>
                <w:rFonts w:asciiTheme="minorHAnsi" w:hAnsiTheme="minorHAnsi" w:cs="Times"/>
                <w:sz w:val="20"/>
                <w:szCs w:val="20"/>
              </w:rPr>
            </w:pPr>
            <w:r w:rsidRPr="002F497D">
              <w:rPr>
                <w:rFonts w:asciiTheme="minorHAnsi" w:hAnsiTheme="minorHAnsi" w:cs="Times"/>
                <w:sz w:val="20"/>
                <w:szCs w:val="20"/>
              </w:rPr>
              <w:t>11%</w:t>
            </w:r>
          </w:p>
        </w:tc>
        <w:tc>
          <w:tcPr>
            <w:tcW w:w="1246" w:type="dxa"/>
            <w:tcBorders>
              <w:top w:val="nil"/>
              <w:left w:val="nil"/>
              <w:bottom w:val="nil"/>
              <w:right w:val="nil"/>
            </w:tcBorders>
            <w:noWrap/>
            <w:vAlign w:val="bottom"/>
          </w:tcPr>
          <w:p w:rsidR="002F497D" w:rsidRPr="002F497D" w:rsidRDefault="002F497D" w:rsidP="00423722">
            <w:pPr>
              <w:spacing w:before="0" w:after="0"/>
              <w:contextualSpacing/>
              <w:jc w:val="left"/>
              <w:rPr>
                <w:rFonts w:asciiTheme="minorHAnsi" w:hAnsiTheme="minorHAnsi" w:cs="Times"/>
                <w:sz w:val="20"/>
                <w:szCs w:val="20"/>
              </w:rPr>
            </w:pPr>
            <w:r w:rsidRPr="002F497D">
              <w:rPr>
                <w:rFonts w:asciiTheme="minorHAnsi" w:hAnsiTheme="minorHAnsi" w:cs="Times"/>
                <w:sz w:val="20"/>
                <w:szCs w:val="20"/>
              </w:rPr>
              <w:t>-28%</w:t>
            </w:r>
          </w:p>
        </w:tc>
        <w:tc>
          <w:tcPr>
            <w:tcW w:w="1176" w:type="dxa"/>
            <w:tcBorders>
              <w:top w:val="nil"/>
              <w:left w:val="nil"/>
              <w:bottom w:val="nil"/>
              <w:right w:val="nil"/>
            </w:tcBorders>
            <w:noWrap/>
            <w:vAlign w:val="bottom"/>
          </w:tcPr>
          <w:p w:rsidR="002F497D" w:rsidRPr="002F497D" w:rsidRDefault="002F497D" w:rsidP="00423722">
            <w:pPr>
              <w:spacing w:before="0" w:after="0"/>
              <w:contextualSpacing/>
              <w:jc w:val="left"/>
              <w:rPr>
                <w:rFonts w:asciiTheme="minorHAnsi" w:hAnsiTheme="minorHAnsi" w:cs="Times"/>
                <w:sz w:val="20"/>
                <w:szCs w:val="20"/>
              </w:rPr>
            </w:pPr>
            <w:r w:rsidRPr="002F497D">
              <w:rPr>
                <w:rFonts w:asciiTheme="minorHAnsi" w:hAnsiTheme="minorHAnsi" w:cs="Times"/>
                <w:sz w:val="20"/>
                <w:szCs w:val="20"/>
              </w:rPr>
              <w:t>12%</w:t>
            </w:r>
          </w:p>
        </w:tc>
      </w:tr>
      <w:tr w:rsidR="002F497D" w:rsidRPr="002F497D" w:rsidTr="00423722">
        <w:trPr>
          <w:trHeight w:val="20"/>
          <w:jc w:val="center"/>
        </w:trPr>
        <w:tc>
          <w:tcPr>
            <w:tcW w:w="1908" w:type="dxa"/>
            <w:tcBorders>
              <w:top w:val="nil"/>
              <w:left w:val="nil"/>
              <w:bottom w:val="nil"/>
              <w:right w:val="nil"/>
            </w:tcBorders>
            <w:shd w:val="clear" w:color="auto" w:fill="C0C0C0"/>
            <w:noWrap/>
            <w:vAlign w:val="center"/>
          </w:tcPr>
          <w:p w:rsidR="002F497D" w:rsidRPr="002F497D" w:rsidRDefault="002F497D" w:rsidP="00423722">
            <w:pPr>
              <w:spacing w:before="0" w:after="0"/>
              <w:contextualSpacing/>
              <w:jc w:val="left"/>
              <w:rPr>
                <w:rFonts w:asciiTheme="minorHAnsi" w:hAnsiTheme="minorHAnsi"/>
                <w:color w:val="000000"/>
                <w:sz w:val="20"/>
                <w:szCs w:val="20"/>
              </w:rPr>
            </w:pPr>
            <w:r w:rsidRPr="002F497D">
              <w:rPr>
                <w:rFonts w:asciiTheme="minorHAnsi" w:hAnsiTheme="minorHAnsi"/>
                <w:color w:val="000000"/>
                <w:sz w:val="20"/>
                <w:szCs w:val="20"/>
              </w:rPr>
              <w:t>Kafe (ton)</w:t>
            </w:r>
          </w:p>
        </w:tc>
        <w:tc>
          <w:tcPr>
            <w:tcW w:w="1080" w:type="dxa"/>
            <w:tcBorders>
              <w:top w:val="nil"/>
              <w:left w:val="nil"/>
              <w:bottom w:val="nil"/>
              <w:right w:val="nil"/>
            </w:tcBorders>
            <w:noWrap/>
            <w:vAlign w:val="bottom"/>
          </w:tcPr>
          <w:p w:rsidR="002F497D" w:rsidRPr="002F497D" w:rsidRDefault="002F497D" w:rsidP="00423722">
            <w:pPr>
              <w:spacing w:before="0" w:after="0"/>
              <w:contextualSpacing/>
              <w:jc w:val="left"/>
              <w:rPr>
                <w:rFonts w:asciiTheme="minorHAnsi" w:hAnsiTheme="minorHAnsi" w:cs="Times"/>
                <w:b/>
                <w:bCs/>
                <w:sz w:val="20"/>
                <w:szCs w:val="20"/>
              </w:rPr>
            </w:pPr>
            <w:r w:rsidRPr="002F497D">
              <w:rPr>
                <w:rFonts w:asciiTheme="minorHAnsi" w:hAnsiTheme="minorHAnsi" w:cs="Times"/>
                <w:b/>
                <w:bCs/>
                <w:sz w:val="20"/>
                <w:szCs w:val="20"/>
              </w:rPr>
              <w:t>6,913</w:t>
            </w:r>
          </w:p>
        </w:tc>
        <w:tc>
          <w:tcPr>
            <w:tcW w:w="1154" w:type="dxa"/>
            <w:tcBorders>
              <w:top w:val="nil"/>
              <w:left w:val="nil"/>
              <w:bottom w:val="nil"/>
              <w:right w:val="nil"/>
            </w:tcBorders>
            <w:noWrap/>
            <w:vAlign w:val="bottom"/>
          </w:tcPr>
          <w:p w:rsidR="002F497D" w:rsidRPr="002F497D" w:rsidRDefault="002F497D" w:rsidP="00423722">
            <w:pPr>
              <w:spacing w:before="0" w:after="0"/>
              <w:contextualSpacing/>
              <w:jc w:val="left"/>
              <w:rPr>
                <w:rFonts w:asciiTheme="minorHAnsi" w:hAnsiTheme="minorHAnsi" w:cs="Times"/>
                <w:b/>
                <w:bCs/>
                <w:sz w:val="20"/>
                <w:szCs w:val="20"/>
              </w:rPr>
            </w:pPr>
            <w:r w:rsidRPr="002F497D">
              <w:rPr>
                <w:rFonts w:asciiTheme="minorHAnsi" w:hAnsiTheme="minorHAnsi" w:cs="Times"/>
                <w:b/>
                <w:bCs/>
                <w:sz w:val="20"/>
                <w:szCs w:val="20"/>
              </w:rPr>
              <w:t>6,335</w:t>
            </w:r>
          </w:p>
        </w:tc>
        <w:tc>
          <w:tcPr>
            <w:tcW w:w="1246" w:type="dxa"/>
            <w:tcBorders>
              <w:top w:val="nil"/>
              <w:left w:val="nil"/>
              <w:bottom w:val="nil"/>
              <w:right w:val="nil"/>
            </w:tcBorders>
            <w:noWrap/>
            <w:vAlign w:val="bottom"/>
          </w:tcPr>
          <w:p w:rsidR="002F497D" w:rsidRPr="002F497D" w:rsidRDefault="002F497D" w:rsidP="00423722">
            <w:pPr>
              <w:spacing w:before="0" w:after="0"/>
              <w:contextualSpacing/>
              <w:jc w:val="left"/>
              <w:rPr>
                <w:rFonts w:asciiTheme="minorHAnsi" w:hAnsiTheme="minorHAnsi" w:cs="Times"/>
                <w:b/>
                <w:bCs/>
                <w:sz w:val="20"/>
                <w:szCs w:val="20"/>
              </w:rPr>
            </w:pPr>
            <w:r w:rsidRPr="002F497D">
              <w:rPr>
                <w:rFonts w:asciiTheme="minorHAnsi" w:hAnsiTheme="minorHAnsi" w:cs="Times"/>
                <w:b/>
                <w:bCs/>
                <w:sz w:val="20"/>
                <w:szCs w:val="20"/>
              </w:rPr>
              <w:t>6,546</w:t>
            </w:r>
          </w:p>
        </w:tc>
        <w:tc>
          <w:tcPr>
            <w:tcW w:w="1176" w:type="dxa"/>
            <w:tcBorders>
              <w:top w:val="nil"/>
              <w:left w:val="nil"/>
              <w:bottom w:val="nil"/>
              <w:right w:val="nil"/>
            </w:tcBorders>
            <w:noWrap/>
            <w:vAlign w:val="bottom"/>
          </w:tcPr>
          <w:p w:rsidR="002F497D" w:rsidRPr="002F497D" w:rsidRDefault="002F497D" w:rsidP="00423722">
            <w:pPr>
              <w:spacing w:before="0" w:after="0"/>
              <w:contextualSpacing/>
              <w:jc w:val="left"/>
              <w:rPr>
                <w:rFonts w:asciiTheme="minorHAnsi" w:hAnsiTheme="minorHAnsi" w:cs="Times"/>
                <w:b/>
                <w:bCs/>
                <w:sz w:val="20"/>
                <w:szCs w:val="20"/>
              </w:rPr>
            </w:pPr>
            <w:r w:rsidRPr="002F497D">
              <w:rPr>
                <w:rFonts w:asciiTheme="minorHAnsi" w:hAnsiTheme="minorHAnsi" w:cs="Times"/>
                <w:b/>
                <w:bCs/>
                <w:sz w:val="20"/>
                <w:szCs w:val="20"/>
              </w:rPr>
              <w:t>6,884</w:t>
            </w:r>
          </w:p>
        </w:tc>
      </w:tr>
      <w:tr w:rsidR="002F497D" w:rsidRPr="002F497D" w:rsidTr="00423722">
        <w:trPr>
          <w:trHeight w:val="20"/>
          <w:jc w:val="center"/>
        </w:trPr>
        <w:tc>
          <w:tcPr>
            <w:tcW w:w="1908" w:type="dxa"/>
            <w:tcBorders>
              <w:top w:val="nil"/>
              <w:left w:val="nil"/>
              <w:bottom w:val="nil"/>
              <w:right w:val="nil"/>
            </w:tcBorders>
            <w:shd w:val="clear" w:color="auto" w:fill="C0C0C0"/>
            <w:noWrap/>
            <w:vAlign w:val="center"/>
          </w:tcPr>
          <w:p w:rsidR="002F497D" w:rsidRPr="002F497D" w:rsidRDefault="002F497D" w:rsidP="00423722">
            <w:pPr>
              <w:spacing w:before="0" w:after="0"/>
              <w:contextualSpacing/>
              <w:jc w:val="left"/>
              <w:rPr>
                <w:rFonts w:asciiTheme="minorHAnsi" w:hAnsiTheme="minorHAnsi"/>
                <w:color w:val="000000"/>
                <w:sz w:val="20"/>
                <w:szCs w:val="20"/>
              </w:rPr>
            </w:pPr>
            <w:r w:rsidRPr="002F497D">
              <w:rPr>
                <w:rFonts w:asciiTheme="minorHAnsi" w:hAnsiTheme="minorHAnsi"/>
                <w:color w:val="000000"/>
                <w:sz w:val="20"/>
                <w:szCs w:val="20"/>
              </w:rPr>
              <w:t>Ndryshimi ne %</w:t>
            </w:r>
          </w:p>
        </w:tc>
        <w:tc>
          <w:tcPr>
            <w:tcW w:w="1080" w:type="dxa"/>
            <w:tcBorders>
              <w:top w:val="nil"/>
              <w:left w:val="nil"/>
              <w:bottom w:val="nil"/>
              <w:right w:val="nil"/>
            </w:tcBorders>
            <w:noWrap/>
            <w:vAlign w:val="bottom"/>
          </w:tcPr>
          <w:p w:rsidR="002F497D" w:rsidRPr="002F497D" w:rsidRDefault="002F497D" w:rsidP="00423722">
            <w:pPr>
              <w:spacing w:before="0" w:after="0"/>
              <w:contextualSpacing/>
              <w:jc w:val="left"/>
              <w:rPr>
                <w:rFonts w:asciiTheme="minorHAnsi" w:hAnsiTheme="minorHAnsi" w:cs="Times"/>
                <w:sz w:val="20"/>
                <w:szCs w:val="20"/>
              </w:rPr>
            </w:pPr>
            <w:r w:rsidRPr="002F497D">
              <w:rPr>
                <w:rFonts w:asciiTheme="minorHAnsi" w:hAnsiTheme="minorHAnsi" w:cs="Times"/>
                <w:sz w:val="20"/>
                <w:szCs w:val="20"/>
              </w:rPr>
              <w:t>5%</w:t>
            </w:r>
          </w:p>
        </w:tc>
        <w:tc>
          <w:tcPr>
            <w:tcW w:w="1154" w:type="dxa"/>
            <w:tcBorders>
              <w:top w:val="nil"/>
              <w:left w:val="nil"/>
              <w:bottom w:val="nil"/>
              <w:right w:val="nil"/>
            </w:tcBorders>
            <w:noWrap/>
            <w:vAlign w:val="bottom"/>
          </w:tcPr>
          <w:p w:rsidR="002F497D" w:rsidRPr="002F497D" w:rsidRDefault="002F497D" w:rsidP="00423722">
            <w:pPr>
              <w:spacing w:before="0" w:after="0"/>
              <w:contextualSpacing/>
              <w:jc w:val="left"/>
              <w:rPr>
                <w:rFonts w:asciiTheme="minorHAnsi" w:hAnsiTheme="minorHAnsi" w:cs="Times"/>
                <w:sz w:val="20"/>
                <w:szCs w:val="20"/>
              </w:rPr>
            </w:pPr>
            <w:r w:rsidRPr="002F497D">
              <w:rPr>
                <w:rFonts w:asciiTheme="minorHAnsi" w:hAnsiTheme="minorHAnsi" w:cs="Times"/>
                <w:sz w:val="20"/>
                <w:szCs w:val="20"/>
              </w:rPr>
              <w:t>-8%</w:t>
            </w:r>
          </w:p>
        </w:tc>
        <w:tc>
          <w:tcPr>
            <w:tcW w:w="1246" w:type="dxa"/>
            <w:tcBorders>
              <w:top w:val="nil"/>
              <w:left w:val="nil"/>
              <w:bottom w:val="nil"/>
              <w:right w:val="nil"/>
            </w:tcBorders>
            <w:noWrap/>
            <w:vAlign w:val="bottom"/>
          </w:tcPr>
          <w:p w:rsidR="002F497D" w:rsidRPr="002F497D" w:rsidRDefault="002F497D" w:rsidP="00423722">
            <w:pPr>
              <w:spacing w:before="0" w:after="0"/>
              <w:contextualSpacing/>
              <w:jc w:val="left"/>
              <w:rPr>
                <w:rFonts w:asciiTheme="minorHAnsi" w:hAnsiTheme="minorHAnsi" w:cs="Times"/>
                <w:sz w:val="20"/>
                <w:szCs w:val="20"/>
              </w:rPr>
            </w:pPr>
            <w:r w:rsidRPr="002F497D">
              <w:rPr>
                <w:rFonts w:asciiTheme="minorHAnsi" w:hAnsiTheme="minorHAnsi" w:cs="Times"/>
                <w:sz w:val="20"/>
                <w:szCs w:val="20"/>
              </w:rPr>
              <w:t>3%</w:t>
            </w:r>
          </w:p>
        </w:tc>
        <w:tc>
          <w:tcPr>
            <w:tcW w:w="1176" w:type="dxa"/>
            <w:tcBorders>
              <w:top w:val="nil"/>
              <w:left w:val="nil"/>
              <w:bottom w:val="nil"/>
              <w:right w:val="nil"/>
            </w:tcBorders>
            <w:noWrap/>
            <w:vAlign w:val="bottom"/>
          </w:tcPr>
          <w:p w:rsidR="002F497D" w:rsidRPr="002F497D" w:rsidRDefault="002F497D" w:rsidP="00423722">
            <w:pPr>
              <w:spacing w:before="0" w:after="0"/>
              <w:contextualSpacing/>
              <w:jc w:val="left"/>
              <w:rPr>
                <w:rFonts w:asciiTheme="minorHAnsi" w:hAnsiTheme="minorHAnsi" w:cs="Times"/>
                <w:sz w:val="20"/>
                <w:szCs w:val="20"/>
              </w:rPr>
            </w:pPr>
            <w:r w:rsidRPr="002F497D">
              <w:rPr>
                <w:rFonts w:asciiTheme="minorHAnsi" w:hAnsiTheme="minorHAnsi" w:cs="Times"/>
                <w:sz w:val="20"/>
                <w:szCs w:val="20"/>
              </w:rPr>
              <w:t>5%</w:t>
            </w:r>
          </w:p>
        </w:tc>
      </w:tr>
    </w:tbl>
    <w:p w:rsidR="00D47083" w:rsidRPr="001A1523" w:rsidRDefault="00D47083" w:rsidP="00D47083">
      <w:pPr>
        <w:rPr>
          <w:rFonts w:cs="Times New Roman"/>
          <w:i/>
          <w:sz w:val="20"/>
          <w:szCs w:val="20"/>
          <w:lang w:val="es-ES_tradnl"/>
        </w:rPr>
      </w:pPr>
      <w:r w:rsidRPr="001A1523">
        <w:rPr>
          <w:rFonts w:cs="Times New Roman"/>
          <w:i/>
          <w:sz w:val="20"/>
          <w:szCs w:val="20"/>
          <w:lang w:val="es-ES_tradnl"/>
        </w:rPr>
        <w:t>Burimi: Drejtoria e Pergjithshme e Tatimeve</w:t>
      </w:r>
    </w:p>
    <w:p w:rsidR="00D34E08" w:rsidRDefault="00D34E08" w:rsidP="004A0F35">
      <w:pPr>
        <w:rPr>
          <w:lang w:val="es-ES_tradnl"/>
        </w:rPr>
      </w:pPr>
    </w:p>
    <w:p w:rsidR="002F497D" w:rsidRDefault="00557AB4" w:rsidP="004A0F35">
      <w:pPr>
        <w:rPr>
          <w:lang w:val="es-ES_tradnl"/>
        </w:rPr>
      </w:pPr>
      <w:r>
        <w:rPr>
          <w:lang w:val="es-ES_tradnl"/>
        </w:rPr>
        <w:t>Tabela 4. Akciza e mbledhur sipas grup-mallrave kryesore, 2011-2012</w:t>
      </w:r>
    </w:p>
    <w:tbl>
      <w:tblPr>
        <w:tblW w:w="0" w:type="auto"/>
        <w:jc w:val="center"/>
        <w:tblInd w:w="-106" w:type="dxa"/>
        <w:tblLayout w:type="fixed"/>
        <w:tblLook w:val="0000"/>
      </w:tblPr>
      <w:tblGrid>
        <w:gridCol w:w="1908"/>
        <w:gridCol w:w="1080"/>
        <w:gridCol w:w="1154"/>
        <w:gridCol w:w="1246"/>
        <w:gridCol w:w="1176"/>
      </w:tblGrid>
      <w:tr w:rsidR="00E62A4C" w:rsidRPr="002F497D" w:rsidTr="00423722">
        <w:trPr>
          <w:trHeight w:val="20"/>
          <w:jc w:val="center"/>
        </w:trPr>
        <w:tc>
          <w:tcPr>
            <w:tcW w:w="1908" w:type="dxa"/>
            <w:tcBorders>
              <w:top w:val="single" w:sz="12" w:space="0" w:color="000000"/>
              <w:left w:val="nil"/>
              <w:bottom w:val="single" w:sz="8" w:space="0" w:color="000000"/>
              <w:right w:val="nil"/>
            </w:tcBorders>
            <w:shd w:val="clear" w:color="auto" w:fill="800080"/>
            <w:vAlign w:val="center"/>
          </w:tcPr>
          <w:p w:rsidR="00E62A4C" w:rsidRPr="002F497D" w:rsidRDefault="00E62A4C" w:rsidP="00423722">
            <w:pPr>
              <w:spacing w:before="0" w:after="0"/>
              <w:contextualSpacing/>
              <w:jc w:val="left"/>
              <w:rPr>
                <w:rFonts w:asciiTheme="minorHAnsi" w:hAnsiTheme="minorHAnsi" w:cs="Times New Roman"/>
                <w:color w:val="FFFFFF"/>
                <w:sz w:val="20"/>
                <w:szCs w:val="20"/>
                <w:lang w:val="es-ES_tradnl"/>
              </w:rPr>
            </w:pPr>
            <w:r>
              <w:rPr>
                <w:rFonts w:asciiTheme="minorHAnsi" w:hAnsiTheme="minorHAnsi" w:cs="Times New Roman"/>
                <w:color w:val="FFFFFF"/>
                <w:sz w:val="20"/>
                <w:szCs w:val="20"/>
                <w:lang w:val="es-ES_tradnl"/>
              </w:rPr>
              <w:t>Mln leke</w:t>
            </w:r>
          </w:p>
        </w:tc>
        <w:tc>
          <w:tcPr>
            <w:tcW w:w="1080" w:type="dxa"/>
            <w:tcBorders>
              <w:top w:val="single" w:sz="12" w:space="0" w:color="000000"/>
              <w:left w:val="nil"/>
              <w:bottom w:val="single" w:sz="8" w:space="0" w:color="000000"/>
              <w:right w:val="nil"/>
            </w:tcBorders>
            <w:shd w:val="clear" w:color="auto" w:fill="800080"/>
            <w:vAlign w:val="center"/>
          </w:tcPr>
          <w:p w:rsidR="00E62A4C" w:rsidRPr="002F497D" w:rsidRDefault="00E62A4C" w:rsidP="00423722">
            <w:pPr>
              <w:spacing w:before="0" w:after="0"/>
              <w:contextualSpacing/>
              <w:jc w:val="left"/>
              <w:rPr>
                <w:rFonts w:asciiTheme="minorHAnsi" w:hAnsiTheme="minorHAnsi"/>
                <w:b/>
                <w:bCs/>
                <w:color w:val="FFFFFF"/>
                <w:sz w:val="20"/>
                <w:szCs w:val="20"/>
              </w:rPr>
            </w:pPr>
            <w:r>
              <w:rPr>
                <w:rFonts w:asciiTheme="minorHAnsi" w:hAnsiTheme="minorHAnsi"/>
                <w:b/>
                <w:bCs/>
                <w:color w:val="FFFFFF"/>
                <w:sz w:val="20"/>
                <w:szCs w:val="20"/>
              </w:rPr>
              <w:t>2011</w:t>
            </w:r>
          </w:p>
        </w:tc>
        <w:tc>
          <w:tcPr>
            <w:tcW w:w="1154" w:type="dxa"/>
            <w:tcBorders>
              <w:top w:val="single" w:sz="12" w:space="0" w:color="000000"/>
              <w:left w:val="nil"/>
              <w:bottom w:val="single" w:sz="8" w:space="0" w:color="000000"/>
              <w:right w:val="nil"/>
            </w:tcBorders>
            <w:shd w:val="clear" w:color="auto" w:fill="800080"/>
            <w:vAlign w:val="center"/>
          </w:tcPr>
          <w:p w:rsidR="00E62A4C" w:rsidRPr="002F497D" w:rsidRDefault="00E62A4C" w:rsidP="00423722">
            <w:pPr>
              <w:spacing w:before="0" w:after="0"/>
              <w:contextualSpacing/>
              <w:jc w:val="left"/>
              <w:rPr>
                <w:rFonts w:asciiTheme="minorHAnsi" w:hAnsiTheme="minorHAnsi"/>
                <w:b/>
                <w:bCs/>
                <w:color w:val="FFFFFF"/>
                <w:sz w:val="20"/>
                <w:szCs w:val="20"/>
              </w:rPr>
            </w:pPr>
            <w:r>
              <w:rPr>
                <w:rFonts w:asciiTheme="minorHAnsi" w:hAnsiTheme="minorHAnsi"/>
                <w:b/>
                <w:bCs/>
                <w:color w:val="FFFFFF"/>
                <w:sz w:val="20"/>
                <w:szCs w:val="20"/>
              </w:rPr>
              <w:t>2012</w:t>
            </w:r>
          </w:p>
        </w:tc>
        <w:tc>
          <w:tcPr>
            <w:tcW w:w="1246" w:type="dxa"/>
            <w:tcBorders>
              <w:top w:val="single" w:sz="12" w:space="0" w:color="000000"/>
              <w:left w:val="nil"/>
              <w:bottom w:val="single" w:sz="8" w:space="0" w:color="000000"/>
              <w:right w:val="nil"/>
            </w:tcBorders>
            <w:shd w:val="clear" w:color="auto" w:fill="800080"/>
            <w:vAlign w:val="center"/>
          </w:tcPr>
          <w:p w:rsidR="00E62A4C" w:rsidRPr="002F497D" w:rsidRDefault="00E62A4C" w:rsidP="00423722">
            <w:pPr>
              <w:spacing w:before="0" w:after="0"/>
              <w:contextualSpacing/>
              <w:jc w:val="left"/>
              <w:rPr>
                <w:rFonts w:asciiTheme="minorHAnsi" w:hAnsiTheme="minorHAnsi"/>
                <w:b/>
                <w:bCs/>
                <w:color w:val="FFFFFF"/>
                <w:sz w:val="20"/>
                <w:szCs w:val="20"/>
              </w:rPr>
            </w:pPr>
            <w:r>
              <w:rPr>
                <w:rFonts w:asciiTheme="minorHAnsi" w:hAnsiTheme="minorHAnsi"/>
                <w:b/>
                <w:bCs/>
                <w:color w:val="FFFFFF"/>
                <w:sz w:val="20"/>
                <w:szCs w:val="20"/>
              </w:rPr>
              <w:t>Diferenca</w:t>
            </w:r>
          </w:p>
        </w:tc>
        <w:tc>
          <w:tcPr>
            <w:tcW w:w="1176" w:type="dxa"/>
            <w:tcBorders>
              <w:top w:val="single" w:sz="12" w:space="0" w:color="000000"/>
              <w:left w:val="nil"/>
              <w:bottom w:val="single" w:sz="8" w:space="0" w:color="000000"/>
              <w:right w:val="nil"/>
            </w:tcBorders>
            <w:shd w:val="clear" w:color="auto" w:fill="800080"/>
            <w:vAlign w:val="center"/>
          </w:tcPr>
          <w:p w:rsidR="00E62A4C" w:rsidRPr="002F497D" w:rsidRDefault="00E62A4C" w:rsidP="00423722">
            <w:pPr>
              <w:spacing w:before="0" w:after="0"/>
              <w:contextualSpacing/>
              <w:jc w:val="left"/>
              <w:rPr>
                <w:rFonts w:asciiTheme="minorHAnsi" w:hAnsiTheme="minorHAnsi"/>
                <w:b/>
                <w:bCs/>
                <w:color w:val="FFFFFF"/>
                <w:sz w:val="20"/>
                <w:szCs w:val="20"/>
              </w:rPr>
            </w:pPr>
            <w:r>
              <w:rPr>
                <w:rFonts w:asciiTheme="minorHAnsi" w:hAnsiTheme="minorHAnsi"/>
                <w:b/>
                <w:bCs/>
                <w:color w:val="FFFFFF"/>
                <w:sz w:val="20"/>
                <w:szCs w:val="20"/>
              </w:rPr>
              <w:t>%</w:t>
            </w:r>
          </w:p>
        </w:tc>
      </w:tr>
      <w:tr w:rsidR="00E62A4C" w:rsidRPr="005C4BCB" w:rsidTr="00423722">
        <w:trPr>
          <w:trHeight w:val="20"/>
          <w:jc w:val="center"/>
        </w:trPr>
        <w:tc>
          <w:tcPr>
            <w:tcW w:w="1908" w:type="dxa"/>
            <w:tcBorders>
              <w:top w:val="nil"/>
              <w:left w:val="nil"/>
              <w:bottom w:val="nil"/>
              <w:right w:val="nil"/>
            </w:tcBorders>
            <w:shd w:val="clear" w:color="auto" w:fill="C0C0C0"/>
            <w:noWrap/>
            <w:vAlign w:val="center"/>
          </w:tcPr>
          <w:p w:rsidR="00E62A4C" w:rsidRPr="002F497D" w:rsidRDefault="00E62A4C" w:rsidP="00423722">
            <w:pPr>
              <w:spacing w:before="0" w:after="0"/>
              <w:contextualSpacing/>
              <w:jc w:val="left"/>
              <w:rPr>
                <w:rFonts w:asciiTheme="minorHAnsi" w:hAnsiTheme="minorHAnsi"/>
                <w:color w:val="000000"/>
                <w:sz w:val="20"/>
                <w:szCs w:val="20"/>
              </w:rPr>
            </w:pPr>
            <w:r>
              <w:rPr>
                <w:rFonts w:asciiTheme="minorHAnsi" w:hAnsiTheme="minorHAnsi"/>
                <w:color w:val="000000"/>
                <w:sz w:val="20"/>
                <w:szCs w:val="20"/>
              </w:rPr>
              <w:t xml:space="preserve">Karburantet </w:t>
            </w:r>
          </w:p>
        </w:tc>
        <w:tc>
          <w:tcPr>
            <w:tcW w:w="1080" w:type="dxa"/>
            <w:tcBorders>
              <w:top w:val="nil"/>
              <w:left w:val="nil"/>
              <w:bottom w:val="nil"/>
              <w:right w:val="nil"/>
            </w:tcBorders>
            <w:noWrap/>
            <w:vAlign w:val="bottom"/>
          </w:tcPr>
          <w:p w:rsidR="00E62A4C" w:rsidRPr="005C4BCB" w:rsidRDefault="008D779D" w:rsidP="00423722">
            <w:pPr>
              <w:spacing w:before="0" w:after="0"/>
              <w:contextualSpacing/>
              <w:jc w:val="left"/>
              <w:rPr>
                <w:rFonts w:asciiTheme="minorHAnsi" w:hAnsiTheme="minorHAnsi" w:cs="Times"/>
                <w:bCs/>
                <w:sz w:val="20"/>
                <w:szCs w:val="20"/>
              </w:rPr>
            </w:pPr>
            <w:r>
              <w:rPr>
                <w:rFonts w:asciiTheme="minorHAnsi" w:hAnsiTheme="minorHAnsi" w:cs="Times"/>
                <w:bCs/>
                <w:sz w:val="20"/>
                <w:szCs w:val="20"/>
              </w:rPr>
              <w:t>24,544</w:t>
            </w:r>
          </w:p>
        </w:tc>
        <w:tc>
          <w:tcPr>
            <w:tcW w:w="1154" w:type="dxa"/>
            <w:tcBorders>
              <w:top w:val="nil"/>
              <w:left w:val="nil"/>
              <w:bottom w:val="nil"/>
              <w:right w:val="nil"/>
            </w:tcBorders>
            <w:noWrap/>
            <w:vAlign w:val="bottom"/>
          </w:tcPr>
          <w:p w:rsidR="00E62A4C" w:rsidRPr="005C4BCB" w:rsidRDefault="005C4BCB" w:rsidP="00423722">
            <w:pPr>
              <w:spacing w:before="0" w:after="0"/>
              <w:contextualSpacing/>
              <w:jc w:val="left"/>
              <w:rPr>
                <w:rFonts w:asciiTheme="minorHAnsi" w:hAnsiTheme="minorHAnsi" w:cs="Times"/>
                <w:bCs/>
                <w:sz w:val="20"/>
                <w:szCs w:val="20"/>
              </w:rPr>
            </w:pPr>
            <w:r w:rsidRPr="005C4BCB">
              <w:rPr>
                <w:rFonts w:asciiTheme="minorHAnsi" w:hAnsiTheme="minorHAnsi" w:cs="Times"/>
                <w:bCs/>
                <w:sz w:val="20"/>
                <w:szCs w:val="20"/>
              </w:rPr>
              <w:t>21,168</w:t>
            </w:r>
          </w:p>
        </w:tc>
        <w:tc>
          <w:tcPr>
            <w:tcW w:w="1246" w:type="dxa"/>
            <w:tcBorders>
              <w:top w:val="nil"/>
              <w:left w:val="nil"/>
              <w:bottom w:val="nil"/>
              <w:right w:val="nil"/>
            </w:tcBorders>
            <w:noWrap/>
            <w:vAlign w:val="bottom"/>
          </w:tcPr>
          <w:p w:rsidR="00E62A4C" w:rsidRPr="005C4BCB" w:rsidRDefault="00A60F9B" w:rsidP="00423722">
            <w:pPr>
              <w:spacing w:before="0" w:after="0"/>
              <w:contextualSpacing/>
              <w:jc w:val="left"/>
              <w:rPr>
                <w:rFonts w:asciiTheme="minorHAnsi" w:hAnsiTheme="minorHAnsi" w:cs="Times"/>
                <w:bCs/>
                <w:sz w:val="20"/>
                <w:szCs w:val="20"/>
              </w:rPr>
            </w:pPr>
            <w:r>
              <w:rPr>
                <w:rFonts w:asciiTheme="minorHAnsi" w:hAnsiTheme="minorHAnsi" w:cs="Times"/>
                <w:bCs/>
                <w:sz w:val="20"/>
                <w:szCs w:val="20"/>
              </w:rPr>
              <w:t>-3376</w:t>
            </w:r>
          </w:p>
        </w:tc>
        <w:tc>
          <w:tcPr>
            <w:tcW w:w="1176" w:type="dxa"/>
            <w:tcBorders>
              <w:top w:val="nil"/>
              <w:left w:val="nil"/>
              <w:bottom w:val="nil"/>
              <w:right w:val="nil"/>
            </w:tcBorders>
            <w:noWrap/>
            <w:vAlign w:val="bottom"/>
          </w:tcPr>
          <w:p w:rsidR="00E62A4C" w:rsidRPr="005C4BCB" w:rsidRDefault="00A60F9B" w:rsidP="00423722">
            <w:pPr>
              <w:spacing w:before="0" w:after="0"/>
              <w:contextualSpacing/>
              <w:jc w:val="left"/>
              <w:rPr>
                <w:rFonts w:asciiTheme="minorHAnsi" w:hAnsiTheme="minorHAnsi" w:cs="Times"/>
                <w:bCs/>
                <w:sz w:val="20"/>
                <w:szCs w:val="20"/>
              </w:rPr>
            </w:pPr>
            <w:r>
              <w:rPr>
                <w:rFonts w:asciiTheme="minorHAnsi" w:hAnsiTheme="minorHAnsi" w:cs="Times"/>
                <w:bCs/>
                <w:sz w:val="20"/>
                <w:szCs w:val="20"/>
              </w:rPr>
              <w:t>-13.8</w:t>
            </w:r>
          </w:p>
        </w:tc>
      </w:tr>
      <w:tr w:rsidR="00E62A4C" w:rsidRPr="005C4BCB" w:rsidTr="00423722">
        <w:trPr>
          <w:trHeight w:val="20"/>
          <w:jc w:val="center"/>
        </w:trPr>
        <w:tc>
          <w:tcPr>
            <w:tcW w:w="1908" w:type="dxa"/>
            <w:tcBorders>
              <w:top w:val="nil"/>
              <w:left w:val="nil"/>
              <w:bottom w:val="nil"/>
              <w:right w:val="nil"/>
            </w:tcBorders>
            <w:shd w:val="clear" w:color="auto" w:fill="C0C0C0"/>
            <w:noWrap/>
            <w:vAlign w:val="center"/>
          </w:tcPr>
          <w:p w:rsidR="00E62A4C" w:rsidRPr="002F497D" w:rsidRDefault="00E62A4C" w:rsidP="00423722">
            <w:pPr>
              <w:spacing w:before="0" w:after="0"/>
              <w:contextualSpacing/>
              <w:jc w:val="left"/>
              <w:rPr>
                <w:rFonts w:asciiTheme="minorHAnsi" w:hAnsiTheme="minorHAnsi"/>
                <w:color w:val="000000"/>
                <w:sz w:val="20"/>
                <w:szCs w:val="20"/>
              </w:rPr>
            </w:pPr>
            <w:r>
              <w:rPr>
                <w:rFonts w:asciiTheme="minorHAnsi" w:hAnsiTheme="minorHAnsi"/>
                <w:color w:val="000000"/>
                <w:sz w:val="20"/>
                <w:szCs w:val="20"/>
              </w:rPr>
              <w:t>-vendi</w:t>
            </w:r>
          </w:p>
        </w:tc>
        <w:tc>
          <w:tcPr>
            <w:tcW w:w="1080" w:type="dxa"/>
            <w:tcBorders>
              <w:top w:val="nil"/>
              <w:left w:val="nil"/>
              <w:bottom w:val="nil"/>
              <w:right w:val="nil"/>
            </w:tcBorders>
            <w:noWrap/>
            <w:vAlign w:val="bottom"/>
          </w:tcPr>
          <w:p w:rsidR="00E62A4C" w:rsidRPr="005C4BCB" w:rsidRDefault="008D779D" w:rsidP="00423722">
            <w:pPr>
              <w:spacing w:before="0" w:after="0"/>
              <w:contextualSpacing/>
              <w:jc w:val="left"/>
              <w:rPr>
                <w:rFonts w:asciiTheme="minorHAnsi" w:hAnsiTheme="minorHAnsi" w:cs="Times"/>
                <w:sz w:val="20"/>
                <w:szCs w:val="20"/>
              </w:rPr>
            </w:pPr>
            <w:r>
              <w:rPr>
                <w:rFonts w:asciiTheme="minorHAnsi" w:hAnsiTheme="minorHAnsi" w:cs="Times"/>
                <w:sz w:val="20"/>
                <w:szCs w:val="20"/>
              </w:rPr>
              <w:t>3,817</w:t>
            </w:r>
          </w:p>
        </w:tc>
        <w:tc>
          <w:tcPr>
            <w:tcW w:w="1154" w:type="dxa"/>
            <w:tcBorders>
              <w:top w:val="nil"/>
              <w:left w:val="nil"/>
              <w:bottom w:val="nil"/>
              <w:right w:val="nil"/>
            </w:tcBorders>
            <w:noWrap/>
            <w:vAlign w:val="bottom"/>
          </w:tcPr>
          <w:p w:rsidR="00E62A4C" w:rsidRPr="005C4BCB" w:rsidRDefault="005C4BCB" w:rsidP="00423722">
            <w:pPr>
              <w:spacing w:before="0" w:after="0"/>
              <w:contextualSpacing/>
              <w:jc w:val="left"/>
              <w:rPr>
                <w:rFonts w:asciiTheme="minorHAnsi" w:hAnsiTheme="minorHAnsi" w:cs="Times"/>
                <w:sz w:val="20"/>
                <w:szCs w:val="20"/>
              </w:rPr>
            </w:pPr>
            <w:r w:rsidRPr="005C4BCB">
              <w:rPr>
                <w:rFonts w:asciiTheme="minorHAnsi" w:hAnsiTheme="minorHAnsi" w:cs="Times"/>
                <w:sz w:val="20"/>
                <w:szCs w:val="20"/>
              </w:rPr>
              <w:t>1,340</w:t>
            </w:r>
          </w:p>
        </w:tc>
        <w:tc>
          <w:tcPr>
            <w:tcW w:w="1246" w:type="dxa"/>
            <w:tcBorders>
              <w:top w:val="nil"/>
              <w:left w:val="nil"/>
              <w:bottom w:val="nil"/>
              <w:right w:val="nil"/>
            </w:tcBorders>
            <w:noWrap/>
            <w:vAlign w:val="bottom"/>
          </w:tcPr>
          <w:p w:rsidR="00E62A4C" w:rsidRPr="005C4BCB" w:rsidRDefault="00A60F9B" w:rsidP="00423722">
            <w:pPr>
              <w:spacing w:before="0" w:after="0"/>
              <w:contextualSpacing/>
              <w:jc w:val="left"/>
              <w:rPr>
                <w:rFonts w:asciiTheme="minorHAnsi" w:hAnsiTheme="minorHAnsi" w:cs="Times"/>
                <w:sz w:val="20"/>
                <w:szCs w:val="20"/>
              </w:rPr>
            </w:pPr>
            <w:r>
              <w:rPr>
                <w:rFonts w:asciiTheme="minorHAnsi" w:hAnsiTheme="minorHAnsi" w:cs="Times"/>
                <w:sz w:val="20"/>
                <w:szCs w:val="20"/>
              </w:rPr>
              <w:t>-2477</w:t>
            </w:r>
          </w:p>
        </w:tc>
        <w:tc>
          <w:tcPr>
            <w:tcW w:w="1176" w:type="dxa"/>
            <w:tcBorders>
              <w:top w:val="nil"/>
              <w:left w:val="nil"/>
              <w:bottom w:val="nil"/>
              <w:right w:val="nil"/>
            </w:tcBorders>
            <w:noWrap/>
            <w:vAlign w:val="bottom"/>
          </w:tcPr>
          <w:p w:rsidR="00E62A4C" w:rsidRPr="005C4BCB" w:rsidRDefault="00A60F9B" w:rsidP="00423722">
            <w:pPr>
              <w:spacing w:before="0" w:after="0"/>
              <w:contextualSpacing/>
              <w:jc w:val="left"/>
              <w:rPr>
                <w:rFonts w:asciiTheme="minorHAnsi" w:hAnsiTheme="minorHAnsi" w:cs="Times"/>
                <w:sz w:val="20"/>
                <w:szCs w:val="20"/>
              </w:rPr>
            </w:pPr>
            <w:r>
              <w:rPr>
                <w:rFonts w:asciiTheme="minorHAnsi" w:hAnsiTheme="minorHAnsi" w:cs="Times"/>
                <w:sz w:val="20"/>
                <w:szCs w:val="20"/>
              </w:rPr>
              <w:t>-65</w:t>
            </w:r>
          </w:p>
        </w:tc>
      </w:tr>
      <w:tr w:rsidR="00E62A4C" w:rsidRPr="005C4BCB" w:rsidTr="00423722">
        <w:trPr>
          <w:trHeight w:val="20"/>
          <w:jc w:val="center"/>
        </w:trPr>
        <w:tc>
          <w:tcPr>
            <w:tcW w:w="1908" w:type="dxa"/>
            <w:tcBorders>
              <w:top w:val="nil"/>
              <w:left w:val="nil"/>
              <w:bottom w:val="nil"/>
              <w:right w:val="nil"/>
            </w:tcBorders>
            <w:shd w:val="clear" w:color="auto" w:fill="C0C0C0"/>
            <w:noWrap/>
            <w:vAlign w:val="center"/>
          </w:tcPr>
          <w:p w:rsidR="00E62A4C" w:rsidRPr="002F497D" w:rsidRDefault="00E62A4C" w:rsidP="00423722">
            <w:pPr>
              <w:spacing w:before="0" w:after="0"/>
              <w:contextualSpacing/>
              <w:jc w:val="left"/>
              <w:rPr>
                <w:rFonts w:asciiTheme="minorHAnsi" w:hAnsiTheme="minorHAnsi"/>
                <w:color w:val="000000"/>
                <w:sz w:val="20"/>
                <w:szCs w:val="20"/>
              </w:rPr>
            </w:pPr>
            <w:r>
              <w:rPr>
                <w:rFonts w:asciiTheme="minorHAnsi" w:hAnsiTheme="minorHAnsi"/>
                <w:color w:val="000000"/>
                <w:sz w:val="20"/>
                <w:szCs w:val="20"/>
              </w:rPr>
              <w:t>-importi</w:t>
            </w:r>
          </w:p>
        </w:tc>
        <w:tc>
          <w:tcPr>
            <w:tcW w:w="1080" w:type="dxa"/>
            <w:tcBorders>
              <w:top w:val="nil"/>
              <w:left w:val="nil"/>
              <w:bottom w:val="nil"/>
              <w:right w:val="nil"/>
            </w:tcBorders>
            <w:noWrap/>
            <w:vAlign w:val="bottom"/>
          </w:tcPr>
          <w:p w:rsidR="00E62A4C" w:rsidRPr="005C4BCB" w:rsidRDefault="008D779D" w:rsidP="00423722">
            <w:pPr>
              <w:spacing w:before="0" w:after="0"/>
              <w:contextualSpacing/>
              <w:jc w:val="left"/>
              <w:rPr>
                <w:rFonts w:asciiTheme="minorHAnsi" w:hAnsiTheme="minorHAnsi" w:cs="Times"/>
                <w:bCs/>
                <w:sz w:val="20"/>
                <w:szCs w:val="20"/>
              </w:rPr>
            </w:pPr>
            <w:r>
              <w:rPr>
                <w:rFonts w:asciiTheme="minorHAnsi" w:hAnsiTheme="minorHAnsi" w:cs="Times"/>
                <w:bCs/>
                <w:sz w:val="20"/>
                <w:szCs w:val="20"/>
              </w:rPr>
              <w:t>20,727</w:t>
            </w:r>
          </w:p>
        </w:tc>
        <w:tc>
          <w:tcPr>
            <w:tcW w:w="1154" w:type="dxa"/>
            <w:tcBorders>
              <w:top w:val="nil"/>
              <w:left w:val="nil"/>
              <w:bottom w:val="nil"/>
              <w:right w:val="nil"/>
            </w:tcBorders>
            <w:noWrap/>
            <w:vAlign w:val="bottom"/>
          </w:tcPr>
          <w:p w:rsidR="00E62A4C" w:rsidRPr="005C4BCB" w:rsidRDefault="005C4BCB" w:rsidP="00423722">
            <w:pPr>
              <w:spacing w:before="0" w:after="0"/>
              <w:contextualSpacing/>
              <w:jc w:val="left"/>
              <w:rPr>
                <w:rFonts w:asciiTheme="minorHAnsi" w:hAnsiTheme="minorHAnsi" w:cs="Times"/>
                <w:bCs/>
                <w:sz w:val="20"/>
                <w:szCs w:val="20"/>
              </w:rPr>
            </w:pPr>
            <w:r w:rsidRPr="005C4BCB">
              <w:rPr>
                <w:rFonts w:asciiTheme="minorHAnsi" w:hAnsiTheme="minorHAnsi" w:cs="Times"/>
                <w:bCs/>
                <w:sz w:val="20"/>
                <w:szCs w:val="20"/>
              </w:rPr>
              <w:t>19,828</w:t>
            </w:r>
          </w:p>
        </w:tc>
        <w:tc>
          <w:tcPr>
            <w:tcW w:w="1246" w:type="dxa"/>
            <w:tcBorders>
              <w:top w:val="nil"/>
              <w:left w:val="nil"/>
              <w:bottom w:val="nil"/>
              <w:right w:val="nil"/>
            </w:tcBorders>
            <w:noWrap/>
            <w:vAlign w:val="bottom"/>
          </w:tcPr>
          <w:p w:rsidR="00E62A4C" w:rsidRPr="005C4BCB" w:rsidRDefault="00A60F9B" w:rsidP="00423722">
            <w:pPr>
              <w:spacing w:before="0" w:after="0"/>
              <w:contextualSpacing/>
              <w:jc w:val="left"/>
              <w:rPr>
                <w:rFonts w:asciiTheme="minorHAnsi" w:hAnsiTheme="minorHAnsi" w:cs="Times"/>
                <w:bCs/>
                <w:sz w:val="20"/>
                <w:szCs w:val="20"/>
              </w:rPr>
            </w:pPr>
            <w:r>
              <w:rPr>
                <w:rFonts w:asciiTheme="minorHAnsi" w:hAnsiTheme="minorHAnsi" w:cs="Times"/>
                <w:bCs/>
                <w:sz w:val="20"/>
                <w:szCs w:val="20"/>
              </w:rPr>
              <w:t>-899</w:t>
            </w:r>
          </w:p>
        </w:tc>
        <w:tc>
          <w:tcPr>
            <w:tcW w:w="1176" w:type="dxa"/>
            <w:tcBorders>
              <w:top w:val="nil"/>
              <w:left w:val="nil"/>
              <w:bottom w:val="nil"/>
              <w:right w:val="nil"/>
            </w:tcBorders>
            <w:noWrap/>
            <w:vAlign w:val="bottom"/>
          </w:tcPr>
          <w:p w:rsidR="00E62A4C" w:rsidRPr="005C4BCB" w:rsidRDefault="00A60F9B" w:rsidP="00423722">
            <w:pPr>
              <w:spacing w:before="0" w:after="0"/>
              <w:contextualSpacing/>
              <w:jc w:val="left"/>
              <w:rPr>
                <w:rFonts w:asciiTheme="minorHAnsi" w:hAnsiTheme="minorHAnsi" w:cs="Times"/>
                <w:bCs/>
                <w:sz w:val="20"/>
                <w:szCs w:val="20"/>
              </w:rPr>
            </w:pPr>
            <w:r>
              <w:rPr>
                <w:rFonts w:asciiTheme="minorHAnsi" w:hAnsiTheme="minorHAnsi" w:cs="Times"/>
                <w:bCs/>
                <w:sz w:val="20"/>
                <w:szCs w:val="20"/>
              </w:rPr>
              <w:t>-4.3</w:t>
            </w:r>
          </w:p>
        </w:tc>
      </w:tr>
      <w:tr w:rsidR="00E62A4C" w:rsidRPr="005C4BCB" w:rsidTr="00423722">
        <w:trPr>
          <w:trHeight w:val="20"/>
          <w:jc w:val="center"/>
        </w:trPr>
        <w:tc>
          <w:tcPr>
            <w:tcW w:w="1908" w:type="dxa"/>
            <w:tcBorders>
              <w:top w:val="nil"/>
              <w:left w:val="nil"/>
              <w:bottom w:val="nil"/>
              <w:right w:val="nil"/>
            </w:tcBorders>
            <w:shd w:val="clear" w:color="auto" w:fill="C0C0C0"/>
            <w:noWrap/>
            <w:vAlign w:val="center"/>
          </w:tcPr>
          <w:p w:rsidR="00E62A4C" w:rsidRPr="002F497D" w:rsidRDefault="00E62A4C" w:rsidP="00423722">
            <w:pPr>
              <w:spacing w:before="0" w:after="0"/>
              <w:contextualSpacing/>
              <w:jc w:val="left"/>
              <w:rPr>
                <w:rFonts w:asciiTheme="minorHAnsi" w:hAnsiTheme="minorHAnsi"/>
                <w:color w:val="000000"/>
                <w:sz w:val="20"/>
                <w:szCs w:val="20"/>
              </w:rPr>
            </w:pPr>
            <w:r>
              <w:rPr>
                <w:rFonts w:asciiTheme="minorHAnsi" w:hAnsiTheme="minorHAnsi"/>
                <w:color w:val="000000"/>
                <w:sz w:val="20"/>
                <w:szCs w:val="20"/>
              </w:rPr>
              <w:t>Pije alkoolike</w:t>
            </w:r>
          </w:p>
        </w:tc>
        <w:tc>
          <w:tcPr>
            <w:tcW w:w="1080" w:type="dxa"/>
            <w:tcBorders>
              <w:top w:val="nil"/>
              <w:left w:val="nil"/>
              <w:bottom w:val="nil"/>
              <w:right w:val="nil"/>
            </w:tcBorders>
            <w:noWrap/>
            <w:vAlign w:val="bottom"/>
          </w:tcPr>
          <w:p w:rsidR="00E62A4C" w:rsidRPr="005C4BCB" w:rsidRDefault="008D779D" w:rsidP="00423722">
            <w:pPr>
              <w:spacing w:before="0" w:after="0"/>
              <w:contextualSpacing/>
              <w:jc w:val="left"/>
              <w:rPr>
                <w:rFonts w:asciiTheme="minorHAnsi" w:hAnsiTheme="minorHAnsi" w:cs="Times"/>
                <w:sz w:val="20"/>
                <w:szCs w:val="20"/>
              </w:rPr>
            </w:pPr>
            <w:r>
              <w:rPr>
                <w:rFonts w:asciiTheme="minorHAnsi" w:hAnsiTheme="minorHAnsi" w:cs="Times"/>
                <w:sz w:val="20"/>
                <w:szCs w:val="20"/>
              </w:rPr>
              <w:t>1,720</w:t>
            </w:r>
          </w:p>
        </w:tc>
        <w:tc>
          <w:tcPr>
            <w:tcW w:w="1154" w:type="dxa"/>
            <w:tcBorders>
              <w:top w:val="nil"/>
              <w:left w:val="nil"/>
              <w:bottom w:val="nil"/>
              <w:right w:val="nil"/>
            </w:tcBorders>
            <w:noWrap/>
            <w:vAlign w:val="bottom"/>
          </w:tcPr>
          <w:p w:rsidR="00E62A4C" w:rsidRPr="005C4BCB" w:rsidRDefault="005C4BCB" w:rsidP="00423722">
            <w:pPr>
              <w:spacing w:before="0" w:after="0"/>
              <w:contextualSpacing/>
              <w:jc w:val="left"/>
              <w:rPr>
                <w:rFonts w:asciiTheme="minorHAnsi" w:hAnsiTheme="minorHAnsi" w:cs="Times"/>
                <w:sz w:val="20"/>
                <w:szCs w:val="20"/>
              </w:rPr>
            </w:pPr>
            <w:r w:rsidRPr="005C4BCB">
              <w:rPr>
                <w:rFonts w:asciiTheme="minorHAnsi" w:hAnsiTheme="minorHAnsi" w:cs="Times"/>
                <w:sz w:val="20"/>
                <w:szCs w:val="20"/>
              </w:rPr>
              <w:t>831</w:t>
            </w:r>
          </w:p>
        </w:tc>
        <w:tc>
          <w:tcPr>
            <w:tcW w:w="1246" w:type="dxa"/>
            <w:tcBorders>
              <w:top w:val="nil"/>
              <w:left w:val="nil"/>
              <w:bottom w:val="nil"/>
              <w:right w:val="nil"/>
            </w:tcBorders>
            <w:noWrap/>
            <w:vAlign w:val="bottom"/>
          </w:tcPr>
          <w:p w:rsidR="00E62A4C" w:rsidRPr="005C4BCB" w:rsidRDefault="00A60F9B" w:rsidP="00423722">
            <w:pPr>
              <w:spacing w:before="0" w:after="0"/>
              <w:contextualSpacing/>
              <w:jc w:val="left"/>
              <w:rPr>
                <w:rFonts w:asciiTheme="minorHAnsi" w:hAnsiTheme="minorHAnsi" w:cs="Times"/>
                <w:sz w:val="20"/>
                <w:szCs w:val="20"/>
              </w:rPr>
            </w:pPr>
            <w:r>
              <w:rPr>
                <w:rFonts w:asciiTheme="minorHAnsi" w:hAnsiTheme="minorHAnsi" w:cs="Times"/>
                <w:sz w:val="20"/>
                <w:szCs w:val="20"/>
              </w:rPr>
              <w:t>-889</w:t>
            </w:r>
          </w:p>
        </w:tc>
        <w:tc>
          <w:tcPr>
            <w:tcW w:w="1176" w:type="dxa"/>
            <w:tcBorders>
              <w:top w:val="nil"/>
              <w:left w:val="nil"/>
              <w:bottom w:val="nil"/>
              <w:right w:val="nil"/>
            </w:tcBorders>
            <w:noWrap/>
            <w:vAlign w:val="bottom"/>
          </w:tcPr>
          <w:p w:rsidR="00E62A4C" w:rsidRPr="005C4BCB" w:rsidRDefault="00A60F9B" w:rsidP="00423722">
            <w:pPr>
              <w:spacing w:before="0" w:after="0"/>
              <w:contextualSpacing/>
              <w:jc w:val="left"/>
              <w:rPr>
                <w:rFonts w:asciiTheme="minorHAnsi" w:hAnsiTheme="minorHAnsi" w:cs="Times"/>
                <w:sz w:val="20"/>
                <w:szCs w:val="20"/>
              </w:rPr>
            </w:pPr>
            <w:r>
              <w:rPr>
                <w:rFonts w:asciiTheme="minorHAnsi" w:hAnsiTheme="minorHAnsi" w:cs="Times"/>
                <w:sz w:val="20"/>
                <w:szCs w:val="20"/>
              </w:rPr>
              <w:t>-51.6</w:t>
            </w:r>
          </w:p>
        </w:tc>
      </w:tr>
      <w:tr w:rsidR="00E62A4C" w:rsidRPr="005C4BCB" w:rsidTr="00423722">
        <w:trPr>
          <w:trHeight w:val="20"/>
          <w:jc w:val="center"/>
        </w:trPr>
        <w:tc>
          <w:tcPr>
            <w:tcW w:w="1908" w:type="dxa"/>
            <w:tcBorders>
              <w:top w:val="nil"/>
              <w:left w:val="nil"/>
              <w:bottom w:val="nil"/>
              <w:right w:val="nil"/>
            </w:tcBorders>
            <w:shd w:val="clear" w:color="auto" w:fill="C0C0C0"/>
            <w:noWrap/>
            <w:vAlign w:val="center"/>
          </w:tcPr>
          <w:p w:rsidR="00E62A4C" w:rsidRPr="002F497D" w:rsidRDefault="00E62A4C" w:rsidP="00423722">
            <w:pPr>
              <w:spacing w:before="0" w:after="0"/>
              <w:contextualSpacing/>
              <w:jc w:val="left"/>
              <w:rPr>
                <w:rFonts w:asciiTheme="minorHAnsi" w:hAnsiTheme="minorHAnsi"/>
                <w:color w:val="000000"/>
                <w:sz w:val="20"/>
                <w:szCs w:val="20"/>
              </w:rPr>
            </w:pPr>
            <w:r>
              <w:rPr>
                <w:rFonts w:asciiTheme="minorHAnsi" w:hAnsiTheme="minorHAnsi"/>
                <w:color w:val="000000"/>
                <w:sz w:val="20"/>
                <w:szCs w:val="20"/>
              </w:rPr>
              <w:t xml:space="preserve">Cigare </w:t>
            </w:r>
          </w:p>
        </w:tc>
        <w:tc>
          <w:tcPr>
            <w:tcW w:w="1080" w:type="dxa"/>
            <w:tcBorders>
              <w:top w:val="nil"/>
              <w:left w:val="nil"/>
              <w:bottom w:val="nil"/>
              <w:right w:val="nil"/>
            </w:tcBorders>
            <w:noWrap/>
            <w:vAlign w:val="bottom"/>
          </w:tcPr>
          <w:p w:rsidR="00E62A4C" w:rsidRPr="005C4BCB" w:rsidRDefault="008D779D" w:rsidP="00423722">
            <w:pPr>
              <w:spacing w:before="0" w:after="0"/>
              <w:contextualSpacing/>
              <w:jc w:val="left"/>
              <w:rPr>
                <w:rFonts w:asciiTheme="minorHAnsi" w:hAnsiTheme="minorHAnsi" w:cs="Times"/>
                <w:bCs/>
                <w:sz w:val="20"/>
                <w:szCs w:val="20"/>
              </w:rPr>
            </w:pPr>
            <w:r>
              <w:rPr>
                <w:rFonts w:asciiTheme="minorHAnsi" w:hAnsiTheme="minorHAnsi" w:cs="Times"/>
                <w:bCs/>
                <w:sz w:val="20"/>
                <w:szCs w:val="20"/>
              </w:rPr>
              <w:t>11,291</w:t>
            </w:r>
          </w:p>
        </w:tc>
        <w:tc>
          <w:tcPr>
            <w:tcW w:w="1154" w:type="dxa"/>
            <w:tcBorders>
              <w:top w:val="nil"/>
              <w:left w:val="nil"/>
              <w:bottom w:val="nil"/>
              <w:right w:val="nil"/>
            </w:tcBorders>
            <w:noWrap/>
            <w:vAlign w:val="bottom"/>
          </w:tcPr>
          <w:p w:rsidR="00E62A4C" w:rsidRPr="005C4BCB" w:rsidRDefault="005C4BCB" w:rsidP="00423722">
            <w:pPr>
              <w:spacing w:before="0" w:after="0"/>
              <w:contextualSpacing/>
              <w:jc w:val="left"/>
              <w:rPr>
                <w:rFonts w:asciiTheme="minorHAnsi" w:hAnsiTheme="minorHAnsi" w:cs="Times"/>
                <w:bCs/>
                <w:sz w:val="20"/>
                <w:szCs w:val="20"/>
              </w:rPr>
            </w:pPr>
            <w:r w:rsidRPr="005C4BCB">
              <w:rPr>
                <w:rFonts w:asciiTheme="minorHAnsi" w:hAnsiTheme="minorHAnsi" w:cs="Times"/>
                <w:bCs/>
                <w:sz w:val="20"/>
                <w:szCs w:val="20"/>
              </w:rPr>
              <w:t>11,771</w:t>
            </w:r>
          </w:p>
        </w:tc>
        <w:tc>
          <w:tcPr>
            <w:tcW w:w="1246" w:type="dxa"/>
            <w:tcBorders>
              <w:top w:val="nil"/>
              <w:left w:val="nil"/>
              <w:bottom w:val="nil"/>
              <w:right w:val="nil"/>
            </w:tcBorders>
            <w:noWrap/>
            <w:vAlign w:val="bottom"/>
          </w:tcPr>
          <w:p w:rsidR="00E62A4C" w:rsidRPr="005C4BCB" w:rsidRDefault="00A60F9B" w:rsidP="00423722">
            <w:pPr>
              <w:spacing w:before="0" w:after="0"/>
              <w:contextualSpacing/>
              <w:jc w:val="left"/>
              <w:rPr>
                <w:rFonts w:asciiTheme="minorHAnsi" w:hAnsiTheme="minorHAnsi" w:cs="Times"/>
                <w:bCs/>
                <w:sz w:val="20"/>
                <w:szCs w:val="20"/>
              </w:rPr>
            </w:pPr>
            <w:r>
              <w:rPr>
                <w:rFonts w:asciiTheme="minorHAnsi" w:hAnsiTheme="minorHAnsi" w:cs="Times"/>
                <w:bCs/>
                <w:sz w:val="20"/>
                <w:szCs w:val="20"/>
              </w:rPr>
              <w:t>+480</w:t>
            </w:r>
          </w:p>
        </w:tc>
        <w:tc>
          <w:tcPr>
            <w:tcW w:w="1176" w:type="dxa"/>
            <w:tcBorders>
              <w:top w:val="nil"/>
              <w:left w:val="nil"/>
              <w:bottom w:val="nil"/>
              <w:right w:val="nil"/>
            </w:tcBorders>
            <w:noWrap/>
            <w:vAlign w:val="bottom"/>
          </w:tcPr>
          <w:p w:rsidR="00E62A4C" w:rsidRPr="005C4BCB" w:rsidRDefault="00A60F9B" w:rsidP="00423722">
            <w:pPr>
              <w:spacing w:before="0" w:after="0"/>
              <w:contextualSpacing/>
              <w:jc w:val="left"/>
              <w:rPr>
                <w:rFonts w:asciiTheme="minorHAnsi" w:hAnsiTheme="minorHAnsi" w:cs="Times"/>
                <w:bCs/>
                <w:sz w:val="20"/>
                <w:szCs w:val="20"/>
              </w:rPr>
            </w:pPr>
            <w:r>
              <w:rPr>
                <w:rFonts w:asciiTheme="minorHAnsi" w:hAnsiTheme="minorHAnsi" w:cs="Times"/>
                <w:bCs/>
                <w:sz w:val="20"/>
                <w:szCs w:val="20"/>
              </w:rPr>
              <w:t>+4.3</w:t>
            </w:r>
          </w:p>
        </w:tc>
      </w:tr>
    </w:tbl>
    <w:p w:rsidR="00E62A4C" w:rsidRDefault="00E62A4C" w:rsidP="004A0F35">
      <w:pPr>
        <w:rPr>
          <w:lang w:val="es-ES_tradnl"/>
        </w:rPr>
      </w:pPr>
    </w:p>
    <w:p w:rsidR="004A0F35" w:rsidRDefault="00557AB4" w:rsidP="004A0F35">
      <w:pPr>
        <w:rPr>
          <w:color w:val="000000" w:themeColor="text1"/>
        </w:rPr>
      </w:pPr>
      <w:r>
        <w:rPr>
          <w:lang w:val="es-ES_tradnl"/>
        </w:rPr>
        <w:t xml:space="preserve">Lidhur me efektin e kalimit te administrimit te akcizes tek administrata doganore, mund te analizojme disa te dhena dhe te bejme disa krahasime, referuar tre muajve te fundit te 2012. </w:t>
      </w:r>
      <w:r w:rsidR="00F809B7" w:rsidRPr="00F809B7">
        <w:rPr>
          <w:lang w:val="es-ES_tradnl"/>
        </w:rPr>
        <w:t xml:space="preserve">Nga te dhenat e Drejtorise se Pergjithshme te Doganave </w:t>
      </w:r>
      <w:r w:rsidR="000B0A6C">
        <w:rPr>
          <w:lang w:val="es-ES_tradnl"/>
        </w:rPr>
        <w:t xml:space="preserve">rezulton se: </w:t>
      </w:r>
      <w:r>
        <w:rPr>
          <w:szCs w:val="24"/>
        </w:rPr>
        <w:t xml:space="preserve">gjatë </w:t>
      </w:r>
      <w:r w:rsidR="004A0F35">
        <w:rPr>
          <w:szCs w:val="24"/>
        </w:rPr>
        <w:t>3-mujorit të fundit të vitit 2012, periudhë kjo që përkon dhe me kalimin e administrimit të plotë të akcizës te Administrata Doganore, janë  arkëtuar 7.8 miliard lekë nga akciza, e ndarë kjo në 7.1 miliard l</w:t>
      </w:r>
      <w:r w:rsidR="00346F61">
        <w:rPr>
          <w:szCs w:val="24"/>
        </w:rPr>
        <w:t xml:space="preserve">ekë </w:t>
      </w:r>
      <w:r w:rsidR="00346F61">
        <w:rPr>
          <w:szCs w:val="24"/>
        </w:rPr>
        <w:lastRenderedPageBreak/>
        <w:t xml:space="preserve">akcizë nga importi dhe 695 </w:t>
      </w:r>
      <w:r w:rsidR="004A0F35">
        <w:rPr>
          <w:szCs w:val="24"/>
        </w:rPr>
        <w:t>milionë lekë arkëtuar nga akciza e brendshme (prodhim vendas ose hedhje për konsum nga magazinat fiskale të stokimit).</w:t>
      </w:r>
      <w:r w:rsidR="00B2159D">
        <w:rPr>
          <w:szCs w:val="24"/>
        </w:rPr>
        <w:t xml:space="preserve"> </w:t>
      </w:r>
      <w:r w:rsidR="004A0F35" w:rsidRPr="00B2159D">
        <w:rPr>
          <w:color w:val="000000" w:themeColor="text1"/>
        </w:rPr>
        <w:t>Me akcizë të brendshme nënkuptojme detyrimin e vjelë për produktet e akcizës që hidhen për konsum nga një magazinë fiskale prodhimi ose stokimi</w:t>
      </w:r>
      <w:r w:rsidR="008E668C">
        <w:rPr>
          <w:color w:val="000000" w:themeColor="text1"/>
        </w:rPr>
        <w:t>, sipas legjislacionit ne fuqi nga data 1 Tetor 2012</w:t>
      </w:r>
      <w:r w:rsidR="00B2159D">
        <w:rPr>
          <w:color w:val="000000" w:themeColor="text1"/>
        </w:rPr>
        <w:t xml:space="preserve">. </w:t>
      </w:r>
      <w:r w:rsidR="00642472">
        <w:rPr>
          <w:szCs w:val="24"/>
        </w:rPr>
        <w:t>Nese krahasojmë totalin e detyrimit të akcizës për tremujorin e fundit 2012 me atë të vitit 2011, shënohet një rritje prej 11%. Një pjesë e mirë e produkteve te hedhura për konsum kanë qenë me akcizë të parapaguar, gjithashtu një sasi e konsiderueshme cigaresh të importuara kanë hyrë në magazinë fiskale stokimi dhe akciza përsëri qëndron në pezullim</w:t>
      </w:r>
    </w:p>
    <w:p w:rsidR="008F4094" w:rsidRPr="00B2159D" w:rsidRDefault="008F4094" w:rsidP="004A0F35">
      <w:pPr>
        <w:rPr>
          <w:color w:val="000000" w:themeColor="text1"/>
        </w:rPr>
      </w:pPr>
      <w:r>
        <w:rPr>
          <w:color w:val="000000" w:themeColor="text1"/>
        </w:rPr>
        <w:t>Tabela 5. Efekti i kalimit te administrimit</w:t>
      </w:r>
    </w:p>
    <w:tbl>
      <w:tblPr>
        <w:tblW w:w="0" w:type="auto"/>
        <w:tblInd w:w="93" w:type="dxa"/>
        <w:tblLook w:val="04A0"/>
      </w:tblPr>
      <w:tblGrid>
        <w:gridCol w:w="2051"/>
        <w:gridCol w:w="1257"/>
        <w:gridCol w:w="1026"/>
        <w:gridCol w:w="1026"/>
        <w:gridCol w:w="1283"/>
        <w:gridCol w:w="1029"/>
        <w:gridCol w:w="1029"/>
      </w:tblGrid>
      <w:tr w:rsidR="008F4094" w:rsidRPr="008F4094" w:rsidTr="007A1FBD">
        <w:trPr>
          <w:trHeight w:val="2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4094" w:rsidRPr="008F4094" w:rsidRDefault="008F4094" w:rsidP="008F4094">
            <w:pPr>
              <w:spacing w:before="0" w:after="0"/>
              <w:contextualSpacing/>
              <w:jc w:val="left"/>
              <w:rPr>
                <w:rFonts w:asciiTheme="minorHAnsi" w:hAnsiTheme="minorHAnsi"/>
                <w:color w:val="000000"/>
                <w:sz w:val="20"/>
                <w:szCs w:val="20"/>
                <w:lang w:val="en-GB" w:eastAsia="en-GB"/>
              </w:rPr>
            </w:pPr>
            <w:r w:rsidRPr="008F4094">
              <w:rPr>
                <w:rFonts w:asciiTheme="minorHAnsi" w:hAnsiTheme="minorHAnsi"/>
                <w:color w:val="000000"/>
                <w:sz w:val="20"/>
                <w:szCs w:val="20"/>
                <w:lang w:val="en-GB" w:eastAsia="en-GB"/>
              </w:rPr>
              <w:t>Emertimi</w:t>
            </w:r>
          </w:p>
        </w:tc>
        <w:tc>
          <w:tcPr>
            <w:tcW w:w="0" w:type="auto"/>
            <w:tcBorders>
              <w:top w:val="single" w:sz="4" w:space="0" w:color="auto"/>
              <w:left w:val="nil"/>
              <w:bottom w:val="single" w:sz="4" w:space="0" w:color="auto"/>
              <w:right w:val="nil"/>
            </w:tcBorders>
            <w:shd w:val="clear" w:color="auto" w:fill="auto"/>
            <w:noWrap/>
            <w:vAlign w:val="bottom"/>
            <w:hideMark/>
          </w:tcPr>
          <w:p w:rsidR="008F4094" w:rsidRPr="008F4094" w:rsidRDefault="008F4094" w:rsidP="008F4094">
            <w:pPr>
              <w:spacing w:before="0" w:after="0"/>
              <w:contextualSpacing/>
              <w:jc w:val="left"/>
              <w:rPr>
                <w:rFonts w:asciiTheme="minorHAnsi" w:hAnsiTheme="minorHAnsi"/>
                <w:b/>
                <w:color w:val="000000"/>
                <w:sz w:val="20"/>
                <w:szCs w:val="20"/>
                <w:lang w:val="en-GB" w:eastAsia="en-GB"/>
              </w:rPr>
            </w:pPr>
            <w:r w:rsidRPr="008F4094">
              <w:rPr>
                <w:rFonts w:asciiTheme="minorHAnsi" w:hAnsiTheme="minorHAnsi"/>
                <w:b/>
                <w:color w:val="000000"/>
                <w:sz w:val="20"/>
                <w:szCs w:val="20"/>
                <w:lang w:val="en-GB" w:eastAsia="en-GB"/>
              </w:rPr>
              <w:t>Tatime</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F4094" w:rsidRPr="008F4094" w:rsidRDefault="008F4094" w:rsidP="008F4094">
            <w:pPr>
              <w:spacing w:before="0" w:after="0"/>
              <w:contextualSpacing/>
              <w:jc w:val="left"/>
              <w:rPr>
                <w:rFonts w:asciiTheme="minorHAnsi" w:hAnsiTheme="minorHAnsi"/>
                <w:b/>
                <w:color w:val="000000"/>
                <w:sz w:val="20"/>
                <w:szCs w:val="20"/>
                <w:lang w:val="en-GB" w:eastAsia="en-GB"/>
              </w:rPr>
            </w:pPr>
            <w:r w:rsidRPr="008F4094">
              <w:rPr>
                <w:rFonts w:asciiTheme="minorHAnsi" w:hAnsiTheme="minorHAnsi"/>
                <w:b/>
                <w:color w:val="000000"/>
                <w:sz w:val="20"/>
                <w:szCs w:val="20"/>
                <w:lang w:val="en-GB" w:eastAsia="en-GB"/>
              </w:rPr>
              <w:t>Dogana 3-mujori 2012</w:t>
            </w:r>
          </w:p>
        </w:tc>
      </w:tr>
      <w:tr w:rsidR="008F4094" w:rsidRPr="008F4094" w:rsidTr="007A1FBD">
        <w:trPr>
          <w:trHeight w:val="2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8F4094" w:rsidRPr="008F4094" w:rsidRDefault="008F4094" w:rsidP="008F4094">
            <w:pPr>
              <w:spacing w:before="0" w:after="0"/>
              <w:contextualSpacing/>
              <w:jc w:val="left"/>
              <w:rPr>
                <w:rFonts w:asciiTheme="minorHAnsi" w:hAnsiTheme="minorHAnsi"/>
                <w:color w:val="000000"/>
                <w:sz w:val="20"/>
                <w:szCs w:val="20"/>
                <w:lang w:val="en-GB" w:eastAsia="en-GB"/>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8F4094" w:rsidRPr="008F4094" w:rsidRDefault="008F4094" w:rsidP="008F4094">
            <w:pPr>
              <w:spacing w:before="0" w:after="0"/>
              <w:contextualSpacing/>
              <w:jc w:val="left"/>
              <w:rPr>
                <w:rFonts w:asciiTheme="minorHAnsi" w:hAnsiTheme="minorHAnsi"/>
                <w:color w:val="000000"/>
                <w:sz w:val="20"/>
                <w:szCs w:val="20"/>
                <w:lang w:val="en-GB" w:eastAsia="en-GB"/>
              </w:rPr>
            </w:pPr>
            <w:r>
              <w:rPr>
                <w:rFonts w:asciiTheme="minorHAnsi" w:hAnsiTheme="minorHAnsi"/>
                <w:color w:val="000000"/>
                <w:sz w:val="20"/>
                <w:szCs w:val="20"/>
                <w:lang w:val="en-GB" w:eastAsia="en-GB"/>
              </w:rPr>
              <w:t xml:space="preserve">Jan-Tet </w:t>
            </w:r>
            <w:r w:rsidRPr="008F4094">
              <w:rPr>
                <w:rFonts w:asciiTheme="minorHAnsi" w:hAnsiTheme="minorHAnsi"/>
                <w:color w:val="000000"/>
                <w:sz w:val="20"/>
                <w:szCs w:val="20"/>
                <w:lang w:val="en-GB" w:eastAsia="en-GB"/>
              </w:rPr>
              <w:t>2011</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8F4094" w:rsidRPr="008F4094" w:rsidRDefault="008F4094" w:rsidP="008F4094">
            <w:pPr>
              <w:spacing w:before="0" w:after="0"/>
              <w:contextualSpacing/>
              <w:jc w:val="left"/>
              <w:rPr>
                <w:rFonts w:asciiTheme="minorHAnsi" w:hAnsiTheme="minorHAnsi"/>
                <w:color w:val="000000"/>
                <w:sz w:val="20"/>
                <w:szCs w:val="20"/>
                <w:lang w:val="en-GB" w:eastAsia="en-GB"/>
              </w:rPr>
            </w:pPr>
            <w:r w:rsidRPr="008F4094">
              <w:rPr>
                <w:rFonts w:asciiTheme="minorHAnsi" w:hAnsiTheme="minorHAnsi"/>
                <w:color w:val="000000"/>
                <w:sz w:val="20"/>
                <w:szCs w:val="20"/>
                <w:lang w:val="en-GB" w:eastAsia="en-GB"/>
              </w:rPr>
              <w:t>Importuar</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8F4094" w:rsidRPr="008F4094" w:rsidRDefault="008F4094" w:rsidP="008F4094">
            <w:pPr>
              <w:spacing w:before="0" w:after="0"/>
              <w:contextualSpacing/>
              <w:jc w:val="left"/>
              <w:rPr>
                <w:rFonts w:asciiTheme="minorHAnsi" w:hAnsiTheme="minorHAnsi"/>
                <w:color w:val="000000"/>
                <w:sz w:val="20"/>
                <w:szCs w:val="20"/>
                <w:lang w:val="en-GB" w:eastAsia="en-GB"/>
              </w:rPr>
            </w:pPr>
            <w:r w:rsidRPr="008F4094">
              <w:rPr>
                <w:rFonts w:asciiTheme="minorHAnsi" w:hAnsiTheme="minorHAnsi"/>
                <w:color w:val="000000"/>
                <w:sz w:val="20"/>
                <w:szCs w:val="20"/>
                <w:lang w:val="en-GB" w:eastAsia="en-GB"/>
              </w:rPr>
              <w:t>Akc. e brend.</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8F4094" w:rsidRPr="008F4094" w:rsidRDefault="008F4094" w:rsidP="008F4094">
            <w:pPr>
              <w:spacing w:before="0" w:after="0"/>
              <w:contextualSpacing/>
              <w:jc w:val="left"/>
              <w:rPr>
                <w:rFonts w:asciiTheme="minorHAnsi" w:hAnsiTheme="minorHAnsi"/>
                <w:b/>
                <w:color w:val="000000"/>
                <w:sz w:val="20"/>
                <w:szCs w:val="20"/>
                <w:lang w:val="en-GB" w:eastAsia="en-GB"/>
              </w:rPr>
            </w:pPr>
            <w:r w:rsidRPr="008F4094">
              <w:rPr>
                <w:rFonts w:asciiTheme="minorHAnsi" w:hAnsiTheme="minorHAnsi"/>
                <w:b/>
                <w:color w:val="000000"/>
                <w:sz w:val="20"/>
                <w:szCs w:val="20"/>
                <w:lang w:val="en-GB" w:eastAsia="en-GB"/>
              </w:rPr>
              <w:t>Total</w:t>
            </w:r>
          </w:p>
        </w:tc>
      </w:tr>
      <w:tr w:rsidR="008F4094" w:rsidRPr="008F4094" w:rsidTr="007A1FBD">
        <w:trPr>
          <w:trHeight w:val="2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8F4094" w:rsidRPr="008F4094" w:rsidRDefault="008F4094" w:rsidP="008F4094">
            <w:pPr>
              <w:spacing w:before="0" w:after="0"/>
              <w:contextualSpacing/>
              <w:jc w:val="left"/>
              <w:rPr>
                <w:rFonts w:asciiTheme="minorHAnsi" w:hAnsiTheme="minorHAnsi"/>
                <w:color w:val="000000"/>
                <w:sz w:val="20"/>
                <w:szCs w:val="20"/>
                <w:lang w:val="en-GB" w:eastAsia="en-GB"/>
              </w:rPr>
            </w:pPr>
          </w:p>
        </w:tc>
        <w:tc>
          <w:tcPr>
            <w:tcW w:w="0" w:type="auto"/>
            <w:vMerge/>
            <w:tcBorders>
              <w:top w:val="nil"/>
              <w:left w:val="single" w:sz="4" w:space="0" w:color="auto"/>
              <w:bottom w:val="single" w:sz="4" w:space="0" w:color="000000"/>
              <w:right w:val="single" w:sz="4" w:space="0" w:color="auto"/>
            </w:tcBorders>
            <w:vAlign w:val="center"/>
            <w:hideMark/>
          </w:tcPr>
          <w:p w:rsidR="008F4094" w:rsidRPr="008F4094" w:rsidRDefault="008F4094" w:rsidP="008F4094">
            <w:pPr>
              <w:spacing w:before="0" w:after="0"/>
              <w:contextualSpacing/>
              <w:jc w:val="left"/>
              <w:rPr>
                <w:rFonts w:asciiTheme="minorHAnsi" w:hAnsiTheme="minorHAnsi"/>
                <w:color w:val="000000"/>
                <w:sz w:val="20"/>
                <w:szCs w:val="20"/>
                <w:lang w:val="en-GB" w:eastAsia="en-GB"/>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8F4094" w:rsidRPr="008F4094" w:rsidRDefault="008F4094" w:rsidP="008F4094">
            <w:pPr>
              <w:spacing w:before="0" w:after="0"/>
              <w:contextualSpacing/>
              <w:jc w:val="left"/>
              <w:rPr>
                <w:rFonts w:asciiTheme="minorHAnsi" w:hAnsiTheme="minorHAnsi"/>
                <w:color w:val="000000"/>
                <w:sz w:val="20"/>
                <w:szCs w:val="20"/>
                <w:lang w:val="en-GB" w:eastAsia="en-GB"/>
              </w:rPr>
            </w:pPr>
            <w:r w:rsidRPr="008F4094">
              <w:rPr>
                <w:rFonts w:asciiTheme="minorHAnsi" w:hAnsiTheme="minorHAnsi"/>
                <w:color w:val="000000"/>
                <w:sz w:val="20"/>
                <w:szCs w:val="20"/>
                <w:lang w:val="en-GB" w:eastAsia="en-GB"/>
              </w:rPr>
              <w:t>Detyrim</w:t>
            </w:r>
          </w:p>
        </w:tc>
        <w:tc>
          <w:tcPr>
            <w:tcW w:w="0" w:type="auto"/>
            <w:tcBorders>
              <w:top w:val="nil"/>
              <w:left w:val="nil"/>
              <w:bottom w:val="single" w:sz="4" w:space="0" w:color="auto"/>
              <w:right w:val="nil"/>
            </w:tcBorders>
            <w:shd w:val="clear" w:color="auto" w:fill="auto"/>
            <w:noWrap/>
            <w:vAlign w:val="bottom"/>
            <w:hideMark/>
          </w:tcPr>
          <w:p w:rsidR="008F4094" w:rsidRPr="008F4094" w:rsidRDefault="008F4094" w:rsidP="008F4094">
            <w:pPr>
              <w:spacing w:before="0" w:after="0"/>
              <w:contextualSpacing/>
              <w:jc w:val="left"/>
              <w:rPr>
                <w:rFonts w:asciiTheme="minorHAnsi" w:hAnsiTheme="minorHAnsi"/>
                <w:color w:val="000000"/>
                <w:sz w:val="20"/>
                <w:szCs w:val="20"/>
                <w:lang w:val="en-GB" w:eastAsia="en-GB"/>
              </w:rPr>
            </w:pPr>
            <w:r w:rsidRPr="008F4094">
              <w:rPr>
                <w:rFonts w:asciiTheme="minorHAnsi" w:hAnsiTheme="minorHAnsi"/>
                <w:color w:val="000000"/>
                <w:sz w:val="20"/>
                <w:szCs w:val="20"/>
                <w:lang w:val="en-GB" w:eastAsia="en-GB"/>
              </w:rPr>
              <w:t>Paguar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4094" w:rsidRPr="008F4094" w:rsidRDefault="008F4094" w:rsidP="008F4094">
            <w:pPr>
              <w:spacing w:before="0" w:after="0"/>
              <w:contextualSpacing/>
              <w:jc w:val="left"/>
              <w:rPr>
                <w:rFonts w:asciiTheme="minorHAnsi" w:hAnsiTheme="minorHAnsi"/>
                <w:color w:val="000000"/>
                <w:sz w:val="20"/>
                <w:szCs w:val="20"/>
                <w:lang w:val="en-GB" w:eastAsia="en-GB"/>
              </w:rPr>
            </w:pPr>
            <w:r w:rsidRPr="008F4094">
              <w:rPr>
                <w:rFonts w:asciiTheme="minorHAnsi" w:hAnsiTheme="minorHAnsi"/>
                <w:color w:val="000000"/>
                <w:sz w:val="20"/>
                <w:szCs w:val="20"/>
                <w:lang w:val="en-GB" w:eastAsia="en-GB"/>
              </w:rPr>
              <w:t>Paguar</w:t>
            </w:r>
          </w:p>
        </w:tc>
        <w:tc>
          <w:tcPr>
            <w:tcW w:w="0" w:type="auto"/>
            <w:tcBorders>
              <w:top w:val="nil"/>
              <w:left w:val="nil"/>
              <w:bottom w:val="single" w:sz="4" w:space="0" w:color="auto"/>
              <w:right w:val="nil"/>
            </w:tcBorders>
            <w:shd w:val="clear" w:color="auto" w:fill="auto"/>
            <w:noWrap/>
            <w:vAlign w:val="bottom"/>
            <w:hideMark/>
          </w:tcPr>
          <w:p w:rsidR="008F4094" w:rsidRPr="008F4094" w:rsidRDefault="008F4094" w:rsidP="008F4094">
            <w:pPr>
              <w:spacing w:before="0" w:after="0"/>
              <w:contextualSpacing/>
              <w:jc w:val="left"/>
              <w:rPr>
                <w:rFonts w:asciiTheme="minorHAnsi" w:hAnsiTheme="minorHAnsi"/>
                <w:b/>
                <w:color w:val="000000"/>
                <w:sz w:val="20"/>
                <w:szCs w:val="20"/>
                <w:lang w:val="en-GB" w:eastAsia="en-GB"/>
              </w:rPr>
            </w:pPr>
            <w:r w:rsidRPr="008F4094">
              <w:rPr>
                <w:rFonts w:asciiTheme="minorHAnsi" w:hAnsiTheme="minorHAnsi"/>
                <w:b/>
                <w:color w:val="000000"/>
                <w:sz w:val="20"/>
                <w:szCs w:val="20"/>
                <w:lang w:val="en-GB" w:eastAsia="en-GB"/>
              </w:rPr>
              <w:t>Detyrim</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F4094" w:rsidRPr="008F4094" w:rsidRDefault="008F4094" w:rsidP="008F4094">
            <w:pPr>
              <w:spacing w:before="0" w:after="0"/>
              <w:contextualSpacing/>
              <w:jc w:val="left"/>
              <w:rPr>
                <w:rFonts w:asciiTheme="minorHAnsi" w:hAnsiTheme="minorHAnsi"/>
                <w:b/>
                <w:color w:val="000000"/>
                <w:sz w:val="20"/>
                <w:szCs w:val="20"/>
                <w:lang w:val="en-GB" w:eastAsia="en-GB"/>
              </w:rPr>
            </w:pPr>
            <w:r w:rsidRPr="008F4094">
              <w:rPr>
                <w:rFonts w:asciiTheme="minorHAnsi" w:hAnsiTheme="minorHAnsi"/>
                <w:b/>
                <w:color w:val="000000"/>
                <w:sz w:val="20"/>
                <w:szCs w:val="20"/>
                <w:lang w:val="en-GB" w:eastAsia="en-GB"/>
              </w:rPr>
              <w:t>Paguar</w:t>
            </w:r>
          </w:p>
        </w:tc>
      </w:tr>
      <w:tr w:rsidR="008F4094" w:rsidRPr="008F4094" w:rsidTr="007A1FBD">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F4094" w:rsidRPr="008F4094" w:rsidRDefault="008F4094" w:rsidP="008F4094">
            <w:pPr>
              <w:spacing w:before="0" w:after="0"/>
              <w:contextualSpacing/>
              <w:jc w:val="left"/>
              <w:rPr>
                <w:rFonts w:asciiTheme="minorHAnsi" w:hAnsiTheme="minorHAnsi"/>
                <w:color w:val="000000"/>
                <w:sz w:val="20"/>
                <w:szCs w:val="20"/>
                <w:lang w:val="en-GB" w:eastAsia="en-GB"/>
              </w:rPr>
            </w:pPr>
            <w:r w:rsidRPr="008F4094">
              <w:rPr>
                <w:rFonts w:asciiTheme="minorHAnsi" w:hAnsiTheme="minorHAnsi"/>
                <w:color w:val="000000"/>
                <w:sz w:val="20"/>
                <w:szCs w:val="20"/>
                <w:lang w:val="en-GB" w:eastAsia="en-GB"/>
              </w:rPr>
              <w:t>Akciza e Cigareve</w:t>
            </w:r>
          </w:p>
        </w:tc>
        <w:tc>
          <w:tcPr>
            <w:tcW w:w="0" w:type="auto"/>
            <w:tcBorders>
              <w:top w:val="nil"/>
              <w:left w:val="nil"/>
              <w:bottom w:val="single" w:sz="4" w:space="0" w:color="auto"/>
              <w:right w:val="nil"/>
            </w:tcBorders>
            <w:shd w:val="clear" w:color="auto" w:fill="auto"/>
            <w:noWrap/>
            <w:vAlign w:val="bottom"/>
            <w:hideMark/>
          </w:tcPr>
          <w:p w:rsidR="008F4094" w:rsidRPr="008F4094" w:rsidRDefault="008F4094" w:rsidP="008F4094">
            <w:pPr>
              <w:spacing w:before="0" w:after="0"/>
              <w:contextualSpacing/>
              <w:jc w:val="left"/>
              <w:rPr>
                <w:rFonts w:asciiTheme="minorHAnsi" w:hAnsiTheme="minorHAnsi"/>
                <w:color w:val="000000"/>
                <w:sz w:val="20"/>
                <w:szCs w:val="20"/>
                <w:lang w:val="en-GB" w:eastAsia="en-GB"/>
              </w:rPr>
            </w:pPr>
            <w:r w:rsidRPr="008F4094">
              <w:rPr>
                <w:rFonts w:asciiTheme="minorHAnsi" w:hAnsiTheme="minorHAnsi"/>
                <w:color w:val="000000"/>
                <w:sz w:val="20"/>
                <w:szCs w:val="20"/>
                <w:lang w:val="en-GB" w:eastAsia="en-GB"/>
              </w:rPr>
              <w:t>2,833,880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F4094" w:rsidRPr="008F4094" w:rsidRDefault="008F4094" w:rsidP="008F4094">
            <w:pPr>
              <w:spacing w:before="0" w:after="0"/>
              <w:contextualSpacing/>
              <w:jc w:val="left"/>
              <w:rPr>
                <w:rFonts w:asciiTheme="minorHAnsi" w:hAnsiTheme="minorHAnsi"/>
                <w:color w:val="000000"/>
                <w:sz w:val="20"/>
                <w:szCs w:val="20"/>
                <w:lang w:val="en-GB" w:eastAsia="en-GB"/>
              </w:rPr>
            </w:pPr>
            <w:r w:rsidRPr="008F4094">
              <w:rPr>
                <w:rFonts w:asciiTheme="minorHAnsi" w:hAnsiTheme="minorHAnsi"/>
                <w:color w:val="000000"/>
                <w:sz w:val="20"/>
                <w:szCs w:val="20"/>
                <w:lang w:val="en-GB" w:eastAsia="en-GB"/>
              </w:rPr>
              <w:t>3,604,138</w:t>
            </w:r>
          </w:p>
        </w:tc>
        <w:tc>
          <w:tcPr>
            <w:tcW w:w="0" w:type="auto"/>
            <w:tcBorders>
              <w:top w:val="nil"/>
              <w:left w:val="nil"/>
              <w:bottom w:val="single" w:sz="4" w:space="0" w:color="auto"/>
              <w:right w:val="nil"/>
            </w:tcBorders>
            <w:shd w:val="clear" w:color="auto" w:fill="auto"/>
            <w:noWrap/>
            <w:vAlign w:val="bottom"/>
            <w:hideMark/>
          </w:tcPr>
          <w:p w:rsidR="008F4094" w:rsidRPr="008F4094" w:rsidRDefault="008F4094" w:rsidP="008F4094">
            <w:pPr>
              <w:spacing w:before="0" w:after="0"/>
              <w:contextualSpacing/>
              <w:jc w:val="left"/>
              <w:rPr>
                <w:rFonts w:asciiTheme="minorHAnsi" w:hAnsiTheme="minorHAnsi"/>
                <w:color w:val="000000"/>
                <w:sz w:val="20"/>
                <w:szCs w:val="20"/>
                <w:lang w:val="en-GB" w:eastAsia="en-GB"/>
              </w:rPr>
            </w:pPr>
            <w:r w:rsidRPr="008F4094">
              <w:rPr>
                <w:rFonts w:asciiTheme="minorHAnsi" w:hAnsiTheme="minorHAnsi"/>
                <w:color w:val="000000"/>
                <w:sz w:val="20"/>
                <w:szCs w:val="20"/>
                <w:lang w:val="en-GB" w:eastAsia="en-GB"/>
              </w:rPr>
              <w:t>1,455,904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F4094" w:rsidRPr="008F4094" w:rsidRDefault="008F4094" w:rsidP="008F4094">
            <w:pPr>
              <w:spacing w:before="0" w:after="0"/>
              <w:contextualSpacing/>
              <w:jc w:val="left"/>
              <w:rPr>
                <w:rFonts w:asciiTheme="minorHAnsi" w:hAnsiTheme="minorHAnsi"/>
                <w:color w:val="000000"/>
                <w:sz w:val="20"/>
                <w:szCs w:val="20"/>
                <w:lang w:val="en-GB" w:eastAsia="en-GB"/>
              </w:rPr>
            </w:pPr>
            <w:r w:rsidRPr="008F4094">
              <w:rPr>
                <w:rFonts w:asciiTheme="minorHAnsi" w:hAnsiTheme="minorHAnsi"/>
                <w:color w:val="000000"/>
                <w:sz w:val="20"/>
                <w:szCs w:val="20"/>
                <w:lang w:val="en-GB" w:eastAsia="en-GB"/>
              </w:rPr>
              <w:t>375,655</w:t>
            </w:r>
          </w:p>
        </w:tc>
        <w:tc>
          <w:tcPr>
            <w:tcW w:w="0" w:type="auto"/>
            <w:tcBorders>
              <w:top w:val="nil"/>
              <w:left w:val="nil"/>
              <w:bottom w:val="single" w:sz="4" w:space="0" w:color="auto"/>
              <w:right w:val="nil"/>
            </w:tcBorders>
            <w:shd w:val="clear" w:color="auto" w:fill="auto"/>
            <w:noWrap/>
            <w:vAlign w:val="bottom"/>
            <w:hideMark/>
          </w:tcPr>
          <w:p w:rsidR="008F4094" w:rsidRPr="008F4094" w:rsidRDefault="008F4094" w:rsidP="008F4094">
            <w:pPr>
              <w:spacing w:before="0" w:after="0"/>
              <w:contextualSpacing/>
              <w:jc w:val="left"/>
              <w:rPr>
                <w:rFonts w:asciiTheme="minorHAnsi" w:hAnsiTheme="minorHAnsi"/>
                <w:color w:val="000000"/>
                <w:sz w:val="20"/>
                <w:szCs w:val="20"/>
                <w:lang w:val="en-GB" w:eastAsia="en-GB"/>
              </w:rPr>
            </w:pPr>
            <w:r w:rsidRPr="008F4094">
              <w:rPr>
                <w:rFonts w:asciiTheme="minorHAnsi" w:hAnsiTheme="minorHAnsi"/>
                <w:color w:val="000000"/>
                <w:sz w:val="20"/>
                <w:szCs w:val="20"/>
                <w:lang w:val="en-GB" w:eastAsia="en-GB"/>
              </w:rPr>
              <w:t>3,604,138</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F4094" w:rsidRPr="008F4094" w:rsidRDefault="008F4094" w:rsidP="008F4094">
            <w:pPr>
              <w:spacing w:before="0" w:after="0"/>
              <w:contextualSpacing/>
              <w:jc w:val="left"/>
              <w:rPr>
                <w:rFonts w:asciiTheme="minorHAnsi" w:hAnsiTheme="minorHAnsi"/>
                <w:color w:val="000000"/>
                <w:sz w:val="20"/>
                <w:szCs w:val="20"/>
                <w:lang w:val="en-GB" w:eastAsia="en-GB"/>
              </w:rPr>
            </w:pPr>
            <w:r w:rsidRPr="008F4094">
              <w:rPr>
                <w:rFonts w:asciiTheme="minorHAnsi" w:hAnsiTheme="minorHAnsi"/>
                <w:color w:val="000000"/>
                <w:sz w:val="20"/>
                <w:szCs w:val="20"/>
                <w:lang w:val="en-GB" w:eastAsia="en-GB"/>
              </w:rPr>
              <w:t>1,832,440</w:t>
            </w:r>
          </w:p>
        </w:tc>
      </w:tr>
      <w:tr w:rsidR="008F4094" w:rsidRPr="008F4094" w:rsidTr="007A1FBD">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F4094" w:rsidRPr="008F4094" w:rsidRDefault="008F4094" w:rsidP="008F4094">
            <w:pPr>
              <w:spacing w:before="0" w:after="0"/>
              <w:contextualSpacing/>
              <w:jc w:val="left"/>
              <w:rPr>
                <w:rFonts w:asciiTheme="minorHAnsi" w:hAnsiTheme="minorHAnsi"/>
                <w:color w:val="000000"/>
                <w:sz w:val="20"/>
                <w:szCs w:val="20"/>
                <w:lang w:val="en-GB" w:eastAsia="en-GB"/>
              </w:rPr>
            </w:pPr>
            <w:r w:rsidRPr="008F4094">
              <w:rPr>
                <w:rFonts w:asciiTheme="minorHAnsi" w:hAnsiTheme="minorHAnsi"/>
                <w:color w:val="000000"/>
                <w:sz w:val="20"/>
                <w:szCs w:val="20"/>
                <w:lang w:val="en-GB" w:eastAsia="en-GB"/>
              </w:rPr>
              <w:t>Akciza Pijeve Alkoolike</w:t>
            </w:r>
          </w:p>
        </w:tc>
        <w:tc>
          <w:tcPr>
            <w:tcW w:w="0" w:type="auto"/>
            <w:tcBorders>
              <w:top w:val="nil"/>
              <w:left w:val="nil"/>
              <w:bottom w:val="single" w:sz="4" w:space="0" w:color="auto"/>
              <w:right w:val="nil"/>
            </w:tcBorders>
            <w:shd w:val="clear" w:color="auto" w:fill="auto"/>
            <w:noWrap/>
            <w:vAlign w:val="bottom"/>
            <w:hideMark/>
          </w:tcPr>
          <w:p w:rsidR="008F4094" w:rsidRPr="008F4094" w:rsidRDefault="008F4094" w:rsidP="008F4094">
            <w:pPr>
              <w:spacing w:before="0" w:after="0"/>
              <w:contextualSpacing/>
              <w:jc w:val="left"/>
              <w:rPr>
                <w:rFonts w:asciiTheme="minorHAnsi" w:hAnsiTheme="minorHAnsi"/>
                <w:color w:val="000000"/>
                <w:sz w:val="20"/>
                <w:szCs w:val="20"/>
                <w:lang w:val="en-GB" w:eastAsia="en-GB"/>
              </w:rPr>
            </w:pPr>
            <w:r w:rsidRPr="008F4094">
              <w:rPr>
                <w:rFonts w:asciiTheme="minorHAnsi" w:hAnsiTheme="minorHAnsi"/>
                <w:color w:val="000000"/>
                <w:sz w:val="20"/>
                <w:szCs w:val="20"/>
                <w:lang w:val="en-GB" w:eastAsia="en-GB"/>
              </w:rPr>
              <w:t>229,121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F4094" w:rsidRPr="008F4094" w:rsidRDefault="008F4094" w:rsidP="008F4094">
            <w:pPr>
              <w:spacing w:before="0" w:after="0"/>
              <w:contextualSpacing/>
              <w:jc w:val="left"/>
              <w:rPr>
                <w:rFonts w:asciiTheme="minorHAnsi" w:hAnsiTheme="minorHAnsi"/>
                <w:color w:val="000000"/>
                <w:sz w:val="20"/>
                <w:szCs w:val="20"/>
                <w:lang w:val="en-GB" w:eastAsia="en-GB"/>
              </w:rPr>
            </w:pPr>
            <w:r w:rsidRPr="008F4094">
              <w:rPr>
                <w:rFonts w:asciiTheme="minorHAnsi" w:hAnsiTheme="minorHAnsi"/>
                <w:color w:val="000000"/>
                <w:sz w:val="20"/>
                <w:szCs w:val="20"/>
                <w:lang w:val="en-GB" w:eastAsia="en-GB"/>
              </w:rPr>
              <w:t>204,257</w:t>
            </w:r>
          </w:p>
        </w:tc>
        <w:tc>
          <w:tcPr>
            <w:tcW w:w="0" w:type="auto"/>
            <w:tcBorders>
              <w:top w:val="nil"/>
              <w:left w:val="nil"/>
              <w:bottom w:val="single" w:sz="4" w:space="0" w:color="auto"/>
              <w:right w:val="nil"/>
            </w:tcBorders>
            <w:shd w:val="clear" w:color="auto" w:fill="auto"/>
            <w:noWrap/>
            <w:vAlign w:val="bottom"/>
            <w:hideMark/>
          </w:tcPr>
          <w:p w:rsidR="008F4094" w:rsidRPr="008F4094" w:rsidRDefault="008F4094" w:rsidP="008F4094">
            <w:pPr>
              <w:spacing w:before="0" w:after="0"/>
              <w:contextualSpacing/>
              <w:jc w:val="left"/>
              <w:rPr>
                <w:rFonts w:asciiTheme="minorHAnsi" w:hAnsiTheme="minorHAnsi"/>
                <w:color w:val="000000"/>
                <w:sz w:val="20"/>
                <w:szCs w:val="20"/>
                <w:lang w:val="en-GB" w:eastAsia="en-GB"/>
              </w:rPr>
            </w:pPr>
            <w:r w:rsidRPr="008F4094">
              <w:rPr>
                <w:rFonts w:asciiTheme="minorHAnsi" w:hAnsiTheme="minorHAnsi"/>
                <w:color w:val="000000"/>
                <w:sz w:val="20"/>
                <w:szCs w:val="20"/>
                <w:lang w:val="en-GB" w:eastAsia="en-GB"/>
              </w:rPr>
              <w:t>78,711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F4094" w:rsidRPr="008F4094" w:rsidRDefault="008F4094" w:rsidP="008F4094">
            <w:pPr>
              <w:spacing w:before="0" w:after="0"/>
              <w:contextualSpacing/>
              <w:jc w:val="left"/>
              <w:rPr>
                <w:rFonts w:asciiTheme="minorHAnsi" w:hAnsiTheme="minorHAnsi"/>
                <w:color w:val="000000"/>
                <w:sz w:val="20"/>
                <w:szCs w:val="20"/>
                <w:lang w:val="en-GB" w:eastAsia="en-GB"/>
              </w:rPr>
            </w:pPr>
            <w:r w:rsidRPr="008F4094">
              <w:rPr>
                <w:rFonts w:asciiTheme="minorHAnsi" w:hAnsiTheme="minorHAnsi"/>
                <w:color w:val="000000"/>
                <w:sz w:val="20"/>
                <w:szCs w:val="20"/>
                <w:lang w:val="en-GB" w:eastAsia="en-GB"/>
              </w:rPr>
              <w:t>56,097</w:t>
            </w:r>
          </w:p>
        </w:tc>
        <w:tc>
          <w:tcPr>
            <w:tcW w:w="0" w:type="auto"/>
            <w:tcBorders>
              <w:top w:val="nil"/>
              <w:left w:val="nil"/>
              <w:bottom w:val="single" w:sz="4" w:space="0" w:color="auto"/>
              <w:right w:val="nil"/>
            </w:tcBorders>
            <w:shd w:val="clear" w:color="auto" w:fill="auto"/>
            <w:noWrap/>
            <w:vAlign w:val="bottom"/>
            <w:hideMark/>
          </w:tcPr>
          <w:p w:rsidR="008F4094" w:rsidRPr="008F4094" w:rsidRDefault="008F4094" w:rsidP="008F4094">
            <w:pPr>
              <w:spacing w:before="0" w:after="0"/>
              <w:contextualSpacing/>
              <w:jc w:val="left"/>
              <w:rPr>
                <w:rFonts w:asciiTheme="minorHAnsi" w:hAnsiTheme="minorHAnsi"/>
                <w:color w:val="000000"/>
                <w:sz w:val="20"/>
                <w:szCs w:val="20"/>
                <w:lang w:val="en-GB" w:eastAsia="en-GB"/>
              </w:rPr>
            </w:pPr>
            <w:r w:rsidRPr="008F4094">
              <w:rPr>
                <w:rFonts w:asciiTheme="minorHAnsi" w:hAnsiTheme="minorHAnsi"/>
                <w:color w:val="000000"/>
                <w:sz w:val="20"/>
                <w:szCs w:val="20"/>
                <w:lang w:val="en-GB" w:eastAsia="en-GB"/>
              </w:rPr>
              <w:t>260,354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F4094" w:rsidRPr="008F4094" w:rsidRDefault="008F4094" w:rsidP="008F4094">
            <w:pPr>
              <w:spacing w:before="0" w:after="0"/>
              <w:contextualSpacing/>
              <w:jc w:val="left"/>
              <w:rPr>
                <w:rFonts w:asciiTheme="minorHAnsi" w:hAnsiTheme="minorHAnsi"/>
                <w:color w:val="000000"/>
                <w:sz w:val="20"/>
                <w:szCs w:val="20"/>
                <w:lang w:val="en-GB" w:eastAsia="en-GB"/>
              </w:rPr>
            </w:pPr>
            <w:r w:rsidRPr="008F4094">
              <w:rPr>
                <w:rFonts w:asciiTheme="minorHAnsi" w:hAnsiTheme="minorHAnsi"/>
                <w:color w:val="000000"/>
                <w:sz w:val="20"/>
                <w:szCs w:val="20"/>
                <w:lang w:val="en-GB" w:eastAsia="en-GB"/>
              </w:rPr>
              <w:t>134,808</w:t>
            </w:r>
          </w:p>
        </w:tc>
      </w:tr>
      <w:tr w:rsidR="008F4094" w:rsidRPr="008F4094" w:rsidTr="007A1FBD">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F4094" w:rsidRPr="008F4094" w:rsidRDefault="008F4094" w:rsidP="008F4094">
            <w:pPr>
              <w:spacing w:before="0" w:after="0"/>
              <w:contextualSpacing/>
              <w:jc w:val="left"/>
              <w:rPr>
                <w:rFonts w:asciiTheme="minorHAnsi" w:hAnsiTheme="minorHAnsi"/>
                <w:color w:val="000000"/>
                <w:sz w:val="20"/>
                <w:szCs w:val="20"/>
                <w:lang w:val="en-GB" w:eastAsia="en-GB"/>
              </w:rPr>
            </w:pPr>
            <w:r w:rsidRPr="008F4094">
              <w:rPr>
                <w:rFonts w:asciiTheme="minorHAnsi" w:hAnsiTheme="minorHAnsi"/>
                <w:color w:val="000000"/>
                <w:sz w:val="20"/>
                <w:szCs w:val="20"/>
                <w:lang w:val="en-GB" w:eastAsia="en-GB"/>
              </w:rPr>
              <w:t>Akciza Karburanteve</w:t>
            </w:r>
          </w:p>
        </w:tc>
        <w:tc>
          <w:tcPr>
            <w:tcW w:w="0" w:type="auto"/>
            <w:tcBorders>
              <w:top w:val="nil"/>
              <w:left w:val="nil"/>
              <w:bottom w:val="single" w:sz="4" w:space="0" w:color="auto"/>
              <w:right w:val="nil"/>
            </w:tcBorders>
            <w:shd w:val="clear" w:color="auto" w:fill="auto"/>
            <w:noWrap/>
            <w:vAlign w:val="bottom"/>
            <w:hideMark/>
          </w:tcPr>
          <w:p w:rsidR="008F4094" w:rsidRPr="008F4094" w:rsidRDefault="008F4094" w:rsidP="008F4094">
            <w:pPr>
              <w:spacing w:before="0" w:after="0"/>
              <w:contextualSpacing/>
              <w:jc w:val="left"/>
              <w:rPr>
                <w:rFonts w:asciiTheme="minorHAnsi" w:hAnsiTheme="minorHAnsi"/>
                <w:color w:val="000000"/>
                <w:sz w:val="20"/>
                <w:szCs w:val="20"/>
                <w:lang w:val="en-GB" w:eastAsia="en-GB"/>
              </w:rPr>
            </w:pPr>
            <w:r w:rsidRPr="008F4094">
              <w:rPr>
                <w:rFonts w:asciiTheme="minorHAnsi" w:hAnsiTheme="minorHAnsi"/>
                <w:color w:val="000000"/>
                <w:sz w:val="20"/>
                <w:szCs w:val="20"/>
                <w:lang w:val="en-GB" w:eastAsia="en-GB"/>
              </w:rPr>
              <w:t>550,873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F4094" w:rsidRPr="008F4094" w:rsidRDefault="008F4094" w:rsidP="008F4094">
            <w:pPr>
              <w:spacing w:before="0" w:after="0"/>
              <w:contextualSpacing/>
              <w:jc w:val="left"/>
              <w:rPr>
                <w:rFonts w:asciiTheme="minorHAnsi" w:hAnsiTheme="minorHAnsi"/>
                <w:color w:val="000000"/>
                <w:sz w:val="20"/>
                <w:szCs w:val="20"/>
                <w:lang w:val="en-GB" w:eastAsia="en-GB"/>
              </w:rPr>
            </w:pPr>
            <w:r w:rsidRPr="008F4094">
              <w:rPr>
                <w:rFonts w:asciiTheme="minorHAnsi" w:hAnsiTheme="minorHAnsi"/>
                <w:color w:val="000000"/>
                <w:sz w:val="20"/>
                <w:szCs w:val="20"/>
                <w:lang w:val="en-GB" w:eastAsia="en-GB"/>
              </w:rPr>
              <w:t> </w:t>
            </w:r>
          </w:p>
        </w:tc>
        <w:tc>
          <w:tcPr>
            <w:tcW w:w="0" w:type="auto"/>
            <w:tcBorders>
              <w:top w:val="nil"/>
              <w:left w:val="nil"/>
              <w:bottom w:val="single" w:sz="4" w:space="0" w:color="auto"/>
              <w:right w:val="nil"/>
            </w:tcBorders>
            <w:shd w:val="clear" w:color="auto" w:fill="auto"/>
            <w:noWrap/>
            <w:vAlign w:val="bottom"/>
            <w:hideMark/>
          </w:tcPr>
          <w:p w:rsidR="008F4094" w:rsidRPr="008F4094" w:rsidRDefault="008F4094" w:rsidP="008F4094">
            <w:pPr>
              <w:spacing w:before="0" w:after="0"/>
              <w:contextualSpacing/>
              <w:jc w:val="left"/>
              <w:rPr>
                <w:rFonts w:asciiTheme="minorHAnsi" w:hAnsiTheme="minorHAnsi"/>
                <w:color w:val="000000"/>
                <w:sz w:val="20"/>
                <w:szCs w:val="20"/>
                <w:lang w:val="en-GB" w:eastAsia="en-GB"/>
              </w:rPr>
            </w:pPr>
            <w:r w:rsidRPr="008F4094">
              <w:rPr>
                <w:rFonts w:asciiTheme="minorHAnsi" w:hAnsiTheme="minorHAnsi"/>
                <w:color w:val="000000"/>
                <w:sz w:val="20"/>
                <w:szCs w:val="20"/>
                <w:lang w:val="en-GB" w:eastAsia="en-GB"/>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F4094" w:rsidRPr="008F4094" w:rsidRDefault="008F4094" w:rsidP="008F4094">
            <w:pPr>
              <w:spacing w:before="0" w:after="0"/>
              <w:contextualSpacing/>
              <w:jc w:val="left"/>
              <w:rPr>
                <w:rFonts w:asciiTheme="minorHAnsi" w:hAnsiTheme="minorHAnsi"/>
                <w:color w:val="000000"/>
                <w:sz w:val="20"/>
                <w:szCs w:val="20"/>
                <w:lang w:val="en-GB" w:eastAsia="en-GB"/>
              </w:rPr>
            </w:pPr>
            <w:r w:rsidRPr="008F4094">
              <w:rPr>
                <w:rFonts w:asciiTheme="minorHAnsi" w:hAnsiTheme="minorHAnsi"/>
                <w:color w:val="000000"/>
                <w:sz w:val="20"/>
                <w:szCs w:val="20"/>
                <w:lang w:val="en-GB" w:eastAsia="en-GB"/>
              </w:rPr>
              <w:t>122,956</w:t>
            </w:r>
          </w:p>
        </w:tc>
        <w:tc>
          <w:tcPr>
            <w:tcW w:w="0" w:type="auto"/>
            <w:tcBorders>
              <w:top w:val="nil"/>
              <w:left w:val="nil"/>
              <w:bottom w:val="single" w:sz="4" w:space="0" w:color="auto"/>
              <w:right w:val="nil"/>
            </w:tcBorders>
            <w:shd w:val="clear" w:color="auto" w:fill="auto"/>
            <w:noWrap/>
            <w:vAlign w:val="bottom"/>
            <w:hideMark/>
          </w:tcPr>
          <w:p w:rsidR="008F4094" w:rsidRPr="008F4094" w:rsidRDefault="008F4094" w:rsidP="008F4094">
            <w:pPr>
              <w:spacing w:before="0" w:after="0"/>
              <w:contextualSpacing/>
              <w:jc w:val="left"/>
              <w:rPr>
                <w:rFonts w:asciiTheme="minorHAnsi" w:hAnsiTheme="minorHAnsi"/>
                <w:color w:val="000000"/>
                <w:sz w:val="20"/>
                <w:szCs w:val="20"/>
                <w:lang w:val="en-GB" w:eastAsia="en-GB"/>
              </w:rPr>
            </w:pPr>
            <w:r w:rsidRPr="008F4094">
              <w:rPr>
                <w:rFonts w:asciiTheme="minorHAnsi" w:hAnsiTheme="minorHAnsi"/>
                <w:color w:val="000000"/>
                <w:sz w:val="20"/>
                <w:szCs w:val="20"/>
                <w:lang w:val="en-GB" w:eastAsia="en-GB"/>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F4094" w:rsidRPr="008F4094" w:rsidRDefault="008F4094" w:rsidP="008F4094">
            <w:pPr>
              <w:spacing w:before="0" w:after="0"/>
              <w:contextualSpacing/>
              <w:jc w:val="left"/>
              <w:rPr>
                <w:rFonts w:asciiTheme="minorHAnsi" w:hAnsiTheme="minorHAnsi"/>
                <w:color w:val="000000"/>
                <w:sz w:val="20"/>
                <w:szCs w:val="20"/>
                <w:lang w:val="en-GB" w:eastAsia="en-GB"/>
              </w:rPr>
            </w:pPr>
            <w:r w:rsidRPr="008F4094">
              <w:rPr>
                <w:rFonts w:asciiTheme="minorHAnsi" w:hAnsiTheme="minorHAnsi"/>
                <w:color w:val="000000"/>
                <w:sz w:val="20"/>
                <w:szCs w:val="20"/>
                <w:lang w:val="en-GB" w:eastAsia="en-GB"/>
              </w:rPr>
              <w:t>122,956</w:t>
            </w:r>
          </w:p>
        </w:tc>
      </w:tr>
      <w:tr w:rsidR="008F4094" w:rsidRPr="008F4094" w:rsidTr="007A1FBD">
        <w:trPr>
          <w:trHeight w:val="20"/>
        </w:trPr>
        <w:tc>
          <w:tcPr>
            <w:tcW w:w="0" w:type="auto"/>
            <w:tcBorders>
              <w:top w:val="nil"/>
              <w:left w:val="single" w:sz="4" w:space="0" w:color="auto"/>
              <w:bottom w:val="nil"/>
              <w:right w:val="single" w:sz="4" w:space="0" w:color="auto"/>
            </w:tcBorders>
            <w:shd w:val="clear" w:color="auto" w:fill="auto"/>
            <w:noWrap/>
            <w:vAlign w:val="bottom"/>
            <w:hideMark/>
          </w:tcPr>
          <w:p w:rsidR="008F4094" w:rsidRPr="008F4094" w:rsidRDefault="008F4094" w:rsidP="008F4094">
            <w:pPr>
              <w:spacing w:before="0" w:after="0"/>
              <w:contextualSpacing/>
              <w:jc w:val="left"/>
              <w:rPr>
                <w:rFonts w:asciiTheme="minorHAnsi" w:hAnsiTheme="minorHAnsi"/>
                <w:color w:val="000000"/>
                <w:sz w:val="20"/>
                <w:szCs w:val="20"/>
                <w:lang w:val="en-GB" w:eastAsia="en-GB"/>
              </w:rPr>
            </w:pPr>
            <w:r w:rsidRPr="008F4094">
              <w:rPr>
                <w:rFonts w:asciiTheme="minorHAnsi" w:hAnsiTheme="minorHAnsi"/>
                <w:color w:val="000000"/>
                <w:sz w:val="20"/>
                <w:szCs w:val="20"/>
                <w:lang w:val="en-GB" w:eastAsia="en-GB"/>
              </w:rPr>
              <w:t>Akciza Birres</w:t>
            </w:r>
          </w:p>
        </w:tc>
        <w:tc>
          <w:tcPr>
            <w:tcW w:w="0" w:type="auto"/>
            <w:tcBorders>
              <w:top w:val="nil"/>
              <w:left w:val="nil"/>
              <w:bottom w:val="nil"/>
              <w:right w:val="nil"/>
            </w:tcBorders>
            <w:shd w:val="clear" w:color="auto" w:fill="auto"/>
            <w:noWrap/>
            <w:vAlign w:val="bottom"/>
            <w:hideMark/>
          </w:tcPr>
          <w:p w:rsidR="008F4094" w:rsidRPr="008F4094" w:rsidRDefault="008F4094" w:rsidP="008F4094">
            <w:pPr>
              <w:spacing w:before="0" w:after="0"/>
              <w:contextualSpacing/>
              <w:jc w:val="left"/>
              <w:rPr>
                <w:rFonts w:asciiTheme="minorHAnsi" w:hAnsiTheme="minorHAnsi"/>
                <w:color w:val="000000"/>
                <w:sz w:val="20"/>
                <w:szCs w:val="20"/>
                <w:lang w:val="en-GB" w:eastAsia="en-GB"/>
              </w:rPr>
            </w:pPr>
            <w:r w:rsidRPr="008F4094">
              <w:rPr>
                <w:rFonts w:asciiTheme="minorHAnsi" w:hAnsiTheme="minorHAnsi"/>
                <w:color w:val="000000"/>
                <w:sz w:val="20"/>
                <w:szCs w:val="20"/>
                <w:lang w:val="en-GB" w:eastAsia="en-GB"/>
              </w:rPr>
              <w:t>64,231</w:t>
            </w:r>
          </w:p>
        </w:tc>
        <w:tc>
          <w:tcPr>
            <w:tcW w:w="0" w:type="auto"/>
            <w:tcBorders>
              <w:top w:val="nil"/>
              <w:left w:val="single" w:sz="4" w:space="0" w:color="auto"/>
              <w:bottom w:val="nil"/>
              <w:right w:val="single" w:sz="4" w:space="0" w:color="auto"/>
            </w:tcBorders>
            <w:shd w:val="clear" w:color="auto" w:fill="auto"/>
            <w:noWrap/>
            <w:vAlign w:val="bottom"/>
            <w:hideMark/>
          </w:tcPr>
          <w:p w:rsidR="008F4094" w:rsidRPr="008F4094" w:rsidRDefault="008F4094" w:rsidP="008F4094">
            <w:pPr>
              <w:spacing w:before="0" w:after="0"/>
              <w:contextualSpacing/>
              <w:jc w:val="left"/>
              <w:rPr>
                <w:rFonts w:asciiTheme="minorHAnsi" w:hAnsiTheme="minorHAnsi"/>
                <w:color w:val="000000"/>
                <w:sz w:val="20"/>
                <w:szCs w:val="20"/>
                <w:lang w:val="en-GB" w:eastAsia="en-GB"/>
              </w:rPr>
            </w:pPr>
            <w:r w:rsidRPr="008F4094">
              <w:rPr>
                <w:rFonts w:asciiTheme="minorHAnsi" w:hAnsiTheme="minorHAnsi"/>
                <w:color w:val="000000"/>
                <w:sz w:val="20"/>
                <w:szCs w:val="20"/>
                <w:lang w:val="en-GB" w:eastAsia="en-GB"/>
              </w:rPr>
              <w:t>161,423</w:t>
            </w:r>
          </w:p>
        </w:tc>
        <w:tc>
          <w:tcPr>
            <w:tcW w:w="0" w:type="auto"/>
            <w:tcBorders>
              <w:top w:val="nil"/>
              <w:left w:val="nil"/>
              <w:bottom w:val="nil"/>
              <w:right w:val="nil"/>
            </w:tcBorders>
            <w:shd w:val="clear" w:color="auto" w:fill="auto"/>
            <w:noWrap/>
            <w:vAlign w:val="bottom"/>
            <w:hideMark/>
          </w:tcPr>
          <w:p w:rsidR="008F4094" w:rsidRPr="008F4094" w:rsidRDefault="008F4094" w:rsidP="008F4094">
            <w:pPr>
              <w:spacing w:before="0" w:after="0"/>
              <w:contextualSpacing/>
              <w:jc w:val="left"/>
              <w:rPr>
                <w:rFonts w:asciiTheme="minorHAnsi" w:hAnsiTheme="minorHAnsi"/>
                <w:color w:val="000000"/>
                <w:sz w:val="20"/>
                <w:szCs w:val="20"/>
                <w:lang w:val="en-GB" w:eastAsia="en-GB"/>
              </w:rPr>
            </w:pPr>
            <w:r w:rsidRPr="008F4094">
              <w:rPr>
                <w:rFonts w:asciiTheme="minorHAnsi" w:hAnsiTheme="minorHAnsi"/>
                <w:color w:val="000000"/>
                <w:sz w:val="20"/>
                <w:szCs w:val="20"/>
                <w:lang w:val="en-GB" w:eastAsia="en-GB"/>
              </w:rPr>
              <w:t>66,622</w:t>
            </w:r>
          </w:p>
        </w:tc>
        <w:tc>
          <w:tcPr>
            <w:tcW w:w="0" w:type="auto"/>
            <w:tcBorders>
              <w:top w:val="nil"/>
              <w:left w:val="single" w:sz="4" w:space="0" w:color="auto"/>
              <w:bottom w:val="nil"/>
              <w:right w:val="single" w:sz="4" w:space="0" w:color="auto"/>
            </w:tcBorders>
            <w:shd w:val="clear" w:color="auto" w:fill="auto"/>
            <w:noWrap/>
            <w:vAlign w:val="bottom"/>
            <w:hideMark/>
          </w:tcPr>
          <w:p w:rsidR="008F4094" w:rsidRPr="008F4094" w:rsidRDefault="008F4094" w:rsidP="008F4094">
            <w:pPr>
              <w:spacing w:before="0" w:after="0"/>
              <w:contextualSpacing/>
              <w:jc w:val="left"/>
              <w:rPr>
                <w:rFonts w:asciiTheme="minorHAnsi" w:hAnsiTheme="minorHAnsi"/>
                <w:color w:val="000000"/>
                <w:sz w:val="20"/>
                <w:szCs w:val="20"/>
                <w:lang w:val="en-GB" w:eastAsia="en-GB"/>
              </w:rPr>
            </w:pPr>
            <w:r w:rsidRPr="008F4094">
              <w:rPr>
                <w:rFonts w:asciiTheme="minorHAnsi" w:hAnsiTheme="minorHAnsi"/>
                <w:color w:val="000000"/>
                <w:sz w:val="20"/>
                <w:szCs w:val="20"/>
                <w:lang w:val="en-GB" w:eastAsia="en-GB"/>
              </w:rPr>
              <w:t>66,622</w:t>
            </w:r>
          </w:p>
        </w:tc>
        <w:tc>
          <w:tcPr>
            <w:tcW w:w="0" w:type="auto"/>
            <w:tcBorders>
              <w:top w:val="nil"/>
              <w:left w:val="nil"/>
              <w:bottom w:val="nil"/>
              <w:right w:val="nil"/>
            </w:tcBorders>
            <w:shd w:val="clear" w:color="auto" w:fill="auto"/>
            <w:noWrap/>
            <w:vAlign w:val="bottom"/>
            <w:hideMark/>
          </w:tcPr>
          <w:p w:rsidR="008F4094" w:rsidRPr="008F4094" w:rsidRDefault="008F4094" w:rsidP="008F4094">
            <w:pPr>
              <w:spacing w:before="0" w:after="0"/>
              <w:contextualSpacing/>
              <w:jc w:val="left"/>
              <w:rPr>
                <w:rFonts w:asciiTheme="minorHAnsi" w:hAnsiTheme="minorHAnsi"/>
                <w:color w:val="000000"/>
                <w:sz w:val="20"/>
                <w:szCs w:val="20"/>
                <w:lang w:val="en-GB" w:eastAsia="en-GB"/>
              </w:rPr>
            </w:pPr>
            <w:r w:rsidRPr="008F4094">
              <w:rPr>
                <w:rFonts w:asciiTheme="minorHAnsi" w:hAnsiTheme="minorHAnsi"/>
                <w:color w:val="000000"/>
                <w:sz w:val="20"/>
                <w:szCs w:val="20"/>
                <w:lang w:val="en-GB" w:eastAsia="en-GB"/>
              </w:rPr>
              <w:t>228,044</w:t>
            </w:r>
          </w:p>
        </w:tc>
        <w:tc>
          <w:tcPr>
            <w:tcW w:w="0" w:type="auto"/>
            <w:tcBorders>
              <w:top w:val="nil"/>
              <w:left w:val="single" w:sz="4" w:space="0" w:color="auto"/>
              <w:bottom w:val="nil"/>
              <w:right w:val="single" w:sz="4" w:space="0" w:color="auto"/>
            </w:tcBorders>
            <w:shd w:val="clear" w:color="auto" w:fill="auto"/>
            <w:noWrap/>
            <w:vAlign w:val="bottom"/>
            <w:hideMark/>
          </w:tcPr>
          <w:p w:rsidR="008F4094" w:rsidRPr="008F4094" w:rsidRDefault="008F4094" w:rsidP="008F4094">
            <w:pPr>
              <w:spacing w:before="0" w:after="0"/>
              <w:contextualSpacing/>
              <w:jc w:val="left"/>
              <w:rPr>
                <w:rFonts w:asciiTheme="minorHAnsi" w:hAnsiTheme="minorHAnsi"/>
                <w:color w:val="000000"/>
                <w:sz w:val="20"/>
                <w:szCs w:val="20"/>
                <w:lang w:val="en-GB" w:eastAsia="en-GB"/>
              </w:rPr>
            </w:pPr>
            <w:r w:rsidRPr="008F4094">
              <w:rPr>
                <w:rFonts w:asciiTheme="minorHAnsi" w:hAnsiTheme="minorHAnsi"/>
                <w:color w:val="000000"/>
                <w:sz w:val="20"/>
                <w:szCs w:val="20"/>
                <w:lang w:val="en-GB" w:eastAsia="en-GB"/>
              </w:rPr>
              <w:t>133,243</w:t>
            </w:r>
          </w:p>
        </w:tc>
      </w:tr>
      <w:tr w:rsidR="008F4094" w:rsidRPr="008F4094" w:rsidTr="007A1FB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4094" w:rsidRPr="008F4094" w:rsidRDefault="008F4094" w:rsidP="008F4094">
            <w:pPr>
              <w:spacing w:before="0" w:after="0"/>
              <w:contextualSpacing/>
              <w:jc w:val="left"/>
              <w:rPr>
                <w:rFonts w:asciiTheme="minorHAnsi" w:hAnsiTheme="minorHAnsi"/>
                <w:b/>
                <w:bCs/>
                <w:color w:val="000000"/>
                <w:sz w:val="20"/>
                <w:szCs w:val="20"/>
                <w:lang w:val="en-GB" w:eastAsia="en-GB"/>
              </w:rPr>
            </w:pPr>
            <w:r w:rsidRPr="008F4094">
              <w:rPr>
                <w:rFonts w:asciiTheme="minorHAnsi" w:hAnsiTheme="minorHAnsi"/>
                <w:b/>
                <w:bCs/>
                <w:color w:val="000000"/>
                <w:sz w:val="20"/>
                <w:szCs w:val="20"/>
                <w:lang w:val="en-GB" w:eastAsia="en-GB"/>
              </w:rPr>
              <w:t>Totali</w:t>
            </w:r>
          </w:p>
        </w:tc>
        <w:tc>
          <w:tcPr>
            <w:tcW w:w="0" w:type="auto"/>
            <w:tcBorders>
              <w:top w:val="single" w:sz="4" w:space="0" w:color="auto"/>
              <w:left w:val="nil"/>
              <w:bottom w:val="single" w:sz="4" w:space="0" w:color="auto"/>
              <w:right w:val="nil"/>
            </w:tcBorders>
            <w:shd w:val="clear" w:color="auto" w:fill="auto"/>
            <w:noWrap/>
            <w:vAlign w:val="bottom"/>
            <w:hideMark/>
          </w:tcPr>
          <w:p w:rsidR="008F4094" w:rsidRPr="008F4094" w:rsidRDefault="008F4094" w:rsidP="008F4094">
            <w:pPr>
              <w:spacing w:before="0" w:after="0"/>
              <w:contextualSpacing/>
              <w:jc w:val="left"/>
              <w:rPr>
                <w:rFonts w:asciiTheme="minorHAnsi" w:hAnsiTheme="minorHAnsi"/>
                <w:b/>
                <w:bCs/>
                <w:color w:val="000000"/>
                <w:sz w:val="20"/>
                <w:szCs w:val="20"/>
                <w:lang w:val="en-GB" w:eastAsia="en-GB"/>
              </w:rPr>
            </w:pPr>
            <w:r w:rsidRPr="008F4094">
              <w:rPr>
                <w:rFonts w:asciiTheme="minorHAnsi" w:hAnsiTheme="minorHAnsi"/>
                <w:b/>
                <w:bCs/>
                <w:color w:val="000000"/>
                <w:sz w:val="20"/>
                <w:szCs w:val="20"/>
                <w:lang w:val="en-GB" w:eastAsia="en-GB"/>
              </w:rPr>
              <w:t>3,678,105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4094" w:rsidRPr="008F4094" w:rsidRDefault="008F4094" w:rsidP="008F4094">
            <w:pPr>
              <w:spacing w:before="0" w:after="0"/>
              <w:contextualSpacing/>
              <w:jc w:val="left"/>
              <w:rPr>
                <w:rFonts w:asciiTheme="minorHAnsi" w:hAnsiTheme="minorHAnsi"/>
                <w:b/>
                <w:bCs/>
                <w:color w:val="000000"/>
                <w:sz w:val="20"/>
                <w:szCs w:val="20"/>
                <w:lang w:val="en-GB" w:eastAsia="en-GB"/>
              </w:rPr>
            </w:pPr>
            <w:r w:rsidRPr="008F4094">
              <w:rPr>
                <w:rFonts w:asciiTheme="minorHAnsi" w:hAnsiTheme="minorHAnsi"/>
                <w:b/>
                <w:bCs/>
                <w:color w:val="000000"/>
                <w:sz w:val="20"/>
                <w:szCs w:val="20"/>
                <w:lang w:val="en-GB" w:eastAsia="en-GB"/>
              </w:rPr>
              <w:t> </w:t>
            </w:r>
          </w:p>
        </w:tc>
        <w:tc>
          <w:tcPr>
            <w:tcW w:w="0" w:type="auto"/>
            <w:tcBorders>
              <w:top w:val="single" w:sz="4" w:space="0" w:color="auto"/>
              <w:left w:val="nil"/>
              <w:bottom w:val="single" w:sz="4" w:space="0" w:color="auto"/>
              <w:right w:val="nil"/>
            </w:tcBorders>
            <w:shd w:val="clear" w:color="auto" w:fill="auto"/>
            <w:noWrap/>
            <w:vAlign w:val="bottom"/>
            <w:hideMark/>
          </w:tcPr>
          <w:p w:rsidR="008F4094" w:rsidRPr="008F4094" w:rsidRDefault="008F4094" w:rsidP="008F4094">
            <w:pPr>
              <w:spacing w:before="0" w:after="0"/>
              <w:contextualSpacing/>
              <w:jc w:val="left"/>
              <w:rPr>
                <w:rFonts w:asciiTheme="minorHAnsi" w:hAnsiTheme="minorHAnsi"/>
                <w:b/>
                <w:bCs/>
                <w:color w:val="000000"/>
                <w:sz w:val="20"/>
                <w:szCs w:val="20"/>
                <w:lang w:val="en-GB" w:eastAsia="en-GB"/>
              </w:rPr>
            </w:pPr>
            <w:r w:rsidRPr="008F4094">
              <w:rPr>
                <w:rFonts w:asciiTheme="minorHAnsi" w:hAnsiTheme="minorHAnsi"/>
                <w:b/>
                <w:bCs/>
                <w:color w:val="000000"/>
                <w:sz w:val="20"/>
                <w:szCs w:val="20"/>
                <w:lang w:val="en-GB" w:eastAsia="en-GB"/>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4094" w:rsidRPr="008F4094" w:rsidRDefault="008F4094" w:rsidP="008F4094">
            <w:pPr>
              <w:spacing w:before="0" w:after="0"/>
              <w:contextualSpacing/>
              <w:jc w:val="left"/>
              <w:rPr>
                <w:rFonts w:asciiTheme="minorHAnsi" w:hAnsiTheme="minorHAnsi"/>
                <w:b/>
                <w:bCs/>
                <w:color w:val="000000"/>
                <w:sz w:val="20"/>
                <w:szCs w:val="20"/>
                <w:lang w:val="en-GB" w:eastAsia="en-GB"/>
              </w:rPr>
            </w:pPr>
            <w:r w:rsidRPr="008F4094">
              <w:rPr>
                <w:rFonts w:asciiTheme="minorHAnsi" w:hAnsiTheme="minorHAnsi"/>
                <w:b/>
                <w:bCs/>
                <w:color w:val="000000"/>
                <w:sz w:val="20"/>
                <w:szCs w:val="20"/>
                <w:lang w:val="en-GB" w:eastAsia="en-GB"/>
              </w:rPr>
              <w:t> </w:t>
            </w:r>
          </w:p>
        </w:tc>
        <w:tc>
          <w:tcPr>
            <w:tcW w:w="0" w:type="auto"/>
            <w:tcBorders>
              <w:top w:val="single" w:sz="4" w:space="0" w:color="auto"/>
              <w:left w:val="nil"/>
              <w:bottom w:val="single" w:sz="4" w:space="0" w:color="auto"/>
              <w:right w:val="nil"/>
            </w:tcBorders>
            <w:shd w:val="clear" w:color="auto" w:fill="auto"/>
            <w:noWrap/>
            <w:vAlign w:val="bottom"/>
            <w:hideMark/>
          </w:tcPr>
          <w:p w:rsidR="008F4094" w:rsidRPr="008F4094" w:rsidRDefault="008F4094" w:rsidP="008F4094">
            <w:pPr>
              <w:spacing w:before="0" w:after="0"/>
              <w:contextualSpacing/>
              <w:jc w:val="left"/>
              <w:rPr>
                <w:rFonts w:asciiTheme="minorHAnsi" w:hAnsiTheme="minorHAnsi"/>
                <w:b/>
                <w:bCs/>
                <w:color w:val="000000"/>
                <w:sz w:val="20"/>
                <w:szCs w:val="20"/>
                <w:lang w:val="en-GB" w:eastAsia="en-GB"/>
              </w:rPr>
            </w:pPr>
            <w:r w:rsidRPr="008F4094">
              <w:rPr>
                <w:rFonts w:asciiTheme="minorHAnsi" w:hAnsiTheme="minorHAnsi"/>
                <w:b/>
                <w:bCs/>
                <w:color w:val="000000"/>
                <w:sz w:val="20"/>
                <w:szCs w:val="20"/>
                <w:lang w:val="en-GB" w:eastAsia="en-GB"/>
              </w:rPr>
              <w:t>4,092,537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4094" w:rsidRPr="008F4094" w:rsidRDefault="008F4094" w:rsidP="008F4094">
            <w:pPr>
              <w:spacing w:before="0" w:after="0"/>
              <w:contextualSpacing/>
              <w:jc w:val="left"/>
              <w:rPr>
                <w:rFonts w:asciiTheme="minorHAnsi" w:hAnsiTheme="minorHAnsi"/>
                <w:b/>
                <w:bCs/>
                <w:color w:val="000000"/>
                <w:sz w:val="20"/>
                <w:szCs w:val="20"/>
                <w:lang w:val="en-GB" w:eastAsia="en-GB"/>
              </w:rPr>
            </w:pPr>
            <w:r w:rsidRPr="008F4094">
              <w:rPr>
                <w:rFonts w:asciiTheme="minorHAnsi" w:hAnsiTheme="minorHAnsi"/>
                <w:b/>
                <w:bCs/>
                <w:color w:val="000000"/>
                <w:sz w:val="20"/>
                <w:szCs w:val="20"/>
                <w:lang w:val="en-GB" w:eastAsia="en-GB"/>
              </w:rPr>
              <w:t>2,222,565</w:t>
            </w:r>
          </w:p>
        </w:tc>
      </w:tr>
    </w:tbl>
    <w:p w:rsidR="0079658C" w:rsidRPr="001A1523" w:rsidRDefault="0079658C" w:rsidP="0079658C">
      <w:pPr>
        <w:rPr>
          <w:rFonts w:cs="Times New Roman"/>
          <w:i/>
          <w:sz w:val="20"/>
          <w:szCs w:val="20"/>
          <w:lang w:val="es-ES_tradnl"/>
        </w:rPr>
      </w:pPr>
      <w:r w:rsidRPr="001A1523">
        <w:rPr>
          <w:rFonts w:cs="Times New Roman"/>
          <w:i/>
          <w:sz w:val="20"/>
          <w:szCs w:val="20"/>
          <w:lang w:val="es-ES_tradnl"/>
        </w:rPr>
        <w:t>Burimi: Dre</w:t>
      </w:r>
      <w:r>
        <w:rPr>
          <w:rFonts w:cs="Times New Roman"/>
          <w:i/>
          <w:sz w:val="20"/>
          <w:szCs w:val="20"/>
          <w:lang w:val="es-ES_tradnl"/>
        </w:rPr>
        <w:t>jtoria e Pergjithshme e Doganave</w:t>
      </w:r>
    </w:p>
    <w:p w:rsidR="002032FB" w:rsidRPr="008F4094" w:rsidRDefault="002032FB" w:rsidP="007D59CF">
      <w:pPr>
        <w:rPr>
          <w:rFonts w:cs="Times New Roman"/>
        </w:rPr>
      </w:pPr>
      <w:r w:rsidRPr="008F4094">
        <w:rPr>
          <w:noProof/>
        </w:rPr>
        <w:t xml:space="preserve">Në aspektin e administrimit të akcizës për mallrat që pajisen me pullë, ka filluar të zbatohet </w:t>
      </w:r>
      <w:r w:rsidR="00822453">
        <w:rPr>
          <w:noProof/>
        </w:rPr>
        <w:t xml:space="preserve">qe nga 9 Mars 2012 </w:t>
      </w:r>
      <w:r w:rsidRPr="008F4094">
        <w:rPr>
          <w:noProof/>
        </w:rPr>
        <w:t>projekti koncesionar për prodhimin dhe kontrollin e pullave fiska</w:t>
      </w:r>
      <w:r w:rsidR="00822453">
        <w:rPr>
          <w:noProof/>
        </w:rPr>
        <w:t>le</w:t>
      </w:r>
      <w:r w:rsidRPr="008F4094">
        <w:rPr>
          <w:noProof/>
        </w:rPr>
        <w:t xml:space="preserve">. Përvec risive të tjera, mënyra e re e administrimit parashikon vendosjen e pullës së akcizës edhe mbi produktin birrë (kod sigurie në rastin e birrave të prodhuara në vend nga linjat e automatizuara të prodhimit). </w:t>
      </w:r>
      <w:r w:rsidR="00822453">
        <w:rPr>
          <w:noProof/>
        </w:rPr>
        <w:t xml:space="preserve">Efekt te ndjeshem ka dhene pajisja e birrave te prodhuara ne vend me kod sigurie ne sasite e deklaruara nga prodhuesit. </w:t>
      </w:r>
      <w:r w:rsidR="00642472">
        <w:t>P</w:t>
      </w:r>
      <w:r w:rsidR="00642472" w:rsidRPr="00951AFA">
        <w:t xml:space="preserve">rodhimi vendas i birres i deklaruar nga fillimi i zbatimit te projektit </w:t>
      </w:r>
      <w:r w:rsidR="00642472">
        <w:t>koncesionar</w:t>
      </w:r>
      <w:r w:rsidR="00642472" w:rsidRPr="00951AFA">
        <w:t xml:space="preserve"> deri ne Dhjetor te vitit 2012 </w:t>
      </w:r>
      <w:r w:rsidR="00642472">
        <w:t xml:space="preserve">nga 5 fabrikat me te medha </w:t>
      </w:r>
      <w:r w:rsidR="00642472" w:rsidRPr="00951AFA">
        <w:t xml:space="preserve">eshte </w:t>
      </w:r>
      <w:r w:rsidR="00642472">
        <w:t xml:space="preserve">rreth </w:t>
      </w:r>
      <w:r w:rsidR="00642472" w:rsidRPr="0095251C">
        <w:rPr>
          <w:b/>
        </w:rPr>
        <w:t>296 500</w:t>
      </w:r>
      <w:r w:rsidR="00642472">
        <w:t xml:space="preserve"> </w:t>
      </w:r>
      <w:r w:rsidR="00642472" w:rsidRPr="00951AFA">
        <w:t xml:space="preserve">HL </w:t>
      </w:r>
      <w:r w:rsidR="00642472">
        <w:t xml:space="preserve">ose </w:t>
      </w:r>
      <w:r w:rsidR="00642472" w:rsidRPr="008B16E3">
        <w:rPr>
          <w:b/>
        </w:rPr>
        <w:t>50 p</w:t>
      </w:r>
      <w:r w:rsidR="00642472" w:rsidRPr="0095251C">
        <w:rPr>
          <w:b/>
        </w:rPr>
        <w:t>erqind</w:t>
      </w:r>
      <w:r w:rsidR="00642472">
        <w:t xml:space="preserve"> me shume</w:t>
      </w:r>
      <w:r w:rsidR="007F73E6">
        <w:t xml:space="preserve"> se i gjithe viti 2011.</w:t>
      </w:r>
    </w:p>
    <w:p w:rsidR="002032FB" w:rsidRPr="006105C1" w:rsidRDefault="002032FB" w:rsidP="007D59CF">
      <w:pPr>
        <w:pStyle w:val="Heading2"/>
        <w:numPr>
          <w:ilvl w:val="0"/>
          <w:numId w:val="0"/>
        </w:numPr>
        <w:rPr>
          <w:rFonts w:ascii="Calibri" w:hAnsi="Calibri" w:cs="Calibri"/>
          <w:noProof/>
          <w:sz w:val="24"/>
          <w:szCs w:val="24"/>
        </w:rPr>
      </w:pPr>
      <w:bookmarkStart w:id="12" w:name="_Toc339363685"/>
      <w:bookmarkStart w:id="13" w:name="_Toc353453838"/>
      <w:r w:rsidRPr="006105C1">
        <w:rPr>
          <w:rFonts w:ascii="Calibri" w:hAnsi="Calibri" w:cs="Calibri"/>
          <w:noProof/>
          <w:sz w:val="24"/>
          <w:szCs w:val="24"/>
        </w:rPr>
        <w:t>Taksimi direkt</w:t>
      </w:r>
      <w:bookmarkEnd w:id="12"/>
      <w:bookmarkEnd w:id="13"/>
      <w:r w:rsidR="00583722">
        <w:rPr>
          <w:rFonts w:ascii="Calibri" w:hAnsi="Calibri" w:cs="Calibri"/>
          <w:noProof/>
          <w:sz w:val="24"/>
          <w:szCs w:val="24"/>
        </w:rPr>
        <w:fldChar w:fldCharType="begin"/>
      </w:r>
      <w:r w:rsidRPr="006105C1">
        <w:rPr>
          <w:rFonts w:ascii="Calibri" w:hAnsi="Calibri" w:cs="Times New Roman"/>
          <w:noProof/>
          <w:sz w:val="24"/>
          <w:szCs w:val="24"/>
        </w:rPr>
        <w:instrText>tc "</w:instrText>
      </w:r>
      <w:bookmarkStart w:id="14" w:name="_Toc314487252"/>
      <w:r w:rsidRPr="006105C1">
        <w:rPr>
          <w:rFonts w:ascii="Calibri" w:hAnsi="Calibri" w:cs="Calibri"/>
          <w:noProof/>
          <w:sz w:val="24"/>
          <w:szCs w:val="24"/>
        </w:rPr>
        <w:instrText>Taksimi direkt</w:instrText>
      </w:r>
      <w:bookmarkEnd w:id="14"/>
      <w:r w:rsidRPr="006105C1">
        <w:rPr>
          <w:rFonts w:ascii="Calibri" w:hAnsi="Calibri" w:cs="Calibri"/>
          <w:noProof/>
          <w:sz w:val="24"/>
          <w:szCs w:val="24"/>
        </w:rPr>
        <w:instrText>" \f C \l 02</w:instrText>
      </w:r>
      <w:r w:rsidR="00583722">
        <w:rPr>
          <w:rFonts w:ascii="Calibri" w:hAnsi="Calibri" w:cs="Calibri"/>
          <w:noProof/>
          <w:sz w:val="24"/>
          <w:szCs w:val="24"/>
        </w:rPr>
        <w:fldChar w:fldCharType="end"/>
      </w:r>
    </w:p>
    <w:p w:rsidR="002032FB" w:rsidRPr="006105C1" w:rsidRDefault="002032FB" w:rsidP="007D59CF">
      <w:pPr>
        <w:rPr>
          <w:b/>
          <w:bCs/>
          <w:noProof/>
          <w:lang w:val="sq-AL"/>
        </w:rPr>
      </w:pPr>
      <w:r w:rsidRPr="006105C1">
        <w:rPr>
          <w:b/>
          <w:bCs/>
          <w:noProof/>
          <w:lang w:val="sq-AL"/>
        </w:rPr>
        <w:t>Tatimi mbi të ardhurat personale</w:t>
      </w:r>
    </w:p>
    <w:p w:rsidR="002032FB" w:rsidRDefault="002032FB" w:rsidP="007D59CF">
      <w:pPr>
        <w:rPr>
          <w:lang w:val="es-ES_tradnl"/>
        </w:rPr>
      </w:pPr>
      <w:r w:rsidRPr="006105C1">
        <w:rPr>
          <w:lang w:val="es-ES_tradnl"/>
        </w:rPr>
        <w:t xml:space="preserve">Të ardhurat nga tatimi mbi të ardhurat personale arritën në 28 miliardë lekë për periudhën janar-dhjetor, </w:t>
      </w:r>
      <w:r w:rsidR="005535DE">
        <w:rPr>
          <w:lang w:val="es-ES_tradnl"/>
        </w:rPr>
        <w:t>ne te njejtin nivel me</w:t>
      </w:r>
      <w:r w:rsidRPr="006105C1">
        <w:rPr>
          <w:lang w:val="es-ES_tradnl"/>
        </w:rPr>
        <w:t xml:space="preserve"> 12 mujorin e një viti më parë dhe me realizim të planit për vitin 2012 në masën 99.5 përqind. Sipas burimit të të ardhurave</w:t>
      </w:r>
      <w:r w:rsidR="005535DE">
        <w:rPr>
          <w:lang w:val="es-ES_tradnl"/>
        </w:rPr>
        <w:t xml:space="preserve"> individuale qe taksohen</w:t>
      </w:r>
      <w:r w:rsidRPr="006105C1">
        <w:rPr>
          <w:lang w:val="es-ES_tradnl"/>
        </w:rPr>
        <w:t>, situata pasqyrohet në tabelën më poshtë:</w:t>
      </w:r>
    </w:p>
    <w:p w:rsidR="005535DE" w:rsidRPr="006105C1" w:rsidRDefault="005535DE" w:rsidP="007D59CF">
      <w:pPr>
        <w:rPr>
          <w:rFonts w:cs="Times New Roman"/>
          <w:lang w:val="es-ES_tradnl"/>
        </w:rPr>
      </w:pPr>
      <w:r>
        <w:rPr>
          <w:lang w:val="es-ES_tradnl"/>
        </w:rPr>
        <w:t>Tabela 6. Te ardhurat nga TAP sipas burimit</w:t>
      </w:r>
    </w:p>
    <w:tbl>
      <w:tblPr>
        <w:tblW w:w="0" w:type="auto"/>
        <w:jc w:val="center"/>
        <w:tblInd w:w="-106" w:type="dxa"/>
        <w:tblLook w:val="0000"/>
      </w:tblPr>
      <w:tblGrid>
        <w:gridCol w:w="2968"/>
        <w:gridCol w:w="1358"/>
        <w:gridCol w:w="1358"/>
        <w:gridCol w:w="1234"/>
      </w:tblGrid>
      <w:tr w:rsidR="002032FB" w:rsidRPr="00841E98" w:rsidTr="005535DE">
        <w:trPr>
          <w:trHeight w:val="20"/>
          <w:jc w:val="center"/>
        </w:trPr>
        <w:tc>
          <w:tcPr>
            <w:tcW w:w="0" w:type="auto"/>
            <w:tcBorders>
              <w:top w:val="single" w:sz="12" w:space="0" w:color="000000"/>
              <w:left w:val="nil"/>
              <w:bottom w:val="single" w:sz="8" w:space="0" w:color="000000"/>
              <w:right w:val="nil"/>
            </w:tcBorders>
            <w:shd w:val="clear" w:color="auto" w:fill="800080"/>
            <w:noWrap/>
            <w:vAlign w:val="center"/>
          </w:tcPr>
          <w:p w:rsidR="002032FB" w:rsidRPr="006105C1" w:rsidRDefault="002032FB" w:rsidP="005535DE">
            <w:pPr>
              <w:spacing w:before="0" w:after="0"/>
              <w:contextualSpacing/>
              <w:jc w:val="left"/>
              <w:rPr>
                <w:b/>
                <w:bCs/>
                <w:color w:val="FFFFFF"/>
                <w:sz w:val="20"/>
                <w:szCs w:val="20"/>
              </w:rPr>
            </w:pPr>
            <w:r w:rsidRPr="006105C1">
              <w:rPr>
                <w:b/>
                <w:bCs/>
                <w:color w:val="FFFFFF"/>
                <w:sz w:val="20"/>
                <w:szCs w:val="20"/>
              </w:rPr>
              <w:t>Të ardhura, milionë lekë</w:t>
            </w:r>
          </w:p>
        </w:tc>
        <w:tc>
          <w:tcPr>
            <w:tcW w:w="0" w:type="auto"/>
            <w:tcBorders>
              <w:top w:val="single" w:sz="12" w:space="0" w:color="000000"/>
              <w:left w:val="nil"/>
              <w:bottom w:val="single" w:sz="8" w:space="0" w:color="000000"/>
              <w:right w:val="nil"/>
            </w:tcBorders>
            <w:shd w:val="clear" w:color="auto" w:fill="800080"/>
            <w:noWrap/>
            <w:vAlign w:val="center"/>
          </w:tcPr>
          <w:p w:rsidR="002032FB" w:rsidRPr="006105C1" w:rsidRDefault="002032FB" w:rsidP="005535DE">
            <w:pPr>
              <w:spacing w:before="0" w:after="0"/>
              <w:contextualSpacing/>
              <w:jc w:val="left"/>
              <w:rPr>
                <w:color w:val="FFFFFF"/>
                <w:sz w:val="20"/>
                <w:szCs w:val="20"/>
              </w:rPr>
            </w:pPr>
            <w:r>
              <w:rPr>
                <w:color w:val="FFFFFF"/>
                <w:sz w:val="20"/>
                <w:szCs w:val="20"/>
              </w:rPr>
              <w:t>12</w:t>
            </w:r>
            <w:r w:rsidRPr="006105C1">
              <w:rPr>
                <w:color w:val="FFFFFF"/>
                <w:sz w:val="20"/>
                <w:szCs w:val="20"/>
              </w:rPr>
              <w:t>mujor 2011</w:t>
            </w:r>
          </w:p>
        </w:tc>
        <w:tc>
          <w:tcPr>
            <w:tcW w:w="0" w:type="auto"/>
            <w:tcBorders>
              <w:top w:val="single" w:sz="12" w:space="0" w:color="000000"/>
              <w:left w:val="nil"/>
              <w:bottom w:val="single" w:sz="8" w:space="0" w:color="000000"/>
              <w:right w:val="nil"/>
            </w:tcBorders>
            <w:shd w:val="clear" w:color="auto" w:fill="800080"/>
            <w:noWrap/>
            <w:vAlign w:val="center"/>
          </w:tcPr>
          <w:p w:rsidR="002032FB" w:rsidRPr="006105C1" w:rsidRDefault="002032FB" w:rsidP="005535DE">
            <w:pPr>
              <w:spacing w:before="0" w:after="0"/>
              <w:contextualSpacing/>
              <w:jc w:val="left"/>
              <w:rPr>
                <w:color w:val="FFFFFF"/>
                <w:sz w:val="20"/>
                <w:szCs w:val="20"/>
              </w:rPr>
            </w:pPr>
            <w:r>
              <w:rPr>
                <w:color w:val="FFFFFF"/>
                <w:sz w:val="20"/>
                <w:szCs w:val="20"/>
              </w:rPr>
              <w:t>12</w:t>
            </w:r>
            <w:r w:rsidRPr="006105C1">
              <w:rPr>
                <w:color w:val="FFFFFF"/>
                <w:sz w:val="20"/>
                <w:szCs w:val="20"/>
              </w:rPr>
              <w:t>mujor 2012</w:t>
            </w:r>
          </w:p>
        </w:tc>
        <w:tc>
          <w:tcPr>
            <w:tcW w:w="0" w:type="auto"/>
            <w:tcBorders>
              <w:top w:val="single" w:sz="12" w:space="0" w:color="000000"/>
              <w:left w:val="nil"/>
              <w:bottom w:val="single" w:sz="8" w:space="0" w:color="000000"/>
              <w:right w:val="nil"/>
            </w:tcBorders>
            <w:shd w:val="clear" w:color="auto" w:fill="800080"/>
            <w:vAlign w:val="center"/>
          </w:tcPr>
          <w:p w:rsidR="002032FB" w:rsidRPr="006105C1" w:rsidRDefault="002032FB" w:rsidP="005535DE">
            <w:pPr>
              <w:spacing w:before="0" w:after="0"/>
              <w:contextualSpacing/>
              <w:jc w:val="left"/>
              <w:rPr>
                <w:color w:val="FFFFFF"/>
                <w:sz w:val="20"/>
                <w:szCs w:val="20"/>
              </w:rPr>
            </w:pPr>
            <w:r w:rsidRPr="006105C1">
              <w:rPr>
                <w:color w:val="FFFFFF"/>
                <w:sz w:val="20"/>
                <w:szCs w:val="20"/>
              </w:rPr>
              <w:t>Ndryshimi %</w:t>
            </w:r>
          </w:p>
        </w:tc>
      </w:tr>
      <w:tr w:rsidR="002032FB" w:rsidRPr="00841E98" w:rsidTr="005535DE">
        <w:trPr>
          <w:trHeight w:val="20"/>
          <w:jc w:val="center"/>
        </w:trPr>
        <w:tc>
          <w:tcPr>
            <w:tcW w:w="0" w:type="auto"/>
            <w:tcBorders>
              <w:top w:val="nil"/>
              <w:left w:val="nil"/>
              <w:bottom w:val="nil"/>
              <w:right w:val="nil"/>
            </w:tcBorders>
            <w:shd w:val="clear" w:color="auto" w:fill="C0C0C0"/>
            <w:noWrap/>
          </w:tcPr>
          <w:p w:rsidR="002032FB" w:rsidRPr="006105C1" w:rsidRDefault="002032FB" w:rsidP="005535DE">
            <w:pPr>
              <w:spacing w:before="0" w:after="0"/>
              <w:contextualSpacing/>
              <w:jc w:val="left"/>
              <w:rPr>
                <w:b/>
                <w:bCs/>
                <w:color w:val="000000"/>
                <w:sz w:val="20"/>
                <w:szCs w:val="20"/>
                <w:lang w:val="de-DE"/>
              </w:rPr>
            </w:pPr>
            <w:r w:rsidRPr="006105C1">
              <w:rPr>
                <w:b/>
                <w:bCs/>
                <w:color w:val="000000"/>
                <w:sz w:val="20"/>
                <w:szCs w:val="20"/>
                <w:lang w:val="de-DE"/>
              </w:rPr>
              <w:t>Tatimi mb</w:t>
            </w:r>
            <w:r w:rsidR="005535DE">
              <w:rPr>
                <w:b/>
                <w:bCs/>
                <w:color w:val="000000"/>
                <w:sz w:val="20"/>
                <w:szCs w:val="20"/>
                <w:lang w:val="de-DE"/>
              </w:rPr>
              <w:t>i te ardhurat personale</w:t>
            </w:r>
          </w:p>
        </w:tc>
        <w:tc>
          <w:tcPr>
            <w:tcW w:w="0" w:type="auto"/>
            <w:tcBorders>
              <w:top w:val="nil"/>
              <w:left w:val="nil"/>
              <w:bottom w:val="nil"/>
              <w:right w:val="nil"/>
            </w:tcBorders>
            <w:noWrap/>
            <w:vAlign w:val="center"/>
          </w:tcPr>
          <w:p w:rsidR="002032FB" w:rsidRPr="006105C1" w:rsidRDefault="002032FB" w:rsidP="005535DE">
            <w:pPr>
              <w:spacing w:before="0" w:after="0"/>
              <w:contextualSpacing/>
              <w:jc w:val="left"/>
              <w:rPr>
                <w:rFonts w:cs="Times New Roman"/>
                <w:b/>
                <w:bCs/>
                <w:sz w:val="20"/>
                <w:szCs w:val="20"/>
              </w:rPr>
            </w:pPr>
            <w:r w:rsidRPr="006105C1">
              <w:rPr>
                <w:b/>
                <w:bCs/>
                <w:sz w:val="20"/>
                <w:szCs w:val="20"/>
              </w:rPr>
              <w:t>27,967</w:t>
            </w:r>
          </w:p>
        </w:tc>
        <w:tc>
          <w:tcPr>
            <w:tcW w:w="0" w:type="auto"/>
            <w:tcBorders>
              <w:top w:val="nil"/>
              <w:left w:val="nil"/>
              <w:bottom w:val="nil"/>
              <w:right w:val="nil"/>
            </w:tcBorders>
            <w:noWrap/>
            <w:vAlign w:val="center"/>
          </w:tcPr>
          <w:p w:rsidR="002032FB" w:rsidRPr="006105C1" w:rsidRDefault="002032FB" w:rsidP="005535DE">
            <w:pPr>
              <w:spacing w:before="0" w:after="0"/>
              <w:contextualSpacing/>
              <w:jc w:val="left"/>
              <w:rPr>
                <w:rFonts w:cs="Times New Roman"/>
                <w:b/>
                <w:bCs/>
                <w:color w:val="000000"/>
                <w:sz w:val="20"/>
                <w:szCs w:val="20"/>
              </w:rPr>
            </w:pPr>
            <w:r w:rsidRPr="006105C1">
              <w:rPr>
                <w:b/>
                <w:bCs/>
                <w:color w:val="000000"/>
                <w:sz w:val="20"/>
                <w:szCs w:val="20"/>
              </w:rPr>
              <w:t>27,989</w:t>
            </w:r>
          </w:p>
        </w:tc>
        <w:tc>
          <w:tcPr>
            <w:tcW w:w="0" w:type="auto"/>
            <w:tcBorders>
              <w:top w:val="nil"/>
              <w:left w:val="nil"/>
              <w:bottom w:val="nil"/>
              <w:right w:val="nil"/>
            </w:tcBorders>
            <w:noWrap/>
            <w:vAlign w:val="center"/>
          </w:tcPr>
          <w:p w:rsidR="002032FB" w:rsidRPr="006105C1" w:rsidRDefault="002032FB" w:rsidP="005535DE">
            <w:pPr>
              <w:spacing w:before="0" w:after="0"/>
              <w:contextualSpacing/>
              <w:jc w:val="left"/>
              <w:rPr>
                <w:rFonts w:cs="Times New Roman"/>
                <w:b/>
                <w:bCs/>
                <w:color w:val="000000"/>
                <w:sz w:val="20"/>
                <w:szCs w:val="20"/>
              </w:rPr>
            </w:pPr>
            <w:r w:rsidRPr="006105C1">
              <w:rPr>
                <w:b/>
                <w:bCs/>
                <w:sz w:val="20"/>
                <w:szCs w:val="20"/>
              </w:rPr>
              <w:t>0.</w:t>
            </w:r>
            <w:r>
              <w:rPr>
                <w:b/>
                <w:bCs/>
                <w:sz w:val="20"/>
                <w:szCs w:val="20"/>
              </w:rPr>
              <w:t>1</w:t>
            </w:r>
            <w:r w:rsidRPr="006105C1">
              <w:rPr>
                <w:b/>
                <w:bCs/>
                <w:sz w:val="20"/>
                <w:szCs w:val="20"/>
              </w:rPr>
              <w:t>%</w:t>
            </w:r>
          </w:p>
        </w:tc>
      </w:tr>
      <w:tr w:rsidR="002032FB" w:rsidRPr="00841E98" w:rsidTr="005535DE">
        <w:trPr>
          <w:trHeight w:val="20"/>
          <w:jc w:val="center"/>
        </w:trPr>
        <w:tc>
          <w:tcPr>
            <w:tcW w:w="0" w:type="auto"/>
            <w:tcBorders>
              <w:top w:val="nil"/>
              <w:left w:val="nil"/>
              <w:bottom w:val="nil"/>
              <w:right w:val="nil"/>
            </w:tcBorders>
            <w:shd w:val="clear" w:color="auto" w:fill="C0C0C0"/>
            <w:noWrap/>
          </w:tcPr>
          <w:p w:rsidR="002032FB" w:rsidRPr="006105C1" w:rsidRDefault="002032FB" w:rsidP="005535DE">
            <w:pPr>
              <w:spacing w:before="0" w:after="0"/>
              <w:contextualSpacing/>
              <w:jc w:val="left"/>
              <w:rPr>
                <w:color w:val="000000"/>
                <w:sz w:val="20"/>
                <w:szCs w:val="20"/>
              </w:rPr>
            </w:pPr>
            <w:r w:rsidRPr="006105C1">
              <w:rPr>
                <w:color w:val="000000"/>
                <w:sz w:val="20"/>
                <w:szCs w:val="20"/>
              </w:rPr>
              <w:t>Paga sektori publik</w:t>
            </w:r>
          </w:p>
        </w:tc>
        <w:tc>
          <w:tcPr>
            <w:tcW w:w="0" w:type="auto"/>
            <w:tcBorders>
              <w:top w:val="nil"/>
              <w:left w:val="nil"/>
              <w:bottom w:val="nil"/>
              <w:right w:val="nil"/>
            </w:tcBorders>
            <w:noWrap/>
            <w:vAlign w:val="center"/>
          </w:tcPr>
          <w:p w:rsidR="002032FB" w:rsidRPr="006105C1" w:rsidRDefault="002032FB" w:rsidP="005535DE">
            <w:pPr>
              <w:spacing w:before="0" w:after="0"/>
              <w:contextualSpacing/>
              <w:jc w:val="left"/>
              <w:rPr>
                <w:rFonts w:cs="Times New Roman"/>
                <w:color w:val="000000"/>
                <w:sz w:val="20"/>
                <w:szCs w:val="20"/>
              </w:rPr>
            </w:pPr>
            <w:r w:rsidRPr="006105C1">
              <w:rPr>
                <w:color w:val="000000"/>
                <w:sz w:val="20"/>
                <w:szCs w:val="20"/>
              </w:rPr>
              <w:t>8,</w:t>
            </w:r>
            <w:r>
              <w:rPr>
                <w:color w:val="000000"/>
                <w:sz w:val="20"/>
                <w:szCs w:val="20"/>
              </w:rPr>
              <w:t>808</w:t>
            </w:r>
          </w:p>
        </w:tc>
        <w:tc>
          <w:tcPr>
            <w:tcW w:w="0" w:type="auto"/>
            <w:tcBorders>
              <w:top w:val="nil"/>
              <w:left w:val="nil"/>
              <w:bottom w:val="nil"/>
              <w:right w:val="nil"/>
            </w:tcBorders>
            <w:noWrap/>
            <w:vAlign w:val="center"/>
          </w:tcPr>
          <w:p w:rsidR="002032FB" w:rsidRPr="006105C1" w:rsidRDefault="002032FB" w:rsidP="005535DE">
            <w:pPr>
              <w:spacing w:before="0" w:after="0"/>
              <w:contextualSpacing/>
              <w:jc w:val="left"/>
              <w:rPr>
                <w:rFonts w:cs="Times New Roman"/>
                <w:color w:val="000000"/>
                <w:sz w:val="20"/>
                <w:szCs w:val="20"/>
              </w:rPr>
            </w:pPr>
            <w:r w:rsidRPr="006105C1">
              <w:rPr>
                <w:color w:val="000000"/>
                <w:sz w:val="20"/>
                <w:szCs w:val="20"/>
              </w:rPr>
              <w:t>8,</w:t>
            </w:r>
            <w:r>
              <w:rPr>
                <w:color w:val="000000"/>
                <w:sz w:val="20"/>
                <w:szCs w:val="20"/>
              </w:rPr>
              <w:t>981</w:t>
            </w:r>
          </w:p>
        </w:tc>
        <w:tc>
          <w:tcPr>
            <w:tcW w:w="0" w:type="auto"/>
            <w:tcBorders>
              <w:top w:val="nil"/>
              <w:left w:val="nil"/>
              <w:bottom w:val="nil"/>
              <w:right w:val="nil"/>
            </w:tcBorders>
            <w:noWrap/>
            <w:vAlign w:val="center"/>
          </w:tcPr>
          <w:p w:rsidR="002032FB" w:rsidRPr="006105C1" w:rsidRDefault="002032FB" w:rsidP="005535DE">
            <w:pPr>
              <w:spacing w:before="0" w:after="0"/>
              <w:contextualSpacing/>
              <w:jc w:val="left"/>
              <w:rPr>
                <w:color w:val="000000"/>
                <w:sz w:val="20"/>
                <w:szCs w:val="20"/>
              </w:rPr>
            </w:pPr>
            <w:r>
              <w:rPr>
                <w:color w:val="000000"/>
                <w:sz w:val="20"/>
                <w:szCs w:val="20"/>
              </w:rPr>
              <w:t>2</w:t>
            </w:r>
            <w:r w:rsidRPr="006105C1">
              <w:rPr>
                <w:color w:val="000000"/>
                <w:sz w:val="20"/>
                <w:szCs w:val="20"/>
              </w:rPr>
              <w:t>%</w:t>
            </w:r>
          </w:p>
        </w:tc>
      </w:tr>
      <w:tr w:rsidR="002032FB" w:rsidRPr="00841E98" w:rsidTr="005535DE">
        <w:trPr>
          <w:trHeight w:val="20"/>
          <w:jc w:val="center"/>
        </w:trPr>
        <w:tc>
          <w:tcPr>
            <w:tcW w:w="0" w:type="auto"/>
            <w:tcBorders>
              <w:top w:val="nil"/>
              <w:left w:val="nil"/>
              <w:bottom w:val="nil"/>
              <w:right w:val="nil"/>
            </w:tcBorders>
            <w:shd w:val="clear" w:color="auto" w:fill="C0C0C0"/>
            <w:noWrap/>
            <w:vAlign w:val="center"/>
          </w:tcPr>
          <w:p w:rsidR="002032FB" w:rsidRPr="006105C1" w:rsidRDefault="002032FB" w:rsidP="005535DE">
            <w:pPr>
              <w:spacing w:before="0" w:after="0"/>
              <w:contextualSpacing/>
              <w:jc w:val="left"/>
              <w:rPr>
                <w:color w:val="000000"/>
                <w:sz w:val="20"/>
                <w:szCs w:val="20"/>
              </w:rPr>
            </w:pPr>
            <w:r w:rsidRPr="006105C1">
              <w:rPr>
                <w:color w:val="000000"/>
                <w:sz w:val="20"/>
                <w:szCs w:val="20"/>
              </w:rPr>
              <w:t>Paga sektori jo publik</w:t>
            </w:r>
          </w:p>
        </w:tc>
        <w:tc>
          <w:tcPr>
            <w:tcW w:w="0" w:type="auto"/>
            <w:tcBorders>
              <w:top w:val="nil"/>
              <w:left w:val="nil"/>
              <w:bottom w:val="nil"/>
              <w:right w:val="nil"/>
            </w:tcBorders>
            <w:noWrap/>
            <w:vAlign w:val="center"/>
          </w:tcPr>
          <w:p w:rsidR="002032FB" w:rsidRPr="006105C1" w:rsidRDefault="002032FB" w:rsidP="005535DE">
            <w:pPr>
              <w:spacing w:before="0" w:after="0"/>
              <w:contextualSpacing/>
              <w:jc w:val="left"/>
              <w:rPr>
                <w:rFonts w:cs="Times New Roman"/>
                <w:color w:val="000000"/>
                <w:sz w:val="20"/>
                <w:szCs w:val="20"/>
              </w:rPr>
            </w:pPr>
            <w:r w:rsidRPr="006105C1">
              <w:rPr>
                <w:color w:val="000000"/>
                <w:sz w:val="20"/>
                <w:szCs w:val="20"/>
              </w:rPr>
              <w:t>8,</w:t>
            </w:r>
            <w:r>
              <w:rPr>
                <w:color w:val="000000"/>
                <w:sz w:val="20"/>
                <w:szCs w:val="20"/>
              </w:rPr>
              <w:t>934</w:t>
            </w:r>
          </w:p>
        </w:tc>
        <w:tc>
          <w:tcPr>
            <w:tcW w:w="0" w:type="auto"/>
            <w:tcBorders>
              <w:top w:val="nil"/>
              <w:left w:val="nil"/>
              <w:bottom w:val="nil"/>
              <w:right w:val="nil"/>
            </w:tcBorders>
            <w:noWrap/>
            <w:vAlign w:val="center"/>
          </w:tcPr>
          <w:p w:rsidR="002032FB" w:rsidRPr="006105C1" w:rsidRDefault="002032FB" w:rsidP="005535DE">
            <w:pPr>
              <w:spacing w:before="0" w:after="0"/>
              <w:contextualSpacing/>
              <w:jc w:val="left"/>
              <w:rPr>
                <w:color w:val="000000"/>
                <w:sz w:val="20"/>
                <w:szCs w:val="20"/>
              </w:rPr>
            </w:pPr>
            <w:r>
              <w:rPr>
                <w:color w:val="000000"/>
                <w:sz w:val="20"/>
                <w:szCs w:val="20"/>
              </w:rPr>
              <w:t>9,256</w:t>
            </w:r>
            <w:r w:rsidRPr="006105C1">
              <w:rPr>
                <w:color w:val="000000"/>
                <w:sz w:val="20"/>
                <w:szCs w:val="20"/>
              </w:rPr>
              <w:t xml:space="preserve"> </w:t>
            </w:r>
          </w:p>
        </w:tc>
        <w:tc>
          <w:tcPr>
            <w:tcW w:w="0" w:type="auto"/>
            <w:tcBorders>
              <w:top w:val="nil"/>
              <w:left w:val="nil"/>
              <w:bottom w:val="nil"/>
              <w:right w:val="nil"/>
            </w:tcBorders>
            <w:noWrap/>
            <w:vAlign w:val="center"/>
          </w:tcPr>
          <w:p w:rsidR="002032FB" w:rsidRPr="006105C1" w:rsidRDefault="002032FB" w:rsidP="005535DE">
            <w:pPr>
              <w:spacing w:before="0" w:after="0"/>
              <w:contextualSpacing/>
              <w:jc w:val="left"/>
              <w:rPr>
                <w:color w:val="000000"/>
                <w:sz w:val="20"/>
                <w:szCs w:val="20"/>
              </w:rPr>
            </w:pPr>
            <w:r>
              <w:rPr>
                <w:color w:val="000000"/>
                <w:sz w:val="20"/>
                <w:szCs w:val="20"/>
              </w:rPr>
              <w:t>3.6</w:t>
            </w:r>
            <w:r w:rsidRPr="006105C1">
              <w:rPr>
                <w:color w:val="000000"/>
                <w:sz w:val="20"/>
                <w:szCs w:val="20"/>
              </w:rPr>
              <w:t>%</w:t>
            </w:r>
          </w:p>
        </w:tc>
      </w:tr>
      <w:tr w:rsidR="002032FB" w:rsidRPr="00841E98" w:rsidTr="005535DE">
        <w:trPr>
          <w:trHeight w:val="20"/>
          <w:jc w:val="center"/>
        </w:trPr>
        <w:tc>
          <w:tcPr>
            <w:tcW w:w="0" w:type="auto"/>
            <w:tcBorders>
              <w:top w:val="nil"/>
              <w:left w:val="nil"/>
              <w:bottom w:val="nil"/>
              <w:right w:val="nil"/>
            </w:tcBorders>
            <w:shd w:val="clear" w:color="auto" w:fill="C0C0C0"/>
            <w:noWrap/>
          </w:tcPr>
          <w:p w:rsidR="002032FB" w:rsidRPr="006105C1" w:rsidRDefault="002032FB" w:rsidP="005535DE">
            <w:pPr>
              <w:spacing w:before="0" w:after="0"/>
              <w:contextualSpacing/>
              <w:jc w:val="left"/>
              <w:rPr>
                <w:color w:val="000000"/>
                <w:sz w:val="20"/>
                <w:szCs w:val="20"/>
              </w:rPr>
            </w:pPr>
            <w:r w:rsidRPr="006105C1">
              <w:rPr>
                <w:color w:val="000000"/>
                <w:sz w:val="20"/>
                <w:szCs w:val="20"/>
              </w:rPr>
              <w:t>Interesa</w:t>
            </w:r>
          </w:p>
        </w:tc>
        <w:tc>
          <w:tcPr>
            <w:tcW w:w="0" w:type="auto"/>
            <w:tcBorders>
              <w:top w:val="nil"/>
              <w:left w:val="nil"/>
              <w:bottom w:val="nil"/>
              <w:right w:val="nil"/>
            </w:tcBorders>
            <w:noWrap/>
            <w:vAlign w:val="center"/>
          </w:tcPr>
          <w:p w:rsidR="002032FB" w:rsidRPr="006105C1" w:rsidRDefault="002032FB" w:rsidP="005535DE">
            <w:pPr>
              <w:spacing w:before="0" w:after="0"/>
              <w:contextualSpacing/>
              <w:jc w:val="left"/>
              <w:rPr>
                <w:color w:val="000000"/>
                <w:sz w:val="20"/>
                <w:szCs w:val="20"/>
              </w:rPr>
            </w:pPr>
            <w:r>
              <w:rPr>
                <w:color w:val="000000"/>
                <w:sz w:val="20"/>
                <w:szCs w:val="20"/>
              </w:rPr>
              <w:t>3,212</w:t>
            </w:r>
            <w:r w:rsidRPr="006105C1">
              <w:rPr>
                <w:color w:val="000000"/>
                <w:sz w:val="20"/>
                <w:szCs w:val="20"/>
              </w:rPr>
              <w:t xml:space="preserve"> </w:t>
            </w:r>
          </w:p>
        </w:tc>
        <w:tc>
          <w:tcPr>
            <w:tcW w:w="0" w:type="auto"/>
            <w:tcBorders>
              <w:top w:val="nil"/>
              <w:left w:val="nil"/>
              <w:bottom w:val="nil"/>
              <w:right w:val="nil"/>
            </w:tcBorders>
            <w:noWrap/>
            <w:vAlign w:val="center"/>
          </w:tcPr>
          <w:p w:rsidR="002032FB" w:rsidRPr="006105C1" w:rsidRDefault="002032FB" w:rsidP="005535DE">
            <w:pPr>
              <w:spacing w:before="0" w:after="0"/>
              <w:contextualSpacing/>
              <w:jc w:val="left"/>
              <w:rPr>
                <w:rFonts w:cs="Times New Roman"/>
                <w:color w:val="000000"/>
                <w:sz w:val="20"/>
                <w:szCs w:val="20"/>
              </w:rPr>
            </w:pPr>
            <w:r w:rsidRPr="006105C1">
              <w:rPr>
                <w:color w:val="000000"/>
                <w:sz w:val="20"/>
                <w:szCs w:val="20"/>
              </w:rPr>
              <w:t>3,</w:t>
            </w:r>
            <w:r>
              <w:rPr>
                <w:color w:val="000000"/>
                <w:sz w:val="20"/>
                <w:szCs w:val="20"/>
              </w:rPr>
              <w:t>513</w:t>
            </w:r>
          </w:p>
        </w:tc>
        <w:tc>
          <w:tcPr>
            <w:tcW w:w="0" w:type="auto"/>
            <w:tcBorders>
              <w:top w:val="nil"/>
              <w:left w:val="nil"/>
              <w:bottom w:val="nil"/>
              <w:right w:val="nil"/>
            </w:tcBorders>
            <w:noWrap/>
            <w:vAlign w:val="center"/>
          </w:tcPr>
          <w:p w:rsidR="002032FB" w:rsidRPr="006105C1" w:rsidRDefault="002032FB" w:rsidP="005535DE">
            <w:pPr>
              <w:spacing w:before="0" w:after="0"/>
              <w:contextualSpacing/>
              <w:jc w:val="left"/>
              <w:rPr>
                <w:color w:val="000000"/>
                <w:sz w:val="20"/>
                <w:szCs w:val="20"/>
              </w:rPr>
            </w:pPr>
            <w:r>
              <w:rPr>
                <w:color w:val="000000"/>
                <w:sz w:val="20"/>
                <w:szCs w:val="20"/>
              </w:rPr>
              <w:t>9.4</w:t>
            </w:r>
            <w:r w:rsidRPr="006105C1">
              <w:rPr>
                <w:color w:val="000000"/>
                <w:sz w:val="20"/>
                <w:szCs w:val="20"/>
              </w:rPr>
              <w:t>%</w:t>
            </w:r>
          </w:p>
        </w:tc>
      </w:tr>
      <w:tr w:rsidR="002032FB" w:rsidRPr="00841E98" w:rsidTr="005535DE">
        <w:trPr>
          <w:trHeight w:val="20"/>
          <w:jc w:val="center"/>
        </w:trPr>
        <w:tc>
          <w:tcPr>
            <w:tcW w:w="0" w:type="auto"/>
            <w:tcBorders>
              <w:top w:val="nil"/>
              <w:left w:val="nil"/>
              <w:bottom w:val="nil"/>
              <w:right w:val="nil"/>
            </w:tcBorders>
            <w:shd w:val="clear" w:color="auto" w:fill="C0C0C0"/>
            <w:noWrap/>
          </w:tcPr>
          <w:p w:rsidR="002032FB" w:rsidRPr="006105C1" w:rsidRDefault="002032FB" w:rsidP="005535DE">
            <w:pPr>
              <w:spacing w:before="0" w:after="0"/>
              <w:contextualSpacing/>
              <w:jc w:val="left"/>
              <w:rPr>
                <w:color w:val="000000"/>
                <w:sz w:val="20"/>
                <w:szCs w:val="20"/>
              </w:rPr>
            </w:pPr>
            <w:r w:rsidRPr="006105C1">
              <w:rPr>
                <w:color w:val="000000"/>
                <w:sz w:val="20"/>
                <w:szCs w:val="20"/>
              </w:rPr>
              <w:t>Dividendë</w:t>
            </w:r>
          </w:p>
        </w:tc>
        <w:tc>
          <w:tcPr>
            <w:tcW w:w="0" w:type="auto"/>
            <w:tcBorders>
              <w:top w:val="nil"/>
              <w:left w:val="nil"/>
              <w:bottom w:val="nil"/>
              <w:right w:val="nil"/>
            </w:tcBorders>
            <w:noWrap/>
            <w:vAlign w:val="center"/>
          </w:tcPr>
          <w:p w:rsidR="002032FB" w:rsidRPr="006105C1" w:rsidRDefault="002032FB" w:rsidP="005535DE">
            <w:pPr>
              <w:spacing w:before="0" w:after="0"/>
              <w:contextualSpacing/>
              <w:jc w:val="left"/>
              <w:rPr>
                <w:rFonts w:cs="Times New Roman"/>
                <w:color w:val="000000"/>
                <w:sz w:val="20"/>
                <w:szCs w:val="20"/>
              </w:rPr>
            </w:pPr>
            <w:r w:rsidRPr="006105C1">
              <w:rPr>
                <w:color w:val="000000"/>
                <w:sz w:val="20"/>
                <w:szCs w:val="20"/>
              </w:rPr>
              <w:t>1,</w:t>
            </w:r>
            <w:r>
              <w:rPr>
                <w:color w:val="000000"/>
                <w:sz w:val="20"/>
                <w:szCs w:val="20"/>
              </w:rPr>
              <w:t>410</w:t>
            </w:r>
          </w:p>
        </w:tc>
        <w:tc>
          <w:tcPr>
            <w:tcW w:w="0" w:type="auto"/>
            <w:tcBorders>
              <w:top w:val="nil"/>
              <w:left w:val="nil"/>
              <w:bottom w:val="nil"/>
              <w:right w:val="nil"/>
            </w:tcBorders>
            <w:noWrap/>
            <w:vAlign w:val="center"/>
          </w:tcPr>
          <w:p w:rsidR="002032FB" w:rsidRPr="006105C1" w:rsidRDefault="002032FB" w:rsidP="005535DE">
            <w:pPr>
              <w:spacing w:before="0" w:after="0"/>
              <w:contextualSpacing/>
              <w:jc w:val="left"/>
              <w:rPr>
                <w:color w:val="000000"/>
                <w:sz w:val="20"/>
                <w:szCs w:val="20"/>
              </w:rPr>
            </w:pPr>
            <w:r w:rsidRPr="006105C1">
              <w:rPr>
                <w:color w:val="000000"/>
                <w:sz w:val="20"/>
                <w:szCs w:val="20"/>
              </w:rPr>
              <w:t>1,</w:t>
            </w:r>
            <w:r>
              <w:rPr>
                <w:color w:val="000000"/>
                <w:sz w:val="20"/>
                <w:szCs w:val="20"/>
              </w:rPr>
              <w:t>513</w:t>
            </w:r>
            <w:r w:rsidRPr="006105C1">
              <w:rPr>
                <w:color w:val="000000"/>
                <w:sz w:val="20"/>
                <w:szCs w:val="20"/>
              </w:rPr>
              <w:t xml:space="preserve"> </w:t>
            </w:r>
          </w:p>
        </w:tc>
        <w:tc>
          <w:tcPr>
            <w:tcW w:w="0" w:type="auto"/>
            <w:tcBorders>
              <w:top w:val="nil"/>
              <w:left w:val="nil"/>
              <w:bottom w:val="nil"/>
              <w:right w:val="nil"/>
            </w:tcBorders>
            <w:noWrap/>
            <w:vAlign w:val="center"/>
          </w:tcPr>
          <w:p w:rsidR="002032FB" w:rsidRPr="006105C1" w:rsidRDefault="002032FB" w:rsidP="005535DE">
            <w:pPr>
              <w:spacing w:before="0" w:after="0"/>
              <w:contextualSpacing/>
              <w:jc w:val="left"/>
              <w:rPr>
                <w:sz w:val="20"/>
                <w:szCs w:val="20"/>
              </w:rPr>
            </w:pPr>
            <w:r>
              <w:rPr>
                <w:sz w:val="20"/>
                <w:szCs w:val="20"/>
              </w:rPr>
              <w:t>7.4</w:t>
            </w:r>
            <w:r w:rsidRPr="006105C1">
              <w:rPr>
                <w:sz w:val="20"/>
                <w:szCs w:val="20"/>
              </w:rPr>
              <w:t>%</w:t>
            </w:r>
          </w:p>
        </w:tc>
      </w:tr>
      <w:tr w:rsidR="002032FB" w:rsidRPr="00841E98" w:rsidTr="005535DE">
        <w:trPr>
          <w:trHeight w:val="20"/>
          <w:jc w:val="center"/>
        </w:trPr>
        <w:tc>
          <w:tcPr>
            <w:tcW w:w="0" w:type="auto"/>
            <w:tcBorders>
              <w:top w:val="nil"/>
              <w:left w:val="nil"/>
              <w:bottom w:val="nil"/>
              <w:right w:val="nil"/>
            </w:tcBorders>
            <w:shd w:val="clear" w:color="auto" w:fill="C0C0C0"/>
            <w:noWrap/>
            <w:vAlign w:val="center"/>
          </w:tcPr>
          <w:p w:rsidR="002032FB" w:rsidRPr="006105C1" w:rsidRDefault="002032FB" w:rsidP="005535DE">
            <w:pPr>
              <w:spacing w:before="0" w:after="0"/>
              <w:contextualSpacing/>
              <w:jc w:val="left"/>
              <w:rPr>
                <w:color w:val="000000"/>
                <w:sz w:val="20"/>
                <w:szCs w:val="20"/>
              </w:rPr>
            </w:pPr>
            <w:r w:rsidRPr="006105C1">
              <w:rPr>
                <w:color w:val="000000"/>
                <w:sz w:val="20"/>
                <w:szCs w:val="20"/>
              </w:rPr>
              <w:t>Shitje pasuri e paluajtshme</w:t>
            </w:r>
          </w:p>
        </w:tc>
        <w:tc>
          <w:tcPr>
            <w:tcW w:w="0" w:type="auto"/>
            <w:tcBorders>
              <w:top w:val="nil"/>
              <w:left w:val="nil"/>
              <w:bottom w:val="nil"/>
              <w:right w:val="nil"/>
            </w:tcBorders>
            <w:noWrap/>
            <w:vAlign w:val="center"/>
          </w:tcPr>
          <w:p w:rsidR="002032FB" w:rsidRPr="006105C1" w:rsidRDefault="002032FB" w:rsidP="005535DE">
            <w:pPr>
              <w:spacing w:before="0" w:after="0"/>
              <w:contextualSpacing/>
              <w:jc w:val="left"/>
              <w:rPr>
                <w:rFonts w:cs="Times New Roman"/>
                <w:color w:val="000000"/>
                <w:sz w:val="20"/>
                <w:szCs w:val="20"/>
              </w:rPr>
            </w:pPr>
            <w:r w:rsidRPr="006105C1">
              <w:rPr>
                <w:color w:val="000000"/>
                <w:sz w:val="20"/>
                <w:szCs w:val="20"/>
              </w:rPr>
              <w:t>1,</w:t>
            </w:r>
            <w:r>
              <w:rPr>
                <w:color w:val="000000"/>
                <w:sz w:val="20"/>
                <w:szCs w:val="20"/>
              </w:rPr>
              <w:t>178</w:t>
            </w:r>
          </w:p>
        </w:tc>
        <w:tc>
          <w:tcPr>
            <w:tcW w:w="0" w:type="auto"/>
            <w:tcBorders>
              <w:top w:val="nil"/>
              <w:left w:val="nil"/>
              <w:bottom w:val="nil"/>
              <w:right w:val="nil"/>
            </w:tcBorders>
            <w:noWrap/>
            <w:vAlign w:val="center"/>
          </w:tcPr>
          <w:p w:rsidR="002032FB" w:rsidRPr="006105C1" w:rsidRDefault="002032FB" w:rsidP="005535DE">
            <w:pPr>
              <w:spacing w:before="0" w:after="0"/>
              <w:contextualSpacing/>
              <w:jc w:val="left"/>
              <w:rPr>
                <w:color w:val="000000"/>
                <w:sz w:val="20"/>
                <w:szCs w:val="20"/>
              </w:rPr>
            </w:pPr>
            <w:r>
              <w:rPr>
                <w:color w:val="000000"/>
                <w:sz w:val="20"/>
                <w:szCs w:val="20"/>
              </w:rPr>
              <w:t>353</w:t>
            </w:r>
            <w:r w:rsidRPr="006105C1">
              <w:rPr>
                <w:color w:val="000000"/>
                <w:sz w:val="20"/>
                <w:szCs w:val="20"/>
              </w:rPr>
              <w:t xml:space="preserve"> </w:t>
            </w:r>
          </w:p>
        </w:tc>
        <w:tc>
          <w:tcPr>
            <w:tcW w:w="0" w:type="auto"/>
            <w:tcBorders>
              <w:top w:val="nil"/>
              <w:left w:val="nil"/>
              <w:bottom w:val="nil"/>
              <w:right w:val="nil"/>
            </w:tcBorders>
            <w:noWrap/>
            <w:vAlign w:val="center"/>
          </w:tcPr>
          <w:p w:rsidR="002032FB" w:rsidRPr="006105C1" w:rsidRDefault="002032FB" w:rsidP="005535DE">
            <w:pPr>
              <w:spacing w:before="0" w:after="0"/>
              <w:contextualSpacing/>
              <w:jc w:val="left"/>
              <w:rPr>
                <w:rFonts w:cs="Times New Roman"/>
                <w:color w:val="000000"/>
                <w:sz w:val="20"/>
                <w:szCs w:val="20"/>
              </w:rPr>
            </w:pPr>
            <w:r w:rsidRPr="006105C1">
              <w:rPr>
                <w:color w:val="FF0000"/>
                <w:sz w:val="20"/>
                <w:szCs w:val="20"/>
              </w:rPr>
              <w:t>-</w:t>
            </w:r>
            <w:r>
              <w:rPr>
                <w:color w:val="FF0000"/>
                <w:sz w:val="20"/>
                <w:szCs w:val="20"/>
              </w:rPr>
              <w:t>70</w:t>
            </w:r>
            <w:r w:rsidRPr="006105C1">
              <w:rPr>
                <w:color w:val="FF0000"/>
                <w:sz w:val="20"/>
                <w:szCs w:val="20"/>
              </w:rPr>
              <w:t>%</w:t>
            </w:r>
          </w:p>
        </w:tc>
      </w:tr>
      <w:tr w:rsidR="002032FB" w:rsidRPr="00841E98" w:rsidTr="005535DE">
        <w:trPr>
          <w:trHeight w:val="20"/>
          <w:jc w:val="center"/>
        </w:trPr>
        <w:tc>
          <w:tcPr>
            <w:tcW w:w="0" w:type="auto"/>
            <w:tcBorders>
              <w:top w:val="nil"/>
              <w:left w:val="nil"/>
              <w:bottom w:val="nil"/>
              <w:right w:val="nil"/>
            </w:tcBorders>
            <w:shd w:val="clear" w:color="auto" w:fill="C0C0C0"/>
            <w:noWrap/>
          </w:tcPr>
          <w:p w:rsidR="002032FB" w:rsidRPr="006105C1" w:rsidRDefault="002032FB" w:rsidP="005535DE">
            <w:pPr>
              <w:spacing w:before="0" w:after="0"/>
              <w:contextualSpacing/>
              <w:jc w:val="left"/>
              <w:rPr>
                <w:color w:val="000000"/>
                <w:sz w:val="20"/>
                <w:szCs w:val="20"/>
              </w:rPr>
            </w:pPr>
            <w:r w:rsidRPr="006105C1">
              <w:rPr>
                <w:color w:val="000000"/>
                <w:sz w:val="20"/>
                <w:szCs w:val="20"/>
              </w:rPr>
              <w:t>Te tjera</w:t>
            </w:r>
          </w:p>
        </w:tc>
        <w:tc>
          <w:tcPr>
            <w:tcW w:w="0" w:type="auto"/>
            <w:tcBorders>
              <w:top w:val="nil"/>
              <w:left w:val="nil"/>
              <w:bottom w:val="nil"/>
              <w:right w:val="nil"/>
            </w:tcBorders>
            <w:noWrap/>
            <w:vAlign w:val="bottom"/>
          </w:tcPr>
          <w:p w:rsidR="002032FB" w:rsidRPr="006105C1" w:rsidRDefault="002032FB" w:rsidP="005535DE">
            <w:pPr>
              <w:spacing w:before="0" w:after="0"/>
              <w:contextualSpacing/>
              <w:jc w:val="left"/>
              <w:rPr>
                <w:sz w:val="20"/>
                <w:szCs w:val="20"/>
              </w:rPr>
            </w:pPr>
            <w:r>
              <w:rPr>
                <w:sz w:val="20"/>
                <w:szCs w:val="20"/>
              </w:rPr>
              <w:t>4,425</w:t>
            </w:r>
            <w:r w:rsidRPr="006105C1">
              <w:rPr>
                <w:sz w:val="20"/>
                <w:szCs w:val="20"/>
              </w:rPr>
              <w:t xml:space="preserve"> </w:t>
            </w:r>
          </w:p>
        </w:tc>
        <w:tc>
          <w:tcPr>
            <w:tcW w:w="0" w:type="auto"/>
            <w:tcBorders>
              <w:top w:val="nil"/>
              <w:left w:val="nil"/>
              <w:bottom w:val="nil"/>
              <w:right w:val="nil"/>
            </w:tcBorders>
            <w:noWrap/>
            <w:vAlign w:val="bottom"/>
          </w:tcPr>
          <w:p w:rsidR="002032FB" w:rsidRPr="006105C1" w:rsidRDefault="002032FB" w:rsidP="005535DE">
            <w:pPr>
              <w:spacing w:before="0" w:after="0"/>
              <w:contextualSpacing/>
              <w:jc w:val="left"/>
              <w:rPr>
                <w:sz w:val="20"/>
                <w:szCs w:val="20"/>
              </w:rPr>
            </w:pPr>
            <w:r>
              <w:rPr>
                <w:sz w:val="20"/>
                <w:szCs w:val="20"/>
              </w:rPr>
              <w:t>4,373</w:t>
            </w:r>
            <w:r w:rsidRPr="006105C1">
              <w:rPr>
                <w:sz w:val="20"/>
                <w:szCs w:val="20"/>
              </w:rPr>
              <w:t xml:space="preserve"> </w:t>
            </w:r>
          </w:p>
        </w:tc>
        <w:tc>
          <w:tcPr>
            <w:tcW w:w="0" w:type="auto"/>
            <w:tcBorders>
              <w:top w:val="nil"/>
              <w:left w:val="nil"/>
              <w:bottom w:val="nil"/>
              <w:right w:val="nil"/>
            </w:tcBorders>
            <w:noWrap/>
            <w:vAlign w:val="center"/>
          </w:tcPr>
          <w:p w:rsidR="002032FB" w:rsidRPr="005E1147" w:rsidRDefault="002032FB" w:rsidP="005535DE">
            <w:pPr>
              <w:spacing w:before="0" w:after="0"/>
              <w:contextualSpacing/>
              <w:jc w:val="left"/>
              <w:rPr>
                <w:color w:val="FF0000"/>
                <w:sz w:val="20"/>
                <w:szCs w:val="20"/>
              </w:rPr>
            </w:pPr>
            <w:r w:rsidRPr="005E1147">
              <w:rPr>
                <w:color w:val="FF0000"/>
                <w:sz w:val="20"/>
                <w:szCs w:val="20"/>
              </w:rPr>
              <w:t>-1.2%</w:t>
            </w:r>
          </w:p>
        </w:tc>
      </w:tr>
    </w:tbl>
    <w:p w:rsidR="0079658C" w:rsidRPr="001A1523" w:rsidRDefault="0079658C" w:rsidP="0079658C">
      <w:pPr>
        <w:rPr>
          <w:rFonts w:cs="Times New Roman"/>
          <w:i/>
          <w:sz w:val="20"/>
          <w:szCs w:val="20"/>
          <w:lang w:val="es-ES_tradnl"/>
        </w:rPr>
      </w:pPr>
      <w:r w:rsidRPr="001A1523">
        <w:rPr>
          <w:rFonts w:cs="Times New Roman"/>
          <w:i/>
          <w:sz w:val="20"/>
          <w:szCs w:val="20"/>
          <w:lang w:val="es-ES_tradnl"/>
        </w:rPr>
        <w:t>Burimi: Drejtoria e Pergjithshme e Tatimeve</w:t>
      </w:r>
    </w:p>
    <w:p w:rsidR="002032FB" w:rsidRPr="004E7E33" w:rsidRDefault="002032FB" w:rsidP="007D59CF">
      <w:pPr>
        <w:rPr>
          <w:rFonts w:cs="Times New Roman"/>
          <w:lang w:val="es-ES_tradnl"/>
        </w:rPr>
      </w:pPr>
      <w:r w:rsidRPr="004E7E33">
        <w:rPr>
          <w:lang w:val="es-ES_tradnl"/>
        </w:rPr>
        <w:lastRenderedPageBreak/>
        <w:t>Pozitive është ecuria e tatimit mbi pagat në sektorin privat edhe pas shfuqizimit të pagave referuese në qershor te vitit 2012, me rritje të të ardhurave prej 3.6%. Gjithashtu të ardhurat nga interesat mbi depozitat dhe investimi në obligacione kanë pësuar një rritje prej 9.4%. Në të njëjtin nivel me një vit më parë janë të ardhurat nga dividentet, ndërsa kontributin më të madh në ecurine negative të TAP e ka patur tatimi mbi shitjen e pasurisë së paluajtshme, që shpjegohet me procesin e legalizimit te pasurive te paluajtshme nga individet, proces i cili filloi më maj te vitit 2011 dhe u mbyll ne 31 Gusht 2012</w:t>
      </w:r>
      <w:r>
        <w:rPr>
          <w:lang w:val="es-ES_tradnl"/>
        </w:rPr>
        <w:t>, prej te cilit rreth 2.990 miliard lek u mblodhen si rezultat i ketij rivleresimi.</w:t>
      </w:r>
    </w:p>
    <w:p w:rsidR="002032FB" w:rsidRPr="004E7E33" w:rsidRDefault="005535DE" w:rsidP="007D59CF">
      <w:pPr>
        <w:rPr>
          <w:b/>
          <w:bCs/>
          <w:noProof/>
          <w:lang w:val="sq-AL"/>
        </w:rPr>
      </w:pPr>
      <w:r>
        <w:rPr>
          <w:b/>
          <w:bCs/>
          <w:noProof/>
          <w:lang w:val="sq-AL"/>
        </w:rPr>
        <w:t>Tatimet</w:t>
      </w:r>
      <w:r w:rsidR="002032FB" w:rsidRPr="004E7E33">
        <w:rPr>
          <w:b/>
          <w:bCs/>
          <w:noProof/>
          <w:lang w:val="sq-AL"/>
        </w:rPr>
        <w:t xml:space="preserve"> mbi të ardhurat nga biznesi</w:t>
      </w:r>
    </w:p>
    <w:p w:rsidR="002032FB" w:rsidRDefault="002032FB" w:rsidP="007D59CF">
      <w:pPr>
        <w:rPr>
          <w:lang w:val="sq-AL"/>
        </w:rPr>
      </w:pPr>
      <w:r w:rsidRPr="004E7E33">
        <w:rPr>
          <w:lang w:val="sq-AL"/>
        </w:rPr>
        <w:t>Të ardhurat nga tatimi mbi fitimin për 12 mujorin 2012 arritën në rreth 16.8 miliardë lekë nga 19.7 miliardë të mbledhura një vit më parë, me një rënie të ndjeshme prej -14.5 përqind, dhe -1.8 % më shume se plani i periudhës Janar-Dhjetor 2012. Në rezultatin e të ardhurave për tatim fitimin për periudhën janar-dhjetor këtë vit ka ndikuar ulja e derdhjes së</w:t>
      </w:r>
      <w:r w:rsidR="005535DE">
        <w:rPr>
          <w:lang w:val="sq-AL"/>
        </w:rPr>
        <w:t xml:space="preserve"> tatim fitimit nga ndërmarrjet </w:t>
      </w:r>
      <w:r w:rsidRPr="004E7E33">
        <w:rPr>
          <w:lang w:val="sq-AL"/>
        </w:rPr>
        <w:t>shtetërore me -50.4% krahasuar me një vit më parë ose 1.15 miliar</w:t>
      </w:r>
      <w:r w:rsidR="005535DE">
        <w:rPr>
          <w:lang w:val="sq-AL"/>
        </w:rPr>
        <w:t>dë lekë më pak (</w:t>
      </w:r>
      <w:r w:rsidRPr="004E7E33">
        <w:rPr>
          <w:lang w:val="sq-AL"/>
        </w:rPr>
        <w:t>KESH sha). Përsa i përket sektorit privat, të ardhurat nga tatim fitimi janë ulur me -9.9% mbi baza vjetore. Të gjithë sektorët e ekonomisë kanë pësuar rënie për periudhën 12 mujore, duke e krahasuar me një vit më parë. Rënien më të madhe në krahasim me të njëjtën periudhë të një viti më parë e ka shënuar sektori i prodhimit me -22.9% i pasuar nga sektori i Ndërtimit me -21.4%, sektori i transportit me -12.9%, sektori i shërbimeve me -7.8% dhe sektori i Tregtisë me -11.1%. Të dhënat pasqyrohen në Tabelën më poshtë.</w:t>
      </w:r>
    </w:p>
    <w:p w:rsidR="005535DE" w:rsidRPr="004E7E33" w:rsidRDefault="005535DE" w:rsidP="007D59CF">
      <w:pPr>
        <w:rPr>
          <w:rFonts w:cs="Times New Roman"/>
          <w:lang w:val="sq-AL"/>
        </w:rPr>
      </w:pPr>
      <w:r>
        <w:rPr>
          <w:lang w:val="sq-AL"/>
        </w:rPr>
        <w:t>Tabela 7. Te ardhurat nga tatim fitimi sipas sektoreve</w:t>
      </w:r>
    </w:p>
    <w:tbl>
      <w:tblPr>
        <w:tblW w:w="0" w:type="auto"/>
        <w:tblInd w:w="2" w:type="dxa"/>
        <w:tblLook w:val="0000"/>
      </w:tblPr>
      <w:tblGrid>
        <w:gridCol w:w="1028"/>
        <w:gridCol w:w="1234"/>
        <w:gridCol w:w="1244"/>
        <w:gridCol w:w="1069"/>
        <w:gridCol w:w="1608"/>
        <w:gridCol w:w="1608"/>
        <w:gridCol w:w="1069"/>
      </w:tblGrid>
      <w:tr w:rsidR="002032FB" w:rsidRPr="005535DE" w:rsidTr="00E04CC4">
        <w:trPr>
          <w:trHeight w:val="20"/>
        </w:trPr>
        <w:tc>
          <w:tcPr>
            <w:tcW w:w="0" w:type="auto"/>
            <w:tcBorders>
              <w:top w:val="single" w:sz="12" w:space="0" w:color="000000"/>
              <w:left w:val="nil"/>
              <w:bottom w:val="single" w:sz="8" w:space="0" w:color="000000"/>
              <w:right w:val="nil"/>
            </w:tcBorders>
            <w:shd w:val="clear" w:color="auto" w:fill="800080"/>
            <w:noWrap/>
            <w:vAlign w:val="center"/>
          </w:tcPr>
          <w:p w:rsidR="002032FB" w:rsidRPr="005535DE" w:rsidRDefault="002032FB" w:rsidP="005535DE">
            <w:pPr>
              <w:spacing w:before="0" w:after="0"/>
              <w:contextualSpacing/>
              <w:jc w:val="left"/>
              <w:rPr>
                <w:rFonts w:asciiTheme="minorHAnsi" w:hAnsiTheme="minorHAnsi"/>
                <w:b/>
                <w:bCs/>
                <w:color w:val="FFFFFF"/>
                <w:sz w:val="20"/>
                <w:szCs w:val="20"/>
              </w:rPr>
            </w:pPr>
            <w:r w:rsidRPr="005535DE">
              <w:rPr>
                <w:rFonts w:asciiTheme="minorHAnsi" w:hAnsiTheme="minorHAnsi"/>
                <w:b/>
                <w:bCs/>
                <w:color w:val="FFFFFF"/>
                <w:sz w:val="20"/>
                <w:szCs w:val="20"/>
              </w:rPr>
              <w:t>Emërtimi</w:t>
            </w:r>
          </w:p>
        </w:tc>
        <w:tc>
          <w:tcPr>
            <w:tcW w:w="0" w:type="auto"/>
            <w:tcBorders>
              <w:top w:val="single" w:sz="12" w:space="0" w:color="000000"/>
              <w:left w:val="nil"/>
              <w:bottom w:val="single" w:sz="8" w:space="0" w:color="000000"/>
              <w:right w:val="nil"/>
            </w:tcBorders>
            <w:shd w:val="clear" w:color="auto" w:fill="800080"/>
            <w:vAlign w:val="center"/>
          </w:tcPr>
          <w:p w:rsidR="002032FB" w:rsidRPr="005535DE" w:rsidRDefault="002032FB" w:rsidP="005535DE">
            <w:pPr>
              <w:spacing w:before="0" w:after="0"/>
              <w:contextualSpacing/>
              <w:jc w:val="left"/>
              <w:rPr>
                <w:rFonts w:asciiTheme="minorHAnsi" w:hAnsiTheme="minorHAnsi"/>
                <w:b/>
                <w:bCs/>
                <w:color w:val="FFFFFF"/>
                <w:sz w:val="20"/>
                <w:szCs w:val="20"/>
              </w:rPr>
            </w:pPr>
            <w:r w:rsidRPr="005535DE">
              <w:rPr>
                <w:rFonts w:asciiTheme="minorHAnsi" w:hAnsiTheme="minorHAnsi"/>
                <w:b/>
                <w:bCs/>
                <w:color w:val="FFFFFF"/>
                <w:sz w:val="20"/>
                <w:szCs w:val="20"/>
              </w:rPr>
              <w:t>12mujor 2011</w:t>
            </w:r>
          </w:p>
        </w:tc>
        <w:tc>
          <w:tcPr>
            <w:tcW w:w="0" w:type="auto"/>
            <w:tcBorders>
              <w:top w:val="single" w:sz="12" w:space="0" w:color="000000"/>
              <w:left w:val="nil"/>
              <w:bottom w:val="single" w:sz="8" w:space="0" w:color="000000"/>
              <w:right w:val="nil"/>
            </w:tcBorders>
            <w:shd w:val="clear" w:color="auto" w:fill="800080"/>
            <w:vAlign w:val="center"/>
          </w:tcPr>
          <w:p w:rsidR="002032FB" w:rsidRPr="005535DE" w:rsidRDefault="002032FB" w:rsidP="005535DE">
            <w:pPr>
              <w:spacing w:before="0" w:after="0"/>
              <w:contextualSpacing/>
              <w:jc w:val="left"/>
              <w:rPr>
                <w:rFonts w:asciiTheme="minorHAnsi" w:hAnsiTheme="minorHAnsi"/>
                <w:b/>
                <w:bCs/>
                <w:color w:val="FFFFFF"/>
                <w:sz w:val="20"/>
                <w:szCs w:val="20"/>
              </w:rPr>
            </w:pPr>
            <w:r w:rsidRPr="005535DE">
              <w:rPr>
                <w:rFonts w:asciiTheme="minorHAnsi" w:hAnsiTheme="minorHAnsi"/>
                <w:b/>
                <w:bCs/>
                <w:color w:val="FFFFFF"/>
                <w:sz w:val="20"/>
                <w:szCs w:val="20"/>
              </w:rPr>
              <w:t>12mujor 2012</w:t>
            </w:r>
          </w:p>
        </w:tc>
        <w:tc>
          <w:tcPr>
            <w:tcW w:w="0" w:type="auto"/>
            <w:tcBorders>
              <w:top w:val="single" w:sz="12" w:space="0" w:color="000000"/>
              <w:left w:val="nil"/>
              <w:bottom w:val="single" w:sz="8" w:space="0" w:color="000000"/>
              <w:right w:val="nil"/>
            </w:tcBorders>
            <w:shd w:val="clear" w:color="auto" w:fill="800080"/>
            <w:vAlign w:val="center"/>
          </w:tcPr>
          <w:p w:rsidR="002032FB" w:rsidRPr="005535DE" w:rsidRDefault="002032FB" w:rsidP="005535DE">
            <w:pPr>
              <w:spacing w:before="0" w:after="0"/>
              <w:contextualSpacing/>
              <w:jc w:val="left"/>
              <w:rPr>
                <w:rFonts w:asciiTheme="minorHAnsi" w:hAnsiTheme="minorHAnsi"/>
                <w:b/>
                <w:bCs/>
                <w:color w:val="FFFFFF"/>
                <w:sz w:val="20"/>
                <w:szCs w:val="20"/>
              </w:rPr>
            </w:pPr>
            <w:r w:rsidRPr="005535DE">
              <w:rPr>
                <w:rFonts w:asciiTheme="minorHAnsi" w:hAnsiTheme="minorHAnsi"/>
                <w:b/>
                <w:bCs/>
                <w:color w:val="FFFFFF"/>
                <w:sz w:val="20"/>
                <w:szCs w:val="20"/>
              </w:rPr>
              <w:t xml:space="preserve">Ndryshimi </w:t>
            </w:r>
          </w:p>
        </w:tc>
        <w:tc>
          <w:tcPr>
            <w:tcW w:w="0" w:type="auto"/>
            <w:tcBorders>
              <w:top w:val="single" w:sz="12" w:space="0" w:color="000000"/>
              <w:left w:val="nil"/>
              <w:bottom w:val="single" w:sz="8" w:space="0" w:color="000000"/>
              <w:right w:val="nil"/>
            </w:tcBorders>
            <w:shd w:val="clear" w:color="auto" w:fill="800080"/>
            <w:vAlign w:val="center"/>
          </w:tcPr>
          <w:p w:rsidR="002032FB" w:rsidRPr="005535DE" w:rsidRDefault="002032FB" w:rsidP="005535DE">
            <w:pPr>
              <w:spacing w:before="0" w:after="0"/>
              <w:contextualSpacing/>
              <w:jc w:val="left"/>
              <w:rPr>
                <w:rFonts w:asciiTheme="minorHAnsi" w:hAnsiTheme="minorHAnsi"/>
                <w:b/>
                <w:bCs/>
                <w:color w:val="FFFFFF"/>
                <w:sz w:val="20"/>
                <w:szCs w:val="20"/>
              </w:rPr>
            </w:pPr>
            <w:r w:rsidRPr="005535DE">
              <w:rPr>
                <w:rFonts w:asciiTheme="minorHAnsi" w:hAnsiTheme="minorHAnsi"/>
                <w:b/>
                <w:bCs/>
                <w:color w:val="FFFFFF"/>
                <w:sz w:val="20"/>
                <w:szCs w:val="20"/>
              </w:rPr>
              <w:t xml:space="preserve">Subjekte pagues 2011 </w:t>
            </w:r>
          </w:p>
        </w:tc>
        <w:tc>
          <w:tcPr>
            <w:tcW w:w="0" w:type="auto"/>
            <w:tcBorders>
              <w:top w:val="single" w:sz="12" w:space="0" w:color="000000"/>
              <w:left w:val="nil"/>
              <w:bottom w:val="single" w:sz="8" w:space="0" w:color="000000"/>
              <w:right w:val="nil"/>
            </w:tcBorders>
            <w:shd w:val="clear" w:color="auto" w:fill="800080"/>
            <w:vAlign w:val="center"/>
          </w:tcPr>
          <w:p w:rsidR="002032FB" w:rsidRPr="005535DE" w:rsidRDefault="002032FB" w:rsidP="005535DE">
            <w:pPr>
              <w:spacing w:before="0" w:after="0"/>
              <w:contextualSpacing/>
              <w:jc w:val="left"/>
              <w:rPr>
                <w:rFonts w:asciiTheme="minorHAnsi" w:hAnsiTheme="minorHAnsi"/>
                <w:b/>
                <w:bCs/>
                <w:color w:val="FFFFFF"/>
                <w:sz w:val="20"/>
                <w:szCs w:val="20"/>
              </w:rPr>
            </w:pPr>
            <w:r w:rsidRPr="005535DE">
              <w:rPr>
                <w:rFonts w:asciiTheme="minorHAnsi" w:hAnsiTheme="minorHAnsi"/>
                <w:b/>
                <w:bCs/>
                <w:color w:val="FFFFFF"/>
                <w:sz w:val="20"/>
                <w:szCs w:val="20"/>
              </w:rPr>
              <w:t>Subjekte pagues 2012</w:t>
            </w:r>
          </w:p>
        </w:tc>
        <w:tc>
          <w:tcPr>
            <w:tcW w:w="0" w:type="auto"/>
            <w:tcBorders>
              <w:top w:val="single" w:sz="12" w:space="0" w:color="000000"/>
              <w:left w:val="nil"/>
              <w:bottom w:val="single" w:sz="8" w:space="0" w:color="000000"/>
              <w:right w:val="nil"/>
            </w:tcBorders>
            <w:shd w:val="clear" w:color="auto" w:fill="800080"/>
            <w:vAlign w:val="center"/>
          </w:tcPr>
          <w:p w:rsidR="002032FB" w:rsidRPr="005535DE" w:rsidRDefault="002032FB" w:rsidP="005535DE">
            <w:pPr>
              <w:spacing w:before="0" w:after="0"/>
              <w:contextualSpacing/>
              <w:jc w:val="left"/>
              <w:rPr>
                <w:rFonts w:asciiTheme="minorHAnsi" w:hAnsiTheme="minorHAnsi"/>
                <w:b/>
                <w:bCs/>
                <w:color w:val="FFFFFF"/>
                <w:sz w:val="20"/>
                <w:szCs w:val="20"/>
              </w:rPr>
            </w:pPr>
            <w:r w:rsidRPr="005535DE">
              <w:rPr>
                <w:rFonts w:asciiTheme="minorHAnsi" w:hAnsiTheme="minorHAnsi"/>
                <w:b/>
                <w:bCs/>
                <w:color w:val="FFFFFF"/>
                <w:sz w:val="20"/>
                <w:szCs w:val="20"/>
              </w:rPr>
              <w:t xml:space="preserve">Ndryshimi </w:t>
            </w:r>
          </w:p>
        </w:tc>
      </w:tr>
      <w:tr w:rsidR="002032FB" w:rsidRPr="005535DE" w:rsidTr="00E04CC4">
        <w:trPr>
          <w:trHeight w:val="20"/>
        </w:trPr>
        <w:tc>
          <w:tcPr>
            <w:tcW w:w="0" w:type="auto"/>
            <w:tcBorders>
              <w:top w:val="nil"/>
              <w:left w:val="nil"/>
              <w:bottom w:val="nil"/>
              <w:right w:val="nil"/>
            </w:tcBorders>
            <w:shd w:val="clear" w:color="auto" w:fill="C0C0C0"/>
            <w:noWrap/>
          </w:tcPr>
          <w:p w:rsidR="002032FB" w:rsidRPr="005535DE" w:rsidRDefault="002032FB" w:rsidP="005535DE">
            <w:pPr>
              <w:spacing w:before="0" w:after="0"/>
              <w:contextualSpacing/>
              <w:jc w:val="left"/>
              <w:rPr>
                <w:rFonts w:asciiTheme="minorHAnsi" w:hAnsiTheme="minorHAnsi" w:cs="Times New Roman"/>
                <w:b/>
                <w:bCs/>
                <w:color w:val="000000"/>
                <w:sz w:val="20"/>
                <w:szCs w:val="20"/>
              </w:rPr>
            </w:pPr>
            <w:r w:rsidRPr="005535DE">
              <w:rPr>
                <w:rFonts w:asciiTheme="minorHAnsi" w:hAnsiTheme="minorHAnsi" w:cs="Times New Roman"/>
                <w:b/>
                <w:bCs/>
                <w:color w:val="000000"/>
                <w:sz w:val="20"/>
                <w:szCs w:val="20"/>
              </w:rPr>
              <w:t> </w:t>
            </w:r>
          </w:p>
        </w:tc>
        <w:tc>
          <w:tcPr>
            <w:tcW w:w="0" w:type="auto"/>
            <w:tcBorders>
              <w:top w:val="nil"/>
              <w:left w:val="nil"/>
              <w:bottom w:val="nil"/>
              <w:right w:val="nil"/>
            </w:tcBorders>
            <w:noWrap/>
            <w:vAlign w:val="center"/>
          </w:tcPr>
          <w:p w:rsidR="002032FB" w:rsidRPr="005535DE" w:rsidRDefault="002032FB" w:rsidP="005535DE">
            <w:pPr>
              <w:spacing w:before="0" w:after="0"/>
              <w:contextualSpacing/>
              <w:jc w:val="left"/>
              <w:rPr>
                <w:rFonts w:asciiTheme="minorHAnsi" w:hAnsiTheme="minorHAnsi"/>
                <w:i/>
                <w:iCs/>
                <w:color w:val="000000"/>
                <w:sz w:val="20"/>
                <w:szCs w:val="20"/>
              </w:rPr>
            </w:pPr>
            <w:r w:rsidRPr="005535DE">
              <w:rPr>
                <w:rFonts w:asciiTheme="minorHAnsi" w:hAnsiTheme="minorHAnsi"/>
                <w:i/>
                <w:iCs/>
                <w:color w:val="000000"/>
                <w:sz w:val="20"/>
                <w:szCs w:val="20"/>
              </w:rPr>
              <w:t>(mln leke)</w:t>
            </w:r>
          </w:p>
        </w:tc>
        <w:tc>
          <w:tcPr>
            <w:tcW w:w="0" w:type="auto"/>
            <w:tcBorders>
              <w:top w:val="nil"/>
              <w:left w:val="nil"/>
              <w:bottom w:val="nil"/>
              <w:right w:val="nil"/>
            </w:tcBorders>
            <w:noWrap/>
            <w:vAlign w:val="center"/>
          </w:tcPr>
          <w:p w:rsidR="002032FB" w:rsidRPr="005535DE" w:rsidRDefault="002032FB" w:rsidP="005535DE">
            <w:pPr>
              <w:spacing w:before="0" w:after="0"/>
              <w:contextualSpacing/>
              <w:jc w:val="left"/>
              <w:rPr>
                <w:rFonts w:asciiTheme="minorHAnsi" w:hAnsiTheme="minorHAnsi"/>
                <w:b/>
                <w:bCs/>
                <w:i/>
                <w:iCs/>
                <w:color w:val="000000"/>
                <w:sz w:val="20"/>
                <w:szCs w:val="20"/>
              </w:rPr>
            </w:pPr>
            <w:r w:rsidRPr="005535DE">
              <w:rPr>
                <w:rFonts w:asciiTheme="minorHAnsi" w:hAnsiTheme="minorHAnsi"/>
                <w:b/>
                <w:bCs/>
                <w:i/>
                <w:iCs/>
                <w:color w:val="000000"/>
                <w:sz w:val="20"/>
                <w:szCs w:val="20"/>
              </w:rPr>
              <w:t>(mln leke)</w:t>
            </w:r>
          </w:p>
        </w:tc>
        <w:tc>
          <w:tcPr>
            <w:tcW w:w="0" w:type="auto"/>
            <w:tcBorders>
              <w:top w:val="nil"/>
              <w:left w:val="nil"/>
              <w:bottom w:val="nil"/>
              <w:right w:val="nil"/>
            </w:tcBorders>
            <w:noWrap/>
            <w:vAlign w:val="center"/>
          </w:tcPr>
          <w:p w:rsidR="002032FB" w:rsidRPr="005535DE" w:rsidRDefault="002032FB" w:rsidP="005535DE">
            <w:pPr>
              <w:spacing w:before="0" w:after="0"/>
              <w:contextualSpacing/>
              <w:jc w:val="left"/>
              <w:rPr>
                <w:rFonts w:asciiTheme="minorHAnsi" w:hAnsiTheme="minorHAnsi"/>
                <w:i/>
                <w:iCs/>
                <w:color w:val="000000"/>
                <w:sz w:val="20"/>
                <w:szCs w:val="20"/>
              </w:rPr>
            </w:pPr>
            <w:r w:rsidRPr="005535DE">
              <w:rPr>
                <w:rFonts w:asciiTheme="minorHAnsi" w:hAnsiTheme="minorHAnsi"/>
                <w:i/>
                <w:iCs/>
                <w:color w:val="000000"/>
                <w:sz w:val="20"/>
                <w:szCs w:val="20"/>
              </w:rPr>
              <w:t>ne %</w:t>
            </w:r>
          </w:p>
        </w:tc>
        <w:tc>
          <w:tcPr>
            <w:tcW w:w="0" w:type="auto"/>
            <w:tcBorders>
              <w:top w:val="nil"/>
              <w:left w:val="nil"/>
              <w:bottom w:val="nil"/>
              <w:right w:val="nil"/>
            </w:tcBorders>
            <w:noWrap/>
          </w:tcPr>
          <w:p w:rsidR="002032FB" w:rsidRPr="005535DE" w:rsidRDefault="002032FB" w:rsidP="005535DE">
            <w:pPr>
              <w:spacing w:before="0" w:after="0"/>
              <w:contextualSpacing/>
              <w:jc w:val="left"/>
              <w:rPr>
                <w:rFonts w:asciiTheme="minorHAnsi" w:hAnsiTheme="minorHAnsi"/>
                <w:i/>
                <w:iCs/>
                <w:color w:val="000000"/>
                <w:sz w:val="20"/>
                <w:szCs w:val="20"/>
              </w:rPr>
            </w:pPr>
            <w:r w:rsidRPr="005535DE">
              <w:rPr>
                <w:rFonts w:asciiTheme="minorHAnsi" w:hAnsiTheme="minorHAnsi"/>
                <w:i/>
                <w:iCs/>
                <w:color w:val="000000"/>
                <w:sz w:val="20"/>
                <w:szCs w:val="20"/>
              </w:rPr>
              <w:t>numër</w:t>
            </w:r>
          </w:p>
        </w:tc>
        <w:tc>
          <w:tcPr>
            <w:tcW w:w="0" w:type="auto"/>
            <w:tcBorders>
              <w:top w:val="nil"/>
              <w:left w:val="nil"/>
              <w:bottom w:val="nil"/>
              <w:right w:val="nil"/>
            </w:tcBorders>
            <w:noWrap/>
            <w:vAlign w:val="center"/>
          </w:tcPr>
          <w:p w:rsidR="002032FB" w:rsidRPr="005535DE" w:rsidRDefault="002032FB" w:rsidP="005535DE">
            <w:pPr>
              <w:spacing w:before="0" w:after="0"/>
              <w:contextualSpacing/>
              <w:jc w:val="left"/>
              <w:rPr>
                <w:rFonts w:asciiTheme="minorHAnsi" w:hAnsiTheme="minorHAnsi"/>
                <w:b/>
                <w:bCs/>
                <w:i/>
                <w:iCs/>
                <w:color w:val="000000"/>
                <w:sz w:val="20"/>
                <w:szCs w:val="20"/>
              </w:rPr>
            </w:pPr>
            <w:r w:rsidRPr="005535DE">
              <w:rPr>
                <w:rFonts w:asciiTheme="minorHAnsi" w:hAnsiTheme="minorHAnsi"/>
                <w:b/>
                <w:bCs/>
                <w:i/>
                <w:iCs/>
                <w:color w:val="000000"/>
                <w:sz w:val="20"/>
                <w:szCs w:val="20"/>
              </w:rPr>
              <w:t>numër</w:t>
            </w:r>
          </w:p>
        </w:tc>
        <w:tc>
          <w:tcPr>
            <w:tcW w:w="0" w:type="auto"/>
            <w:tcBorders>
              <w:top w:val="nil"/>
              <w:left w:val="nil"/>
              <w:bottom w:val="nil"/>
              <w:right w:val="nil"/>
            </w:tcBorders>
            <w:noWrap/>
            <w:vAlign w:val="center"/>
          </w:tcPr>
          <w:p w:rsidR="002032FB" w:rsidRPr="005535DE" w:rsidRDefault="002032FB" w:rsidP="005535DE">
            <w:pPr>
              <w:spacing w:before="0" w:after="0"/>
              <w:contextualSpacing/>
              <w:jc w:val="left"/>
              <w:rPr>
                <w:rFonts w:asciiTheme="minorHAnsi" w:hAnsiTheme="minorHAnsi"/>
                <w:i/>
                <w:iCs/>
                <w:color w:val="000000"/>
                <w:sz w:val="20"/>
                <w:szCs w:val="20"/>
              </w:rPr>
            </w:pPr>
            <w:r w:rsidRPr="005535DE">
              <w:rPr>
                <w:rFonts w:asciiTheme="minorHAnsi" w:hAnsiTheme="minorHAnsi"/>
                <w:i/>
                <w:iCs/>
                <w:color w:val="000000"/>
                <w:sz w:val="20"/>
                <w:szCs w:val="20"/>
              </w:rPr>
              <w:t>ne %</w:t>
            </w:r>
          </w:p>
        </w:tc>
      </w:tr>
      <w:tr w:rsidR="002032FB" w:rsidRPr="005535DE" w:rsidTr="00E04CC4">
        <w:trPr>
          <w:trHeight w:val="20"/>
        </w:trPr>
        <w:tc>
          <w:tcPr>
            <w:tcW w:w="0" w:type="auto"/>
            <w:tcBorders>
              <w:top w:val="nil"/>
              <w:left w:val="nil"/>
              <w:bottom w:val="nil"/>
              <w:right w:val="nil"/>
            </w:tcBorders>
            <w:shd w:val="clear" w:color="auto" w:fill="C0C0C0"/>
            <w:noWrap/>
          </w:tcPr>
          <w:p w:rsidR="002032FB" w:rsidRPr="005535DE" w:rsidRDefault="002032FB" w:rsidP="005535DE">
            <w:pPr>
              <w:spacing w:before="0" w:after="0"/>
              <w:contextualSpacing/>
              <w:jc w:val="left"/>
              <w:rPr>
                <w:rFonts w:asciiTheme="minorHAnsi" w:hAnsiTheme="minorHAnsi" w:cs="Times New Roman"/>
                <w:b/>
                <w:bCs/>
                <w:sz w:val="20"/>
                <w:szCs w:val="20"/>
              </w:rPr>
            </w:pPr>
            <w:r w:rsidRPr="005535DE">
              <w:rPr>
                <w:rFonts w:asciiTheme="minorHAnsi" w:hAnsiTheme="minorHAnsi"/>
                <w:b/>
                <w:bCs/>
                <w:color w:val="000000"/>
                <w:sz w:val="20"/>
                <w:szCs w:val="20"/>
              </w:rPr>
              <w:t>Prodhim</w:t>
            </w:r>
          </w:p>
        </w:tc>
        <w:tc>
          <w:tcPr>
            <w:tcW w:w="0" w:type="auto"/>
            <w:tcBorders>
              <w:top w:val="nil"/>
              <w:left w:val="nil"/>
              <w:bottom w:val="nil"/>
              <w:right w:val="nil"/>
            </w:tcBorders>
            <w:noWrap/>
            <w:vAlign w:val="center"/>
          </w:tcPr>
          <w:p w:rsidR="002032FB" w:rsidRPr="005535DE" w:rsidRDefault="002032FB" w:rsidP="005535DE">
            <w:pPr>
              <w:spacing w:before="0" w:after="0"/>
              <w:contextualSpacing/>
              <w:jc w:val="left"/>
              <w:rPr>
                <w:rFonts w:asciiTheme="minorHAnsi" w:hAnsiTheme="minorHAnsi"/>
                <w:color w:val="000000"/>
                <w:sz w:val="20"/>
                <w:szCs w:val="20"/>
              </w:rPr>
            </w:pPr>
            <w:r w:rsidRPr="005535DE">
              <w:rPr>
                <w:rFonts w:asciiTheme="minorHAnsi" w:hAnsiTheme="minorHAnsi"/>
                <w:color w:val="000000"/>
                <w:sz w:val="20"/>
                <w:szCs w:val="20"/>
              </w:rPr>
              <w:t xml:space="preserve">5,174 </w:t>
            </w:r>
          </w:p>
        </w:tc>
        <w:tc>
          <w:tcPr>
            <w:tcW w:w="0" w:type="auto"/>
            <w:tcBorders>
              <w:top w:val="nil"/>
              <w:left w:val="nil"/>
              <w:bottom w:val="nil"/>
              <w:right w:val="nil"/>
            </w:tcBorders>
            <w:noWrap/>
            <w:vAlign w:val="center"/>
          </w:tcPr>
          <w:p w:rsidR="002032FB" w:rsidRPr="005535DE" w:rsidRDefault="002032FB" w:rsidP="005535DE">
            <w:pPr>
              <w:spacing w:before="0" w:after="0"/>
              <w:contextualSpacing/>
              <w:jc w:val="left"/>
              <w:rPr>
                <w:rFonts w:asciiTheme="minorHAnsi" w:hAnsiTheme="minorHAnsi"/>
                <w:color w:val="000000"/>
                <w:sz w:val="20"/>
                <w:szCs w:val="20"/>
              </w:rPr>
            </w:pPr>
            <w:r w:rsidRPr="005535DE">
              <w:rPr>
                <w:rFonts w:asciiTheme="minorHAnsi" w:hAnsiTheme="minorHAnsi"/>
                <w:color w:val="000000"/>
                <w:sz w:val="20"/>
                <w:szCs w:val="20"/>
              </w:rPr>
              <w:t xml:space="preserve">3,988 </w:t>
            </w:r>
          </w:p>
        </w:tc>
        <w:tc>
          <w:tcPr>
            <w:tcW w:w="0" w:type="auto"/>
            <w:tcBorders>
              <w:top w:val="nil"/>
              <w:left w:val="nil"/>
              <w:bottom w:val="nil"/>
              <w:right w:val="nil"/>
            </w:tcBorders>
            <w:noWrap/>
            <w:vAlign w:val="center"/>
          </w:tcPr>
          <w:p w:rsidR="002032FB" w:rsidRPr="005535DE" w:rsidRDefault="002032FB" w:rsidP="005535DE">
            <w:pPr>
              <w:spacing w:before="0" w:after="0"/>
              <w:contextualSpacing/>
              <w:jc w:val="left"/>
              <w:rPr>
                <w:rFonts w:asciiTheme="minorHAnsi" w:hAnsiTheme="minorHAnsi" w:cs="Times New Roman"/>
                <w:color w:val="000000"/>
                <w:sz w:val="20"/>
                <w:szCs w:val="20"/>
              </w:rPr>
            </w:pPr>
            <w:r w:rsidRPr="005535DE">
              <w:rPr>
                <w:rFonts w:asciiTheme="minorHAnsi" w:hAnsiTheme="minorHAnsi"/>
                <w:color w:val="FF0000"/>
                <w:sz w:val="20"/>
                <w:szCs w:val="20"/>
              </w:rPr>
              <w:t>-22.9%</w:t>
            </w:r>
          </w:p>
        </w:tc>
        <w:tc>
          <w:tcPr>
            <w:tcW w:w="0" w:type="auto"/>
            <w:tcBorders>
              <w:top w:val="nil"/>
              <w:left w:val="nil"/>
              <w:bottom w:val="nil"/>
              <w:right w:val="nil"/>
            </w:tcBorders>
            <w:noWrap/>
            <w:vAlign w:val="center"/>
          </w:tcPr>
          <w:p w:rsidR="002032FB" w:rsidRPr="005535DE" w:rsidRDefault="002032FB" w:rsidP="005535DE">
            <w:pPr>
              <w:spacing w:before="0" w:after="0"/>
              <w:contextualSpacing/>
              <w:jc w:val="left"/>
              <w:rPr>
                <w:rFonts w:asciiTheme="minorHAnsi" w:hAnsiTheme="minorHAnsi" w:cs="Times New Roman"/>
                <w:color w:val="000000"/>
                <w:sz w:val="20"/>
                <w:szCs w:val="20"/>
              </w:rPr>
            </w:pPr>
            <w:r w:rsidRPr="005535DE">
              <w:rPr>
                <w:rFonts w:asciiTheme="minorHAnsi" w:hAnsiTheme="minorHAnsi"/>
                <w:color w:val="000000"/>
                <w:sz w:val="20"/>
                <w:szCs w:val="20"/>
              </w:rPr>
              <w:t>1,919</w:t>
            </w:r>
          </w:p>
        </w:tc>
        <w:tc>
          <w:tcPr>
            <w:tcW w:w="0" w:type="auto"/>
            <w:tcBorders>
              <w:top w:val="nil"/>
              <w:left w:val="nil"/>
              <w:bottom w:val="nil"/>
              <w:right w:val="nil"/>
            </w:tcBorders>
            <w:noWrap/>
            <w:vAlign w:val="center"/>
          </w:tcPr>
          <w:p w:rsidR="002032FB" w:rsidRPr="005535DE" w:rsidRDefault="002032FB" w:rsidP="005535DE">
            <w:pPr>
              <w:spacing w:before="0" w:after="0"/>
              <w:contextualSpacing/>
              <w:jc w:val="left"/>
              <w:rPr>
                <w:rFonts w:asciiTheme="minorHAnsi" w:hAnsiTheme="minorHAnsi" w:cs="Times New Roman"/>
                <w:color w:val="000000"/>
                <w:sz w:val="20"/>
                <w:szCs w:val="20"/>
              </w:rPr>
            </w:pPr>
            <w:r w:rsidRPr="005535DE">
              <w:rPr>
                <w:rFonts w:asciiTheme="minorHAnsi" w:hAnsiTheme="minorHAnsi"/>
                <w:color w:val="000000"/>
                <w:sz w:val="20"/>
                <w:szCs w:val="20"/>
              </w:rPr>
              <w:t>1,889</w:t>
            </w:r>
          </w:p>
        </w:tc>
        <w:tc>
          <w:tcPr>
            <w:tcW w:w="0" w:type="auto"/>
            <w:tcBorders>
              <w:top w:val="nil"/>
              <w:left w:val="nil"/>
              <w:bottom w:val="nil"/>
              <w:right w:val="nil"/>
            </w:tcBorders>
            <w:noWrap/>
            <w:vAlign w:val="center"/>
          </w:tcPr>
          <w:p w:rsidR="002032FB" w:rsidRPr="005535DE" w:rsidRDefault="002032FB" w:rsidP="005535DE">
            <w:pPr>
              <w:spacing w:before="0" w:after="0"/>
              <w:contextualSpacing/>
              <w:jc w:val="left"/>
              <w:rPr>
                <w:rFonts w:asciiTheme="minorHAnsi" w:hAnsiTheme="minorHAnsi"/>
                <w:color w:val="FF0000"/>
                <w:sz w:val="20"/>
                <w:szCs w:val="20"/>
              </w:rPr>
            </w:pPr>
            <w:r w:rsidRPr="005535DE">
              <w:rPr>
                <w:rFonts w:asciiTheme="minorHAnsi" w:hAnsiTheme="minorHAnsi"/>
                <w:color w:val="FF0000"/>
                <w:sz w:val="20"/>
                <w:szCs w:val="20"/>
              </w:rPr>
              <w:t>-1.6%</w:t>
            </w:r>
          </w:p>
        </w:tc>
      </w:tr>
      <w:tr w:rsidR="002032FB" w:rsidRPr="005535DE" w:rsidTr="00E04CC4">
        <w:trPr>
          <w:trHeight w:val="20"/>
        </w:trPr>
        <w:tc>
          <w:tcPr>
            <w:tcW w:w="0" w:type="auto"/>
            <w:tcBorders>
              <w:top w:val="nil"/>
              <w:left w:val="nil"/>
              <w:bottom w:val="nil"/>
              <w:right w:val="nil"/>
            </w:tcBorders>
            <w:shd w:val="clear" w:color="auto" w:fill="C0C0C0"/>
            <w:noWrap/>
            <w:vAlign w:val="center"/>
          </w:tcPr>
          <w:p w:rsidR="002032FB" w:rsidRPr="005535DE" w:rsidRDefault="002032FB" w:rsidP="005535DE">
            <w:pPr>
              <w:spacing w:before="0" w:after="0"/>
              <w:contextualSpacing/>
              <w:jc w:val="left"/>
              <w:rPr>
                <w:rFonts w:asciiTheme="minorHAnsi" w:hAnsiTheme="minorHAnsi"/>
                <w:b/>
                <w:bCs/>
                <w:color w:val="000000"/>
                <w:sz w:val="20"/>
                <w:szCs w:val="20"/>
              </w:rPr>
            </w:pPr>
            <w:r w:rsidRPr="005535DE">
              <w:rPr>
                <w:rFonts w:asciiTheme="minorHAnsi" w:hAnsiTheme="minorHAnsi"/>
                <w:b/>
                <w:bCs/>
                <w:color w:val="000000"/>
                <w:sz w:val="20"/>
                <w:szCs w:val="20"/>
              </w:rPr>
              <w:t>Ndërtim</w:t>
            </w:r>
          </w:p>
        </w:tc>
        <w:tc>
          <w:tcPr>
            <w:tcW w:w="0" w:type="auto"/>
            <w:tcBorders>
              <w:top w:val="nil"/>
              <w:left w:val="nil"/>
              <w:bottom w:val="nil"/>
              <w:right w:val="nil"/>
            </w:tcBorders>
            <w:noWrap/>
            <w:vAlign w:val="center"/>
          </w:tcPr>
          <w:p w:rsidR="002032FB" w:rsidRPr="005535DE" w:rsidRDefault="002032FB" w:rsidP="005535DE">
            <w:pPr>
              <w:spacing w:before="0" w:after="0"/>
              <w:contextualSpacing/>
              <w:jc w:val="left"/>
              <w:rPr>
                <w:rFonts w:asciiTheme="minorHAnsi" w:hAnsiTheme="minorHAnsi" w:cs="Times New Roman"/>
                <w:color w:val="000000"/>
                <w:sz w:val="20"/>
                <w:szCs w:val="20"/>
              </w:rPr>
            </w:pPr>
            <w:r w:rsidRPr="005535DE">
              <w:rPr>
                <w:rFonts w:asciiTheme="minorHAnsi" w:hAnsiTheme="minorHAnsi"/>
                <w:color w:val="000000"/>
                <w:sz w:val="20"/>
                <w:szCs w:val="20"/>
              </w:rPr>
              <w:t>2,860</w:t>
            </w:r>
          </w:p>
        </w:tc>
        <w:tc>
          <w:tcPr>
            <w:tcW w:w="0" w:type="auto"/>
            <w:tcBorders>
              <w:top w:val="nil"/>
              <w:left w:val="nil"/>
              <w:bottom w:val="nil"/>
              <w:right w:val="nil"/>
            </w:tcBorders>
            <w:noWrap/>
            <w:vAlign w:val="center"/>
          </w:tcPr>
          <w:p w:rsidR="002032FB" w:rsidRPr="005535DE" w:rsidRDefault="002032FB" w:rsidP="005535DE">
            <w:pPr>
              <w:spacing w:before="0" w:after="0"/>
              <w:contextualSpacing/>
              <w:jc w:val="left"/>
              <w:rPr>
                <w:rFonts w:asciiTheme="minorHAnsi" w:hAnsiTheme="minorHAnsi"/>
                <w:color w:val="000000"/>
                <w:sz w:val="20"/>
                <w:szCs w:val="20"/>
              </w:rPr>
            </w:pPr>
            <w:r w:rsidRPr="005535DE">
              <w:rPr>
                <w:rFonts w:asciiTheme="minorHAnsi" w:hAnsiTheme="minorHAnsi"/>
                <w:color w:val="000000"/>
                <w:sz w:val="20"/>
                <w:szCs w:val="20"/>
              </w:rPr>
              <w:t xml:space="preserve">2,247 </w:t>
            </w:r>
          </w:p>
        </w:tc>
        <w:tc>
          <w:tcPr>
            <w:tcW w:w="0" w:type="auto"/>
            <w:tcBorders>
              <w:top w:val="nil"/>
              <w:left w:val="nil"/>
              <w:bottom w:val="nil"/>
              <w:right w:val="nil"/>
            </w:tcBorders>
            <w:noWrap/>
            <w:vAlign w:val="center"/>
          </w:tcPr>
          <w:p w:rsidR="002032FB" w:rsidRPr="005535DE" w:rsidRDefault="002032FB" w:rsidP="005535DE">
            <w:pPr>
              <w:spacing w:before="0" w:after="0"/>
              <w:contextualSpacing/>
              <w:jc w:val="left"/>
              <w:rPr>
                <w:rFonts w:asciiTheme="minorHAnsi" w:hAnsiTheme="minorHAnsi" w:cs="Times New Roman"/>
                <w:color w:val="000000"/>
                <w:sz w:val="20"/>
                <w:szCs w:val="20"/>
              </w:rPr>
            </w:pPr>
            <w:r w:rsidRPr="005535DE">
              <w:rPr>
                <w:rFonts w:asciiTheme="minorHAnsi" w:hAnsiTheme="minorHAnsi"/>
                <w:color w:val="FF0000"/>
                <w:sz w:val="20"/>
                <w:szCs w:val="20"/>
              </w:rPr>
              <w:t>-21.4%</w:t>
            </w:r>
          </w:p>
        </w:tc>
        <w:tc>
          <w:tcPr>
            <w:tcW w:w="0" w:type="auto"/>
            <w:tcBorders>
              <w:top w:val="nil"/>
              <w:left w:val="nil"/>
              <w:bottom w:val="nil"/>
              <w:right w:val="nil"/>
            </w:tcBorders>
            <w:noWrap/>
            <w:vAlign w:val="center"/>
          </w:tcPr>
          <w:p w:rsidR="002032FB" w:rsidRPr="005535DE" w:rsidRDefault="002032FB" w:rsidP="005535DE">
            <w:pPr>
              <w:spacing w:before="0" w:after="0"/>
              <w:contextualSpacing/>
              <w:jc w:val="left"/>
              <w:rPr>
                <w:rFonts w:asciiTheme="minorHAnsi" w:hAnsiTheme="minorHAnsi"/>
                <w:color w:val="000000"/>
                <w:sz w:val="20"/>
                <w:szCs w:val="20"/>
              </w:rPr>
            </w:pPr>
            <w:r w:rsidRPr="005535DE">
              <w:rPr>
                <w:rFonts w:asciiTheme="minorHAnsi" w:hAnsiTheme="minorHAnsi"/>
                <w:color w:val="000000"/>
                <w:sz w:val="20"/>
                <w:szCs w:val="20"/>
              </w:rPr>
              <w:t xml:space="preserve">1,943 </w:t>
            </w:r>
          </w:p>
        </w:tc>
        <w:tc>
          <w:tcPr>
            <w:tcW w:w="0" w:type="auto"/>
            <w:tcBorders>
              <w:top w:val="nil"/>
              <w:left w:val="nil"/>
              <w:bottom w:val="nil"/>
              <w:right w:val="nil"/>
            </w:tcBorders>
            <w:noWrap/>
            <w:vAlign w:val="center"/>
          </w:tcPr>
          <w:p w:rsidR="002032FB" w:rsidRPr="005535DE" w:rsidRDefault="002032FB" w:rsidP="005535DE">
            <w:pPr>
              <w:spacing w:before="0" w:after="0"/>
              <w:contextualSpacing/>
              <w:jc w:val="left"/>
              <w:rPr>
                <w:rFonts w:asciiTheme="minorHAnsi" w:hAnsiTheme="minorHAnsi"/>
                <w:color w:val="000000"/>
                <w:sz w:val="20"/>
                <w:szCs w:val="20"/>
              </w:rPr>
            </w:pPr>
            <w:r w:rsidRPr="005535DE">
              <w:rPr>
                <w:rFonts w:asciiTheme="minorHAnsi" w:hAnsiTheme="minorHAnsi"/>
                <w:color w:val="000000"/>
                <w:sz w:val="20"/>
                <w:szCs w:val="20"/>
              </w:rPr>
              <w:t xml:space="preserve">1,820 </w:t>
            </w:r>
          </w:p>
        </w:tc>
        <w:tc>
          <w:tcPr>
            <w:tcW w:w="0" w:type="auto"/>
            <w:tcBorders>
              <w:top w:val="nil"/>
              <w:left w:val="nil"/>
              <w:bottom w:val="nil"/>
              <w:right w:val="nil"/>
            </w:tcBorders>
            <w:noWrap/>
            <w:vAlign w:val="center"/>
          </w:tcPr>
          <w:p w:rsidR="002032FB" w:rsidRPr="005535DE" w:rsidRDefault="002032FB" w:rsidP="005535DE">
            <w:pPr>
              <w:spacing w:before="0" w:after="0"/>
              <w:contextualSpacing/>
              <w:jc w:val="left"/>
              <w:rPr>
                <w:rFonts w:asciiTheme="minorHAnsi" w:hAnsiTheme="minorHAnsi"/>
                <w:color w:val="FF0000"/>
                <w:sz w:val="20"/>
                <w:szCs w:val="20"/>
              </w:rPr>
            </w:pPr>
            <w:r w:rsidRPr="005535DE">
              <w:rPr>
                <w:rFonts w:asciiTheme="minorHAnsi" w:hAnsiTheme="minorHAnsi"/>
                <w:color w:val="FF0000"/>
                <w:sz w:val="20"/>
                <w:szCs w:val="20"/>
              </w:rPr>
              <w:t>-6.3%</w:t>
            </w:r>
          </w:p>
        </w:tc>
      </w:tr>
      <w:tr w:rsidR="002032FB" w:rsidRPr="005535DE" w:rsidTr="00E04CC4">
        <w:trPr>
          <w:trHeight w:val="20"/>
        </w:trPr>
        <w:tc>
          <w:tcPr>
            <w:tcW w:w="0" w:type="auto"/>
            <w:tcBorders>
              <w:top w:val="nil"/>
              <w:left w:val="nil"/>
              <w:bottom w:val="nil"/>
              <w:right w:val="nil"/>
            </w:tcBorders>
            <w:shd w:val="clear" w:color="auto" w:fill="C0C0C0"/>
            <w:noWrap/>
          </w:tcPr>
          <w:p w:rsidR="002032FB" w:rsidRPr="005535DE" w:rsidRDefault="002032FB" w:rsidP="005535DE">
            <w:pPr>
              <w:spacing w:before="0" w:after="0"/>
              <w:contextualSpacing/>
              <w:jc w:val="left"/>
              <w:rPr>
                <w:rFonts w:asciiTheme="minorHAnsi" w:hAnsiTheme="minorHAnsi"/>
                <w:b/>
                <w:bCs/>
                <w:color w:val="000000"/>
                <w:sz w:val="20"/>
                <w:szCs w:val="20"/>
              </w:rPr>
            </w:pPr>
            <w:r w:rsidRPr="005535DE">
              <w:rPr>
                <w:rFonts w:asciiTheme="minorHAnsi" w:hAnsiTheme="minorHAnsi"/>
                <w:b/>
                <w:bCs/>
                <w:color w:val="000000"/>
                <w:sz w:val="20"/>
                <w:szCs w:val="20"/>
              </w:rPr>
              <w:t>Transport</w:t>
            </w:r>
          </w:p>
        </w:tc>
        <w:tc>
          <w:tcPr>
            <w:tcW w:w="0" w:type="auto"/>
            <w:tcBorders>
              <w:top w:val="nil"/>
              <w:left w:val="nil"/>
              <w:bottom w:val="nil"/>
              <w:right w:val="nil"/>
            </w:tcBorders>
            <w:noWrap/>
            <w:vAlign w:val="center"/>
          </w:tcPr>
          <w:p w:rsidR="002032FB" w:rsidRPr="005535DE" w:rsidRDefault="002032FB" w:rsidP="005535DE">
            <w:pPr>
              <w:spacing w:before="0" w:after="0"/>
              <w:contextualSpacing/>
              <w:jc w:val="left"/>
              <w:rPr>
                <w:rFonts w:asciiTheme="minorHAnsi" w:hAnsiTheme="minorHAnsi" w:cs="Times New Roman"/>
                <w:color w:val="000000"/>
                <w:sz w:val="20"/>
                <w:szCs w:val="20"/>
              </w:rPr>
            </w:pPr>
            <w:r w:rsidRPr="005535DE">
              <w:rPr>
                <w:rFonts w:asciiTheme="minorHAnsi" w:hAnsiTheme="minorHAnsi"/>
                <w:color w:val="000000"/>
                <w:sz w:val="20"/>
                <w:szCs w:val="20"/>
              </w:rPr>
              <w:t>381</w:t>
            </w:r>
          </w:p>
        </w:tc>
        <w:tc>
          <w:tcPr>
            <w:tcW w:w="0" w:type="auto"/>
            <w:tcBorders>
              <w:top w:val="nil"/>
              <w:left w:val="nil"/>
              <w:bottom w:val="nil"/>
              <w:right w:val="nil"/>
            </w:tcBorders>
            <w:noWrap/>
            <w:vAlign w:val="center"/>
          </w:tcPr>
          <w:p w:rsidR="002032FB" w:rsidRPr="005535DE" w:rsidRDefault="002032FB" w:rsidP="005535DE">
            <w:pPr>
              <w:spacing w:before="0" w:after="0"/>
              <w:contextualSpacing/>
              <w:jc w:val="left"/>
              <w:rPr>
                <w:rFonts w:asciiTheme="minorHAnsi" w:hAnsiTheme="minorHAnsi" w:cs="Times New Roman"/>
                <w:color w:val="000000"/>
                <w:sz w:val="20"/>
                <w:szCs w:val="20"/>
              </w:rPr>
            </w:pPr>
            <w:r w:rsidRPr="005535DE">
              <w:rPr>
                <w:rFonts w:asciiTheme="minorHAnsi" w:hAnsiTheme="minorHAnsi"/>
                <w:color w:val="000000"/>
                <w:sz w:val="20"/>
                <w:szCs w:val="20"/>
              </w:rPr>
              <w:t>332</w:t>
            </w:r>
          </w:p>
        </w:tc>
        <w:tc>
          <w:tcPr>
            <w:tcW w:w="0" w:type="auto"/>
            <w:tcBorders>
              <w:top w:val="nil"/>
              <w:left w:val="nil"/>
              <w:bottom w:val="nil"/>
              <w:right w:val="nil"/>
            </w:tcBorders>
            <w:noWrap/>
            <w:vAlign w:val="center"/>
          </w:tcPr>
          <w:p w:rsidR="002032FB" w:rsidRPr="005535DE" w:rsidRDefault="002032FB" w:rsidP="005535DE">
            <w:pPr>
              <w:spacing w:before="0" w:after="0"/>
              <w:contextualSpacing/>
              <w:jc w:val="left"/>
              <w:rPr>
                <w:rFonts w:asciiTheme="minorHAnsi" w:hAnsiTheme="minorHAnsi" w:cs="Times New Roman"/>
                <w:color w:val="000000"/>
                <w:sz w:val="20"/>
                <w:szCs w:val="20"/>
              </w:rPr>
            </w:pPr>
            <w:r w:rsidRPr="005535DE">
              <w:rPr>
                <w:rFonts w:asciiTheme="minorHAnsi" w:hAnsiTheme="minorHAnsi"/>
                <w:color w:val="FF0000"/>
                <w:sz w:val="20"/>
                <w:szCs w:val="20"/>
              </w:rPr>
              <w:t>-12.9%</w:t>
            </w:r>
          </w:p>
        </w:tc>
        <w:tc>
          <w:tcPr>
            <w:tcW w:w="0" w:type="auto"/>
            <w:tcBorders>
              <w:top w:val="nil"/>
              <w:left w:val="nil"/>
              <w:bottom w:val="nil"/>
              <w:right w:val="nil"/>
            </w:tcBorders>
            <w:noWrap/>
            <w:vAlign w:val="center"/>
          </w:tcPr>
          <w:p w:rsidR="002032FB" w:rsidRPr="005535DE" w:rsidRDefault="002032FB" w:rsidP="005535DE">
            <w:pPr>
              <w:spacing w:before="0" w:after="0"/>
              <w:contextualSpacing/>
              <w:jc w:val="left"/>
              <w:rPr>
                <w:rFonts w:asciiTheme="minorHAnsi" w:hAnsiTheme="minorHAnsi" w:cs="Times New Roman"/>
                <w:color w:val="000000"/>
                <w:sz w:val="20"/>
                <w:szCs w:val="20"/>
              </w:rPr>
            </w:pPr>
            <w:r w:rsidRPr="005535DE">
              <w:rPr>
                <w:rFonts w:asciiTheme="minorHAnsi" w:hAnsiTheme="minorHAnsi"/>
                <w:color w:val="000000"/>
                <w:sz w:val="20"/>
                <w:szCs w:val="20"/>
              </w:rPr>
              <w:t>459</w:t>
            </w:r>
          </w:p>
        </w:tc>
        <w:tc>
          <w:tcPr>
            <w:tcW w:w="0" w:type="auto"/>
            <w:tcBorders>
              <w:top w:val="nil"/>
              <w:left w:val="nil"/>
              <w:bottom w:val="nil"/>
              <w:right w:val="nil"/>
            </w:tcBorders>
            <w:noWrap/>
            <w:vAlign w:val="center"/>
          </w:tcPr>
          <w:p w:rsidR="002032FB" w:rsidRPr="005535DE" w:rsidRDefault="002032FB" w:rsidP="005535DE">
            <w:pPr>
              <w:spacing w:before="0" w:after="0"/>
              <w:contextualSpacing/>
              <w:jc w:val="left"/>
              <w:rPr>
                <w:rFonts w:asciiTheme="minorHAnsi" w:hAnsiTheme="minorHAnsi"/>
                <w:color w:val="000000"/>
                <w:sz w:val="20"/>
                <w:szCs w:val="20"/>
              </w:rPr>
            </w:pPr>
            <w:r w:rsidRPr="005535DE">
              <w:rPr>
                <w:rFonts w:asciiTheme="minorHAnsi" w:hAnsiTheme="minorHAnsi"/>
                <w:color w:val="000000"/>
                <w:sz w:val="20"/>
                <w:szCs w:val="20"/>
              </w:rPr>
              <w:t xml:space="preserve">484 </w:t>
            </w:r>
          </w:p>
        </w:tc>
        <w:tc>
          <w:tcPr>
            <w:tcW w:w="0" w:type="auto"/>
            <w:tcBorders>
              <w:top w:val="nil"/>
              <w:left w:val="nil"/>
              <w:bottom w:val="nil"/>
              <w:right w:val="nil"/>
            </w:tcBorders>
            <w:noWrap/>
            <w:vAlign w:val="center"/>
          </w:tcPr>
          <w:p w:rsidR="002032FB" w:rsidRPr="005535DE" w:rsidRDefault="002032FB" w:rsidP="005535DE">
            <w:pPr>
              <w:spacing w:before="0" w:after="0"/>
              <w:contextualSpacing/>
              <w:jc w:val="left"/>
              <w:rPr>
                <w:rFonts w:asciiTheme="minorHAnsi" w:hAnsiTheme="minorHAnsi"/>
                <w:sz w:val="20"/>
                <w:szCs w:val="20"/>
              </w:rPr>
            </w:pPr>
            <w:r w:rsidRPr="005535DE">
              <w:rPr>
                <w:rFonts w:asciiTheme="minorHAnsi" w:hAnsiTheme="minorHAnsi"/>
                <w:sz w:val="20"/>
                <w:szCs w:val="20"/>
              </w:rPr>
              <w:t>5.4%</w:t>
            </w:r>
          </w:p>
        </w:tc>
      </w:tr>
      <w:tr w:rsidR="002032FB" w:rsidRPr="005535DE" w:rsidTr="00E04CC4">
        <w:trPr>
          <w:trHeight w:val="20"/>
        </w:trPr>
        <w:tc>
          <w:tcPr>
            <w:tcW w:w="0" w:type="auto"/>
            <w:tcBorders>
              <w:top w:val="nil"/>
              <w:left w:val="nil"/>
              <w:bottom w:val="nil"/>
              <w:right w:val="nil"/>
            </w:tcBorders>
            <w:shd w:val="clear" w:color="auto" w:fill="C0C0C0"/>
            <w:noWrap/>
          </w:tcPr>
          <w:p w:rsidR="002032FB" w:rsidRPr="005535DE" w:rsidRDefault="002032FB" w:rsidP="005535DE">
            <w:pPr>
              <w:spacing w:before="0" w:after="0"/>
              <w:contextualSpacing/>
              <w:jc w:val="left"/>
              <w:rPr>
                <w:rFonts w:asciiTheme="minorHAnsi" w:hAnsiTheme="minorHAnsi"/>
                <w:b/>
                <w:bCs/>
                <w:color w:val="000000"/>
                <w:sz w:val="20"/>
                <w:szCs w:val="20"/>
              </w:rPr>
            </w:pPr>
            <w:r w:rsidRPr="005535DE">
              <w:rPr>
                <w:rFonts w:asciiTheme="minorHAnsi" w:hAnsiTheme="minorHAnsi"/>
                <w:b/>
                <w:bCs/>
                <w:color w:val="000000"/>
                <w:sz w:val="20"/>
                <w:szCs w:val="20"/>
              </w:rPr>
              <w:t>Tregti</w:t>
            </w:r>
          </w:p>
        </w:tc>
        <w:tc>
          <w:tcPr>
            <w:tcW w:w="0" w:type="auto"/>
            <w:tcBorders>
              <w:top w:val="nil"/>
              <w:left w:val="nil"/>
              <w:bottom w:val="nil"/>
              <w:right w:val="nil"/>
            </w:tcBorders>
            <w:noWrap/>
            <w:vAlign w:val="center"/>
          </w:tcPr>
          <w:p w:rsidR="002032FB" w:rsidRPr="005535DE" w:rsidRDefault="002032FB" w:rsidP="005535DE">
            <w:pPr>
              <w:spacing w:before="0" w:after="0"/>
              <w:contextualSpacing/>
              <w:jc w:val="left"/>
              <w:rPr>
                <w:rFonts w:asciiTheme="minorHAnsi" w:hAnsiTheme="minorHAnsi"/>
                <w:color w:val="000000"/>
                <w:sz w:val="20"/>
                <w:szCs w:val="20"/>
              </w:rPr>
            </w:pPr>
            <w:r w:rsidRPr="005535DE">
              <w:rPr>
                <w:rFonts w:asciiTheme="minorHAnsi" w:hAnsiTheme="minorHAnsi"/>
                <w:color w:val="000000"/>
                <w:sz w:val="20"/>
                <w:szCs w:val="20"/>
              </w:rPr>
              <w:t xml:space="preserve">4,295 </w:t>
            </w:r>
          </w:p>
        </w:tc>
        <w:tc>
          <w:tcPr>
            <w:tcW w:w="0" w:type="auto"/>
            <w:tcBorders>
              <w:top w:val="nil"/>
              <w:left w:val="nil"/>
              <w:bottom w:val="nil"/>
              <w:right w:val="nil"/>
            </w:tcBorders>
            <w:noWrap/>
            <w:vAlign w:val="center"/>
          </w:tcPr>
          <w:p w:rsidR="002032FB" w:rsidRPr="005535DE" w:rsidRDefault="002032FB" w:rsidP="005535DE">
            <w:pPr>
              <w:spacing w:before="0" w:after="0"/>
              <w:contextualSpacing/>
              <w:jc w:val="left"/>
              <w:rPr>
                <w:rFonts w:asciiTheme="minorHAnsi" w:hAnsiTheme="minorHAnsi"/>
                <w:color w:val="000000"/>
                <w:sz w:val="20"/>
                <w:szCs w:val="20"/>
              </w:rPr>
            </w:pPr>
            <w:r w:rsidRPr="005535DE">
              <w:rPr>
                <w:rFonts w:asciiTheme="minorHAnsi" w:hAnsiTheme="minorHAnsi"/>
                <w:color w:val="000000"/>
                <w:sz w:val="20"/>
                <w:szCs w:val="20"/>
              </w:rPr>
              <w:t xml:space="preserve">3,820 </w:t>
            </w:r>
          </w:p>
        </w:tc>
        <w:tc>
          <w:tcPr>
            <w:tcW w:w="0" w:type="auto"/>
            <w:tcBorders>
              <w:top w:val="nil"/>
              <w:left w:val="nil"/>
              <w:bottom w:val="nil"/>
              <w:right w:val="nil"/>
            </w:tcBorders>
            <w:noWrap/>
            <w:vAlign w:val="center"/>
          </w:tcPr>
          <w:p w:rsidR="002032FB" w:rsidRPr="005535DE" w:rsidRDefault="002032FB" w:rsidP="005535DE">
            <w:pPr>
              <w:spacing w:before="0" w:after="0"/>
              <w:contextualSpacing/>
              <w:jc w:val="left"/>
              <w:rPr>
                <w:rFonts w:asciiTheme="minorHAnsi" w:hAnsiTheme="minorHAnsi" w:cs="Times New Roman"/>
                <w:color w:val="000000"/>
                <w:sz w:val="20"/>
                <w:szCs w:val="20"/>
              </w:rPr>
            </w:pPr>
            <w:r w:rsidRPr="005535DE">
              <w:rPr>
                <w:rFonts w:asciiTheme="minorHAnsi" w:hAnsiTheme="minorHAnsi"/>
                <w:color w:val="FF0000"/>
                <w:sz w:val="20"/>
                <w:szCs w:val="20"/>
              </w:rPr>
              <w:t>-11.1%</w:t>
            </w:r>
          </w:p>
        </w:tc>
        <w:tc>
          <w:tcPr>
            <w:tcW w:w="0" w:type="auto"/>
            <w:tcBorders>
              <w:top w:val="nil"/>
              <w:left w:val="nil"/>
              <w:bottom w:val="nil"/>
              <w:right w:val="nil"/>
            </w:tcBorders>
            <w:noWrap/>
            <w:vAlign w:val="center"/>
          </w:tcPr>
          <w:p w:rsidR="002032FB" w:rsidRPr="005535DE" w:rsidRDefault="002032FB" w:rsidP="005535DE">
            <w:pPr>
              <w:spacing w:before="0" w:after="0"/>
              <w:contextualSpacing/>
              <w:jc w:val="left"/>
              <w:rPr>
                <w:rFonts w:asciiTheme="minorHAnsi" w:hAnsiTheme="minorHAnsi"/>
                <w:color w:val="000000"/>
                <w:sz w:val="20"/>
                <w:szCs w:val="20"/>
              </w:rPr>
            </w:pPr>
            <w:r w:rsidRPr="005535DE">
              <w:rPr>
                <w:rFonts w:asciiTheme="minorHAnsi" w:hAnsiTheme="minorHAnsi"/>
                <w:color w:val="000000"/>
                <w:sz w:val="20"/>
                <w:szCs w:val="20"/>
              </w:rPr>
              <w:t xml:space="preserve">5,101 </w:t>
            </w:r>
          </w:p>
        </w:tc>
        <w:tc>
          <w:tcPr>
            <w:tcW w:w="0" w:type="auto"/>
            <w:tcBorders>
              <w:top w:val="nil"/>
              <w:left w:val="nil"/>
              <w:bottom w:val="nil"/>
              <w:right w:val="nil"/>
            </w:tcBorders>
            <w:noWrap/>
            <w:vAlign w:val="center"/>
          </w:tcPr>
          <w:p w:rsidR="002032FB" w:rsidRPr="005535DE" w:rsidRDefault="002032FB" w:rsidP="005535DE">
            <w:pPr>
              <w:spacing w:before="0" w:after="0"/>
              <w:contextualSpacing/>
              <w:jc w:val="left"/>
              <w:rPr>
                <w:rFonts w:asciiTheme="minorHAnsi" w:hAnsiTheme="minorHAnsi" w:cs="Times New Roman"/>
                <w:color w:val="000000"/>
                <w:sz w:val="20"/>
                <w:szCs w:val="20"/>
              </w:rPr>
            </w:pPr>
            <w:r w:rsidRPr="005535DE">
              <w:rPr>
                <w:rFonts w:asciiTheme="minorHAnsi" w:hAnsiTheme="minorHAnsi"/>
                <w:color w:val="000000"/>
                <w:sz w:val="20"/>
                <w:szCs w:val="20"/>
              </w:rPr>
              <w:t>5,246</w:t>
            </w:r>
          </w:p>
        </w:tc>
        <w:tc>
          <w:tcPr>
            <w:tcW w:w="0" w:type="auto"/>
            <w:tcBorders>
              <w:top w:val="nil"/>
              <w:left w:val="nil"/>
              <w:bottom w:val="nil"/>
              <w:right w:val="nil"/>
            </w:tcBorders>
            <w:noWrap/>
            <w:vAlign w:val="center"/>
          </w:tcPr>
          <w:p w:rsidR="002032FB" w:rsidRPr="005535DE" w:rsidRDefault="002032FB" w:rsidP="005535DE">
            <w:pPr>
              <w:spacing w:before="0" w:after="0"/>
              <w:contextualSpacing/>
              <w:jc w:val="left"/>
              <w:rPr>
                <w:rFonts w:asciiTheme="minorHAnsi" w:hAnsiTheme="minorHAnsi"/>
                <w:sz w:val="20"/>
                <w:szCs w:val="20"/>
              </w:rPr>
            </w:pPr>
            <w:r w:rsidRPr="005535DE">
              <w:rPr>
                <w:rFonts w:asciiTheme="minorHAnsi" w:hAnsiTheme="minorHAnsi"/>
                <w:sz w:val="20"/>
                <w:szCs w:val="20"/>
              </w:rPr>
              <w:t>2.8%</w:t>
            </w:r>
          </w:p>
        </w:tc>
      </w:tr>
      <w:tr w:rsidR="002032FB" w:rsidRPr="005535DE" w:rsidTr="00E04CC4">
        <w:trPr>
          <w:trHeight w:val="20"/>
        </w:trPr>
        <w:tc>
          <w:tcPr>
            <w:tcW w:w="0" w:type="auto"/>
            <w:tcBorders>
              <w:top w:val="nil"/>
              <w:left w:val="nil"/>
              <w:bottom w:val="nil"/>
              <w:right w:val="nil"/>
            </w:tcBorders>
            <w:shd w:val="clear" w:color="auto" w:fill="C0C0C0"/>
            <w:noWrap/>
            <w:vAlign w:val="center"/>
          </w:tcPr>
          <w:p w:rsidR="002032FB" w:rsidRPr="005535DE" w:rsidRDefault="002032FB" w:rsidP="005535DE">
            <w:pPr>
              <w:spacing w:before="0" w:after="0"/>
              <w:contextualSpacing/>
              <w:jc w:val="left"/>
              <w:rPr>
                <w:rFonts w:asciiTheme="minorHAnsi" w:hAnsiTheme="minorHAnsi"/>
                <w:b/>
                <w:bCs/>
                <w:color w:val="000000"/>
                <w:sz w:val="20"/>
                <w:szCs w:val="20"/>
              </w:rPr>
            </w:pPr>
            <w:r w:rsidRPr="005535DE">
              <w:rPr>
                <w:rFonts w:asciiTheme="minorHAnsi" w:hAnsiTheme="minorHAnsi"/>
                <w:b/>
                <w:bCs/>
                <w:color w:val="000000"/>
                <w:sz w:val="20"/>
                <w:szCs w:val="20"/>
              </w:rPr>
              <w:t>Shërbime</w:t>
            </w:r>
          </w:p>
        </w:tc>
        <w:tc>
          <w:tcPr>
            <w:tcW w:w="0" w:type="auto"/>
            <w:tcBorders>
              <w:top w:val="nil"/>
              <w:left w:val="nil"/>
              <w:bottom w:val="nil"/>
              <w:right w:val="nil"/>
            </w:tcBorders>
            <w:noWrap/>
            <w:vAlign w:val="center"/>
          </w:tcPr>
          <w:p w:rsidR="002032FB" w:rsidRPr="005535DE" w:rsidRDefault="002032FB" w:rsidP="005535DE">
            <w:pPr>
              <w:spacing w:before="0" w:after="0"/>
              <w:contextualSpacing/>
              <w:jc w:val="left"/>
              <w:rPr>
                <w:rFonts w:asciiTheme="minorHAnsi" w:hAnsiTheme="minorHAnsi"/>
                <w:color w:val="000000"/>
                <w:sz w:val="20"/>
                <w:szCs w:val="20"/>
              </w:rPr>
            </w:pPr>
            <w:r w:rsidRPr="005535DE">
              <w:rPr>
                <w:rFonts w:asciiTheme="minorHAnsi" w:hAnsiTheme="minorHAnsi"/>
                <w:color w:val="000000"/>
                <w:sz w:val="20"/>
                <w:szCs w:val="20"/>
              </w:rPr>
              <w:t xml:space="preserve">7,009 </w:t>
            </w:r>
          </w:p>
        </w:tc>
        <w:tc>
          <w:tcPr>
            <w:tcW w:w="0" w:type="auto"/>
            <w:tcBorders>
              <w:top w:val="nil"/>
              <w:left w:val="nil"/>
              <w:bottom w:val="nil"/>
              <w:right w:val="nil"/>
            </w:tcBorders>
            <w:noWrap/>
            <w:vAlign w:val="center"/>
          </w:tcPr>
          <w:p w:rsidR="002032FB" w:rsidRPr="005535DE" w:rsidRDefault="002032FB" w:rsidP="005535DE">
            <w:pPr>
              <w:spacing w:before="0" w:after="0"/>
              <w:contextualSpacing/>
              <w:jc w:val="left"/>
              <w:rPr>
                <w:rFonts w:asciiTheme="minorHAnsi" w:hAnsiTheme="minorHAnsi" w:cs="Times New Roman"/>
                <w:color w:val="000000"/>
                <w:sz w:val="20"/>
                <w:szCs w:val="20"/>
              </w:rPr>
            </w:pPr>
            <w:r w:rsidRPr="005535DE">
              <w:rPr>
                <w:rFonts w:asciiTheme="minorHAnsi" w:hAnsiTheme="minorHAnsi"/>
                <w:color w:val="000000"/>
                <w:sz w:val="20"/>
                <w:szCs w:val="20"/>
              </w:rPr>
              <w:t>6,466</w:t>
            </w:r>
          </w:p>
        </w:tc>
        <w:tc>
          <w:tcPr>
            <w:tcW w:w="0" w:type="auto"/>
            <w:tcBorders>
              <w:top w:val="nil"/>
              <w:left w:val="nil"/>
              <w:bottom w:val="nil"/>
              <w:right w:val="nil"/>
            </w:tcBorders>
            <w:noWrap/>
            <w:vAlign w:val="center"/>
          </w:tcPr>
          <w:p w:rsidR="002032FB" w:rsidRPr="005535DE" w:rsidRDefault="002032FB" w:rsidP="005535DE">
            <w:pPr>
              <w:spacing w:before="0" w:after="0"/>
              <w:contextualSpacing/>
              <w:jc w:val="left"/>
              <w:rPr>
                <w:rFonts w:asciiTheme="minorHAnsi" w:hAnsiTheme="minorHAnsi" w:cs="Times New Roman"/>
                <w:color w:val="000000"/>
                <w:sz w:val="20"/>
                <w:szCs w:val="20"/>
              </w:rPr>
            </w:pPr>
            <w:r w:rsidRPr="005535DE">
              <w:rPr>
                <w:rFonts w:asciiTheme="minorHAnsi" w:hAnsiTheme="minorHAnsi"/>
                <w:color w:val="FF0000"/>
                <w:sz w:val="20"/>
                <w:szCs w:val="20"/>
              </w:rPr>
              <w:t>-7.8%</w:t>
            </w:r>
          </w:p>
        </w:tc>
        <w:tc>
          <w:tcPr>
            <w:tcW w:w="0" w:type="auto"/>
            <w:tcBorders>
              <w:top w:val="nil"/>
              <w:left w:val="nil"/>
              <w:bottom w:val="nil"/>
              <w:right w:val="nil"/>
            </w:tcBorders>
            <w:noWrap/>
            <w:vAlign w:val="center"/>
          </w:tcPr>
          <w:p w:rsidR="002032FB" w:rsidRPr="005535DE" w:rsidRDefault="002032FB" w:rsidP="005535DE">
            <w:pPr>
              <w:spacing w:before="0" w:after="0"/>
              <w:contextualSpacing/>
              <w:jc w:val="left"/>
              <w:rPr>
                <w:rFonts w:asciiTheme="minorHAnsi" w:hAnsiTheme="minorHAnsi"/>
                <w:color w:val="000000"/>
                <w:sz w:val="20"/>
                <w:szCs w:val="20"/>
              </w:rPr>
            </w:pPr>
            <w:r w:rsidRPr="005535DE">
              <w:rPr>
                <w:rFonts w:asciiTheme="minorHAnsi" w:hAnsiTheme="minorHAnsi"/>
                <w:color w:val="000000"/>
                <w:sz w:val="20"/>
                <w:szCs w:val="20"/>
              </w:rPr>
              <w:t xml:space="preserve">1,935 </w:t>
            </w:r>
          </w:p>
        </w:tc>
        <w:tc>
          <w:tcPr>
            <w:tcW w:w="0" w:type="auto"/>
            <w:tcBorders>
              <w:top w:val="nil"/>
              <w:left w:val="nil"/>
              <w:bottom w:val="nil"/>
              <w:right w:val="nil"/>
            </w:tcBorders>
            <w:noWrap/>
            <w:vAlign w:val="center"/>
          </w:tcPr>
          <w:p w:rsidR="002032FB" w:rsidRPr="005535DE" w:rsidRDefault="002032FB" w:rsidP="005535DE">
            <w:pPr>
              <w:spacing w:before="0" w:after="0"/>
              <w:contextualSpacing/>
              <w:jc w:val="left"/>
              <w:rPr>
                <w:rFonts w:asciiTheme="minorHAnsi" w:hAnsiTheme="minorHAnsi"/>
                <w:color w:val="000000"/>
                <w:sz w:val="20"/>
                <w:szCs w:val="20"/>
              </w:rPr>
            </w:pPr>
            <w:r w:rsidRPr="005535DE">
              <w:rPr>
                <w:rFonts w:asciiTheme="minorHAnsi" w:hAnsiTheme="minorHAnsi"/>
                <w:color w:val="000000"/>
                <w:sz w:val="20"/>
                <w:szCs w:val="20"/>
              </w:rPr>
              <w:t xml:space="preserve">2,004 </w:t>
            </w:r>
          </w:p>
        </w:tc>
        <w:tc>
          <w:tcPr>
            <w:tcW w:w="0" w:type="auto"/>
            <w:tcBorders>
              <w:top w:val="nil"/>
              <w:left w:val="nil"/>
              <w:bottom w:val="nil"/>
              <w:right w:val="nil"/>
            </w:tcBorders>
            <w:noWrap/>
            <w:vAlign w:val="center"/>
          </w:tcPr>
          <w:p w:rsidR="002032FB" w:rsidRPr="005535DE" w:rsidRDefault="002032FB" w:rsidP="005535DE">
            <w:pPr>
              <w:spacing w:before="0" w:after="0"/>
              <w:contextualSpacing/>
              <w:jc w:val="left"/>
              <w:rPr>
                <w:rFonts w:asciiTheme="minorHAnsi" w:hAnsiTheme="minorHAnsi"/>
                <w:sz w:val="20"/>
                <w:szCs w:val="20"/>
              </w:rPr>
            </w:pPr>
            <w:r w:rsidRPr="005535DE">
              <w:rPr>
                <w:rFonts w:asciiTheme="minorHAnsi" w:hAnsiTheme="minorHAnsi"/>
                <w:sz w:val="20"/>
                <w:szCs w:val="20"/>
              </w:rPr>
              <w:t>3.6%</w:t>
            </w:r>
          </w:p>
        </w:tc>
      </w:tr>
    </w:tbl>
    <w:p w:rsidR="0079658C" w:rsidRPr="001A1523" w:rsidRDefault="0079658C" w:rsidP="0079658C">
      <w:pPr>
        <w:rPr>
          <w:rFonts w:cs="Times New Roman"/>
          <w:i/>
          <w:sz w:val="20"/>
          <w:szCs w:val="20"/>
          <w:lang w:val="es-ES_tradnl"/>
        </w:rPr>
      </w:pPr>
      <w:r w:rsidRPr="001A1523">
        <w:rPr>
          <w:rFonts w:cs="Times New Roman"/>
          <w:i/>
          <w:sz w:val="20"/>
          <w:szCs w:val="20"/>
          <w:lang w:val="es-ES_tradnl"/>
        </w:rPr>
        <w:t>Burimi: Drejtoria e Pergjithshme e Tatimeve</w:t>
      </w:r>
    </w:p>
    <w:p w:rsidR="002032FB" w:rsidRPr="00841E98" w:rsidRDefault="002032FB" w:rsidP="007D59CF">
      <w:pPr>
        <w:rPr>
          <w:rFonts w:cs="Times New Roman"/>
          <w:highlight w:val="yellow"/>
          <w:lang w:val="es-ES_tradnl"/>
        </w:rPr>
      </w:pPr>
      <w:r w:rsidRPr="004E7E33">
        <w:rPr>
          <w:lang w:val="es-ES_tradnl"/>
        </w:rPr>
        <w:t xml:space="preserve">Të ardhurat nga taksa vendore mbi biznesin e vogël arritën në 2.1 miliardë lekë, me rënie vjetore prej -16.6 përqind dhe plani i periudhës është realizuar në masën 118.9 përqind. Nga të dhënat e </w:t>
      </w:r>
      <w:r w:rsidRPr="006C065A">
        <w:rPr>
          <w:lang w:val="es-ES_tradnl"/>
        </w:rPr>
        <w:t xml:space="preserve">Drejtorisë së Përgjithshme të Tatimeve rezultojnë 62,031 subjekte me xhiro vjetore nën 8 milione lekë, ose 591 subjekte më shume se e njëjta periudhë e një viti më parë. Pjesa dërrmuese e subjekteve të reja i përkasin sektorëve të tregtisë dhe shërbimeve, dhe ndertimit ndërsa sektori i transportit dhe prodhimit rezultojne perkatesisht -106 dhe -86 subjekte më pak. </w:t>
      </w:r>
    </w:p>
    <w:p w:rsidR="002032FB" w:rsidRPr="00D31825" w:rsidRDefault="002032FB" w:rsidP="007D59CF">
      <w:pPr>
        <w:rPr>
          <w:b/>
          <w:bCs/>
          <w:noProof/>
          <w:lang w:val="sq-AL"/>
        </w:rPr>
      </w:pPr>
      <w:r w:rsidRPr="00D31825">
        <w:rPr>
          <w:b/>
          <w:bCs/>
          <w:noProof/>
          <w:lang w:val="sq-AL"/>
        </w:rPr>
        <w:t>Taksimi i pasurisë</w:t>
      </w:r>
    </w:p>
    <w:p w:rsidR="002032FB" w:rsidRPr="006F040B" w:rsidRDefault="002032FB" w:rsidP="007D59CF">
      <w:pPr>
        <w:rPr>
          <w:noProof/>
          <w:lang w:val="sq-AL"/>
        </w:rPr>
      </w:pPr>
      <w:r w:rsidRPr="006F040B">
        <w:rPr>
          <w:noProof/>
          <w:lang w:val="sq-AL"/>
        </w:rPr>
        <w:t>Për qëllime analize, këtu përfshijmë tatimin mbi ndërtesat dhe mbi tokën bujqësore. Për 12 mujorin taksat mbi pasurinë arrijnë në 2.5 miliardë lekë nga 2.7 miliardë lekë të parashikuara dhe 29 përqind më të larta se një vit më parë. Rritja në të ardhurat e mbledhura reflekton procesin e legalizimit të pasurive të paluajtshme nga subjektet juridike, pra bëhet fjalë për një element “</w:t>
      </w:r>
      <w:r w:rsidRPr="006F040B">
        <w:rPr>
          <w:i/>
          <w:iCs/>
          <w:noProof/>
          <w:lang w:val="sq-AL"/>
        </w:rPr>
        <w:t>one off measure</w:t>
      </w:r>
      <w:r w:rsidRPr="006F040B">
        <w:rPr>
          <w:noProof/>
          <w:lang w:val="sq-AL"/>
        </w:rPr>
        <w:t>”.</w:t>
      </w:r>
    </w:p>
    <w:p w:rsidR="002032FB" w:rsidRPr="006F040B" w:rsidRDefault="002032FB" w:rsidP="007D59CF">
      <w:pPr>
        <w:rPr>
          <w:b/>
          <w:bCs/>
          <w:noProof/>
          <w:lang w:val="sq-AL"/>
        </w:rPr>
      </w:pPr>
      <w:r w:rsidRPr="006F040B">
        <w:rPr>
          <w:b/>
          <w:bCs/>
          <w:noProof/>
          <w:lang w:val="sq-AL"/>
        </w:rPr>
        <w:t>Taksat nacionale</w:t>
      </w:r>
    </w:p>
    <w:p w:rsidR="002032FB" w:rsidRPr="006B6F4B" w:rsidRDefault="002032FB" w:rsidP="007D59CF">
      <w:pPr>
        <w:rPr>
          <w:lang w:val="es-ES_tradnl"/>
        </w:rPr>
      </w:pPr>
      <w:r w:rsidRPr="006F040B">
        <w:rPr>
          <w:lang w:val="es-ES_tradnl"/>
        </w:rPr>
        <w:lastRenderedPageBreak/>
        <w:t xml:space="preserve">Të ardhurat nga taksat nacionale në total për periudhën janë 28.7 miliardë lekë nga 29.7 miliardë lekë të parashikuara për periudhën janar – dhjetor, me mosrealizim të planit në masën 3.3 përqind. Duke e krahasuar me të njëjtën periudhë të një viti më parë, të ardhurat nga ky grup taksash kanë pësuar një rritje prej 34.1 përqind, kjo si pasojë e ndryshimeve tatimore të ndërmarra për këto grup taksash vitin e kaluar. Këtu theksojmë ecurinë pozitive të rentës </w:t>
      </w:r>
      <w:r w:rsidRPr="006B6F4B">
        <w:rPr>
          <w:lang w:val="es-ES_tradnl"/>
        </w:rPr>
        <w:t>minerare, taksës së karbonit, taksën e qarkullimit mbi benzinën dhe gazoilin dhe taksën vjetore mbi automjetet, të detajuara si më poshtë:</w:t>
      </w:r>
    </w:p>
    <w:p w:rsidR="002032FB" w:rsidRPr="006B6F4B" w:rsidRDefault="002032FB" w:rsidP="007D59CF">
      <w:pPr>
        <w:numPr>
          <w:ilvl w:val="0"/>
          <w:numId w:val="25"/>
        </w:numPr>
        <w:rPr>
          <w:lang w:val="es-ES_tradnl"/>
        </w:rPr>
      </w:pPr>
      <w:r w:rsidRPr="006B6F4B">
        <w:rPr>
          <w:lang w:val="es-ES_tradnl"/>
        </w:rPr>
        <w:t>Nga taksa e qarkullimit mbi karburantet, që u vendos me ndryshimin e ligjit të taksave kombëtare në muajin gusht të 2011 janë mbledhur rreth 4.3 miliardë lekë për periudhën 12 mujore 2012;</w:t>
      </w:r>
    </w:p>
    <w:p w:rsidR="002032FB" w:rsidRPr="006B6F4B" w:rsidRDefault="002032FB" w:rsidP="007D59CF">
      <w:pPr>
        <w:numPr>
          <w:ilvl w:val="0"/>
          <w:numId w:val="25"/>
        </w:numPr>
        <w:rPr>
          <w:rFonts w:cs="Times New Roman"/>
          <w:lang w:val="es-ES_tradnl"/>
        </w:rPr>
      </w:pPr>
      <w:r w:rsidRPr="006B6F4B">
        <w:rPr>
          <w:lang w:val="es-ES_tradnl"/>
        </w:rPr>
        <w:t>Nga taksa vjetore mbi automjetet (e cila gjithashtu u ndryshua në nivel dhe strukturë me të njëjtin ligj) janë mbledhur për periudhën rreth 5 miliardë lekë nga 2.8 miliardë të një viti më parë</w:t>
      </w:r>
      <w:r>
        <w:rPr>
          <w:lang w:val="es-ES_tradnl"/>
        </w:rPr>
        <w:t>;</w:t>
      </w:r>
    </w:p>
    <w:p w:rsidR="002032FB" w:rsidRPr="006B6F4B" w:rsidRDefault="002032FB" w:rsidP="007D59CF">
      <w:pPr>
        <w:numPr>
          <w:ilvl w:val="0"/>
          <w:numId w:val="25"/>
        </w:numPr>
        <w:rPr>
          <w:rFonts w:cs="Times New Roman"/>
          <w:lang w:val="es-ES_tradnl"/>
        </w:rPr>
      </w:pPr>
      <w:r w:rsidRPr="006B6F4B">
        <w:rPr>
          <w:lang w:val="es-ES_tradnl"/>
        </w:rPr>
        <w:t>Nga taksa e karbonit janë mbledhur nga administrata tatimore rreth 3.3 miliardë lekë nga rreth 2.1 miliarde të një viti më parë, si pasojë e rritjes së nivelit të taksës në gusht të vitit të kaluar</w:t>
      </w:r>
      <w:r>
        <w:rPr>
          <w:lang w:val="es-ES_tradnl"/>
        </w:rPr>
        <w:t>;</w:t>
      </w:r>
    </w:p>
    <w:p w:rsidR="002032FB" w:rsidRPr="006B6F4B" w:rsidRDefault="002032FB" w:rsidP="007D59CF">
      <w:pPr>
        <w:numPr>
          <w:ilvl w:val="0"/>
          <w:numId w:val="25"/>
        </w:numPr>
        <w:rPr>
          <w:rFonts w:cs="Times New Roman"/>
          <w:lang w:val="es-ES_tradnl"/>
        </w:rPr>
      </w:pPr>
      <w:r w:rsidRPr="006B6F4B">
        <w:rPr>
          <w:lang w:val="es-ES_tradnl"/>
        </w:rPr>
        <w:t>Nga renta minerare janë mbledhur nga administrata tatimore rreth 1.25 miliarde lekë nga 1.3 miliarde të mbledhura një vit më parë për janar-dhjetor, ose -5.4 përqind më pak.</w:t>
      </w:r>
    </w:p>
    <w:p w:rsidR="002032FB" w:rsidRPr="006B6F4B" w:rsidRDefault="002032FB" w:rsidP="007D59CF">
      <w:pPr>
        <w:numPr>
          <w:ilvl w:val="0"/>
          <w:numId w:val="25"/>
        </w:numPr>
        <w:rPr>
          <w:lang w:val="es-ES_tradnl"/>
        </w:rPr>
      </w:pPr>
      <w:r w:rsidRPr="006B6F4B">
        <w:rPr>
          <w:lang w:val="es-ES_tradnl"/>
        </w:rPr>
        <w:t>Tek zëri “Taksa Nacionale” kemi dhe pasqyrimin e të ardhurave nga procesi i legalizimit të pasurive të paluajtshme nga individët, në nivel rreth</w:t>
      </w:r>
      <w:r>
        <w:rPr>
          <w:lang w:val="es-ES_tradnl"/>
        </w:rPr>
        <w:t>1</w:t>
      </w:r>
      <w:r w:rsidRPr="006B6F4B">
        <w:rPr>
          <w:lang w:val="es-ES_tradnl"/>
        </w:rPr>
        <w:t>.9 miliardë lekë për periudhën janar-dhjetor 2012.</w:t>
      </w:r>
    </w:p>
    <w:p w:rsidR="002032FB" w:rsidRPr="006B6F4B" w:rsidRDefault="002032FB" w:rsidP="007D59CF">
      <w:pPr>
        <w:rPr>
          <w:b/>
          <w:bCs/>
          <w:lang w:val="sq-AL"/>
        </w:rPr>
      </w:pPr>
      <w:r w:rsidRPr="006B6F4B">
        <w:rPr>
          <w:b/>
          <w:bCs/>
          <w:lang w:val="sq-AL"/>
        </w:rPr>
        <w:t>Taksa doganore</w:t>
      </w:r>
    </w:p>
    <w:p w:rsidR="002032FB" w:rsidRPr="006B6F4B" w:rsidRDefault="002032FB" w:rsidP="007D59CF">
      <w:pPr>
        <w:rPr>
          <w:rFonts w:cs="Times New Roman"/>
          <w:noProof/>
          <w:lang w:val="sq-AL"/>
        </w:rPr>
      </w:pPr>
      <w:r w:rsidRPr="006B6F4B">
        <w:rPr>
          <w:noProof/>
          <w:lang w:val="sq-AL"/>
        </w:rPr>
        <w:t>Të ardhurat nga taksa doganore për periudhën janar – dhjetor janë rreth 6.1 miliardë lekë, 1.1 përqind më shumë se parashikimi; krahasuar me të njëjtën periudhë të vitit 2011, të ardhurat nga kjo taksë janë ulur me 732 milionë lekë, ose -10.7 përqind. Nga të dhënat e Drejtorisë së Përgjithshme të Doganave, taksa mesatare doganore për periudhën ka qenë 1.41 përqind nga 1.52 përqind e një viti më parë.</w:t>
      </w:r>
    </w:p>
    <w:p w:rsidR="002032FB" w:rsidRPr="006B6F4B" w:rsidRDefault="002032FB" w:rsidP="007D59CF">
      <w:pPr>
        <w:rPr>
          <w:b/>
          <w:bCs/>
          <w:lang w:val="es-ES_tradnl"/>
        </w:rPr>
      </w:pPr>
      <w:r w:rsidRPr="006B6F4B">
        <w:rPr>
          <w:b/>
          <w:bCs/>
          <w:lang w:val="es-ES_tradnl"/>
        </w:rPr>
        <w:t>Të ardhura të tjera nga pushteti vendor</w:t>
      </w:r>
    </w:p>
    <w:p w:rsidR="002032FB" w:rsidRPr="00841E98" w:rsidRDefault="002032FB" w:rsidP="007D59CF">
      <w:pPr>
        <w:rPr>
          <w:rFonts w:cs="Times New Roman"/>
          <w:highlight w:val="yellow"/>
          <w:lang w:val="es-ES_tradnl"/>
        </w:rPr>
      </w:pPr>
      <w:r w:rsidRPr="006B6F4B">
        <w:rPr>
          <w:lang w:val="es-ES_tradnl"/>
        </w:rPr>
        <w:t>Të ardhurat e mbledhura nga taksat vendore për periudhën janar – dhjetor arritën në 10.9 miliardë lekë nga 11.8 miliardë lekë të planifikuara, ndërsa kundrejt 12 mujorit të vitit 2011 të ardhurat janë ulur  me -932 milionë lekë (rreth 7.9 përqind më pak). Taksat e tjera vendore (pa taksën e biznesit të vogel dhe taksat mbi pasurinë të cilat përmenden më sipër) kanë mbledhur rreth 6.2 miliardë lekë nga 6.58 miliardë lekë të parashikuara, ndërsa krahasuar me të njëjtën periudhë të vitit të kaluar këto taksa kanë pësuar një rënie prej -14.7 përqind.</w:t>
      </w:r>
    </w:p>
    <w:p w:rsidR="002032FB" w:rsidRPr="006B6F4B" w:rsidRDefault="002032FB" w:rsidP="007D59CF">
      <w:pPr>
        <w:rPr>
          <w:b/>
          <w:bCs/>
          <w:noProof/>
          <w:lang w:val="sq-AL"/>
        </w:rPr>
      </w:pPr>
      <w:r w:rsidRPr="006B6F4B">
        <w:rPr>
          <w:b/>
          <w:bCs/>
          <w:noProof/>
          <w:lang w:val="sq-AL"/>
        </w:rPr>
        <w:t>Të ardhurat e fondeve speciale</w:t>
      </w:r>
    </w:p>
    <w:p w:rsidR="002032FB" w:rsidRPr="000322B0" w:rsidRDefault="002032FB" w:rsidP="007D59CF">
      <w:pPr>
        <w:rPr>
          <w:lang w:val="es-ES_tradnl"/>
        </w:rPr>
      </w:pPr>
      <w:r w:rsidRPr="006B6F4B">
        <w:rPr>
          <w:lang w:val="es-ES_tradnl"/>
        </w:rPr>
        <w:t xml:space="preserve">Të ardhurat nga fondet speciale për periudhën janar – dhjetor 2012 arritën në 57.4 miliardë lekë, me një rritje prej 1.4 përqind </w:t>
      </w:r>
      <w:r w:rsidRPr="000322B0">
        <w:rPr>
          <w:lang w:val="es-ES_tradnl"/>
        </w:rPr>
        <w:t xml:space="preserve">kundrejt të njëjtës periudhë të një viti më parë dhe -1.9 përqind më pak se parashikimi për periudhën. Ky grup të ardhurash përbën rreth 19 përqind të të ardhurave tatimore gjithsej për këtë periudhë me 0.45 pikë përqindje rritje duke e krahasuar me peshën e të njëjtës periudhë në vitin e kaluar. Nga totali i fondeve speciale, rreth 56.1 miliardë lekë janë kontribute të sigurimeve shoqërore dhe shëndetësore dhe 1.29 miliarde lekë të ardhura për kompensimin në vlerë të pronarëve. </w:t>
      </w:r>
    </w:p>
    <w:p w:rsidR="002032FB" w:rsidRPr="000322B0" w:rsidRDefault="002032FB" w:rsidP="007D59CF">
      <w:pPr>
        <w:rPr>
          <w:lang w:val="es-ES_tradnl"/>
        </w:rPr>
      </w:pPr>
      <w:r w:rsidRPr="000322B0">
        <w:rPr>
          <w:lang w:val="es-ES_tradnl"/>
        </w:rPr>
        <w:lastRenderedPageBreak/>
        <w:t>Nga sigurimet shoqërore janë mbledhur 49.5 miliardë lekë, me rritje vjetore 1.4 përqind; nga sigurimet shëndetësore janë mbledhur 6.59 miliardë lekë, 7.1 përqind më shumë se 12 mujori i një viti më parë.</w:t>
      </w:r>
    </w:p>
    <w:p w:rsidR="002032FB" w:rsidRDefault="002032FB" w:rsidP="007D59CF">
      <w:pPr>
        <w:rPr>
          <w:lang w:val="es-ES_tradnl"/>
        </w:rPr>
      </w:pPr>
      <w:r w:rsidRPr="000322B0">
        <w:rPr>
          <w:lang w:val="es-ES_tradnl"/>
        </w:rPr>
        <w:t xml:space="preserve">Përsa i takon bazës së taksueshme, nga të dhënat e Drejtorisë së Përgjithshme të Tatimeve, për periudhën 12 mujore rezulton se: në total ka një rritje të numrit mesatar të të punësuarve për efekt të derdhjes së kontributeve (sektor shtetëror dhe sektori privat) prej 2.84 përqind, ose rreth 11,785 njësi, kundrejt mesatares 12 mujore të 2011 nga ku sektori i tregtise dhe shërbimeve paten rritje perkatesisht me 6.44% dhe 4.87%. Ndërsa sektorët e tjerë patën ulje dhe përkatesisht sektori i prodhimit -2 %, sektori i ndërtimit -5.94% dhe sektori i transportit -1.19% me pak se mesatarja e së njëjtës periudhë një vit më parë. </w:t>
      </w:r>
    </w:p>
    <w:p w:rsidR="005535DE" w:rsidRPr="00841E98" w:rsidRDefault="005535DE" w:rsidP="007D59CF">
      <w:pPr>
        <w:rPr>
          <w:rFonts w:cs="Times New Roman"/>
          <w:highlight w:val="yellow"/>
          <w:lang w:val="es-ES_tradnl"/>
        </w:rPr>
      </w:pPr>
      <w:r>
        <w:rPr>
          <w:lang w:val="es-ES_tradnl"/>
        </w:rPr>
        <w:t>Tabela 8. Kontributet sipas kategorive</w:t>
      </w:r>
    </w:p>
    <w:tbl>
      <w:tblPr>
        <w:tblW w:w="0" w:type="auto"/>
        <w:jc w:val="center"/>
        <w:tblInd w:w="2" w:type="dxa"/>
        <w:tblLook w:val="0000"/>
      </w:tblPr>
      <w:tblGrid>
        <w:gridCol w:w="2291"/>
        <w:gridCol w:w="1431"/>
        <w:gridCol w:w="1431"/>
        <w:gridCol w:w="1514"/>
      </w:tblGrid>
      <w:tr w:rsidR="002032FB" w:rsidRPr="005535DE" w:rsidTr="005535DE">
        <w:trPr>
          <w:trHeight w:val="20"/>
          <w:jc w:val="center"/>
        </w:trPr>
        <w:tc>
          <w:tcPr>
            <w:tcW w:w="0" w:type="auto"/>
            <w:tcBorders>
              <w:top w:val="single" w:sz="12" w:space="0" w:color="000000"/>
              <w:left w:val="nil"/>
              <w:bottom w:val="single" w:sz="8" w:space="0" w:color="000000"/>
              <w:right w:val="nil"/>
            </w:tcBorders>
            <w:shd w:val="clear" w:color="auto" w:fill="800080"/>
            <w:noWrap/>
            <w:vAlign w:val="center"/>
          </w:tcPr>
          <w:p w:rsidR="002032FB" w:rsidRPr="005535DE" w:rsidRDefault="002032FB" w:rsidP="005535DE">
            <w:pPr>
              <w:spacing w:before="0" w:after="0"/>
              <w:contextualSpacing/>
              <w:jc w:val="left"/>
              <w:rPr>
                <w:rFonts w:asciiTheme="minorHAnsi" w:hAnsiTheme="minorHAnsi" w:cs="Times New Roman"/>
                <w:b/>
                <w:bCs/>
                <w:color w:val="FFFFFF"/>
                <w:sz w:val="20"/>
                <w:szCs w:val="20"/>
                <w:lang w:val="es-ES_tradnl"/>
              </w:rPr>
            </w:pPr>
            <w:r w:rsidRPr="005535DE">
              <w:rPr>
                <w:rFonts w:asciiTheme="minorHAnsi" w:hAnsiTheme="minorHAnsi" w:cs="Times New Roman"/>
                <w:b/>
                <w:bCs/>
                <w:color w:val="FFFFFF"/>
                <w:sz w:val="20"/>
                <w:szCs w:val="20"/>
                <w:lang w:val="es-ES_tradnl"/>
              </w:rPr>
              <w:t> </w:t>
            </w:r>
          </w:p>
        </w:tc>
        <w:tc>
          <w:tcPr>
            <w:tcW w:w="0" w:type="auto"/>
            <w:tcBorders>
              <w:top w:val="single" w:sz="12" w:space="0" w:color="000000"/>
              <w:left w:val="nil"/>
              <w:bottom w:val="single" w:sz="8" w:space="0" w:color="000000"/>
              <w:right w:val="nil"/>
            </w:tcBorders>
            <w:shd w:val="clear" w:color="auto" w:fill="800080"/>
            <w:vAlign w:val="center"/>
          </w:tcPr>
          <w:p w:rsidR="002032FB" w:rsidRPr="005535DE" w:rsidRDefault="002032FB" w:rsidP="005535DE">
            <w:pPr>
              <w:spacing w:before="0" w:after="0"/>
              <w:contextualSpacing/>
              <w:jc w:val="left"/>
              <w:rPr>
                <w:rFonts w:asciiTheme="minorHAnsi" w:hAnsiTheme="minorHAnsi"/>
                <w:b/>
                <w:bCs/>
                <w:color w:val="FFFFFF"/>
                <w:sz w:val="20"/>
                <w:szCs w:val="20"/>
              </w:rPr>
            </w:pPr>
            <w:r w:rsidRPr="005535DE">
              <w:rPr>
                <w:rFonts w:asciiTheme="minorHAnsi" w:hAnsiTheme="minorHAnsi"/>
                <w:b/>
                <w:bCs/>
                <w:color w:val="FFFFFF"/>
                <w:sz w:val="20"/>
                <w:szCs w:val="20"/>
              </w:rPr>
              <w:t>12-mujor 2011</w:t>
            </w:r>
          </w:p>
        </w:tc>
        <w:tc>
          <w:tcPr>
            <w:tcW w:w="0" w:type="auto"/>
            <w:tcBorders>
              <w:top w:val="single" w:sz="12" w:space="0" w:color="000000"/>
              <w:left w:val="nil"/>
              <w:bottom w:val="single" w:sz="8" w:space="0" w:color="000000"/>
              <w:right w:val="nil"/>
            </w:tcBorders>
            <w:shd w:val="clear" w:color="auto" w:fill="800080"/>
            <w:vAlign w:val="center"/>
          </w:tcPr>
          <w:p w:rsidR="002032FB" w:rsidRPr="005535DE" w:rsidRDefault="002032FB" w:rsidP="005535DE">
            <w:pPr>
              <w:spacing w:before="0" w:after="0"/>
              <w:contextualSpacing/>
              <w:jc w:val="left"/>
              <w:rPr>
                <w:rFonts w:asciiTheme="minorHAnsi" w:hAnsiTheme="minorHAnsi"/>
                <w:b/>
                <w:bCs/>
                <w:color w:val="FFFFFF"/>
                <w:sz w:val="20"/>
                <w:szCs w:val="20"/>
              </w:rPr>
            </w:pPr>
            <w:r w:rsidRPr="005535DE">
              <w:rPr>
                <w:rFonts w:asciiTheme="minorHAnsi" w:hAnsiTheme="minorHAnsi"/>
                <w:b/>
                <w:bCs/>
                <w:color w:val="FFFFFF"/>
                <w:sz w:val="20"/>
                <w:szCs w:val="20"/>
              </w:rPr>
              <w:t>12-mujor 2012</w:t>
            </w:r>
          </w:p>
        </w:tc>
        <w:tc>
          <w:tcPr>
            <w:tcW w:w="0" w:type="auto"/>
            <w:tcBorders>
              <w:top w:val="single" w:sz="12" w:space="0" w:color="000000"/>
              <w:left w:val="nil"/>
              <w:bottom w:val="single" w:sz="8" w:space="0" w:color="000000"/>
              <w:right w:val="nil"/>
            </w:tcBorders>
            <w:shd w:val="clear" w:color="auto" w:fill="800080"/>
            <w:vAlign w:val="center"/>
          </w:tcPr>
          <w:p w:rsidR="002032FB" w:rsidRPr="005535DE" w:rsidRDefault="002032FB" w:rsidP="005535DE">
            <w:pPr>
              <w:spacing w:before="0" w:after="0"/>
              <w:contextualSpacing/>
              <w:jc w:val="left"/>
              <w:rPr>
                <w:rFonts w:asciiTheme="minorHAnsi" w:hAnsiTheme="minorHAnsi"/>
                <w:b/>
                <w:bCs/>
                <w:color w:val="FFFFFF"/>
                <w:sz w:val="20"/>
                <w:szCs w:val="20"/>
              </w:rPr>
            </w:pPr>
            <w:r w:rsidRPr="005535DE">
              <w:rPr>
                <w:rFonts w:asciiTheme="minorHAnsi" w:hAnsiTheme="minorHAnsi"/>
                <w:b/>
                <w:bCs/>
                <w:color w:val="FFFFFF"/>
                <w:sz w:val="20"/>
                <w:szCs w:val="20"/>
              </w:rPr>
              <w:t>Ndryshimi ne %</w:t>
            </w:r>
          </w:p>
        </w:tc>
      </w:tr>
      <w:tr w:rsidR="002032FB" w:rsidRPr="005535DE" w:rsidTr="005535DE">
        <w:trPr>
          <w:trHeight w:val="20"/>
          <w:jc w:val="center"/>
        </w:trPr>
        <w:tc>
          <w:tcPr>
            <w:tcW w:w="0" w:type="auto"/>
            <w:tcBorders>
              <w:top w:val="nil"/>
              <w:left w:val="nil"/>
              <w:bottom w:val="nil"/>
              <w:right w:val="nil"/>
            </w:tcBorders>
            <w:shd w:val="clear" w:color="auto" w:fill="C0C0C0"/>
            <w:noWrap/>
          </w:tcPr>
          <w:p w:rsidR="002032FB" w:rsidRPr="005535DE" w:rsidRDefault="002032FB" w:rsidP="005535DE">
            <w:pPr>
              <w:spacing w:before="0" w:after="0"/>
              <w:contextualSpacing/>
              <w:jc w:val="left"/>
              <w:rPr>
                <w:rFonts w:asciiTheme="minorHAnsi" w:hAnsiTheme="minorHAnsi"/>
                <w:b/>
                <w:bCs/>
                <w:color w:val="000000"/>
                <w:sz w:val="20"/>
                <w:szCs w:val="20"/>
              </w:rPr>
            </w:pPr>
            <w:r w:rsidRPr="005535DE">
              <w:rPr>
                <w:rFonts w:asciiTheme="minorHAnsi" w:hAnsiTheme="minorHAnsi"/>
                <w:b/>
                <w:bCs/>
                <w:color w:val="000000"/>
                <w:sz w:val="20"/>
                <w:szCs w:val="20"/>
              </w:rPr>
              <w:t xml:space="preserve">Ndërmarrjet Buxhetore </w:t>
            </w:r>
          </w:p>
        </w:tc>
        <w:tc>
          <w:tcPr>
            <w:tcW w:w="0" w:type="auto"/>
            <w:tcBorders>
              <w:top w:val="nil"/>
              <w:left w:val="nil"/>
              <w:bottom w:val="nil"/>
              <w:right w:val="nil"/>
            </w:tcBorders>
            <w:noWrap/>
            <w:vAlign w:val="center"/>
          </w:tcPr>
          <w:p w:rsidR="002032FB" w:rsidRPr="005535DE" w:rsidRDefault="002032FB" w:rsidP="005535DE">
            <w:pPr>
              <w:spacing w:before="0" w:after="0"/>
              <w:contextualSpacing/>
              <w:jc w:val="left"/>
              <w:rPr>
                <w:rFonts w:asciiTheme="minorHAnsi" w:hAnsiTheme="minorHAnsi" w:cs="TimesNewRomanPS"/>
                <w:sz w:val="20"/>
                <w:szCs w:val="20"/>
              </w:rPr>
            </w:pPr>
            <w:r w:rsidRPr="005535DE">
              <w:rPr>
                <w:rFonts w:asciiTheme="minorHAnsi" w:hAnsiTheme="minorHAnsi" w:cs="TimesNewRomanPS"/>
                <w:sz w:val="20"/>
                <w:szCs w:val="20"/>
              </w:rPr>
              <w:t>139,387</w:t>
            </w:r>
          </w:p>
        </w:tc>
        <w:tc>
          <w:tcPr>
            <w:tcW w:w="0" w:type="auto"/>
            <w:tcBorders>
              <w:top w:val="nil"/>
              <w:left w:val="nil"/>
              <w:bottom w:val="nil"/>
              <w:right w:val="nil"/>
            </w:tcBorders>
            <w:noWrap/>
            <w:vAlign w:val="center"/>
          </w:tcPr>
          <w:p w:rsidR="002032FB" w:rsidRPr="005535DE" w:rsidRDefault="002032FB" w:rsidP="005535DE">
            <w:pPr>
              <w:spacing w:before="0" w:after="0"/>
              <w:contextualSpacing/>
              <w:jc w:val="left"/>
              <w:rPr>
                <w:rFonts w:asciiTheme="minorHAnsi" w:hAnsiTheme="minorHAnsi" w:cs="TimesNewRomanPS"/>
                <w:sz w:val="20"/>
                <w:szCs w:val="20"/>
              </w:rPr>
            </w:pPr>
            <w:r w:rsidRPr="005535DE">
              <w:rPr>
                <w:rFonts w:asciiTheme="minorHAnsi" w:hAnsiTheme="minorHAnsi" w:cs="TimesNewRomanPS"/>
                <w:sz w:val="20"/>
                <w:szCs w:val="20"/>
              </w:rPr>
              <w:t>138,614</w:t>
            </w:r>
          </w:p>
        </w:tc>
        <w:tc>
          <w:tcPr>
            <w:tcW w:w="0" w:type="auto"/>
            <w:tcBorders>
              <w:top w:val="nil"/>
              <w:left w:val="nil"/>
              <w:bottom w:val="nil"/>
              <w:right w:val="nil"/>
            </w:tcBorders>
            <w:noWrap/>
            <w:vAlign w:val="center"/>
          </w:tcPr>
          <w:p w:rsidR="002032FB" w:rsidRPr="005535DE" w:rsidRDefault="002032FB" w:rsidP="005535DE">
            <w:pPr>
              <w:spacing w:before="0" w:after="0"/>
              <w:contextualSpacing/>
              <w:jc w:val="left"/>
              <w:rPr>
                <w:rFonts w:asciiTheme="minorHAnsi" w:hAnsiTheme="minorHAnsi" w:cs="TimesNewRomanPS"/>
                <w:color w:val="0000FF"/>
                <w:sz w:val="20"/>
                <w:szCs w:val="20"/>
              </w:rPr>
            </w:pPr>
            <w:r w:rsidRPr="005535DE">
              <w:rPr>
                <w:rFonts w:asciiTheme="minorHAnsi" w:hAnsiTheme="minorHAnsi" w:cs="TimesNewRomanPS"/>
                <w:color w:val="FF0000"/>
                <w:sz w:val="20"/>
                <w:szCs w:val="20"/>
              </w:rPr>
              <w:t>-0.55%</w:t>
            </w:r>
          </w:p>
        </w:tc>
      </w:tr>
      <w:tr w:rsidR="002032FB" w:rsidRPr="005535DE" w:rsidTr="005535DE">
        <w:trPr>
          <w:trHeight w:val="20"/>
          <w:jc w:val="center"/>
        </w:trPr>
        <w:tc>
          <w:tcPr>
            <w:tcW w:w="0" w:type="auto"/>
            <w:tcBorders>
              <w:top w:val="nil"/>
              <w:left w:val="nil"/>
              <w:bottom w:val="nil"/>
              <w:right w:val="nil"/>
            </w:tcBorders>
            <w:shd w:val="clear" w:color="auto" w:fill="C0C0C0"/>
            <w:noWrap/>
          </w:tcPr>
          <w:p w:rsidR="002032FB" w:rsidRPr="005535DE" w:rsidRDefault="002032FB" w:rsidP="005535DE">
            <w:pPr>
              <w:spacing w:before="0" w:after="0"/>
              <w:contextualSpacing/>
              <w:jc w:val="left"/>
              <w:rPr>
                <w:rFonts w:asciiTheme="minorHAnsi" w:hAnsiTheme="minorHAnsi"/>
                <w:b/>
                <w:bCs/>
                <w:color w:val="000000"/>
                <w:sz w:val="20"/>
                <w:szCs w:val="20"/>
              </w:rPr>
            </w:pPr>
            <w:r w:rsidRPr="005535DE">
              <w:rPr>
                <w:rFonts w:asciiTheme="minorHAnsi" w:hAnsiTheme="minorHAnsi"/>
                <w:b/>
                <w:bCs/>
                <w:color w:val="000000"/>
                <w:sz w:val="20"/>
                <w:szCs w:val="20"/>
              </w:rPr>
              <w:t>Ndërmarrjet Shtetërore</w:t>
            </w:r>
          </w:p>
        </w:tc>
        <w:tc>
          <w:tcPr>
            <w:tcW w:w="0" w:type="auto"/>
            <w:tcBorders>
              <w:top w:val="nil"/>
              <w:left w:val="nil"/>
              <w:bottom w:val="nil"/>
              <w:right w:val="nil"/>
            </w:tcBorders>
            <w:noWrap/>
            <w:vAlign w:val="center"/>
          </w:tcPr>
          <w:p w:rsidR="002032FB" w:rsidRPr="005535DE" w:rsidRDefault="002032FB" w:rsidP="005535DE">
            <w:pPr>
              <w:spacing w:before="0" w:after="0"/>
              <w:contextualSpacing/>
              <w:jc w:val="left"/>
              <w:rPr>
                <w:rFonts w:asciiTheme="minorHAnsi" w:hAnsiTheme="minorHAnsi" w:cs="TimesNewRomanPS"/>
                <w:sz w:val="20"/>
                <w:szCs w:val="20"/>
              </w:rPr>
            </w:pPr>
            <w:r w:rsidRPr="005535DE">
              <w:rPr>
                <w:rFonts w:asciiTheme="minorHAnsi" w:hAnsiTheme="minorHAnsi" w:cs="TimesNewRomanPS"/>
                <w:sz w:val="20"/>
                <w:szCs w:val="20"/>
              </w:rPr>
              <w:t>21,712</w:t>
            </w:r>
          </w:p>
        </w:tc>
        <w:tc>
          <w:tcPr>
            <w:tcW w:w="0" w:type="auto"/>
            <w:tcBorders>
              <w:top w:val="nil"/>
              <w:left w:val="nil"/>
              <w:bottom w:val="nil"/>
              <w:right w:val="nil"/>
            </w:tcBorders>
            <w:noWrap/>
            <w:vAlign w:val="center"/>
          </w:tcPr>
          <w:p w:rsidR="002032FB" w:rsidRPr="005535DE" w:rsidRDefault="002032FB" w:rsidP="005535DE">
            <w:pPr>
              <w:spacing w:before="0" w:after="0"/>
              <w:contextualSpacing/>
              <w:jc w:val="left"/>
              <w:rPr>
                <w:rFonts w:asciiTheme="minorHAnsi" w:hAnsiTheme="minorHAnsi" w:cs="TimesNewRomanPS"/>
                <w:sz w:val="20"/>
                <w:szCs w:val="20"/>
              </w:rPr>
            </w:pPr>
            <w:r w:rsidRPr="005535DE">
              <w:rPr>
                <w:rFonts w:asciiTheme="minorHAnsi" w:hAnsiTheme="minorHAnsi" w:cs="TimesNewRomanPS"/>
                <w:sz w:val="20"/>
                <w:szCs w:val="20"/>
              </w:rPr>
              <w:t>20,546</w:t>
            </w:r>
          </w:p>
        </w:tc>
        <w:tc>
          <w:tcPr>
            <w:tcW w:w="0" w:type="auto"/>
            <w:tcBorders>
              <w:top w:val="nil"/>
              <w:left w:val="nil"/>
              <w:bottom w:val="nil"/>
              <w:right w:val="nil"/>
            </w:tcBorders>
            <w:noWrap/>
            <w:vAlign w:val="center"/>
          </w:tcPr>
          <w:p w:rsidR="002032FB" w:rsidRPr="005535DE" w:rsidRDefault="002032FB" w:rsidP="005535DE">
            <w:pPr>
              <w:spacing w:before="0" w:after="0"/>
              <w:contextualSpacing/>
              <w:jc w:val="left"/>
              <w:rPr>
                <w:rFonts w:asciiTheme="minorHAnsi" w:hAnsiTheme="minorHAnsi" w:cs="TimesNewRomanPS"/>
                <w:color w:val="0000FF"/>
                <w:sz w:val="20"/>
                <w:szCs w:val="20"/>
              </w:rPr>
            </w:pPr>
            <w:r w:rsidRPr="005535DE">
              <w:rPr>
                <w:rFonts w:asciiTheme="minorHAnsi" w:hAnsiTheme="minorHAnsi" w:cs="TimesNewRomanPS"/>
                <w:color w:val="FF0000"/>
                <w:sz w:val="20"/>
                <w:szCs w:val="20"/>
              </w:rPr>
              <w:t>-5.37%</w:t>
            </w:r>
          </w:p>
        </w:tc>
      </w:tr>
      <w:tr w:rsidR="002032FB" w:rsidRPr="005535DE" w:rsidTr="005535DE">
        <w:trPr>
          <w:trHeight w:val="20"/>
          <w:jc w:val="center"/>
        </w:trPr>
        <w:tc>
          <w:tcPr>
            <w:tcW w:w="0" w:type="auto"/>
            <w:tcBorders>
              <w:top w:val="nil"/>
              <w:left w:val="nil"/>
              <w:bottom w:val="nil"/>
              <w:right w:val="nil"/>
            </w:tcBorders>
            <w:shd w:val="clear" w:color="auto" w:fill="C0C0C0"/>
            <w:noWrap/>
            <w:vAlign w:val="center"/>
          </w:tcPr>
          <w:p w:rsidR="002032FB" w:rsidRPr="005535DE" w:rsidRDefault="002032FB" w:rsidP="005535DE">
            <w:pPr>
              <w:spacing w:before="0" w:after="0"/>
              <w:contextualSpacing/>
              <w:jc w:val="left"/>
              <w:rPr>
                <w:rFonts w:asciiTheme="minorHAnsi" w:hAnsiTheme="minorHAnsi"/>
                <w:b/>
                <w:bCs/>
                <w:color w:val="000000"/>
                <w:sz w:val="20"/>
                <w:szCs w:val="20"/>
              </w:rPr>
            </w:pPr>
            <w:r w:rsidRPr="005535DE">
              <w:rPr>
                <w:rFonts w:asciiTheme="minorHAnsi" w:hAnsiTheme="minorHAnsi"/>
                <w:b/>
                <w:bCs/>
                <w:color w:val="000000"/>
                <w:sz w:val="20"/>
                <w:szCs w:val="20"/>
              </w:rPr>
              <w:t>Subjektet Private T.V.SH.</w:t>
            </w:r>
          </w:p>
        </w:tc>
        <w:tc>
          <w:tcPr>
            <w:tcW w:w="0" w:type="auto"/>
            <w:tcBorders>
              <w:top w:val="nil"/>
              <w:left w:val="nil"/>
              <w:bottom w:val="nil"/>
              <w:right w:val="nil"/>
            </w:tcBorders>
            <w:noWrap/>
            <w:vAlign w:val="center"/>
          </w:tcPr>
          <w:p w:rsidR="002032FB" w:rsidRPr="005535DE" w:rsidRDefault="002032FB" w:rsidP="005535DE">
            <w:pPr>
              <w:spacing w:before="0" w:after="0"/>
              <w:contextualSpacing/>
              <w:jc w:val="left"/>
              <w:rPr>
                <w:rFonts w:asciiTheme="minorHAnsi" w:hAnsiTheme="minorHAnsi" w:cs="TimesNewRomanPS"/>
                <w:sz w:val="20"/>
                <w:szCs w:val="20"/>
              </w:rPr>
            </w:pPr>
            <w:r w:rsidRPr="005535DE">
              <w:rPr>
                <w:rFonts w:asciiTheme="minorHAnsi" w:hAnsiTheme="minorHAnsi" w:cs="TimesNewRomanPS"/>
                <w:sz w:val="20"/>
                <w:szCs w:val="20"/>
              </w:rPr>
              <w:t>182,357</w:t>
            </w:r>
          </w:p>
        </w:tc>
        <w:tc>
          <w:tcPr>
            <w:tcW w:w="0" w:type="auto"/>
            <w:tcBorders>
              <w:top w:val="nil"/>
              <w:left w:val="nil"/>
              <w:bottom w:val="nil"/>
              <w:right w:val="nil"/>
            </w:tcBorders>
            <w:noWrap/>
            <w:vAlign w:val="center"/>
          </w:tcPr>
          <w:p w:rsidR="002032FB" w:rsidRPr="005535DE" w:rsidRDefault="002032FB" w:rsidP="005535DE">
            <w:pPr>
              <w:spacing w:before="0" w:after="0"/>
              <w:contextualSpacing/>
              <w:jc w:val="left"/>
              <w:rPr>
                <w:rFonts w:asciiTheme="minorHAnsi" w:hAnsiTheme="minorHAnsi" w:cs="TimesNewRomanPS"/>
                <w:sz w:val="20"/>
                <w:szCs w:val="20"/>
              </w:rPr>
            </w:pPr>
            <w:r w:rsidRPr="005535DE">
              <w:rPr>
                <w:rFonts w:asciiTheme="minorHAnsi" w:hAnsiTheme="minorHAnsi" w:cs="TimesNewRomanPS"/>
                <w:sz w:val="20"/>
                <w:szCs w:val="20"/>
              </w:rPr>
              <w:t>188,631</w:t>
            </w:r>
          </w:p>
        </w:tc>
        <w:tc>
          <w:tcPr>
            <w:tcW w:w="0" w:type="auto"/>
            <w:tcBorders>
              <w:top w:val="nil"/>
              <w:left w:val="nil"/>
              <w:bottom w:val="nil"/>
              <w:right w:val="nil"/>
            </w:tcBorders>
            <w:noWrap/>
            <w:vAlign w:val="center"/>
          </w:tcPr>
          <w:p w:rsidR="002032FB" w:rsidRPr="005535DE" w:rsidRDefault="002032FB" w:rsidP="005535DE">
            <w:pPr>
              <w:spacing w:before="0" w:after="0"/>
              <w:contextualSpacing/>
              <w:jc w:val="left"/>
              <w:rPr>
                <w:rFonts w:asciiTheme="minorHAnsi" w:hAnsiTheme="minorHAnsi" w:cs="TimesNewRomanPS"/>
                <w:sz w:val="20"/>
                <w:szCs w:val="20"/>
              </w:rPr>
            </w:pPr>
            <w:r w:rsidRPr="005535DE">
              <w:rPr>
                <w:rFonts w:asciiTheme="minorHAnsi" w:hAnsiTheme="minorHAnsi" w:cs="TimesNewRomanPS"/>
                <w:sz w:val="20"/>
                <w:szCs w:val="20"/>
              </w:rPr>
              <w:t>3.44%</w:t>
            </w:r>
          </w:p>
        </w:tc>
      </w:tr>
      <w:tr w:rsidR="002032FB" w:rsidRPr="005535DE" w:rsidTr="005535DE">
        <w:trPr>
          <w:trHeight w:val="20"/>
          <w:jc w:val="center"/>
        </w:trPr>
        <w:tc>
          <w:tcPr>
            <w:tcW w:w="0" w:type="auto"/>
            <w:tcBorders>
              <w:top w:val="nil"/>
              <w:left w:val="nil"/>
              <w:bottom w:val="nil"/>
              <w:right w:val="nil"/>
            </w:tcBorders>
            <w:shd w:val="clear" w:color="auto" w:fill="C0C0C0"/>
            <w:noWrap/>
          </w:tcPr>
          <w:p w:rsidR="002032FB" w:rsidRPr="005535DE" w:rsidRDefault="002032FB" w:rsidP="005535DE">
            <w:pPr>
              <w:spacing w:before="0" w:after="0"/>
              <w:contextualSpacing/>
              <w:jc w:val="left"/>
              <w:rPr>
                <w:rFonts w:asciiTheme="minorHAnsi" w:hAnsiTheme="minorHAnsi"/>
                <w:b/>
                <w:bCs/>
                <w:color w:val="000000"/>
                <w:sz w:val="20"/>
                <w:szCs w:val="20"/>
              </w:rPr>
            </w:pPr>
            <w:r w:rsidRPr="005535DE">
              <w:rPr>
                <w:rFonts w:asciiTheme="minorHAnsi" w:hAnsiTheme="minorHAnsi"/>
                <w:b/>
                <w:bCs/>
                <w:color w:val="000000"/>
                <w:sz w:val="20"/>
                <w:szCs w:val="20"/>
              </w:rPr>
              <w:t>Subjektet Biznes I Vogël</w:t>
            </w:r>
          </w:p>
        </w:tc>
        <w:tc>
          <w:tcPr>
            <w:tcW w:w="0" w:type="auto"/>
            <w:tcBorders>
              <w:top w:val="nil"/>
              <w:left w:val="nil"/>
              <w:bottom w:val="nil"/>
              <w:right w:val="nil"/>
            </w:tcBorders>
            <w:noWrap/>
            <w:vAlign w:val="center"/>
          </w:tcPr>
          <w:p w:rsidR="002032FB" w:rsidRPr="005535DE" w:rsidRDefault="002032FB" w:rsidP="005535DE">
            <w:pPr>
              <w:spacing w:before="0" w:after="0"/>
              <w:contextualSpacing/>
              <w:jc w:val="left"/>
              <w:rPr>
                <w:rFonts w:asciiTheme="minorHAnsi" w:hAnsiTheme="minorHAnsi" w:cs="TimesNewRomanPS"/>
                <w:sz w:val="20"/>
                <w:szCs w:val="20"/>
              </w:rPr>
            </w:pPr>
            <w:r w:rsidRPr="005535DE">
              <w:rPr>
                <w:rFonts w:asciiTheme="minorHAnsi" w:hAnsiTheme="minorHAnsi" w:cs="TimesNewRomanPS"/>
                <w:sz w:val="20"/>
                <w:szCs w:val="20"/>
              </w:rPr>
              <w:t>71,901</w:t>
            </w:r>
          </w:p>
        </w:tc>
        <w:tc>
          <w:tcPr>
            <w:tcW w:w="0" w:type="auto"/>
            <w:tcBorders>
              <w:top w:val="nil"/>
              <w:left w:val="nil"/>
              <w:bottom w:val="nil"/>
              <w:right w:val="nil"/>
            </w:tcBorders>
            <w:noWrap/>
            <w:vAlign w:val="center"/>
          </w:tcPr>
          <w:p w:rsidR="002032FB" w:rsidRPr="005535DE" w:rsidRDefault="002032FB" w:rsidP="005535DE">
            <w:pPr>
              <w:spacing w:before="0" w:after="0"/>
              <w:contextualSpacing/>
              <w:jc w:val="left"/>
              <w:rPr>
                <w:rFonts w:asciiTheme="minorHAnsi" w:hAnsiTheme="minorHAnsi" w:cs="TimesNewRomanPS"/>
                <w:sz w:val="20"/>
                <w:szCs w:val="20"/>
              </w:rPr>
            </w:pPr>
            <w:r w:rsidRPr="005535DE">
              <w:rPr>
                <w:rFonts w:asciiTheme="minorHAnsi" w:hAnsiTheme="minorHAnsi" w:cs="TimesNewRomanPS"/>
                <w:sz w:val="20"/>
                <w:szCs w:val="20"/>
              </w:rPr>
              <w:t>79,351</w:t>
            </w:r>
          </w:p>
        </w:tc>
        <w:tc>
          <w:tcPr>
            <w:tcW w:w="0" w:type="auto"/>
            <w:tcBorders>
              <w:top w:val="nil"/>
              <w:left w:val="nil"/>
              <w:bottom w:val="nil"/>
              <w:right w:val="nil"/>
            </w:tcBorders>
            <w:noWrap/>
            <w:vAlign w:val="center"/>
          </w:tcPr>
          <w:p w:rsidR="002032FB" w:rsidRPr="005535DE" w:rsidRDefault="002032FB" w:rsidP="005535DE">
            <w:pPr>
              <w:spacing w:before="0" w:after="0"/>
              <w:contextualSpacing/>
              <w:jc w:val="left"/>
              <w:rPr>
                <w:rFonts w:asciiTheme="minorHAnsi" w:hAnsiTheme="minorHAnsi" w:cs="TimesNewRomanPS"/>
                <w:sz w:val="20"/>
                <w:szCs w:val="20"/>
              </w:rPr>
            </w:pPr>
            <w:r w:rsidRPr="005535DE">
              <w:rPr>
                <w:rFonts w:asciiTheme="minorHAnsi" w:hAnsiTheme="minorHAnsi" w:cs="TimesNewRomanPS"/>
                <w:sz w:val="20"/>
                <w:szCs w:val="20"/>
              </w:rPr>
              <w:t>10.36%</w:t>
            </w:r>
          </w:p>
        </w:tc>
      </w:tr>
      <w:tr w:rsidR="002032FB" w:rsidRPr="005535DE" w:rsidTr="005535DE">
        <w:trPr>
          <w:trHeight w:val="20"/>
          <w:jc w:val="center"/>
        </w:trPr>
        <w:tc>
          <w:tcPr>
            <w:tcW w:w="0" w:type="auto"/>
            <w:tcBorders>
              <w:top w:val="nil"/>
              <w:left w:val="nil"/>
              <w:bottom w:val="nil"/>
              <w:right w:val="nil"/>
            </w:tcBorders>
            <w:shd w:val="clear" w:color="auto" w:fill="C0C0C0"/>
            <w:noWrap/>
          </w:tcPr>
          <w:p w:rsidR="002032FB" w:rsidRPr="005535DE" w:rsidRDefault="002032FB" w:rsidP="005535DE">
            <w:pPr>
              <w:spacing w:before="0" w:after="0"/>
              <w:contextualSpacing/>
              <w:jc w:val="left"/>
              <w:rPr>
                <w:rFonts w:asciiTheme="minorHAnsi" w:hAnsiTheme="minorHAnsi"/>
                <w:b/>
                <w:bCs/>
                <w:color w:val="000000"/>
                <w:sz w:val="20"/>
                <w:szCs w:val="20"/>
              </w:rPr>
            </w:pPr>
            <w:r w:rsidRPr="005535DE">
              <w:rPr>
                <w:rFonts w:asciiTheme="minorHAnsi" w:hAnsiTheme="minorHAnsi"/>
                <w:b/>
                <w:bCs/>
                <w:color w:val="000000"/>
                <w:sz w:val="20"/>
                <w:szCs w:val="20"/>
              </w:rPr>
              <w:t>Total</w:t>
            </w:r>
          </w:p>
        </w:tc>
        <w:tc>
          <w:tcPr>
            <w:tcW w:w="0" w:type="auto"/>
            <w:tcBorders>
              <w:top w:val="nil"/>
              <w:left w:val="nil"/>
              <w:bottom w:val="nil"/>
              <w:right w:val="nil"/>
            </w:tcBorders>
            <w:noWrap/>
            <w:vAlign w:val="center"/>
          </w:tcPr>
          <w:p w:rsidR="002032FB" w:rsidRPr="005535DE" w:rsidRDefault="002032FB" w:rsidP="005535DE">
            <w:pPr>
              <w:spacing w:before="0" w:after="0"/>
              <w:contextualSpacing/>
              <w:jc w:val="left"/>
              <w:rPr>
                <w:rFonts w:asciiTheme="minorHAnsi" w:hAnsiTheme="minorHAnsi" w:cs="TimesNewRomanPS"/>
                <w:b/>
                <w:bCs/>
                <w:sz w:val="20"/>
                <w:szCs w:val="20"/>
              </w:rPr>
            </w:pPr>
            <w:r w:rsidRPr="005535DE">
              <w:rPr>
                <w:rFonts w:asciiTheme="minorHAnsi" w:hAnsiTheme="minorHAnsi" w:cs="TimesNewRomanPS"/>
                <w:b/>
                <w:bCs/>
                <w:sz w:val="20"/>
                <w:szCs w:val="20"/>
              </w:rPr>
              <w:t>415,356</w:t>
            </w:r>
          </w:p>
        </w:tc>
        <w:tc>
          <w:tcPr>
            <w:tcW w:w="0" w:type="auto"/>
            <w:tcBorders>
              <w:top w:val="nil"/>
              <w:left w:val="nil"/>
              <w:bottom w:val="nil"/>
              <w:right w:val="nil"/>
            </w:tcBorders>
            <w:noWrap/>
            <w:vAlign w:val="center"/>
          </w:tcPr>
          <w:p w:rsidR="002032FB" w:rsidRPr="005535DE" w:rsidRDefault="002032FB" w:rsidP="005535DE">
            <w:pPr>
              <w:spacing w:before="0" w:after="0"/>
              <w:contextualSpacing/>
              <w:jc w:val="left"/>
              <w:rPr>
                <w:rFonts w:asciiTheme="minorHAnsi" w:hAnsiTheme="minorHAnsi" w:cs="TimesNewRomanPS"/>
                <w:b/>
                <w:bCs/>
                <w:sz w:val="20"/>
                <w:szCs w:val="20"/>
              </w:rPr>
            </w:pPr>
            <w:r w:rsidRPr="005535DE">
              <w:rPr>
                <w:rFonts w:asciiTheme="minorHAnsi" w:hAnsiTheme="minorHAnsi" w:cs="TimesNewRomanPS"/>
                <w:b/>
                <w:bCs/>
                <w:sz w:val="20"/>
                <w:szCs w:val="20"/>
              </w:rPr>
              <w:t>427,141</w:t>
            </w:r>
          </w:p>
        </w:tc>
        <w:tc>
          <w:tcPr>
            <w:tcW w:w="0" w:type="auto"/>
            <w:tcBorders>
              <w:top w:val="nil"/>
              <w:left w:val="nil"/>
              <w:bottom w:val="nil"/>
              <w:right w:val="nil"/>
            </w:tcBorders>
            <w:noWrap/>
            <w:vAlign w:val="center"/>
          </w:tcPr>
          <w:p w:rsidR="002032FB" w:rsidRPr="005535DE" w:rsidRDefault="002032FB" w:rsidP="005535DE">
            <w:pPr>
              <w:spacing w:before="0" w:after="0"/>
              <w:contextualSpacing/>
              <w:jc w:val="left"/>
              <w:rPr>
                <w:rFonts w:asciiTheme="minorHAnsi" w:hAnsiTheme="minorHAnsi" w:cs="TimesNewRomanPS"/>
                <w:b/>
                <w:bCs/>
                <w:sz w:val="20"/>
                <w:szCs w:val="20"/>
              </w:rPr>
            </w:pPr>
            <w:r w:rsidRPr="005535DE">
              <w:rPr>
                <w:rFonts w:asciiTheme="minorHAnsi" w:hAnsiTheme="minorHAnsi" w:cs="TimesNewRomanPS"/>
                <w:b/>
                <w:bCs/>
                <w:sz w:val="20"/>
                <w:szCs w:val="20"/>
              </w:rPr>
              <w:t>2.84%</w:t>
            </w:r>
          </w:p>
        </w:tc>
      </w:tr>
    </w:tbl>
    <w:p w:rsidR="0079658C" w:rsidRPr="001A1523" w:rsidRDefault="0079658C" w:rsidP="0079658C">
      <w:pPr>
        <w:rPr>
          <w:rFonts w:cs="Times New Roman"/>
          <w:i/>
          <w:sz w:val="20"/>
          <w:szCs w:val="20"/>
          <w:lang w:val="es-ES_tradnl"/>
        </w:rPr>
      </w:pPr>
      <w:r w:rsidRPr="001A1523">
        <w:rPr>
          <w:rFonts w:cs="Times New Roman"/>
          <w:i/>
          <w:sz w:val="20"/>
          <w:szCs w:val="20"/>
          <w:lang w:val="es-ES_tradnl"/>
        </w:rPr>
        <w:t>Burimi: Drejtoria e Pergjithshme e Tatimeve</w:t>
      </w:r>
    </w:p>
    <w:p w:rsidR="002032FB" w:rsidRPr="00551614" w:rsidRDefault="002032FB" w:rsidP="007D59CF">
      <w:pPr>
        <w:rPr>
          <w:rFonts w:cs="Times New Roman"/>
          <w:lang w:val="es-ES_tradnl"/>
        </w:rPr>
      </w:pPr>
    </w:p>
    <w:p w:rsidR="002032FB" w:rsidRPr="00672CAC" w:rsidRDefault="002032FB" w:rsidP="00F51284">
      <w:pPr>
        <w:rPr>
          <w:rFonts w:cs="Times New Roman"/>
          <w:noProof/>
          <w:lang w:val="sq-AL"/>
        </w:rPr>
      </w:pPr>
    </w:p>
    <w:p w:rsidR="002032FB" w:rsidRDefault="002032FB" w:rsidP="0089066A">
      <w:pPr>
        <w:pStyle w:val="Heading1"/>
        <w:numPr>
          <w:ilvl w:val="0"/>
          <w:numId w:val="0"/>
        </w:numPr>
        <w:jc w:val="both"/>
        <w:rPr>
          <w:rFonts w:cs="Times New Roman"/>
        </w:rPr>
      </w:pPr>
      <w:r>
        <w:rPr>
          <w:rStyle w:val="MessageHeaderLabel"/>
          <w:rFonts w:ascii="Calibri" w:hAnsi="Calibri" w:cs="Times New Roman"/>
          <w:noProof/>
          <w:spacing w:val="0"/>
          <w:sz w:val="24"/>
          <w:szCs w:val="24"/>
          <w:lang w:val="sq-AL"/>
        </w:rPr>
        <w:br w:type="page"/>
      </w:r>
      <w:bookmarkStart w:id="15" w:name="_Toc353453839"/>
      <w:r w:rsidRPr="000848A4">
        <w:rPr>
          <w:rStyle w:val="MessageHeaderLabel"/>
          <w:rFonts w:ascii="Calibri" w:hAnsi="Calibri" w:cs="Calibri"/>
          <w:noProof/>
          <w:sz w:val="22"/>
          <w:szCs w:val="22"/>
          <w:lang w:val="sq-AL"/>
        </w:rPr>
        <w:lastRenderedPageBreak/>
        <w:t xml:space="preserve">Analiza e shpenzimeve pËr periudhËn janar – </w:t>
      </w:r>
      <w:r>
        <w:rPr>
          <w:rStyle w:val="MessageHeaderLabel"/>
          <w:rFonts w:ascii="Calibri" w:hAnsi="Calibri" w:cs="Calibri"/>
          <w:noProof/>
          <w:sz w:val="22"/>
          <w:szCs w:val="22"/>
          <w:lang w:val="sq-AL"/>
        </w:rPr>
        <w:t>dhjetor</w:t>
      </w:r>
      <w:r w:rsidRPr="000848A4">
        <w:rPr>
          <w:rStyle w:val="MessageHeaderLabel"/>
          <w:rFonts w:ascii="Calibri" w:hAnsi="Calibri" w:cs="Calibri"/>
          <w:noProof/>
          <w:sz w:val="22"/>
          <w:szCs w:val="22"/>
          <w:lang w:val="sq-AL"/>
        </w:rPr>
        <w:t xml:space="preserve"> 2012</w:t>
      </w:r>
      <w:bookmarkEnd w:id="15"/>
      <w:r w:rsidR="00583722">
        <w:rPr>
          <w:rStyle w:val="MessageHeaderLabel"/>
          <w:rFonts w:ascii="Calibri" w:hAnsi="Calibri" w:cs="Calibri"/>
          <w:noProof/>
          <w:sz w:val="22"/>
          <w:szCs w:val="22"/>
          <w:lang w:val="sq-AL"/>
        </w:rPr>
        <w:fldChar w:fldCharType="begin"/>
      </w:r>
      <w:r w:rsidRPr="000848A4">
        <w:rPr>
          <w:rFonts w:cs="Times New Roman"/>
          <w:noProof/>
        </w:rPr>
        <w:instrText>tc "</w:instrText>
      </w:r>
      <w:bookmarkStart w:id="16" w:name="_Toc298140745"/>
      <w:r w:rsidRPr="000848A4">
        <w:rPr>
          <w:rStyle w:val="MessageHeaderLabel"/>
          <w:rFonts w:ascii="Calibri" w:hAnsi="Calibri" w:cs="Calibri"/>
          <w:noProof/>
          <w:sz w:val="22"/>
          <w:szCs w:val="22"/>
          <w:lang w:val="sq-AL"/>
        </w:rPr>
        <w:instrText>Analiza e shpenzimeve pËr periudhËn janar-dhjetor 2010</w:instrText>
      </w:r>
      <w:bookmarkEnd w:id="16"/>
      <w:r w:rsidRPr="000848A4">
        <w:rPr>
          <w:rFonts w:cs="Times New Roman"/>
          <w:noProof/>
        </w:rPr>
        <w:instrText>" \f C \l 0</w:instrText>
      </w:r>
      <w:r w:rsidRPr="000848A4">
        <w:rPr>
          <w:noProof/>
        </w:rPr>
        <w:instrText>00001</w:instrText>
      </w:r>
      <w:r w:rsidR="00583722">
        <w:rPr>
          <w:rStyle w:val="MessageHeaderLabel"/>
          <w:rFonts w:ascii="Calibri" w:hAnsi="Calibri" w:cs="Calibri"/>
          <w:noProof/>
          <w:sz w:val="22"/>
          <w:szCs w:val="22"/>
          <w:lang w:val="sq-AL"/>
        </w:rPr>
        <w:fldChar w:fldCharType="end"/>
      </w:r>
    </w:p>
    <w:p w:rsidR="002032FB" w:rsidRDefault="002032FB" w:rsidP="0089066A">
      <w:pPr>
        <w:rPr>
          <w:rFonts w:cs="Times New Roman"/>
        </w:rPr>
      </w:pPr>
      <w:r w:rsidRPr="00182A9E">
        <w:rPr>
          <w:b/>
          <w:bCs/>
        </w:rPr>
        <w:t>Shpenzimet e pergjithshme te buxhetit</w:t>
      </w:r>
      <w:r w:rsidRPr="00182A9E">
        <w:t xml:space="preserve"> ne fund te vitit 20</w:t>
      </w:r>
      <w:r>
        <w:t>12</w:t>
      </w:r>
      <w:r w:rsidRPr="00182A9E">
        <w:t>, arriten ne rreth 3</w:t>
      </w:r>
      <w:r>
        <w:t>76.2</w:t>
      </w:r>
      <w:r w:rsidRPr="00182A9E">
        <w:t xml:space="preserve"> miliarde leke, nga rreth </w:t>
      </w:r>
      <w:r>
        <w:t>382.3</w:t>
      </w:r>
      <w:r w:rsidRPr="00182A9E">
        <w:t xml:space="preserve"> miliarde leke te parashikuara</w:t>
      </w:r>
      <w:r>
        <w:t xml:space="preserve"> me buxhetin e miratuar me aktin normativ</w:t>
      </w:r>
      <w:r w:rsidRPr="00182A9E">
        <w:t>, duke u realizuar ne rreth 9</w:t>
      </w:r>
      <w:r>
        <w:t>8.4</w:t>
      </w:r>
      <w:r w:rsidRPr="00182A9E">
        <w:rPr>
          <w:color w:val="FF0000"/>
        </w:rPr>
        <w:t xml:space="preserve"> </w:t>
      </w:r>
      <w:r w:rsidRPr="00182A9E">
        <w:t xml:space="preserve">perqind ose me nje mosrealizim prej rreth </w:t>
      </w:r>
      <w:r>
        <w:t>6.1</w:t>
      </w:r>
      <w:r w:rsidRPr="00182A9E">
        <w:t xml:space="preserve"> miliarde leke. </w:t>
      </w:r>
      <w:r>
        <w:t>Per rrjedhoje</w:t>
      </w:r>
      <w:r w:rsidRPr="00182A9E">
        <w:t xml:space="preserve"> keto shpenzime ne fund te vitit 20</w:t>
      </w:r>
      <w:r>
        <w:t xml:space="preserve">12 perllogariten </w:t>
      </w:r>
      <w:r w:rsidRPr="00182A9E">
        <w:t xml:space="preserve">ne rreth </w:t>
      </w:r>
      <w:r>
        <w:t>28.0</w:t>
      </w:r>
      <w:r w:rsidRPr="00182A9E">
        <w:t xml:space="preserve"> perqind </w:t>
      </w:r>
      <w:r>
        <w:t>t</w:t>
      </w:r>
      <w:r w:rsidRPr="00182A9E">
        <w:t xml:space="preserve">e Produktit te Brendeshem Bruto, nga rreth </w:t>
      </w:r>
      <w:r>
        <w:t>29.0</w:t>
      </w:r>
      <w:r w:rsidRPr="00182A9E">
        <w:t xml:space="preserve"> perqind qe arriten nje vit me pare.</w:t>
      </w:r>
    </w:p>
    <w:p w:rsidR="002032FB" w:rsidRDefault="002032FB" w:rsidP="0089066A">
      <w:pPr>
        <w:rPr>
          <w:rFonts w:cs="Times New Roman"/>
        </w:rPr>
      </w:pPr>
    </w:p>
    <w:p w:rsidR="002032FB" w:rsidRPr="001B6609" w:rsidRDefault="00E2761F" w:rsidP="0089066A">
      <w:pPr>
        <w:ind w:firstLine="360"/>
        <w:jc w:val="center"/>
        <w:rPr>
          <w:rFonts w:cs="Times New Roman"/>
          <w:lang w:val="it-IT"/>
        </w:rPr>
      </w:pPr>
      <w:r>
        <w:rPr>
          <w:rFonts w:cs="Times New Roman"/>
          <w:noProof/>
        </w:rPr>
        <w:drawing>
          <wp:inline distT="0" distB="0" distL="0" distR="0">
            <wp:extent cx="4262120" cy="20116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4262120" cy="2011680"/>
                    </a:xfrm>
                    <a:prstGeom prst="rect">
                      <a:avLst/>
                    </a:prstGeom>
                    <a:noFill/>
                    <a:ln w="9525">
                      <a:noFill/>
                      <a:miter lim="800000"/>
                      <a:headEnd/>
                      <a:tailEnd/>
                    </a:ln>
                  </pic:spPr>
                </pic:pic>
              </a:graphicData>
            </a:graphic>
          </wp:inline>
        </w:drawing>
      </w:r>
    </w:p>
    <w:p w:rsidR="002032FB" w:rsidRDefault="002032FB" w:rsidP="0089066A">
      <w:pPr>
        <w:ind w:left="60"/>
        <w:rPr>
          <w:rFonts w:cs="Times New Roman"/>
          <w:lang w:val="it-IT"/>
        </w:rPr>
      </w:pPr>
    </w:p>
    <w:p w:rsidR="002032FB" w:rsidRDefault="002032FB" w:rsidP="0089066A">
      <w:pPr>
        <w:ind w:left="60"/>
        <w:rPr>
          <w:lang w:val="it-IT"/>
        </w:rPr>
      </w:pPr>
      <w:r w:rsidRPr="001B1EAB">
        <w:rPr>
          <w:lang w:val="it-IT"/>
        </w:rPr>
        <w:t>Kundrejt vitit 20</w:t>
      </w:r>
      <w:r>
        <w:rPr>
          <w:lang w:val="it-IT"/>
        </w:rPr>
        <w:t>11</w:t>
      </w:r>
      <w:r w:rsidRPr="001B1EAB">
        <w:rPr>
          <w:lang w:val="it-IT"/>
        </w:rPr>
        <w:t xml:space="preserve">, shpenzimet </w:t>
      </w:r>
      <w:r>
        <w:rPr>
          <w:lang w:val="it-IT"/>
        </w:rPr>
        <w:t xml:space="preserve">e pergjithshme </w:t>
      </w:r>
      <w:r w:rsidRPr="001B1EAB">
        <w:rPr>
          <w:lang w:val="it-IT"/>
        </w:rPr>
        <w:t xml:space="preserve">buxhetore rezultojne rreth </w:t>
      </w:r>
      <w:r>
        <w:rPr>
          <w:lang w:val="it-IT"/>
        </w:rPr>
        <w:t>108</w:t>
      </w:r>
      <w:r w:rsidRPr="001B1EAB">
        <w:rPr>
          <w:lang w:val="it-IT"/>
        </w:rPr>
        <w:t xml:space="preserve"> mili</w:t>
      </w:r>
      <w:r>
        <w:rPr>
          <w:lang w:val="it-IT"/>
        </w:rPr>
        <w:t>one</w:t>
      </w:r>
      <w:r w:rsidRPr="001B1EAB">
        <w:rPr>
          <w:lang w:val="it-IT"/>
        </w:rPr>
        <w:t xml:space="preserve"> leke me te </w:t>
      </w:r>
      <w:r>
        <w:rPr>
          <w:lang w:val="it-IT"/>
        </w:rPr>
        <w:t>ulta.</w:t>
      </w:r>
      <w:r w:rsidRPr="001B1EAB">
        <w:rPr>
          <w:lang w:val="it-IT"/>
        </w:rPr>
        <w:t xml:space="preserve"> </w:t>
      </w:r>
      <w:r w:rsidRPr="00351165">
        <w:rPr>
          <w:lang w:val="it-IT"/>
        </w:rPr>
        <w:t xml:space="preserve">Ecuria e shpenzimeve buxhetore </w:t>
      </w:r>
      <w:r>
        <w:rPr>
          <w:lang w:val="it-IT"/>
        </w:rPr>
        <w:t xml:space="preserve">ne shume absolute dhe ritmi i rritjes se tyre </w:t>
      </w:r>
      <w:r w:rsidRPr="00351165">
        <w:rPr>
          <w:lang w:val="it-IT"/>
        </w:rPr>
        <w:t>ne disa vite</w:t>
      </w:r>
      <w:r>
        <w:rPr>
          <w:lang w:val="it-IT"/>
        </w:rPr>
        <w:t>,</w:t>
      </w:r>
      <w:r w:rsidRPr="00351165">
        <w:rPr>
          <w:lang w:val="it-IT"/>
        </w:rPr>
        <w:t xml:space="preserve"> j</w:t>
      </w:r>
      <w:r>
        <w:rPr>
          <w:lang w:val="it-IT"/>
        </w:rPr>
        <w:t>epet ne grafikun e meposhtem:</w:t>
      </w:r>
    </w:p>
    <w:p w:rsidR="002032FB" w:rsidRPr="001B1EAB" w:rsidRDefault="002032FB" w:rsidP="0089066A">
      <w:pPr>
        <w:ind w:left="60"/>
        <w:rPr>
          <w:rFonts w:cs="Times New Roman"/>
          <w:lang w:val="it-IT"/>
        </w:rPr>
      </w:pPr>
    </w:p>
    <w:p w:rsidR="002032FB" w:rsidRPr="001B6609" w:rsidRDefault="00E2761F" w:rsidP="0089066A">
      <w:pPr>
        <w:ind w:left="60"/>
        <w:jc w:val="center"/>
        <w:rPr>
          <w:rFonts w:cs="Times New Roman"/>
        </w:rPr>
      </w:pPr>
      <w:r>
        <w:rPr>
          <w:rFonts w:cs="Times New Roman"/>
          <w:noProof/>
        </w:rPr>
        <w:drawing>
          <wp:inline distT="0" distB="0" distL="0" distR="0">
            <wp:extent cx="4675505" cy="2067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4675505" cy="2067560"/>
                    </a:xfrm>
                    <a:prstGeom prst="rect">
                      <a:avLst/>
                    </a:prstGeom>
                    <a:noFill/>
                    <a:ln w="9525">
                      <a:noFill/>
                      <a:miter lim="800000"/>
                      <a:headEnd/>
                      <a:tailEnd/>
                    </a:ln>
                  </pic:spPr>
                </pic:pic>
              </a:graphicData>
            </a:graphic>
          </wp:inline>
        </w:drawing>
      </w:r>
    </w:p>
    <w:p w:rsidR="002032FB" w:rsidRPr="00F57794" w:rsidRDefault="002032FB" w:rsidP="0089066A">
      <w:pPr>
        <w:ind w:left="60"/>
        <w:jc w:val="center"/>
        <w:rPr>
          <w:rFonts w:cs="Times New Roman"/>
          <w:lang w:val="nb-NO"/>
        </w:rPr>
      </w:pPr>
    </w:p>
    <w:p w:rsidR="002032FB" w:rsidRPr="00D12C24" w:rsidRDefault="002032FB" w:rsidP="0089066A">
      <w:pPr>
        <w:rPr>
          <w:lang w:val="nb-NO"/>
        </w:rPr>
      </w:pPr>
      <w:r>
        <w:rPr>
          <w:lang w:val="nb-NO"/>
        </w:rPr>
        <w:t>S</w:t>
      </w:r>
      <w:r w:rsidRPr="00D12C24">
        <w:rPr>
          <w:lang w:val="nb-NO"/>
        </w:rPr>
        <w:t xml:space="preserve">hpenzimet e kryera nepermjet perdorimit te fondit rezerve te Keshillit te </w:t>
      </w:r>
      <w:r>
        <w:rPr>
          <w:lang w:val="nb-NO"/>
        </w:rPr>
        <w:t>M</w:t>
      </w:r>
      <w:r w:rsidRPr="00D12C24">
        <w:rPr>
          <w:lang w:val="nb-NO"/>
        </w:rPr>
        <w:t>inistrave dhe kontigjences, jane reflektuar ne zerat e shpenzimeve ku ato jane kryer, si me poshte:</w:t>
      </w:r>
    </w:p>
    <w:p w:rsidR="002032FB" w:rsidRPr="00D12C24" w:rsidRDefault="002032FB" w:rsidP="0089066A">
      <w:pPr>
        <w:rPr>
          <w:rFonts w:cs="Times New Roman"/>
          <w:highlight w:val="yellow"/>
          <w:lang w:val="nb-NO"/>
        </w:rPr>
      </w:pPr>
    </w:p>
    <w:p w:rsidR="002032FB" w:rsidRPr="009C66BD" w:rsidRDefault="002032FB" w:rsidP="0089066A">
      <w:pPr>
        <w:numPr>
          <w:ilvl w:val="0"/>
          <w:numId w:val="22"/>
        </w:numPr>
        <w:spacing w:before="0" w:after="0"/>
        <w:rPr>
          <w:lang w:val="nb-NO"/>
        </w:rPr>
      </w:pPr>
      <w:r w:rsidRPr="009C66BD">
        <w:rPr>
          <w:lang w:val="nb-NO"/>
        </w:rPr>
        <w:t>Fondi rezerve i Keshillit te Ministrave, i planifikuar ne rreth 1.</w:t>
      </w:r>
      <w:r>
        <w:rPr>
          <w:lang w:val="nb-NO"/>
        </w:rPr>
        <w:t>8</w:t>
      </w:r>
      <w:r w:rsidRPr="009C66BD">
        <w:rPr>
          <w:lang w:val="nb-NO"/>
        </w:rPr>
        <w:t xml:space="preserve"> miliarde leke, gjate vitit 201</w:t>
      </w:r>
      <w:r>
        <w:rPr>
          <w:lang w:val="nb-NO"/>
        </w:rPr>
        <w:t>2</w:t>
      </w:r>
      <w:r w:rsidRPr="009C66BD">
        <w:rPr>
          <w:lang w:val="nb-NO"/>
        </w:rPr>
        <w:t xml:space="preserve">, eshte </w:t>
      </w:r>
      <w:r>
        <w:rPr>
          <w:lang w:val="nb-NO"/>
        </w:rPr>
        <w:t>perdorur</w:t>
      </w:r>
      <w:r w:rsidRPr="009C66BD">
        <w:rPr>
          <w:lang w:val="nb-NO"/>
        </w:rPr>
        <w:t xml:space="preserve"> ne rreth 1.</w:t>
      </w:r>
      <w:r>
        <w:rPr>
          <w:lang w:val="nb-NO"/>
        </w:rPr>
        <w:t>5</w:t>
      </w:r>
      <w:r w:rsidRPr="009C66BD">
        <w:rPr>
          <w:lang w:val="nb-NO"/>
        </w:rPr>
        <w:t xml:space="preserve"> miliarde leke, perkatesisht rreth </w:t>
      </w:r>
      <w:r>
        <w:rPr>
          <w:lang w:val="nb-NO"/>
        </w:rPr>
        <w:t>62.0</w:t>
      </w:r>
      <w:r w:rsidRPr="009C66BD">
        <w:rPr>
          <w:lang w:val="nb-NO"/>
        </w:rPr>
        <w:t xml:space="preserve"> milione leke per </w:t>
      </w:r>
      <w:r w:rsidRPr="009C66BD">
        <w:rPr>
          <w:lang w:val="nb-NO"/>
        </w:rPr>
        <w:lastRenderedPageBreak/>
        <w:t xml:space="preserve">shpenzime personeli, rreth </w:t>
      </w:r>
      <w:r>
        <w:rPr>
          <w:lang w:val="nb-NO"/>
        </w:rPr>
        <w:t>1.2</w:t>
      </w:r>
      <w:r w:rsidRPr="009C66BD">
        <w:rPr>
          <w:lang w:val="nb-NO"/>
        </w:rPr>
        <w:t xml:space="preserve"> mili</w:t>
      </w:r>
      <w:r>
        <w:rPr>
          <w:lang w:val="nb-NO"/>
        </w:rPr>
        <w:t>arde</w:t>
      </w:r>
      <w:r w:rsidRPr="009C66BD">
        <w:rPr>
          <w:lang w:val="nb-NO"/>
        </w:rPr>
        <w:t xml:space="preserve"> leke per shpenzime te tjera korente dhe rreth </w:t>
      </w:r>
      <w:r>
        <w:rPr>
          <w:lang w:val="nb-NO"/>
        </w:rPr>
        <w:t>257.3</w:t>
      </w:r>
      <w:r w:rsidRPr="009C66BD">
        <w:rPr>
          <w:lang w:val="nb-NO"/>
        </w:rPr>
        <w:t xml:space="preserve"> milione leke per investime.</w:t>
      </w:r>
    </w:p>
    <w:p w:rsidR="002032FB" w:rsidRPr="009C66BD" w:rsidRDefault="002032FB" w:rsidP="0089066A">
      <w:pPr>
        <w:rPr>
          <w:rFonts w:cs="Times New Roman"/>
          <w:lang w:val="nb-NO"/>
        </w:rPr>
      </w:pPr>
    </w:p>
    <w:p w:rsidR="002032FB" w:rsidRDefault="002032FB" w:rsidP="0089066A">
      <w:pPr>
        <w:numPr>
          <w:ilvl w:val="0"/>
          <w:numId w:val="22"/>
        </w:numPr>
        <w:spacing w:before="0" w:after="0"/>
        <w:rPr>
          <w:rFonts w:cs="Times New Roman"/>
          <w:lang w:val="sq-AL"/>
        </w:rPr>
      </w:pPr>
      <w:r w:rsidRPr="009C66BD">
        <w:rPr>
          <w:lang w:val="nb-NO"/>
        </w:rPr>
        <w:t xml:space="preserve">Fondi i kontigjences per ruajtjen e deficitit, i planifikuar ne rreth </w:t>
      </w:r>
      <w:r>
        <w:rPr>
          <w:lang w:val="nb-NO"/>
        </w:rPr>
        <w:t>2.6</w:t>
      </w:r>
      <w:r w:rsidRPr="009C66BD">
        <w:rPr>
          <w:lang w:val="nb-NO"/>
        </w:rPr>
        <w:t xml:space="preserve"> miliarde leke, </w:t>
      </w:r>
      <w:r>
        <w:rPr>
          <w:lang w:val="nb-NO"/>
        </w:rPr>
        <w:t xml:space="preserve">gjate vitit </w:t>
      </w:r>
      <w:r w:rsidRPr="009C66BD">
        <w:rPr>
          <w:lang w:val="nb-NO"/>
        </w:rPr>
        <w:t xml:space="preserve"> 201</w:t>
      </w:r>
      <w:r>
        <w:rPr>
          <w:lang w:val="nb-NO"/>
        </w:rPr>
        <w:t>2</w:t>
      </w:r>
      <w:r w:rsidRPr="009C66BD">
        <w:rPr>
          <w:lang w:val="nb-NO"/>
        </w:rPr>
        <w:t xml:space="preserve"> eshte perdorur ne rreth 2.</w:t>
      </w:r>
      <w:r>
        <w:rPr>
          <w:lang w:val="nb-NO"/>
        </w:rPr>
        <w:t>25</w:t>
      </w:r>
      <w:r w:rsidRPr="009C66BD">
        <w:rPr>
          <w:lang w:val="nb-NO"/>
        </w:rPr>
        <w:t xml:space="preserve"> miliarde leke, nga e cila </w:t>
      </w:r>
      <w:r w:rsidRPr="00B039E3">
        <w:t>2</w:t>
      </w:r>
      <w:r>
        <w:t>.0</w:t>
      </w:r>
      <w:r w:rsidRPr="00B039E3">
        <w:t xml:space="preserve"> miliarde leke jane dhene ne formen e huase KESH-it dhe </w:t>
      </w:r>
      <w:r>
        <w:t>245.8</w:t>
      </w:r>
      <w:r w:rsidRPr="00D7704C">
        <w:t xml:space="preserve"> milione leke</w:t>
      </w:r>
      <w:r>
        <w:t xml:space="preserve"> ne formen e subvencionit, per </w:t>
      </w:r>
      <w:r w:rsidRPr="00014F65">
        <w:t>kompe</w:t>
      </w:r>
      <w:r>
        <w:t>n</w:t>
      </w:r>
      <w:r w:rsidRPr="00014F65">
        <w:t xml:space="preserve">simin e vleres se takses se biznesit te vogel, te perdorur per rimbursimin e pajisjeve fiskale dhe taksimetrave, </w:t>
      </w:r>
      <w:r>
        <w:t>tek njesite e qeverisjes vendore.</w:t>
      </w:r>
    </w:p>
    <w:p w:rsidR="002032FB" w:rsidRDefault="002032FB" w:rsidP="0089066A">
      <w:pPr>
        <w:rPr>
          <w:rFonts w:cs="Times New Roman"/>
          <w:lang w:val="sq-AL"/>
        </w:rPr>
      </w:pPr>
    </w:p>
    <w:p w:rsidR="002032FB" w:rsidRPr="00E91D81" w:rsidRDefault="002032FB" w:rsidP="0089066A">
      <w:pPr>
        <w:numPr>
          <w:ilvl w:val="0"/>
          <w:numId w:val="22"/>
        </w:numPr>
        <w:spacing w:before="0" w:after="0"/>
        <w:rPr>
          <w:rFonts w:cs="Times New Roman"/>
          <w:lang w:val="sq-AL"/>
        </w:rPr>
      </w:pPr>
      <w:r>
        <w:rPr>
          <w:lang w:val="sq-AL"/>
        </w:rPr>
        <w:t xml:space="preserve">Fondi per rritjen e pensioneve i planifikuar ne rreth 1.5 miliarde leke eshte perdorur teresisht  ne masen e planifikuar dhe eshte pasqyruar ne zerin e shpenzimeve shoqerore, ndersa nga fondi per rritjen e pagave, prej rreth 755 milione leke, 642.1 milione eshte perdorur per rritjen e pagave dhe rreth 112.5 milione leke per rritjen e sigurimeve shoqerore.  </w:t>
      </w:r>
    </w:p>
    <w:p w:rsidR="002032FB" w:rsidRPr="009C66BD" w:rsidRDefault="002032FB" w:rsidP="0089066A">
      <w:pPr>
        <w:rPr>
          <w:rFonts w:cs="Times New Roman"/>
          <w:lang w:val="sq-AL"/>
        </w:rPr>
      </w:pPr>
    </w:p>
    <w:p w:rsidR="002032FB" w:rsidRPr="009C66BD" w:rsidRDefault="002032FB" w:rsidP="0089066A">
      <w:pPr>
        <w:ind w:left="60"/>
        <w:rPr>
          <w:lang w:val="sq-AL"/>
        </w:rPr>
      </w:pPr>
      <w:r w:rsidRPr="009C66BD">
        <w:rPr>
          <w:lang w:val="sq-AL"/>
        </w:rPr>
        <w:t>Ne totalin e shpenzimeve buxhetore te realizuara, gjate vitit 201</w:t>
      </w:r>
      <w:r>
        <w:rPr>
          <w:lang w:val="sq-AL"/>
        </w:rPr>
        <w:t>2</w:t>
      </w:r>
      <w:r w:rsidRPr="009C66BD">
        <w:rPr>
          <w:lang w:val="sq-AL"/>
        </w:rPr>
        <w:t>, shpenzimet korente zene rreth 8</w:t>
      </w:r>
      <w:r>
        <w:rPr>
          <w:lang w:val="sq-AL"/>
        </w:rPr>
        <w:t>3.6</w:t>
      </w:r>
      <w:r w:rsidRPr="009C66BD">
        <w:rPr>
          <w:lang w:val="sq-AL"/>
        </w:rPr>
        <w:t xml:space="preserve"> perqind, nderkohe qe shpenzimet per investime zene rreth 1</w:t>
      </w:r>
      <w:r>
        <w:rPr>
          <w:lang w:val="sq-AL"/>
        </w:rPr>
        <w:t>6.4</w:t>
      </w:r>
      <w:r w:rsidRPr="009C66BD">
        <w:rPr>
          <w:lang w:val="sq-AL"/>
        </w:rPr>
        <w:t xml:space="preserve"> perqind. </w:t>
      </w:r>
    </w:p>
    <w:p w:rsidR="002032FB" w:rsidRPr="009C66BD" w:rsidRDefault="002032FB" w:rsidP="0089066A">
      <w:pPr>
        <w:ind w:left="60"/>
        <w:jc w:val="center"/>
        <w:rPr>
          <w:rFonts w:cs="Times New Roman"/>
          <w:lang w:val="sq-AL"/>
        </w:rPr>
      </w:pPr>
    </w:p>
    <w:p w:rsidR="002032FB" w:rsidRPr="000A7C52" w:rsidRDefault="00E2761F" w:rsidP="0089066A">
      <w:pPr>
        <w:ind w:left="60"/>
        <w:jc w:val="center"/>
        <w:rPr>
          <w:rFonts w:cs="Times New Roman"/>
          <w:lang w:val="it-IT"/>
        </w:rPr>
      </w:pPr>
      <w:r>
        <w:rPr>
          <w:rFonts w:cs="Times New Roman"/>
          <w:noProof/>
        </w:rPr>
        <w:drawing>
          <wp:inline distT="0" distB="0" distL="0" distR="0">
            <wp:extent cx="4118610" cy="1987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4118610" cy="1987550"/>
                    </a:xfrm>
                    <a:prstGeom prst="rect">
                      <a:avLst/>
                    </a:prstGeom>
                    <a:noFill/>
                    <a:ln w="9525">
                      <a:noFill/>
                      <a:miter lim="800000"/>
                      <a:headEnd/>
                      <a:tailEnd/>
                    </a:ln>
                  </pic:spPr>
                </pic:pic>
              </a:graphicData>
            </a:graphic>
          </wp:inline>
        </w:drawing>
      </w:r>
    </w:p>
    <w:p w:rsidR="002032FB" w:rsidRPr="00AA3FF5" w:rsidRDefault="002032FB" w:rsidP="0089066A">
      <w:pPr>
        <w:ind w:left="60"/>
        <w:rPr>
          <w:rFonts w:cs="Times New Roman"/>
          <w:b/>
          <w:bCs/>
          <w:lang w:val="nb-NO"/>
        </w:rPr>
      </w:pPr>
    </w:p>
    <w:p w:rsidR="002032FB" w:rsidRDefault="002032FB" w:rsidP="0089066A">
      <w:pPr>
        <w:ind w:left="60"/>
        <w:rPr>
          <w:rFonts w:cs="Times New Roman"/>
          <w:lang w:val="nb-NO"/>
        </w:rPr>
      </w:pPr>
      <w:r w:rsidRPr="00E53FF9">
        <w:rPr>
          <w:b/>
          <w:bCs/>
          <w:lang w:val="nb-NO"/>
        </w:rPr>
        <w:t>S</w:t>
      </w:r>
      <w:r w:rsidRPr="00F0735F">
        <w:rPr>
          <w:b/>
          <w:bCs/>
          <w:lang w:val="nb-NO"/>
        </w:rPr>
        <w:t>hpenzimet korente</w:t>
      </w:r>
      <w:r w:rsidRPr="00F0735F">
        <w:rPr>
          <w:lang w:val="nb-NO"/>
        </w:rPr>
        <w:t xml:space="preserve">, kane arritur ne rreth </w:t>
      </w:r>
      <w:r>
        <w:rPr>
          <w:lang w:val="nb-NO"/>
        </w:rPr>
        <w:t>314.6</w:t>
      </w:r>
      <w:r w:rsidRPr="00F0735F">
        <w:rPr>
          <w:lang w:val="nb-NO"/>
        </w:rPr>
        <w:t xml:space="preserve"> miliarde leke ose rreth 9</w:t>
      </w:r>
      <w:r>
        <w:rPr>
          <w:lang w:val="nb-NO"/>
        </w:rPr>
        <w:t>9.3</w:t>
      </w:r>
      <w:r w:rsidRPr="00F0735F">
        <w:rPr>
          <w:lang w:val="nb-NO"/>
        </w:rPr>
        <w:t xml:space="preserve"> perqind te </w:t>
      </w:r>
      <w:r w:rsidRPr="00991553">
        <w:rPr>
          <w:b/>
          <w:bCs/>
          <w:lang w:val="nb-NO"/>
        </w:rPr>
        <w:t>planit vjetor me ndryshime</w:t>
      </w:r>
      <w:r>
        <w:rPr>
          <w:lang w:val="nb-NO"/>
        </w:rPr>
        <w:t xml:space="preserve"> (plan qe merr ne konsiderate perdorimet nga fondi rezerve i Keshillit te Ministrave, nga fondi i kontigjences per ruajtjen e deficitit, nga kontigjenca per rritjen e pagave dhe pensioneve, perdorimet nga fondi i vecante dhe rishperndarjet e fondeve brenda dhe ndermjet institucioneve buxhetore).  Shpenzimet korente arriten ne rreth 23.37 perqind te PBB-se nga rreth 23.55 perqind qe ishin nje vit me pare. K</w:t>
      </w:r>
      <w:r w:rsidRPr="00F0735F">
        <w:rPr>
          <w:lang w:val="nb-NO"/>
        </w:rPr>
        <w:t>rahasuar me viti</w:t>
      </w:r>
      <w:r>
        <w:rPr>
          <w:lang w:val="nb-NO"/>
        </w:rPr>
        <w:t>n</w:t>
      </w:r>
      <w:r w:rsidRPr="00F0735F">
        <w:rPr>
          <w:lang w:val="nb-NO"/>
        </w:rPr>
        <w:t xml:space="preserve"> e kaluar, keto shpenzime rezultojne rreth </w:t>
      </w:r>
      <w:r>
        <w:rPr>
          <w:lang w:val="nb-NO"/>
        </w:rPr>
        <w:t>8.9</w:t>
      </w:r>
      <w:r w:rsidRPr="00F0735F">
        <w:rPr>
          <w:lang w:val="nb-NO"/>
        </w:rPr>
        <w:t xml:space="preserve"> miliarde leke me te larta ose rreth </w:t>
      </w:r>
      <w:r>
        <w:rPr>
          <w:lang w:val="nb-NO"/>
        </w:rPr>
        <w:t>2.9</w:t>
      </w:r>
      <w:r w:rsidRPr="00F0735F">
        <w:rPr>
          <w:lang w:val="nb-NO"/>
        </w:rPr>
        <w:t xml:space="preserve"> perqind me shume.</w:t>
      </w:r>
    </w:p>
    <w:p w:rsidR="002032FB" w:rsidRPr="00F0735F" w:rsidRDefault="002032FB" w:rsidP="0089066A">
      <w:pPr>
        <w:ind w:left="60"/>
        <w:rPr>
          <w:lang w:val="nb-NO"/>
        </w:rPr>
      </w:pPr>
      <w:r w:rsidRPr="00F0735F">
        <w:rPr>
          <w:lang w:val="nb-NO"/>
        </w:rPr>
        <w:t xml:space="preserve"> </w:t>
      </w:r>
    </w:p>
    <w:p w:rsidR="002032FB" w:rsidRPr="00F21D6A" w:rsidRDefault="00E2761F" w:rsidP="0089066A">
      <w:pPr>
        <w:ind w:left="60"/>
        <w:jc w:val="center"/>
        <w:rPr>
          <w:rFonts w:cs="Times New Roman"/>
          <w:lang w:val="nb-NO"/>
        </w:rPr>
      </w:pPr>
      <w:r>
        <w:rPr>
          <w:rFonts w:cs="Times New Roman"/>
          <w:noProof/>
        </w:rPr>
        <w:lastRenderedPageBreak/>
        <w:drawing>
          <wp:inline distT="0" distB="0" distL="0" distR="0">
            <wp:extent cx="4214495" cy="19323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4214495" cy="1932305"/>
                    </a:xfrm>
                    <a:prstGeom prst="rect">
                      <a:avLst/>
                    </a:prstGeom>
                    <a:noFill/>
                    <a:ln w="9525">
                      <a:noFill/>
                      <a:miter lim="800000"/>
                      <a:headEnd/>
                      <a:tailEnd/>
                    </a:ln>
                  </pic:spPr>
                </pic:pic>
              </a:graphicData>
            </a:graphic>
          </wp:inline>
        </w:drawing>
      </w:r>
    </w:p>
    <w:p w:rsidR="002032FB" w:rsidRPr="00263B43" w:rsidRDefault="002032FB" w:rsidP="0089066A">
      <w:pPr>
        <w:ind w:left="60"/>
        <w:rPr>
          <w:lang w:val="sq-AL"/>
        </w:rPr>
      </w:pPr>
      <w:r>
        <w:rPr>
          <w:b/>
          <w:bCs/>
          <w:lang w:val="sq-AL"/>
        </w:rPr>
        <w:t>S</w:t>
      </w:r>
      <w:r w:rsidRPr="00B233D3">
        <w:rPr>
          <w:b/>
          <w:bCs/>
          <w:lang w:val="sq-AL"/>
        </w:rPr>
        <w:t>hpenzimet e personelit,</w:t>
      </w:r>
      <w:r w:rsidRPr="00B233D3">
        <w:rPr>
          <w:lang w:val="sq-AL"/>
        </w:rPr>
        <w:t xml:space="preserve"> perfaqesojne rreth 2</w:t>
      </w:r>
      <w:r>
        <w:rPr>
          <w:lang w:val="sq-AL"/>
        </w:rPr>
        <w:t>2.1</w:t>
      </w:r>
      <w:r w:rsidRPr="00B233D3">
        <w:rPr>
          <w:lang w:val="sq-AL"/>
        </w:rPr>
        <w:t xml:space="preserve"> perqind te totalit te shpenzimeve korente te realizuara gjate vitit 20</w:t>
      </w:r>
      <w:r>
        <w:rPr>
          <w:lang w:val="sq-AL"/>
        </w:rPr>
        <w:t>12</w:t>
      </w:r>
      <w:r w:rsidRPr="00B233D3">
        <w:rPr>
          <w:lang w:val="sq-AL"/>
        </w:rPr>
        <w:t xml:space="preserve"> </w:t>
      </w:r>
      <w:r>
        <w:rPr>
          <w:lang w:val="sq-AL"/>
        </w:rPr>
        <w:t xml:space="preserve">dhe ne </w:t>
      </w:r>
      <w:r w:rsidRPr="00263B43">
        <w:rPr>
          <w:lang w:val="sq-AL"/>
        </w:rPr>
        <w:t>fund te vitit 20</w:t>
      </w:r>
      <w:r>
        <w:rPr>
          <w:lang w:val="sq-AL"/>
        </w:rPr>
        <w:t>12</w:t>
      </w:r>
      <w:r w:rsidRPr="00263B43">
        <w:rPr>
          <w:lang w:val="sq-AL"/>
        </w:rPr>
        <w:t xml:space="preserve"> arriten ne rreth 5.</w:t>
      </w:r>
      <w:r>
        <w:rPr>
          <w:lang w:val="sq-AL"/>
        </w:rPr>
        <w:t>2</w:t>
      </w:r>
      <w:r w:rsidRPr="00263B43">
        <w:rPr>
          <w:lang w:val="sq-AL"/>
        </w:rPr>
        <w:t xml:space="preserve"> perqind e PBB-se, </w:t>
      </w:r>
      <w:r>
        <w:rPr>
          <w:lang w:val="sq-AL"/>
        </w:rPr>
        <w:t xml:space="preserve">pra ne te njejtin nivel qe ishin edhe nje </w:t>
      </w:r>
      <w:r w:rsidRPr="00263B43">
        <w:rPr>
          <w:lang w:val="sq-AL"/>
        </w:rPr>
        <w:t xml:space="preserve">vit me pare. </w:t>
      </w:r>
    </w:p>
    <w:p w:rsidR="002032FB" w:rsidRPr="00263B43" w:rsidRDefault="002032FB" w:rsidP="0089066A">
      <w:pPr>
        <w:ind w:left="60"/>
        <w:rPr>
          <w:lang w:val="sq-AL"/>
        </w:rPr>
      </w:pPr>
    </w:p>
    <w:p w:rsidR="002032FB" w:rsidRPr="00DB33D2" w:rsidRDefault="00E2761F" w:rsidP="0089066A">
      <w:pPr>
        <w:ind w:left="60"/>
        <w:jc w:val="center"/>
        <w:rPr>
          <w:rFonts w:cs="Times New Roman"/>
        </w:rPr>
      </w:pPr>
      <w:r>
        <w:rPr>
          <w:rFonts w:cs="Times New Roman"/>
          <w:noProof/>
        </w:rPr>
        <w:drawing>
          <wp:inline distT="0" distB="0" distL="0" distR="0">
            <wp:extent cx="4651375" cy="1892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4651375" cy="1892300"/>
                    </a:xfrm>
                    <a:prstGeom prst="rect">
                      <a:avLst/>
                    </a:prstGeom>
                    <a:noFill/>
                    <a:ln w="9525">
                      <a:noFill/>
                      <a:miter lim="800000"/>
                      <a:headEnd/>
                      <a:tailEnd/>
                    </a:ln>
                  </pic:spPr>
                </pic:pic>
              </a:graphicData>
            </a:graphic>
          </wp:inline>
        </w:drawing>
      </w:r>
    </w:p>
    <w:p w:rsidR="002032FB" w:rsidRPr="00D40294" w:rsidRDefault="002032FB" w:rsidP="0089066A">
      <w:pPr>
        <w:ind w:left="60"/>
        <w:rPr>
          <w:rFonts w:cs="Times New Roman"/>
        </w:rPr>
      </w:pPr>
    </w:p>
    <w:p w:rsidR="002032FB" w:rsidRDefault="002032FB" w:rsidP="0089066A">
      <w:pPr>
        <w:ind w:left="60"/>
        <w:rPr>
          <w:rFonts w:cs="Times New Roman"/>
        </w:rPr>
      </w:pPr>
      <w:r w:rsidRPr="00D40294">
        <w:t xml:space="preserve">Krahasuar me </w:t>
      </w:r>
      <w:r>
        <w:t>vitin e kaluar</w:t>
      </w:r>
      <w:r w:rsidRPr="00D40294">
        <w:t xml:space="preserve">, shpenzimet e personelit rezultojne rreth </w:t>
      </w:r>
      <w:r>
        <w:t xml:space="preserve">2.0 </w:t>
      </w:r>
      <w:r w:rsidRPr="00D40294">
        <w:t xml:space="preserve">miliarde leke me te </w:t>
      </w:r>
      <w:r>
        <w:t>larta</w:t>
      </w:r>
      <w:r w:rsidRPr="00D40294">
        <w:t xml:space="preserve">, ose rreth </w:t>
      </w:r>
      <w:r>
        <w:t>3.0</w:t>
      </w:r>
      <w:r w:rsidRPr="00D40294">
        <w:t xml:space="preserve"> perqind me </w:t>
      </w:r>
      <w:r>
        <w:t>shume</w:t>
      </w:r>
      <w:r w:rsidRPr="00D40294">
        <w:t xml:space="preserve">, nderkohe qe shpenzimet per paga rezultojne rreth </w:t>
      </w:r>
      <w:r>
        <w:t>1.7</w:t>
      </w:r>
      <w:r w:rsidRPr="00D40294">
        <w:t xml:space="preserve"> miliarde leke me te </w:t>
      </w:r>
      <w:r>
        <w:t>larta</w:t>
      </w:r>
      <w:r w:rsidRPr="00D40294">
        <w:t xml:space="preserve">, ose rreth </w:t>
      </w:r>
      <w:r>
        <w:t>3.0</w:t>
      </w:r>
      <w:r w:rsidRPr="00D40294">
        <w:t xml:space="preserve"> perqind me </w:t>
      </w:r>
      <w:r>
        <w:t>shume</w:t>
      </w:r>
      <w:r w:rsidRPr="00D40294">
        <w:t xml:space="preserve"> dhe shpenzimet per kontribute te sigurimeve shoqerore rreth </w:t>
      </w:r>
      <w:r>
        <w:t>0.25</w:t>
      </w:r>
      <w:r w:rsidRPr="00D40294">
        <w:t xml:space="preserve"> miliarde leke me te </w:t>
      </w:r>
      <w:r>
        <w:t>larta</w:t>
      </w:r>
      <w:r w:rsidRPr="00D40294">
        <w:t xml:space="preserve">, ose rreth </w:t>
      </w:r>
      <w:r>
        <w:t>2.7</w:t>
      </w:r>
      <w:r w:rsidRPr="00D40294">
        <w:t xml:space="preserve"> perqind me </w:t>
      </w:r>
      <w:r>
        <w:t>shume</w:t>
      </w:r>
      <w:r w:rsidRPr="00D40294">
        <w:t xml:space="preserve">. </w:t>
      </w:r>
    </w:p>
    <w:p w:rsidR="002032FB" w:rsidRDefault="002032FB" w:rsidP="0089066A">
      <w:pPr>
        <w:ind w:left="60"/>
        <w:rPr>
          <w:rFonts w:cs="Times New Roman"/>
        </w:rPr>
      </w:pPr>
    </w:p>
    <w:p w:rsidR="002032FB" w:rsidRPr="00DB33D2" w:rsidRDefault="00E2761F" w:rsidP="0089066A">
      <w:pPr>
        <w:ind w:left="60"/>
        <w:jc w:val="center"/>
        <w:rPr>
          <w:rFonts w:cs="Times New Roman"/>
        </w:rPr>
      </w:pPr>
      <w:r>
        <w:rPr>
          <w:rFonts w:cs="Times New Roman"/>
          <w:noProof/>
        </w:rPr>
        <w:drawing>
          <wp:inline distT="0" distB="0" distL="0" distR="0">
            <wp:extent cx="4675505" cy="20199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srcRect/>
                    <a:stretch>
                      <a:fillRect/>
                    </a:stretch>
                  </pic:blipFill>
                  <pic:spPr bwMode="auto">
                    <a:xfrm>
                      <a:off x="0" y="0"/>
                      <a:ext cx="4675505" cy="2019935"/>
                    </a:xfrm>
                    <a:prstGeom prst="rect">
                      <a:avLst/>
                    </a:prstGeom>
                    <a:noFill/>
                    <a:ln w="9525">
                      <a:noFill/>
                      <a:miter lim="800000"/>
                      <a:headEnd/>
                      <a:tailEnd/>
                    </a:ln>
                  </pic:spPr>
                </pic:pic>
              </a:graphicData>
            </a:graphic>
          </wp:inline>
        </w:drawing>
      </w:r>
    </w:p>
    <w:p w:rsidR="002032FB" w:rsidRPr="00D46281" w:rsidRDefault="002032FB" w:rsidP="0089066A">
      <w:pPr>
        <w:ind w:left="60"/>
        <w:rPr>
          <w:rFonts w:cs="Times New Roman"/>
        </w:rPr>
      </w:pPr>
      <w:r>
        <w:lastRenderedPageBreak/>
        <w:t xml:space="preserve">   </w:t>
      </w:r>
    </w:p>
    <w:p w:rsidR="002032FB" w:rsidRDefault="002032FB" w:rsidP="0089066A">
      <w:pPr>
        <w:ind w:left="60"/>
      </w:pPr>
      <w:r w:rsidRPr="00F31BAA">
        <w:rPr>
          <w:b/>
          <w:bCs/>
          <w:lang w:val="sq-AL"/>
        </w:rPr>
        <w:t>Shpenzimet per interesa</w:t>
      </w:r>
      <w:r>
        <w:rPr>
          <w:lang w:val="sq-AL"/>
        </w:rPr>
        <w:t xml:space="preserve">, </w:t>
      </w:r>
      <w:r w:rsidRPr="00D40294">
        <w:t>qe perfaqesojne rreth 1</w:t>
      </w:r>
      <w:r>
        <w:t>3.2</w:t>
      </w:r>
      <w:r w:rsidRPr="00D40294">
        <w:t xml:space="preserve"> perqind te totalit te shpenzimeve korente te realizuara gjate </w:t>
      </w:r>
      <w:r>
        <w:t>vitit 2012</w:t>
      </w:r>
      <w:r w:rsidRPr="00D40294">
        <w:t xml:space="preserve">, </w:t>
      </w:r>
      <w:r>
        <w:t xml:space="preserve">krahasuar me planin vjetor, </w:t>
      </w:r>
      <w:r w:rsidRPr="00D40294">
        <w:t xml:space="preserve">rezultojne me nje kursim prej rreth </w:t>
      </w:r>
      <w:r>
        <w:t xml:space="preserve">703 milione </w:t>
      </w:r>
      <w:r w:rsidRPr="00D40294">
        <w:t xml:space="preserve">leke, </w:t>
      </w:r>
      <w:r>
        <w:t xml:space="preserve"> kursim</w:t>
      </w:r>
      <w:r w:rsidRPr="00D40294">
        <w:t xml:space="preserve"> ky </w:t>
      </w:r>
      <w:r>
        <w:t xml:space="preserve">i evidentuar </w:t>
      </w:r>
      <w:r w:rsidRPr="00D40294">
        <w:t xml:space="preserve">ne interesat e </w:t>
      </w:r>
      <w:r>
        <w:t xml:space="preserve">brendeshme me rreth 195 milione leke dhe ne interesat e </w:t>
      </w:r>
      <w:r w:rsidRPr="00D40294">
        <w:t>jashtme</w:t>
      </w:r>
      <w:r>
        <w:t>, me rreth 508 milione leke</w:t>
      </w:r>
      <w:r w:rsidRPr="00D40294">
        <w:t>.</w:t>
      </w:r>
      <w:r>
        <w:t xml:space="preserve"> Ne kete menyre shpenzimet per interesa arriten ne rreth 3.08 perqind e PBB-se, nga rreth 3.17 perqind qe ishin nje vit me pare.</w:t>
      </w:r>
    </w:p>
    <w:p w:rsidR="002032FB" w:rsidRDefault="002032FB" w:rsidP="0089066A">
      <w:pPr>
        <w:ind w:left="60"/>
      </w:pPr>
    </w:p>
    <w:p w:rsidR="002032FB" w:rsidRDefault="00E2761F" w:rsidP="0089066A">
      <w:pPr>
        <w:ind w:left="60"/>
        <w:jc w:val="center"/>
        <w:rPr>
          <w:rFonts w:cs="Times New Roman"/>
        </w:rPr>
      </w:pPr>
      <w:r>
        <w:rPr>
          <w:rFonts w:cs="Times New Roman"/>
          <w:noProof/>
        </w:rPr>
        <w:drawing>
          <wp:inline distT="0" distB="0" distL="0" distR="0">
            <wp:extent cx="4651375" cy="18688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srcRect/>
                    <a:stretch>
                      <a:fillRect/>
                    </a:stretch>
                  </pic:blipFill>
                  <pic:spPr bwMode="auto">
                    <a:xfrm>
                      <a:off x="0" y="0"/>
                      <a:ext cx="4651375" cy="1868805"/>
                    </a:xfrm>
                    <a:prstGeom prst="rect">
                      <a:avLst/>
                    </a:prstGeom>
                    <a:noFill/>
                    <a:ln w="9525">
                      <a:noFill/>
                      <a:miter lim="800000"/>
                      <a:headEnd/>
                      <a:tailEnd/>
                    </a:ln>
                  </pic:spPr>
                </pic:pic>
              </a:graphicData>
            </a:graphic>
          </wp:inline>
        </w:drawing>
      </w:r>
    </w:p>
    <w:p w:rsidR="002032FB" w:rsidRPr="00DB33D2" w:rsidRDefault="002032FB" w:rsidP="0089066A">
      <w:pPr>
        <w:ind w:left="60"/>
        <w:jc w:val="center"/>
        <w:rPr>
          <w:rFonts w:cs="Times New Roman"/>
        </w:rPr>
      </w:pPr>
    </w:p>
    <w:p w:rsidR="002032FB" w:rsidRDefault="002032FB" w:rsidP="0089066A">
      <w:pPr>
        <w:ind w:left="60"/>
        <w:rPr>
          <w:rFonts w:cs="Times New Roman"/>
        </w:rPr>
      </w:pPr>
      <w:r w:rsidRPr="00D40294">
        <w:t>Kundrejt vit</w:t>
      </w:r>
      <w:r>
        <w:t>it te kaluar shpenzimet per interesa</w:t>
      </w:r>
      <w:r w:rsidRPr="00D40294">
        <w:t xml:space="preserve"> rezultojne rreth </w:t>
      </w:r>
      <w:r>
        <w:t>376 milione</w:t>
      </w:r>
      <w:r w:rsidRPr="00D40294">
        <w:t xml:space="preserve"> leke me te </w:t>
      </w:r>
      <w:r>
        <w:t>larta</w:t>
      </w:r>
      <w:r w:rsidRPr="00D40294">
        <w:t xml:space="preserve"> ose rreth </w:t>
      </w:r>
      <w:r>
        <w:t>0.9</w:t>
      </w:r>
      <w:r w:rsidRPr="00D40294">
        <w:t xml:space="preserve"> perqind me </w:t>
      </w:r>
      <w:r>
        <w:t>shume</w:t>
      </w:r>
      <w:r w:rsidRPr="00D40294">
        <w:t>, rrjedhoje kjo e interesave te brendeshme</w:t>
      </w:r>
      <w:r>
        <w:t>,</w:t>
      </w:r>
      <w:r w:rsidRPr="00D40294">
        <w:t xml:space="preserve"> te cilat rezultojne rreth </w:t>
      </w:r>
      <w:r>
        <w:t>248</w:t>
      </w:r>
      <w:r w:rsidRPr="00D40294">
        <w:t xml:space="preserve"> mili</w:t>
      </w:r>
      <w:r>
        <w:t>one</w:t>
      </w:r>
      <w:r w:rsidRPr="00D40294">
        <w:t xml:space="preserve"> leke me te </w:t>
      </w:r>
      <w:r>
        <w:t>ulta</w:t>
      </w:r>
      <w:r w:rsidRPr="00D40294">
        <w:t xml:space="preserve"> se nje vit me pare dhe e interesave te jashtme qe jane rreth </w:t>
      </w:r>
      <w:r>
        <w:t>624 milione</w:t>
      </w:r>
      <w:r w:rsidRPr="00D40294">
        <w:t xml:space="preserve"> leke me te larta.</w:t>
      </w:r>
    </w:p>
    <w:p w:rsidR="002032FB" w:rsidRPr="009642F9" w:rsidRDefault="00E2761F" w:rsidP="0089066A">
      <w:pPr>
        <w:ind w:left="60"/>
        <w:jc w:val="center"/>
        <w:rPr>
          <w:rFonts w:cs="Times New Roman"/>
          <w:b/>
          <w:bCs/>
          <w:lang w:val="nb-NO"/>
        </w:rPr>
      </w:pPr>
      <w:r>
        <w:rPr>
          <w:rFonts w:cs="Times New Roman"/>
          <w:noProof/>
        </w:rPr>
        <w:drawing>
          <wp:inline distT="0" distB="0" distL="0" distR="0">
            <wp:extent cx="4206240" cy="17176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srcRect/>
                    <a:stretch>
                      <a:fillRect/>
                    </a:stretch>
                  </pic:blipFill>
                  <pic:spPr bwMode="auto">
                    <a:xfrm>
                      <a:off x="0" y="0"/>
                      <a:ext cx="4206240" cy="1717675"/>
                    </a:xfrm>
                    <a:prstGeom prst="rect">
                      <a:avLst/>
                    </a:prstGeom>
                    <a:noFill/>
                    <a:ln w="9525">
                      <a:noFill/>
                      <a:miter lim="800000"/>
                      <a:headEnd/>
                      <a:tailEnd/>
                    </a:ln>
                  </pic:spPr>
                </pic:pic>
              </a:graphicData>
            </a:graphic>
          </wp:inline>
        </w:drawing>
      </w:r>
    </w:p>
    <w:p w:rsidR="002032FB" w:rsidRPr="005038C6" w:rsidRDefault="002032FB" w:rsidP="0089066A">
      <w:pPr>
        <w:rPr>
          <w:lang w:val="sq-AL"/>
        </w:rPr>
      </w:pPr>
      <w:r w:rsidRPr="005038C6">
        <w:rPr>
          <w:lang w:val="sq-AL"/>
        </w:rPr>
        <w:t xml:space="preserve"> </w:t>
      </w:r>
    </w:p>
    <w:p w:rsidR="002032FB" w:rsidRPr="00263B43" w:rsidRDefault="002032FB" w:rsidP="0089066A">
      <w:pPr>
        <w:ind w:left="60"/>
        <w:rPr>
          <w:lang w:val="sq-AL"/>
        </w:rPr>
      </w:pPr>
      <w:r w:rsidRPr="00F31BAA">
        <w:rPr>
          <w:b/>
          <w:bCs/>
          <w:lang w:val="sq-AL"/>
        </w:rPr>
        <w:t>Shpenzimet operative dhe te mirembajtjes</w:t>
      </w:r>
      <w:r>
        <w:rPr>
          <w:b/>
          <w:bCs/>
          <w:lang w:val="sq-AL"/>
        </w:rPr>
        <w:t xml:space="preserve">, </w:t>
      </w:r>
      <w:r w:rsidRPr="00B233D3">
        <w:rPr>
          <w:lang w:val="sq-AL"/>
        </w:rPr>
        <w:t>gjate vitit 20</w:t>
      </w:r>
      <w:r>
        <w:rPr>
          <w:lang w:val="sq-AL"/>
        </w:rPr>
        <w:t>12</w:t>
      </w:r>
      <w:r w:rsidRPr="00B233D3">
        <w:rPr>
          <w:lang w:val="sq-AL"/>
        </w:rPr>
        <w:t xml:space="preserve"> arriten ne rreth 3</w:t>
      </w:r>
      <w:r>
        <w:rPr>
          <w:lang w:val="sq-AL"/>
        </w:rPr>
        <w:t>3.8</w:t>
      </w:r>
      <w:r w:rsidRPr="00B233D3">
        <w:rPr>
          <w:lang w:val="sq-AL"/>
        </w:rPr>
        <w:t xml:space="preserve"> miliarde leke duke qene rreth</w:t>
      </w:r>
      <w:r>
        <w:rPr>
          <w:lang w:val="sq-AL"/>
        </w:rPr>
        <w:t xml:space="preserve"> 0.8 miliarde leke me shume se nje vit me pare </w:t>
      </w:r>
      <w:r w:rsidRPr="00263B43">
        <w:rPr>
          <w:lang w:val="sq-AL"/>
        </w:rPr>
        <w:t xml:space="preserve">ose rreth </w:t>
      </w:r>
      <w:r>
        <w:rPr>
          <w:lang w:val="sq-AL"/>
        </w:rPr>
        <w:t>2.4</w:t>
      </w:r>
      <w:r w:rsidRPr="00263B43">
        <w:rPr>
          <w:lang w:val="sq-AL"/>
        </w:rPr>
        <w:t xml:space="preserve"> perqind me te </w:t>
      </w:r>
      <w:r>
        <w:rPr>
          <w:lang w:val="sq-AL"/>
        </w:rPr>
        <w:t>larta</w:t>
      </w:r>
      <w:r w:rsidRPr="00263B43">
        <w:rPr>
          <w:lang w:val="sq-AL"/>
        </w:rPr>
        <w:t>. Keto shpenzime ne fund te vitit 20</w:t>
      </w:r>
      <w:r>
        <w:rPr>
          <w:lang w:val="sq-AL"/>
        </w:rPr>
        <w:t>12</w:t>
      </w:r>
      <w:r w:rsidRPr="00263B43">
        <w:rPr>
          <w:lang w:val="sq-AL"/>
        </w:rPr>
        <w:t xml:space="preserve"> arriten ne rreth 2.</w:t>
      </w:r>
      <w:r>
        <w:rPr>
          <w:lang w:val="sq-AL"/>
        </w:rPr>
        <w:t>51</w:t>
      </w:r>
      <w:r w:rsidRPr="00263B43">
        <w:rPr>
          <w:lang w:val="sq-AL"/>
        </w:rPr>
        <w:t xml:space="preserve"> perqind te PBB-se, nga rreth 2.</w:t>
      </w:r>
      <w:r>
        <w:rPr>
          <w:lang w:val="sq-AL"/>
        </w:rPr>
        <w:t>54 perqind</w:t>
      </w:r>
      <w:r w:rsidRPr="00263B43">
        <w:rPr>
          <w:lang w:val="sq-AL"/>
        </w:rPr>
        <w:t xml:space="preserve"> qe ishin vit</w:t>
      </w:r>
      <w:r>
        <w:rPr>
          <w:lang w:val="sq-AL"/>
        </w:rPr>
        <w:t>in e kaluar</w:t>
      </w:r>
      <w:r w:rsidRPr="00263B43">
        <w:rPr>
          <w:lang w:val="sq-AL"/>
        </w:rPr>
        <w:t xml:space="preserve">. </w:t>
      </w:r>
    </w:p>
    <w:p w:rsidR="002032FB" w:rsidRPr="009642F9" w:rsidRDefault="00E2761F" w:rsidP="0089066A">
      <w:pPr>
        <w:ind w:left="60"/>
        <w:jc w:val="center"/>
        <w:rPr>
          <w:rFonts w:cs="Times New Roman"/>
          <w:lang w:val="nb-NO"/>
        </w:rPr>
      </w:pPr>
      <w:r>
        <w:rPr>
          <w:rFonts w:cs="Times New Roman"/>
          <w:noProof/>
        </w:rPr>
        <w:lastRenderedPageBreak/>
        <w:drawing>
          <wp:inline distT="0" distB="0" distL="0" distR="0">
            <wp:extent cx="3991610" cy="18688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srcRect/>
                    <a:stretch>
                      <a:fillRect/>
                    </a:stretch>
                  </pic:blipFill>
                  <pic:spPr bwMode="auto">
                    <a:xfrm>
                      <a:off x="0" y="0"/>
                      <a:ext cx="3991610" cy="1868805"/>
                    </a:xfrm>
                    <a:prstGeom prst="rect">
                      <a:avLst/>
                    </a:prstGeom>
                    <a:noFill/>
                    <a:ln w="9525">
                      <a:noFill/>
                      <a:miter lim="800000"/>
                      <a:headEnd/>
                      <a:tailEnd/>
                    </a:ln>
                  </pic:spPr>
                </pic:pic>
              </a:graphicData>
            </a:graphic>
          </wp:inline>
        </w:drawing>
      </w:r>
    </w:p>
    <w:p w:rsidR="002032FB" w:rsidRPr="00D40294" w:rsidRDefault="002032FB" w:rsidP="0089066A">
      <w:pPr>
        <w:ind w:left="60"/>
        <w:rPr>
          <w:rFonts w:cs="Times New Roman"/>
          <w:b/>
          <w:bCs/>
        </w:rPr>
      </w:pPr>
    </w:p>
    <w:p w:rsidR="002032FB" w:rsidRDefault="002032FB" w:rsidP="0089066A">
      <w:pPr>
        <w:ind w:left="60"/>
      </w:pPr>
      <w:r w:rsidRPr="00F15070">
        <w:rPr>
          <w:b/>
          <w:bCs/>
          <w:lang w:val="sq-AL"/>
        </w:rPr>
        <w:t>Shpenzimet per subven</w:t>
      </w:r>
      <w:r>
        <w:rPr>
          <w:b/>
          <w:bCs/>
          <w:lang w:val="sq-AL"/>
        </w:rPr>
        <w:t>c</w:t>
      </w:r>
      <w:r w:rsidRPr="00F15070">
        <w:rPr>
          <w:b/>
          <w:bCs/>
          <w:lang w:val="sq-AL"/>
        </w:rPr>
        <w:t>ione</w:t>
      </w:r>
      <w:r>
        <w:rPr>
          <w:b/>
          <w:bCs/>
          <w:lang w:val="sq-AL"/>
        </w:rPr>
        <w:t xml:space="preserve">, </w:t>
      </w:r>
      <w:r w:rsidRPr="00D40294">
        <w:t xml:space="preserve">ne fund te </w:t>
      </w:r>
      <w:r>
        <w:t>vitit</w:t>
      </w:r>
      <w:r w:rsidRPr="00D40294">
        <w:t xml:space="preserve"> 20</w:t>
      </w:r>
      <w:r>
        <w:t>12</w:t>
      </w:r>
      <w:r w:rsidRPr="00D40294">
        <w:t xml:space="preserve">, </w:t>
      </w:r>
      <w:r>
        <w:t xml:space="preserve">arriten ne rreth 1.88 miliarde leke, duke qene rreth 1.4 miliarde leke me pak ose rreth 42.9 perqind me te ulta krahasuar me </w:t>
      </w:r>
      <w:r w:rsidRPr="00D40294">
        <w:t>nje viti me pare</w:t>
      </w:r>
      <w:r>
        <w:t>.</w:t>
      </w:r>
      <w:r w:rsidRPr="00D40294">
        <w:t xml:space="preserve"> </w:t>
      </w:r>
      <w:r>
        <w:t>Sic eshte permendur edhe me siper, r</w:t>
      </w:r>
      <w:r w:rsidRPr="0099283E">
        <w:t xml:space="preserve">reth </w:t>
      </w:r>
      <w:r>
        <w:t>245.8 milione</w:t>
      </w:r>
      <w:r w:rsidRPr="0099283E">
        <w:t xml:space="preserve"> leke </w:t>
      </w:r>
      <w:r>
        <w:t xml:space="preserve">jane perdorur nga fondi i kontigjences per ruajtjen e deficitit, </w:t>
      </w:r>
      <w:r w:rsidRPr="0099283E">
        <w:t>per kompensimin e vleres se takses se biznesit te vogel, te perdorur per rimbursimin e pajisjeve fiskale dhe taksimetrave, tek njesite e qeverisjes vendore</w:t>
      </w:r>
      <w:r>
        <w:t xml:space="preserve">. Subvencionet ne vitin 2012 arriten ne rreth 0.14 perqind te PBB-se, nga rreth 0.25 perqind qe rezultuan nje vit me pare. </w:t>
      </w:r>
    </w:p>
    <w:p w:rsidR="002032FB" w:rsidRDefault="002032FB" w:rsidP="0089066A">
      <w:pPr>
        <w:ind w:left="60"/>
      </w:pPr>
    </w:p>
    <w:p w:rsidR="002032FB" w:rsidRPr="00C7787B" w:rsidRDefault="00E2761F" w:rsidP="0089066A">
      <w:pPr>
        <w:ind w:left="60"/>
        <w:jc w:val="center"/>
        <w:rPr>
          <w:rFonts w:cs="Times New Roman"/>
        </w:rPr>
      </w:pPr>
      <w:r>
        <w:rPr>
          <w:rFonts w:cs="Times New Roman"/>
          <w:noProof/>
        </w:rPr>
        <w:drawing>
          <wp:inline distT="0" distB="0" distL="0" distR="0">
            <wp:extent cx="4134485" cy="18688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srcRect/>
                    <a:stretch>
                      <a:fillRect/>
                    </a:stretch>
                  </pic:blipFill>
                  <pic:spPr bwMode="auto">
                    <a:xfrm>
                      <a:off x="0" y="0"/>
                      <a:ext cx="4134485" cy="1868805"/>
                    </a:xfrm>
                    <a:prstGeom prst="rect">
                      <a:avLst/>
                    </a:prstGeom>
                    <a:noFill/>
                    <a:ln w="9525">
                      <a:noFill/>
                      <a:miter lim="800000"/>
                      <a:headEnd/>
                      <a:tailEnd/>
                    </a:ln>
                  </pic:spPr>
                </pic:pic>
              </a:graphicData>
            </a:graphic>
          </wp:inline>
        </w:drawing>
      </w:r>
    </w:p>
    <w:p w:rsidR="002032FB" w:rsidRPr="0070117C" w:rsidRDefault="002032FB" w:rsidP="0089066A">
      <w:pPr>
        <w:ind w:left="60"/>
        <w:jc w:val="center"/>
        <w:rPr>
          <w:rFonts w:cs="Times New Roman"/>
        </w:rPr>
      </w:pPr>
    </w:p>
    <w:p w:rsidR="002032FB" w:rsidRDefault="002032FB" w:rsidP="0089066A">
      <w:pPr>
        <w:rPr>
          <w:lang w:val="sq-AL"/>
        </w:rPr>
      </w:pPr>
      <w:r w:rsidRPr="00F15070">
        <w:rPr>
          <w:b/>
          <w:bCs/>
          <w:lang w:val="sq-AL"/>
        </w:rPr>
        <w:t xml:space="preserve"> </w:t>
      </w:r>
      <w:r w:rsidRPr="0055332B">
        <w:rPr>
          <w:b/>
          <w:bCs/>
          <w:lang w:val="sq-AL"/>
        </w:rPr>
        <w:t xml:space="preserve">Shpenzimet per </w:t>
      </w:r>
      <w:r>
        <w:rPr>
          <w:b/>
          <w:bCs/>
          <w:lang w:val="sq-AL"/>
        </w:rPr>
        <w:t xml:space="preserve">fondet speciale </w:t>
      </w:r>
      <w:r w:rsidRPr="00B233D3">
        <w:rPr>
          <w:lang w:val="sq-AL"/>
        </w:rPr>
        <w:t>gjate vitit 20</w:t>
      </w:r>
      <w:r>
        <w:rPr>
          <w:lang w:val="sq-AL"/>
        </w:rPr>
        <w:t>12</w:t>
      </w:r>
      <w:r w:rsidRPr="00B233D3">
        <w:rPr>
          <w:lang w:val="sq-AL"/>
        </w:rPr>
        <w:t>, rezultojne rreth 9</w:t>
      </w:r>
      <w:r>
        <w:rPr>
          <w:lang w:val="sq-AL"/>
        </w:rPr>
        <w:t>9.1</w:t>
      </w:r>
      <w:r w:rsidRPr="00B233D3">
        <w:rPr>
          <w:lang w:val="sq-AL"/>
        </w:rPr>
        <w:t xml:space="preserve"> perqind </w:t>
      </w:r>
      <w:r>
        <w:rPr>
          <w:lang w:val="sq-AL"/>
        </w:rPr>
        <w:t>t</w:t>
      </w:r>
      <w:r w:rsidRPr="00B233D3">
        <w:rPr>
          <w:lang w:val="sq-AL"/>
        </w:rPr>
        <w:t xml:space="preserve">e planit </w:t>
      </w:r>
      <w:r>
        <w:rPr>
          <w:lang w:val="sq-AL"/>
        </w:rPr>
        <w:t>vjetor me ndryshime, ose rreth 5.3 perqind me te larta se nje vit me pare</w:t>
      </w:r>
      <w:r w:rsidRPr="00B233D3">
        <w:rPr>
          <w:lang w:val="sq-AL"/>
        </w:rPr>
        <w:t xml:space="preserve">. </w:t>
      </w:r>
      <w:r>
        <w:rPr>
          <w:lang w:val="sq-AL"/>
        </w:rPr>
        <w:t>S</w:t>
      </w:r>
      <w:r w:rsidRPr="00263B43">
        <w:rPr>
          <w:lang w:val="sq-AL"/>
        </w:rPr>
        <w:t>hpenzimet per sigurimet shoqerore</w:t>
      </w:r>
      <w:r>
        <w:rPr>
          <w:lang w:val="sq-AL"/>
        </w:rPr>
        <w:t>, k</w:t>
      </w:r>
      <w:r w:rsidRPr="00263B43">
        <w:rPr>
          <w:lang w:val="sq-AL"/>
        </w:rPr>
        <w:t xml:space="preserve">rahasuar me </w:t>
      </w:r>
      <w:r>
        <w:rPr>
          <w:lang w:val="sq-AL"/>
        </w:rPr>
        <w:t>vitin e kaluar</w:t>
      </w:r>
      <w:r w:rsidRPr="00263B43">
        <w:rPr>
          <w:lang w:val="sq-AL"/>
        </w:rPr>
        <w:t xml:space="preserve"> rezultojne rreth </w:t>
      </w:r>
      <w:r>
        <w:rPr>
          <w:lang w:val="sq-AL"/>
        </w:rPr>
        <w:t>4.6</w:t>
      </w:r>
      <w:r w:rsidRPr="00263B43">
        <w:rPr>
          <w:lang w:val="sq-AL"/>
        </w:rPr>
        <w:t xml:space="preserve"> miliarde leke me te larta ose rreth </w:t>
      </w:r>
      <w:r>
        <w:rPr>
          <w:lang w:val="sq-AL"/>
        </w:rPr>
        <w:t>5.3</w:t>
      </w:r>
      <w:r w:rsidRPr="00263B43">
        <w:rPr>
          <w:lang w:val="sq-AL"/>
        </w:rPr>
        <w:t xml:space="preserve"> perqind me shume, shpenzimet per sigurimet shendetesore rezultojne rreth </w:t>
      </w:r>
      <w:r>
        <w:rPr>
          <w:lang w:val="sq-AL"/>
        </w:rPr>
        <w:t>1.9</w:t>
      </w:r>
      <w:r w:rsidRPr="00263B43">
        <w:rPr>
          <w:lang w:val="sq-AL"/>
        </w:rPr>
        <w:t xml:space="preserve"> miliarde leke me te larta ose rreth </w:t>
      </w:r>
      <w:r>
        <w:rPr>
          <w:lang w:val="sq-AL"/>
        </w:rPr>
        <w:t xml:space="preserve">6.9 perqind </w:t>
      </w:r>
      <w:r w:rsidRPr="00263B43">
        <w:rPr>
          <w:lang w:val="sq-AL"/>
        </w:rPr>
        <w:t>me te larta</w:t>
      </w:r>
      <w:r>
        <w:rPr>
          <w:lang w:val="sq-AL"/>
        </w:rPr>
        <w:t>,</w:t>
      </w:r>
      <w:r w:rsidRPr="00C7787B">
        <w:rPr>
          <w:lang w:val="sq-AL"/>
        </w:rPr>
        <w:t xml:space="preserve"> </w:t>
      </w:r>
      <w:r w:rsidRPr="00263B43">
        <w:rPr>
          <w:lang w:val="sq-AL"/>
        </w:rPr>
        <w:t>ndersa</w:t>
      </w:r>
      <w:r>
        <w:rPr>
          <w:lang w:val="sq-AL"/>
        </w:rPr>
        <w:t xml:space="preserve"> shpenzimet per kompensimin e pronareve rezultojne rreth 405 milione leke me te ulta ose rreth 24.5 perqind me pak. Shpenzimet per fondet speciale arriten ne kete menyre ne rreth 8.91 perqind te PBB-se nga rreth 8.78 perqind qe perllogaritet te kene arritur nje vit me pare.</w:t>
      </w:r>
    </w:p>
    <w:p w:rsidR="002032FB" w:rsidRDefault="002032FB" w:rsidP="0089066A">
      <w:pPr>
        <w:rPr>
          <w:lang w:val="sq-AL"/>
        </w:rPr>
      </w:pPr>
    </w:p>
    <w:p w:rsidR="002032FB" w:rsidRPr="00C7787B" w:rsidRDefault="00E2761F" w:rsidP="0089066A">
      <w:pPr>
        <w:ind w:left="60"/>
        <w:jc w:val="center"/>
        <w:rPr>
          <w:rFonts w:cs="Times New Roman"/>
        </w:rPr>
      </w:pPr>
      <w:r>
        <w:rPr>
          <w:rFonts w:cs="Times New Roman"/>
          <w:noProof/>
        </w:rPr>
        <w:lastRenderedPageBreak/>
        <w:drawing>
          <wp:inline distT="0" distB="0" distL="0" distR="0">
            <wp:extent cx="4134485" cy="20199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srcRect/>
                    <a:stretch>
                      <a:fillRect/>
                    </a:stretch>
                  </pic:blipFill>
                  <pic:spPr bwMode="auto">
                    <a:xfrm>
                      <a:off x="0" y="0"/>
                      <a:ext cx="4134485" cy="2019935"/>
                    </a:xfrm>
                    <a:prstGeom prst="rect">
                      <a:avLst/>
                    </a:prstGeom>
                    <a:noFill/>
                    <a:ln w="9525">
                      <a:noFill/>
                      <a:miter lim="800000"/>
                      <a:headEnd/>
                      <a:tailEnd/>
                    </a:ln>
                  </pic:spPr>
                </pic:pic>
              </a:graphicData>
            </a:graphic>
          </wp:inline>
        </w:drawing>
      </w:r>
    </w:p>
    <w:p w:rsidR="002032FB" w:rsidRDefault="002032FB" w:rsidP="0089066A">
      <w:pPr>
        <w:rPr>
          <w:rFonts w:cs="Times New Roman"/>
          <w:lang w:val="de-DE"/>
        </w:rPr>
      </w:pPr>
    </w:p>
    <w:p w:rsidR="002032FB" w:rsidRDefault="002032FB" w:rsidP="0089066A">
      <w:pPr>
        <w:ind w:left="60"/>
        <w:rPr>
          <w:lang w:val="es-ES"/>
        </w:rPr>
      </w:pPr>
      <w:r w:rsidRPr="00874EAF">
        <w:rPr>
          <w:b/>
          <w:bCs/>
          <w:lang w:val="sq-AL"/>
        </w:rPr>
        <w:t xml:space="preserve">Shpenzimet per buxhetin lokal </w:t>
      </w:r>
      <w:r w:rsidRPr="00D40294">
        <w:rPr>
          <w:lang w:val="es-ES"/>
        </w:rPr>
        <w:t xml:space="preserve">kane arritur ne rreth </w:t>
      </w:r>
      <w:r>
        <w:rPr>
          <w:lang w:val="es-ES"/>
        </w:rPr>
        <w:t>27.3</w:t>
      </w:r>
      <w:r w:rsidRPr="00D40294">
        <w:rPr>
          <w:lang w:val="es-ES"/>
        </w:rPr>
        <w:t xml:space="preserve"> miliarde leke</w:t>
      </w:r>
      <w:r>
        <w:rPr>
          <w:lang w:val="es-ES"/>
        </w:rPr>
        <w:t>,</w:t>
      </w:r>
      <w:r w:rsidRPr="00D40294">
        <w:rPr>
          <w:lang w:val="es-ES"/>
        </w:rPr>
        <w:t xml:space="preserve"> duke rezultuar rreth </w:t>
      </w:r>
      <w:r>
        <w:rPr>
          <w:lang w:val="es-ES"/>
        </w:rPr>
        <w:t>786 milione</w:t>
      </w:r>
      <w:r w:rsidRPr="00D40294">
        <w:rPr>
          <w:lang w:val="es-ES"/>
        </w:rPr>
        <w:t xml:space="preserve"> leke me te </w:t>
      </w:r>
      <w:r>
        <w:rPr>
          <w:lang w:val="es-ES"/>
        </w:rPr>
        <w:t>ulta se nje vit me pare</w:t>
      </w:r>
      <w:r w:rsidRPr="00D40294">
        <w:rPr>
          <w:lang w:val="es-ES"/>
        </w:rPr>
        <w:t xml:space="preserve"> ose rreth </w:t>
      </w:r>
      <w:r>
        <w:rPr>
          <w:lang w:val="es-ES"/>
        </w:rPr>
        <w:t xml:space="preserve">2.8 </w:t>
      </w:r>
      <w:r w:rsidRPr="00D40294">
        <w:rPr>
          <w:lang w:val="es-ES"/>
        </w:rPr>
        <w:t xml:space="preserve">perqind me </w:t>
      </w:r>
      <w:r>
        <w:rPr>
          <w:lang w:val="es-ES"/>
        </w:rPr>
        <w:t>pak</w:t>
      </w:r>
      <w:r w:rsidRPr="00D40294">
        <w:rPr>
          <w:lang w:val="es-ES"/>
        </w:rPr>
        <w:t>.</w:t>
      </w:r>
      <w:r>
        <w:rPr>
          <w:lang w:val="es-ES"/>
        </w:rPr>
        <w:t xml:space="preserve"> Keto shpenzime arriten ne rreth 2.03 perqind te PBB-se nga rreth 2.17 perqind qe rezultuan vitin e kaluar.</w:t>
      </w:r>
    </w:p>
    <w:p w:rsidR="002032FB" w:rsidRPr="00D40294" w:rsidRDefault="002032FB" w:rsidP="0089066A">
      <w:pPr>
        <w:ind w:left="60"/>
        <w:rPr>
          <w:rFonts w:cs="Times New Roman"/>
          <w:lang w:val="es-ES"/>
        </w:rPr>
      </w:pPr>
      <w:r w:rsidRPr="00D40294">
        <w:rPr>
          <w:lang w:val="es-ES"/>
        </w:rPr>
        <w:t xml:space="preserve"> </w:t>
      </w:r>
    </w:p>
    <w:p w:rsidR="002032FB" w:rsidRPr="00C7787B" w:rsidRDefault="00E2761F" w:rsidP="0089066A">
      <w:pPr>
        <w:jc w:val="center"/>
        <w:rPr>
          <w:rFonts w:cs="Times New Roman"/>
          <w:b/>
          <w:bCs/>
          <w:lang w:val="sq-AL"/>
        </w:rPr>
      </w:pPr>
      <w:r>
        <w:rPr>
          <w:rFonts w:cs="Times New Roman"/>
          <w:noProof/>
        </w:rPr>
        <w:drawing>
          <wp:inline distT="0" distB="0" distL="0" distR="0">
            <wp:extent cx="4651375" cy="24568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srcRect/>
                    <a:stretch>
                      <a:fillRect/>
                    </a:stretch>
                  </pic:blipFill>
                  <pic:spPr bwMode="auto">
                    <a:xfrm>
                      <a:off x="0" y="0"/>
                      <a:ext cx="4651375" cy="2456815"/>
                    </a:xfrm>
                    <a:prstGeom prst="rect">
                      <a:avLst/>
                    </a:prstGeom>
                    <a:noFill/>
                    <a:ln w="9525">
                      <a:noFill/>
                      <a:miter lim="800000"/>
                      <a:headEnd/>
                      <a:tailEnd/>
                    </a:ln>
                  </pic:spPr>
                </pic:pic>
              </a:graphicData>
            </a:graphic>
          </wp:inline>
        </w:drawing>
      </w:r>
    </w:p>
    <w:p w:rsidR="002032FB" w:rsidRDefault="002032FB" w:rsidP="0089066A">
      <w:pPr>
        <w:ind w:left="2160"/>
        <w:rPr>
          <w:rFonts w:cs="Times New Roman"/>
          <w:lang w:val="sq-AL"/>
        </w:rPr>
      </w:pPr>
    </w:p>
    <w:p w:rsidR="002032FB" w:rsidRPr="00263B43" w:rsidRDefault="002032FB" w:rsidP="0089066A">
      <w:pPr>
        <w:rPr>
          <w:lang w:val="sq-AL"/>
        </w:rPr>
      </w:pPr>
      <w:r w:rsidRPr="00263B43">
        <w:rPr>
          <w:b/>
          <w:bCs/>
          <w:lang w:val="sq-AL"/>
        </w:rPr>
        <w:t>Pagesa e papunesise</w:t>
      </w:r>
      <w:r w:rsidRPr="00263B43">
        <w:rPr>
          <w:lang w:val="sq-AL"/>
        </w:rPr>
        <w:t xml:space="preserve"> rezulton me nje realizim prej rreth </w:t>
      </w:r>
      <w:r>
        <w:rPr>
          <w:lang w:val="sq-AL"/>
        </w:rPr>
        <w:t>98.4</w:t>
      </w:r>
      <w:r w:rsidRPr="00263B43">
        <w:rPr>
          <w:lang w:val="sq-AL"/>
        </w:rPr>
        <w:t xml:space="preserve"> perqind ose rreth </w:t>
      </w:r>
      <w:r>
        <w:rPr>
          <w:lang w:val="sq-AL"/>
        </w:rPr>
        <w:t>16</w:t>
      </w:r>
      <w:r w:rsidRPr="00263B43">
        <w:rPr>
          <w:lang w:val="sq-AL"/>
        </w:rPr>
        <w:t xml:space="preserve"> milione leke me pak se parashikimi vjetor, duke qene ne te njejten kohe rreth </w:t>
      </w:r>
      <w:r>
        <w:rPr>
          <w:lang w:val="sq-AL"/>
        </w:rPr>
        <w:t>108</w:t>
      </w:r>
      <w:r w:rsidRPr="00263B43">
        <w:rPr>
          <w:lang w:val="sq-AL"/>
        </w:rPr>
        <w:t xml:space="preserve"> milione leke me </w:t>
      </w:r>
      <w:r>
        <w:rPr>
          <w:lang w:val="sq-AL"/>
        </w:rPr>
        <w:t xml:space="preserve">shume </w:t>
      </w:r>
      <w:r w:rsidRPr="00263B43">
        <w:rPr>
          <w:lang w:val="sq-AL"/>
        </w:rPr>
        <w:t xml:space="preserve">ose rreth </w:t>
      </w:r>
      <w:r>
        <w:rPr>
          <w:lang w:val="sq-AL"/>
        </w:rPr>
        <w:t>12.3</w:t>
      </w:r>
      <w:r w:rsidRPr="00263B43">
        <w:rPr>
          <w:lang w:val="sq-AL"/>
        </w:rPr>
        <w:t xml:space="preserve"> perqind me </w:t>
      </w:r>
      <w:r>
        <w:rPr>
          <w:lang w:val="sq-AL"/>
        </w:rPr>
        <w:t>e larte</w:t>
      </w:r>
      <w:r w:rsidRPr="00263B43">
        <w:rPr>
          <w:lang w:val="sq-AL"/>
        </w:rPr>
        <w:t xml:space="preserve"> se nje vit me pare. </w:t>
      </w:r>
    </w:p>
    <w:p w:rsidR="002032FB" w:rsidRPr="00263B43" w:rsidRDefault="002032FB" w:rsidP="0089066A">
      <w:pPr>
        <w:rPr>
          <w:rFonts w:cs="Times New Roman"/>
          <w:b/>
          <w:bCs/>
          <w:lang w:val="sq-AL"/>
        </w:rPr>
      </w:pPr>
    </w:p>
    <w:p w:rsidR="002032FB" w:rsidRPr="00263B43" w:rsidRDefault="002032FB" w:rsidP="0089066A">
      <w:pPr>
        <w:rPr>
          <w:rFonts w:cs="Times New Roman"/>
          <w:highlight w:val="yellow"/>
          <w:lang w:val="sq-AL"/>
        </w:rPr>
      </w:pPr>
      <w:r w:rsidRPr="00263B43">
        <w:rPr>
          <w:b/>
          <w:bCs/>
          <w:lang w:val="sq-AL"/>
        </w:rPr>
        <w:t>Ndihma ekonomike</w:t>
      </w:r>
      <w:r w:rsidRPr="00263B43">
        <w:rPr>
          <w:lang w:val="sq-AL"/>
        </w:rPr>
        <w:t xml:space="preserve"> gjate vitit 20</w:t>
      </w:r>
      <w:r>
        <w:rPr>
          <w:lang w:val="sq-AL"/>
        </w:rPr>
        <w:t>12</w:t>
      </w:r>
      <w:r w:rsidRPr="00263B43">
        <w:rPr>
          <w:lang w:val="sq-AL"/>
        </w:rPr>
        <w:t xml:space="preserve"> arriti ne rreth 1</w:t>
      </w:r>
      <w:r>
        <w:rPr>
          <w:lang w:val="sq-AL"/>
        </w:rPr>
        <w:t>8.0</w:t>
      </w:r>
      <w:r w:rsidRPr="00263B43">
        <w:rPr>
          <w:lang w:val="sq-AL"/>
        </w:rPr>
        <w:t xml:space="preserve"> miliarde leke, duke qene ne te njejten kohe rreth </w:t>
      </w:r>
      <w:r>
        <w:rPr>
          <w:lang w:val="sq-AL"/>
        </w:rPr>
        <w:t>1.6</w:t>
      </w:r>
      <w:r w:rsidRPr="00263B43">
        <w:rPr>
          <w:lang w:val="sq-AL"/>
        </w:rPr>
        <w:t xml:space="preserve"> mili</w:t>
      </w:r>
      <w:r>
        <w:rPr>
          <w:lang w:val="sq-AL"/>
        </w:rPr>
        <w:t>arde</w:t>
      </w:r>
      <w:r w:rsidRPr="00263B43">
        <w:rPr>
          <w:lang w:val="sq-AL"/>
        </w:rPr>
        <w:t xml:space="preserve"> leke me </w:t>
      </w:r>
      <w:r>
        <w:rPr>
          <w:lang w:val="sq-AL"/>
        </w:rPr>
        <w:t>shume</w:t>
      </w:r>
      <w:r w:rsidRPr="00263B43">
        <w:rPr>
          <w:lang w:val="sq-AL"/>
        </w:rPr>
        <w:t xml:space="preserve"> ose rreth </w:t>
      </w:r>
      <w:r>
        <w:rPr>
          <w:lang w:val="sq-AL"/>
        </w:rPr>
        <w:t>10.0</w:t>
      </w:r>
      <w:r w:rsidRPr="00263B43">
        <w:rPr>
          <w:lang w:val="sq-AL"/>
        </w:rPr>
        <w:t xml:space="preserve"> perqind me e </w:t>
      </w:r>
      <w:r>
        <w:rPr>
          <w:lang w:val="sq-AL"/>
        </w:rPr>
        <w:t>larte</w:t>
      </w:r>
      <w:r w:rsidRPr="00263B43">
        <w:rPr>
          <w:lang w:val="sq-AL"/>
        </w:rPr>
        <w:t xml:space="preserve"> se nje vit me pare. </w:t>
      </w:r>
    </w:p>
    <w:p w:rsidR="002032FB" w:rsidRPr="00724616" w:rsidRDefault="00E2761F" w:rsidP="0089066A">
      <w:pPr>
        <w:tabs>
          <w:tab w:val="left" w:pos="1620"/>
          <w:tab w:val="left" w:pos="7020"/>
        </w:tabs>
        <w:jc w:val="center"/>
        <w:rPr>
          <w:rFonts w:cs="Times New Roman"/>
          <w:lang w:val="de-DE"/>
        </w:rPr>
      </w:pPr>
      <w:r>
        <w:rPr>
          <w:rFonts w:cs="Times New Roman"/>
          <w:noProof/>
        </w:rPr>
        <w:lastRenderedPageBreak/>
        <w:drawing>
          <wp:inline distT="0" distB="0" distL="0" distR="0">
            <wp:extent cx="4651375" cy="216281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srcRect/>
                    <a:stretch>
                      <a:fillRect/>
                    </a:stretch>
                  </pic:blipFill>
                  <pic:spPr bwMode="auto">
                    <a:xfrm>
                      <a:off x="0" y="0"/>
                      <a:ext cx="4651375" cy="2162810"/>
                    </a:xfrm>
                    <a:prstGeom prst="rect">
                      <a:avLst/>
                    </a:prstGeom>
                    <a:noFill/>
                    <a:ln w="9525">
                      <a:noFill/>
                      <a:miter lim="800000"/>
                      <a:headEnd/>
                      <a:tailEnd/>
                    </a:ln>
                  </pic:spPr>
                </pic:pic>
              </a:graphicData>
            </a:graphic>
          </wp:inline>
        </w:drawing>
      </w:r>
    </w:p>
    <w:p w:rsidR="002032FB" w:rsidRDefault="002032FB" w:rsidP="0089066A">
      <w:pPr>
        <w:rPr>
          <w:rFonts w:cs="Times New Roman"/>
          <w:lang w:val="de-DE"/>
        </w:rPr>
      </w:pPr>
    </w:p>
    <w:p w:rsidR="002032FB" w:rsidRPr="00E458FE" w:rsidRDefault="002032FB" w:rsidP="0089066A">
      <w:pPr>
        <w:rPr>
          <w:rFonts w:cs="Times New Roman"/>
          <w:lang w:val="de-DE"/>
        </w:rPr>
      </w:pPr>
      <w:r>
        <w:rPr>
          <w:lang w:val="de-DE"/>
        </w:rPr>
        <w:t xml:space="preserve">Rreth 1.7 miliarde leke jane </w:t>
      </w:r>
      <w:r w:rsidRPr="002B14CB">
        <w:rPr>
          <w:b/>
          <w:bCs/>
          <w:lang w:val="de-DE"/>
        </w:rPr>
        <w:t>perdorur per kompensimin e ish te perndjekurve politike</w:t>
      </w:r>
      <w:r>
        <w:rPr>
          <w:lang w:val="de-DE"/>
        </w:rPr>
        <w:t>, ose rreth 199 milione leke me shume se viti i kaluar ose rreth 13.3 perqind me shume se nje vit me pare.</w:t>
      </w:r>
    </w:p>
    <w:p w:rsidR="002032FB" w:rsidRDefault="002032FB" w:rsidP="0089066A">
      <w:pPr>
        <w:rPr>
          <w:rFonts w:cs="Times New Roman"/>
          <w:b/>
          <w:bCs/>
          <w:lang w:val="sq-AL"/>
        </w:rPr>
      </w:pPr>
    </w:p>
    <w:p w:rsidR="002032FB" w:rsidRDefault="002032FB" w:rsidP="0089066A">
      <w:pPr>
        <w:rPr>
          <w:rFonts w:cs="Times New Roman"/>
          <w:lang w:val="de-DE"/>
        </w:rPr>
      </w:pPr>
      <w:r w:rsidRPr="00B233D3">
        <w:rPr>
          <w:b/>
          <w:bCs/>
          <w:lang w:val="sq-AL"/>
        </w:rPr>
        <w:t xml:space="preserve">Shpenzimet kapitale </w:t>
      </w:r>
      <w:r w:rsidRPr="00B233D3">
        <w:rPr>
          <w:lang w:val="sq-AL"/>
        </w:rPr>
        <w:t>ne fund te vitit 20</w:t>
      </w:r>
      <w:r>
        <w:rPr>
          <w:lang w:val="sq-AL"/>
        </w:rPr>
        <w:t>12</w:t>
      </w:r>
      <w:r w:rsidRPr="00B233D3">
        <w:rPr>
          <w:lang w:val="sq-AL"/>
        </w:rPr>
        <w:t xml:space="preserve"> jane realizuar ne nivelin 9</w:t>
      </w:r>
      <w:r>
        <w:rPr>
          <w:lang w:val="sq-AL"/>
        </w:rPr>
        <w:t>4.9</w:t>
      </w:r>
      <w:r w:rsidRPr="00B233D3">
        <w:rPr>
          <w:lang w:val="sq-AL"/>
        </w:rPr>
        <w:t xml:space="preserve"> perqind te </w:t>
      </w:r>
      <w:r>
        <w:rPr>
          <w:lang w:val="sq-AL"/>
        </w:rPr>
        <w:t>planit vjetor me ndryshime</w:t>
      </w:r>
      <w:r w:rsidRPr="00B233D3">
        <w:rPr>
          <w:lang w:val="sq-AL"/>
        </w:rPr>
        <w:t xml:space="preserve">, duke rezultuar me nje mosrealizim prej rreth </w:t>
      </w:r>
      <w:r>
        <w:rPr>
          <w:lang w:val="sq-AL"/>
        </w:rPr>
        <w:t>3.3</w:t>
      </w:r>
      <w:r w:rsidRPr="00B233D3">
        <w:rPr>
          <w:lang w:val="sq-AL"/>
        </w:rPr>
        <w:t xml:space="preserve"> miliarde leke. </w:t>
      </w:r>
      <w:r w:rsidRPr="00B82E55">
        <w:rPr>
          <w:lang w:val="de-DE"/>
        </w:rPr>
        <w:t>Per rrjedhoje investimet ne vitin 20</w:t>
      </w:r>
      <w:r>
        <w:rPr>
          <w:lang w:val="de-DE"/>
        </w:rPr>
        <w:t>12</w:t>
      </w:r>
      <w:r w:rsidRPr="00B82E55">
        <w:rPr>
          <w:lang w:val="de-DE"/>
        </w:rPr>
        <w:t xml:space="preserve"> arriten ne rreth </w:t>
      </w:r>
      <w:r>
        <w:rPr>
          <w:lang w:val="de-DE"/>
        </w:rPr>
        <w:t>4.58</w:t>
      </w:r>
      <w:r w:rsidRPr="00B82E55">
        <w:rPr>
          <w:lang w:val="de-DE"/>
        </w:rPr>
        <w:t xml:space="preserve"> perqind e PBB-se nga rreth </w:t>
      </w:r>
      <w:r>
        <w:rPr>
          <w:lang w:val="de-DE"/>
        </w:rPr>
        <w:t>5.45</w:t>
      </w:r>
      <w:r w:rsidRPr="00B82E55">
        <w:rPr>
          <w:lang w:val="de-DE"/>
        </w:rPr>
        <w:t xml:space="preserve"> perqind qe rezultuan nje vit me pare.</w:t>
      </w:r>
    </w:p>
    <w:p w:rsidR="002032FB" w:rsidRDefault="002032FB" w:rsidP="0089066A">
      <w:pPr>
        <w:rPr>
          <w:rFonts w:cs="Times New Roman"/>
          <w:lang w:val="de-DE"/>
        </w:rPr>
      </w:pPr>
    </w:p>
    <w:p w:rsidR="002032FB" w:rsidRPr="00F60DDD" w:rsidRDefault="00E2761F" w:rsidP="0089066A">
      <w:pPr>
        <w:jc w:val="center"/>
        <w:rPr>
          <w:rFonts w:cs="Times New Roman"/>
          <w:lang w:val="de-DE"/>
        </w:rPr>
      </w:pPr>
      <w:r>
        <w:rPr>
          <w:rFonts w:cs="Times New Roman"/>
          <w:noProof/>
        </w:rPr>
        <w:drawing>
          <wp:inline distT="0" distB="0" distL="0" distR="0">
            <wp:extent cx="4675505" cy="24409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srcRect/>
                    <a:stretch>
                      <a:fillRect/>
                    </a:stretch>
                  </pic:blipFill>
                  <pic:spPr bwMode="auto">
                    <a:xfrm>
                      <a:off x="0" y="0"/>
                      <a:ext cx="4675505" cy="2440940"/>
                    </a:xfrm>
                    <a:prstGeom prst="rect">
                      <a:avLst/>
                    </a:prstGeom>
                    <a:noFill/>
                    <a:ln w="9525">
                      <a:noFill/>
                      <a:miter lim="800000"/>
                      <a:headEnd/>
                      <a:tailEnd/>
                    </a:ln>
                  </pic:spPr>
                </pic:pic>
              </a:graphicData>
            </a:graphic>
          </wp:inline>
        </w:drawing>
      </w:r>
    </w:p>
    <w:p w:rsidR="002032FB" w:rsidRDefault="002032FB" w:rsidP="0089066A">
      <w:pPr>
        <w:rPr>
          <w:rFonts w:cs="Times New Roman"/>
          <w:lang w:val="de-DE"/>
        </w:rPr>
      </w:pPr>
      <w:r w:rsidRPr="004857F3">
        <w:rPr>
          <w:lang w:val="de-DE"/>
        </w:rPr>
        <w:t xml:space="preserve"> </w:t>
      </w:r>
    </w:p>
    <w:p w:rsidR="002032FB" w:rsidRDefault="002032FB" w:rsidP="0089066A">
      <w:pPr>
        <w:rPr>
          <w:lang w:val="de-DE"/>
        </w:rPr>
      </w:pPr>
      <w:r w:rsidRPr="004857F3">
        <w:rPr>
          <w:lang w:val="de-DE"/>
        </w:rPr>
        <w:t>K</w:t>
      </w:r>
      <w:r>
        <w:rPr>
          <w:lang w:val="de-DE"/>
        </w:rPr>
        <w:t>rahasuar me vitin e kaluar, investimet me financim te brendeshem rezultojne rreth 13.7 miliarde leke me te ulta ose rreth 33.3 perqind me pak, nderkohe qe investimet me financim te huaj rezultojne rreth 6.3 miliarde leke me te larta ose rreth 22.4 perqind me te larta. Per rrjedhoje investimet ne total rezultojne rreth 9.0 miliarde leke me pak ose rreth 12.8 perqind me te ulta kundrejt vitit 2011. Struktura e investimeve faktike te vitit 2012 ishte rreth 44.4 perqind investime te brendeshme dhe rreth 55.6 perqind investime te huaja.</w:t>
      </w:r>
    </w:p>
    <w:p w:rsidR="002032FB" w:rsidRPr="00CB3E57" w:rsidRDefault="002032FB" w:rsidP="0089066A">
      <w:pPr>
        <w:jc w:val="center"/>
        <w:rPr>
          <w:rFonts w:cs="Times New Roman"/>
          <w:lang w:val="de-DE"/>
        </w:rPr>
      </w:pPr>
    </w:p>
    <w:p w:rsidR="002032FB" w:rsidRPr="00672CAC" w:rsidRDefault="002032FB" w:rsidP="0089066A">
      <w:pPr>
        <w:pStyle w:val="Heading2"/>
        <w:numPr>
          <w:ilvl w:val="0"/>
          <w:numId w:val="0"/>
        </w:numPr>
        <w:ind w:left="576" w:hanging="576"/>
        <w:rPr>
          <w:rFonts w:cs="Times New Roman"/>
          <w:noProof/>
        </w:rPr>
      </w:pPr>
    </w:p>
    <w:sectPr w:rsidR="002032FB" w:rsidRPr="00672CAC" w:rsidSect="00260AE9">
      <w:headerReference w:type="default" r:id="rId27"/>
      <w:footerReference w:type="default" r:id="rId28"/>
      <w:pgSz w:w="12240" w:h="15840" w:code="1"/>
      <w:pgMar w:top="1440" w:right="1797" w:bottom="1440" w:left="1797" w:header="794"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454A" w:rsidRDefault="00C3454A" w:rsidP="001D4974">
      <w:pPr>
        <w:spacing w:before="0" w:after="0"/>
        <w:rPr>
          <w:rFonts w:cs="Times New Roman"/>
        </w:rPr>
      </w:pPr>
      <w:r>
        <w:rPr>
          <w:rFonts w:cs="Times New Roman"/>
        </w:rPr>
        <w:separator/>
      </w:r>
    </w:p>
  </w:endnote>
  <w:endnote w:type="continuationSeparator" w:id="1">
    <w:p w:rsidR="00C3454A" w:rsidRDefault="00C3454A" w:rsidP="001D4974">
      <w:pPr>
        <w:spacing w:before="0" w:after="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 w:name="TimesNewRomanP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722" w:rsidRPr="00593C44" w:rsidRDefault="00423722">
    <w:pPr>
      <w:pStyle w:val="Footer"/>
      <w:jc w:val="right"/>
      <w:rPr>
        <w:rFonts w:cs="Times New Roman"/>
      </w:rPr>
    </w:pPr>
    <w:r w:rsidRPr="00C245DD">
      <w:rPr>
        <w:spacing w:val="20"/>
        <w:position w:val="4"/>
        <w:sz w:val="16"/>
        <w:szCs w:val="16"/>
        <w:lang w:val="sq-AL"/>
      </w:rPr>
      <w:t>Ministria e Financave</w:t>
    </w:r>
    <w:r w:rsidRPr="00593C44">
      <w:t xml:space="preserve"> </w:t>
    </w:r>
    <w:r w:rsidRPr="00593C44">
      <w:rPr>
        <w:b/>
        <w:bCs/>
        <w:sz w:val="28"/>
        <w:szCs w:val="28"/>
      </w:rPr>
      <w:fldChar w:fldCharType="begin"/>
    </w:r>
    <w:r w:rsidRPr="00593C44">
      <w:rPr>
        <w:b/>
        <w:bCs/>
        <w:sz w:val="28"/>
        <w:szCs w:val="28"/>
      </w:rPr>
      <w:instrText xml:space="preserve"> PAGE   \* MERGEFORMAT </w:instrText>
    </w:r>
    <w:r w:rsidRPr="00593C44">
      <w:rPr>
        <w:b/>
        <w:bCs/>
        <w:sz w:val="28"/>
        <w:szCs w:val="28"/>
      </w:rPr>
      <w:fldChar w:fldCharType="separate"/>
    </w:r>
    <w:r w:rsidR="009A0F6B">
      <w:rPr>
        <w:b/>
        <w:bCs/>
        <w:noProof/>
        <w:sz w:val="28"/>
        <w:szCs w:val="28"/>
      </w:rPr>
      <w:t>1</w:t>
    </w:r>
    <w:r w:rsidRPr="00593C44">
      <w:rPr>
        <w:b/>
        <w:bCs/>
        <w:sz w:val="28"/>
        <w:szCs w:val="28"/>
      </w:rPr>
      <w:fldChar w:fldCharType="end"/>
    </w:r>
  </w:p>
  <w:p w:rsidR="00423722" w:rsidRDefault="00423722">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454A" w:rsidRDefault="00C3454A" w:rsidP="001D4974">
      <w:pPr>
        <w:spacing w:before="0" w:after="0"/>
        <w:rPr>
          <w:rFonts w:cs="Times New Roman"/>
        </w:rPr>
      </w:pPr>
      <w:r>
        <w:rPr>
          <w:rFonts w:cs="Times New Roman"/>
        </w:rPr>
        <w:separator/>
      </w:r>
    </w:p>
  </w:footnote>
  <w:footnote w:type="continuationSeparator" w:id="1">
    <w:p w:rsidR="00C3454A" w:rsidRDefault="00C3454A" w:rsidP="001D4974">
      <w:pPr>
        <w:spacing w:before="0" w:after="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722" w:rsidRPr="00841E98" w:rsidRDefault="00423722" w:rsidP="00593C44">
    <w:pPr>
      <w:pStyle w:val="Header"/>
      <w:pBdr>
        <w:bottom w:val="single" w:sz="4" w:space="2" w:color="auto"/>
      </w:pBdr>
      <w:jc w:val="left"/>
      <w:rPr>
        <w:rFonts w:cs="Times New Roman"/>
        <w:i/>
        <w:iCs/>
        <w:spacing w:val="20"/>
        <w:sz w:val="16"/>
        <w:szCs w:val="16"/>
        <w:lang w:val="sq-AL"/>
      </w:rPr>
    </w:pPr>
    <w:r>
      <w:rPr>
        <w:spacing w:val="20"/>
        <w:sz w:val="16"/>
        <w:szCs w:val="16"/>
        <w:bdr w:val="single" w:sz="4" w:space="0" w:color="FFFFFF"/>
        <w:lang w:val="sq-AL"/>
      </w:rPr>
      <w:t xml:space="preserve">Raporti </w:t>
    </w:r>
    <w:r w:rsidRPr="009E1FDB">
      <w:rPr>
        <w:spacing w:val="20"/>
        <w:sz w:val="16"/>
        <w:szCs w:val="16"/>
        <w:bdr w:val="single" w:sz="4" w:space="0" w:color="FFFFFF"/>
        <w:lang w:val="sq-AL"/>
      </w:rPr>
      <w:t>Fiskal Mujor</w:t>
    </w:r>
    <w:r w:rsidRPr="009E1FDB">
      <w:rPr>
        <w:spacing w:val="20"/>
        <w:sz w:val="16"/>
        <w:szCs w:val="16"/>
        <w:lang w:val="sq-AL"/>
      </w:rPr>
      <w:t xml:space="preserve">                                                               </w:t>
    </w:r>
    <w:r>
      <w:rPr>
        <w:spacing w:val="20"/>
        <w:sz w:val="16"/>
        <w:szCs w:val="16"/>
        <w:lang w:val="sq-AL"/>
      </w:rPr>
      <w:t xml:space="preserve">               </w:t>
    </w:r>
    <w:r w:rsidRPr="009E1FDB">
      <w:rPr>
        <w:spacing w:val="20"/>
        <w:sz w:val="16"/>
        <w:szCs w:val="16"/>
        <w:lang w:val="sq-AL"/>
      </w:rPr>
      <w:t xml:space="preserve"> </w:t>
    </w:r>
    <w:r>
      <w:rPr>
        <w:spacing w:val="20"/>
        <w:sz w:val="16"/>
        <w:szCs w:val="16"/>
        <w:lang w:val="sq-AL"/>
      </w:rPr>
      <w:t xml:space="preserve">            </w:t>
    </w:r>
    <w:r>
      <w:rPr>
        <w:i/>
        <w:iCs/>
        <w:spacing w:val="20"/>
        <w:sz w:val="16"/>
        <w:szCs w:val="16"/>
        <w:lang w:val="sq-AL"/>
      </w:rPr>
      <w:t xml:space="preserve">Janar – dhjetor,2012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625B4"/>
    <w:multiLevelType w:val="hybridMultilevel"/>
    <w:tmpl w:val="66B486D2"/>
    <w:lvl w:ilvl="0" w:tplc="0809000F">
      <w:start w:val="1"/>
      <w:numFmt w:val="decimal"/>
      <w:lvlText w:val="%1."/>
      <w:lvlJc w:val="left"/>
      <w:pPr>
        <w:tabs>
          <w:tab w:val="num" w:pos="540"/>
        </w:tabs>
        <w:ind w:left="540" w:hanging="360"/>
      </w:pPr>
    </w:lvl>
    <w:lvl w:ilvl="1" w:tplc="08090019">
      <w:start w:val="1"/>
      <w:numFmt w:val="lowerLetter"/>
      <w:lvlText w:val="%2."/>
      <w:lvlJc w:val="left"/>
      <w:pPr>
        <w:tabs>
          <w:tab w:val="num" w:pos="1260"/>
        </w:tabs>
        <w:ind w:left="1260" w:hanging="360"/>
      </w:pPr>
    </w:lvl>
    <w:lvl w:ilvl="2" w:tplc="0809001B">
      <w:start w:val="1"/>
      <w:numFmt w:val="lowerRoman"/>
      <w:lvlText w:val="%3."/>
      <w:lvlJc w:val="right"/>
      <w:pPr>
        <w:tabs>
          <w:tab w:val="num" w:pos="1980"/>
        </w:tabs>
        <w:ind w:left="1980" w:hanging="180"/>
      </w:pPr>
    </w:lvl>
    <w:lvl w:ilvl="3" w:tplc="0809000F">
      <w:start w:val="1"/>
      <w:numFmt w:val="decimal"/>
      <w:lvlText w:val="%4."/>
      <w:lvlJc w:val="left"/>
      <w:pPr>
        <w:tabs>
          <w:tab w:val="num" w:pos="2700"/>
        </w:tabs>
        <w:ind w:left="2700" w:hanging="360"/>
      </w:pPr>
    </w:lvl>
    <w:lvl w:ilvl="4" w:tplc="08090019">
      <w:start w:val="1"/>
      <w:numFmt w:val="lowerLetter"/>
      <w:lvlText w:val="%5."/>
      <w:lvlJc w:val="left"/>
      <w:pPr>
        <w:tabs>
          <w:tab w:val="num" w:pos="3420"/>
        </w:tabs>
        <w:ind w:left="3420" w:hanging="360"/>
      </w:pPr>
    </w:lvl>
    <w:lvl w:ilvl="5" w:tplc="0809001B">
      <w:start w:val="1"/>
      <w:numFmt w:val="lowerRoman"/>
      <w:lvlText w:val="%6."/>
      <w:lvlJc w:val="right"/>
      <w:pPr>
        <w:tabs>
          <w:tab w:val="num" w:pos="4140"/>
        </w:tabs>
        <w:ind w:left="4140" w:hanging="180"/>
      </w:pPr>
    </w:lvl>
    <w:lvl w:ilvl="6" w:tplc="0809000F">
      <w:start w:val="1"/>
      <w:numFmt w:val="decimal"/>
      <w:lvlText w:val="%7."/>
      <w:lvlJc w:val="left"/>
      <w:pPr>
        <w:tabs>
          <w:tab w:val="num" w:pos="4860"/>
        </w:tabs>
        <w:ind w:left="4860" w:hanging="360"/>
      </w:pPr>
    </w:lvl>
    <w:lvl w:ilvl="7" w:tplc="08090019">
      <w:start w:val="1"/>
      <w:numFmt w:val="lowerLetter"/>
      <w:lvlText w:val="%8."/>
      <w:lvlJc w:val="left"/>
      <w:pPr>
        <w:tabs>
          <w:tab w:val="num" w:pos="5580"/>
        </w:tabs>
        <w:ind w:left="5580" w:hanging="360"/>
      </w:pPr>
    </w:lvl>
    <w:lvl w:ilvl="8" w:tplc="0809001B">
      <w:start w:val="1"/>
      <w:numFmt w:val="lowerRoman"/>
      <w:lvlText w:val="%9."/>
      <w:lvlJc w:val="right"/>
      <w:pPr>
        <w:tabs>
          <w:tab w:val="num" w:pos="6300"/>
        </w:tabs>
        <w:ind w:left="6300" w:hanging="180"/>
      </w:pPr>
    </w:lvl>
  </w:abstractNum>
  <w:abstractNum w:abstractNumId="1">
    <w:nsid w:val="116343E1"/>
    <w:multiLevelType w:val="hybridMultilevel"/>
    <w:tmpl w:val="2C5A06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1E4010F"/>
    <w:multiLevelType w:val="hybridMultilevel"/>
    <w:tmpl w:val="E864D8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B87E54"/>
    <w:multiLevelType w:val="hybridMultilevel"/>
    <w:tmpl w:val="642C7E8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1936693C"/>
    <w:multiLevelType w:val="multilevel"/>
    <w:tmpl w:val="C096B6F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b/>
        <w:bCs/>
        <w:i w:val="0"/>
        <w:iCs w:val="0"/>
        <w:sz w:val="20"/>
        <w:szCs w:val="20"/>
      </w:rPr>
    </w:lvl>
    <w:lvl w:ilvl="2">
      <w:start w:val="1"/>
      <w:numFmt w:val="decimal"/>
      <w:lvlText w:val="%1.%2.%3"/>
      <w:lvlJc w:val="left"/>
      <w:pPr>
        <w:tabs>
          <w:tab w:val="num" w:pos="720"/>
        </w:tabs>
        <w:ind w:left="720" w:hanging="720"/>
      </w:pPr>
      <w:rPr>
        <w:rFonts w:ascii="Franklin Gothic Book" w:hAnsi="Franklin Gothic Book" w:cs="Franklin Gothic Book" w:hint="default"/>
        <w:b w:val="0"/>
        <w:bCs w:val="0"/>
        <w:i/>
        <w:iCs/>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210869B4"/>
    <w:multiLevelType w:val="hybridMultilevel"/>
    <w:tmpl w:val="CE7CED5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247C6409"/>
    <w:multiLevelType w:val="hybridMultilevel"/>
    <w:tmpl w:val="CD2EF4B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nsid w:val="2717610F"/>
    <w:multiLevelType w:val="hybridMultilevel"/>
    <w:tmpl w:val="E324A1E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29717CCE"/>
    <w:multiLevelType w:val="hybridMultilevel"/>
    <w:tmpl w:val="8FE4C504"/>
    <w:lvl w:ilvl="0" w:tplc="0809000F">
      <w:start w:val="1"/>
      <w:numFmt w:val="decimal"/>
      <w:lvlText w:val="%1."/>
      <w:lvlJc w:val="left"/>
      <w:pPr>
        <w:tabs>
          <w:tab w:val="num" w:pos="1800"/>
        </w:tabs>
        <w:ind w:left="1800" w:hanging="360"/>
      </w:pPr>
    </w:lvl>
    <w:lvl w:ilvl="1" w:tplc="08090019">
      <w:start w:val="1"/>
      <w:numFmt w:val="lowerLetter"/>
      <w:lvlText w:val="%2."/>
      <w:lvlJc w:val="left"/>
      <w:pPr>
        <w:tabs>
          <w:tab w:val="num" w:pos="2520"/>
        </w:tabs>
        <w:ind w:left="2520" w:hanging="360"/>
      </w:pPr>
    </w:lvl>
    <w:lvl w:ilvl="2" w:tplc="0809001B">
      <w:start w:val="1"/>
      <w:numFmt w:val="lowerRoman"/>
      <w:lvlText w:val="%3."/>
      <w:lvlJc w:val="right"/>
      <w:pPr>
        <w:tabs>
          <w:tab w:val="num" w:pos="3240"/>
        </w:tabs>
        <w:ind w:left="3240" w:hanging="180"/>
      </w:pPr>
    </w:lvl>
    <w:lvl w:ilvl="3" w:tplc="0809000F">
      <w:start w:val="1"/>
      <w:numFmt w:val="decimal"/>
      <w:lvlText w:val="%4."/>
      <w:lvlJc w:val="left"/>
      <w:pPr>
        <w:tabs>
          <w:tab w:val="num" w:pos="3960"/>
        </w:tabs>
        <w:ind w:left="3960" w:hanging="360"/>
      </w:pPr>
    </w:lvl>
    <w:lvl w:ilvl="4" w:tplc="08090019">
      <w:start w:val="1"/>
      <w:numFmt w:val="lowerLetter"/>
      <w:lvlText w:val="%5."/>
      <w:lvlJc w:val="left"/>
      <w:pPr>
        <w:tabs>
          <w:tab w:val="num" w:pos="4680"/>
        </w:tabs>
        <w:ind w:left="4680" w:hanging="360"/>
      </w:pPr>
    </w:lvl>
    <w:lvl w:ilvl="5" w:tplc="0809001B">
      <w:start w:val="1"/>
      <w:numFmt w:val="lowerRoman"/>
      <w:lvlText w:val="%6."/>
      <w:lvlJc w:val="right"/>
      <w:pPr>
        <w:tabs>
          <w:tab w:val="num" w:pos="5400"/>
        </w:tabs>
        <w:ind w:left="5400" w:hanging="180"/>
      </w:pPr>
    </w:lvl>
    <w:lvl w:ilvl="6" w:tplc="0809000F">
      <w:start w:val="1"/>
      <w:numFmt w:val="decimal"/>
      <w:lvlText w:val="%7."/>
      <w:lvlJc w:val="left"/>
      <w:pPr>
        <w:tabs>
          <w:tab w:val="num" w:pos="6120"/>
        </w:tabs>
        <w:ind w:left="6120" w:hanging="360"/>
      </w:pPr>
    </w:lvl>
    <w:lvl w:ilvl="7" w:tplc="08090019">
      <w:start w:val="1"/>
      <w:numFmt w:val="lowerLetter"/>
      <w:lvlText w:val="%8."/>
      <w:lvlJc w:val="left"/>
      <w:pPr>
        <w:tabs>
          <w:tab w:val="num" w:pos="6840"/>
        </w:tabs>
        <w:ind w:left="6840" w:hanging="360"/>
      </w:pPr>
    </w:lvl>
    <w:lvl w:ilvl="8" w:tplc="0809001B">
      <w:start w:val="1"/>
      <w:numFmt w:val="lowerRoman"/>
      <w:lvlText w:val="%9."/>
      <w:lvlJc w:val="right"/>
      <w:pPr>
        <w:tabs>
          <w:tab w:val="num" w:pos="7560"/>
        </w:tabs>
        <w:ind w:left="7560" w:hanging="180"/>
      </w:pPr>
    </w:lvl>
  </w:abstractNum>
  <w:abstractNum w:abstractNumId="9">
    <w:nsid w:val="2D8034E4"/>
    <w:multiLevelType w:val="hybridMultilevel"/>
    <w:tmpl w:val="109C831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30B54F82"/>
    <w:multiLevelType w:val="hybridMultilevel"/>
    <w:tmpl w:val="C7DA9C7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32065977"/>
    <w:multiLevelType w:val="hybridMultilevel"/>
    <w:tmpl w:val="A174568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32EC4E09"/>
    <w:multiLevelType w:val="hybridMultilevel"/>
    <w:tmpl w:val="F9D03F8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4991E94"/>
    <w:multiLevelType w:val="hybridMultilevel"/>
    <w:tmpl w:val="8B3845A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3FE032D6"/>
    <w:multiLevelType w:val="hybridMultilevel"/>
    <w:tmpl w:val="0F6AC6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45B74072"/>
    <w:multiLevelType w:val="hybridMultilevel"/>
    <w:tmpl w:val="7236DFEE"/>
    <w:lvl w:ilvl="0" w:tplc="FC54EDC0">
      <w:start w:val="1"/>
      <w:numFmt w:val="bullet"/>
      <w:lvlText w:val=""/>
      <w:lvlJc w:val="left"/>
      <w:pPr>
        <w:tabs>
          <w:tab w:val="num" w:pos="720"/>
        </w:tabs>
        <w:ind w:left="720" w:hanging="720"/>
      </w:pPr>
      <w:rPr>
        <w:rFonts w:ascii="Symbol" w:hAnsi="Symbol" w:cs="Symbol" w:hint="default"/>
      </w:rPr>
    </w:lvl>
    <w:lvl w:ilvl="1" w:tplc="04090001">
      <w:start w:val="1"/>
      <w:numFmt w:val="bullet"/>
      <w:lvlText w:val=""/>
      <w:lvlJc w:val="left"/>
      <w:pPr>
        <w:tabs>
          <w:tab w:val="num" w:pos="1440"/>
        </w:tabs>
        <w:ind w:left="1440" w:hanging="360"/>
      </w:pPr>
      <w:rPr>
        <w:rFonts w:ascii="Symbol" w:hAnsi="Symbol" w:cs="Symbol" w:hint="default"/>
      </w:rPr>
    </w:lvl>
    <w:lvl w:ilvl="2" w:tplc="04090005">
      <w:start w:val="1"/>
      <w:numFmt w:val="bullet"/>
      <w:pStyle w:val="Heading3"/>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47F53354"/>
    <w:multiLevelType w:val="hybridMultilevel"/>
    <w:tmpl w:val="E3B083F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498E069C"/>
    <w:multiLevelType w:val="hybridMultilevel"/>
    <w:tmpl w:val="29BECE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51DA5A57"/>
    <w:multiLevelType w:val="hybridMultilevel"/>
    <w:tmpl w:val="19F41B68"/>
    <w:lvl w:ilvl="0" w:tplc="FA3EAC8C">
      <w:start w:val="15"/>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59362A4A"/>
    <w:multiLevelType w:val="hybridMultilevel"/>
    <w:tmpl w:val="079C66FE"/>
    <w:lvl w:ilvl="0" w:tplc="08090001">
      <w:start w:val="1"/>
      <w:numFmt w:val="bullet"/>
      <w:lvlText w:val=""/>
      <w:lvlJc w:val="left"/>
      <w:pPr>
        <w:tabs>
          <w:tab w:val="num" w:pos="780"/>
        </w:tabs>
        <w:ind w:left="780" w:hanging="360"/>
      </w:pPr>
      <w:rPr>
        <w:rFonts w:ascii="Symbol" w:hAnsi="Symbol" w:cs="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cs="Wingdings" w:hint="default"/>
      </w:rPr>
    </w:lvl>
    <w:lvl w:ilvl="3" w:tplc="08090001">
      <w:start w:val="1"/>
      <w:numFmt w:val="bullet"/>
      <w:lvlText w:val=""/>
      <w:lvlJc w:val="left"/>
      <w:pPr>
        <w:tabs>
          <w:tab w:val="num" w:pos="2940"/>
        </w:tabs>
        <w:ind w:left="2940" w:hanging="360"/>
      </w:pPr>
      <w:rPr>
        <w:rFonts w:ascii="Symbol" w:hAnsi="Symbol" w:cs="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cs="Wingdings" w:hint="default"/>
      </w:rPr>
    </w:lvl>
    <w:lvl w:ilvl="6" w:tplc="08090001">
      <w:start w:val="1"/>
      <w:numFmt w:val="bullet"/>
      <w:lvlText w:val=""/>
      <w:lvlJc w:val="left"/>
      <w:pPr>
        <w:tabs>
          <w:tab w:val="num" w:pos="5100"/>
        </w:tabs>
        <w:ind w:left="5100" w:hanging="360"/>
      </w:pPr>
      <w:rPr>
        <w:rFonts w:ascii="Symbol" w:hAnsi="Symbol" w:cs="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cs="Wingdings" w:hint="default"/>
      </w:rPr>
    </w:lvl>
  </w:abstractNum>
  <w:abstractNum w:abstractNumId="20">
    <w:nsid w:val="59636299"/>
    <w:multiLevelType w:val="hybridMultilevel"/>
    <w:tmpl w:val="9DDEF7B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69495057"/>
    <w:multiLevelType w:val="hybridMultilevel"/>
    <w:tmpl w:val="A93E217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6FF14968"/>
    <w:multiLevelType w:val="hybridMultilevel"/>
    <w:tmpl w:val="C6B80310"/>
    <w:lvl w:ilvl="0" w:tplc="0809000F">
      <w:start w:val="1"/>
      <w:numFmt w:val="decimal"/>
      <w:lvlText w:val="%1."/>
      <w:lvlJc w:val="left"/>
      <w:pPr>
        <w:tabs>
          <w:tab w:val="num" w:pos="780"/>
        </w:tabs>
        <w:ind w:left="780" w:hanging="360"/>
      </w:pPr>
    </w:lvl>
    <w:lvl w:ilvl="1" w:tplc="08090019">
      <w:start w:val="1"/>
      <w:numFmt w:val="lowerLetter"/>
      <w:lvlText w:val="%2."/>
      <w:lvlJc w:val="left"/>
      <w:pPr>
        <w:tabs>
          <w:tab w:val="num" w:pos="1500"/>
        </w:tabs>
        <w:ind w:left="1500" w:hanging="360"/>
      </w:pPr>
    </w:lvl>
    <w:lvl w:ilvl="2" w:tplc="0809001B">
      <w:start w:val="1"/>
      <w:numFmt w:val="lowerRoman"/>
      <w:lvlText w:val="%3."/>
      <w:lvlJc w:val="right"/>
      <w:pPr>
        <w:tabs>
          <w:tab w:val="num" w:pos="2220"/>
        </w:tabs>
        <w:ind w:left="2220" w:hanging="180"/>
      </w:pPr>
    </w:lvl>
    <w:lvl w:ilvl="3" w:tplc="0809000F">
      <w:start w:val="1"/>
      <w:numFmt w:val="decimal"/>
      <w:lvlText w:val="%4."/>
      <w:lvlJc w:val="left"/>
      <w:pPr>
        <w:tabs>
          <w:tab w:val="num" w:pos="2940"/>
        </w:tabs>
        <w:ind w:left="2940" w:hanging="360"/>
      </w:pPr>
    </w:lvl>
    <w:lvl w:ilvl="4" w:tplc="08090019">
      <w:start w:val="1"/>
      <w:numFmt w:val="lowerLetter"/>
      <w:lvlText w:val="%5."/>
      <w:lvlJc w:val="left"/>
      <w:pPr>
        <w:tabs>
          <w:tab w:val="num" w:pos="3660"/>
        </w:tabs>
        <w:ind w:left="3660" w:hanging="360"/>
      </w:pPr>
    </w:lvl>
    <w:lvl w:ilvl="5" w:tplc="0809001B">
      <w:start w:val="1"/>
      <w:numFmt w:val="lowerRoman"/>
      <w:lvlText w:val="%6."/>
      <w:lvlJc w:val="right"/>
      <w:pPr>
        <w:tabs>
          <w:tab w:val="num" w:pos="4380"/>
        </w:tabs>
        <w:ind w:left="4380" w:hanging="180"/>
      </w:pPr>
    </w:lvl>
    <w:lvl w:ilvl="6" w:tplc="0809000F">
      <w:start w:val="1"/>
      <w:numFmt w:val="decimal"/>
      <w:lvlText w:val="%7."/>
      <w:lvlJc w:val="left"/>
      <w:pPr>
        <w:tabs>
          <w:tab w:val="num" w:pos="5100"/>
        </w:tabs>
        <w:ind w:left="5100" w:hanging="360"/>
      </w:pPr>
    </w:lvl>
    <w:lvl w:ilvl="7" w:tplc="08090019">
      <w:start w:val="1"/>
      <w:numFmt w:val="lowerLetter"/>
      <w:lvlText w:val="%8."/>
      <w:lvlJc w:val="left"/>
      <w:pPr>
        <w:tabs>
          <w:tab w:val="num" w:pos="5820"/>
        </w:tabs>
        <w:ind w:left="5820" w:hanging="360"/>
      </w:pPr>
    </w:lvl>
    <w:lvl w:ilvl="8" w:tplc="0809001B">
      <w:start w:val="1"/>
      <w:numFmt w:val="lowerRoman"/>
      <w:lvlText w:val="%9."/>
      <w:lvlJc w:val="right"/>
      <w:pPr>
        <w:tabs>
          <w:tab w:val="num" w:pos="6540"/>
        </w:tabs>
        <w:ind w:left="6540" w:hanging="180"/>
      </w:pPr>
    </w:lvl>
  </w:abstractNum>
  <w:abstractNum w:abstractNumId="23">
    <w:nsid w:val="731838FD"/>
    <w:multiLevelType w:val="hybridMultilevel"/>
    <w:tmpl w:val="15BAFB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732B105E"/>
    <w:multiLevelType w:val="hybridMultilevel"/>
    <w:tmpl w:val="26B40ED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79C84930"/>
    <w:multiLevelType w:val="hybridMultilevel"/>
    <w:tmpl w:val="76BEB3D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7ADB7F66"/>
    <w:multiLevelType w:val="hybridMultilevel"/>
    <w:tmpl w:val="A3C66970"/>
    <w:lvl w:ilvl="0" w:tplc="08090001">
      <w:start w:val="1"/>
      <w:numFmt w:val="bullet"/>
      <w:lvlText w:val=""/>
      <w:lvlJc w:val="left"/>
      <w:pPr>
        <w:tabs>
          <w:tab w:val="num" w:pos="720"/>
        </w:tabs>
        <w:ind w:left="720" w:hanging="360"/>
      </w:pPr>
      <w:rPr>
        <w:rFonts w:ascii="Symbol" w:hAnsi="Symbol" w:cs="Symbol" w:hint="default"/>
      </w:rPr>
    </w:lvl>
    <w:lvl w:ilvl="1" w:tplc="0809000F">
      <w:start w:val="1"/>
      <w:numFmt w:val="decimal"/>
      <w:lvlText w:val="%2."/>
      <w:lvlJc w:val="left"/>
      <w:pPr>
        <w:tabs>
          <w:tab w:val="num" w:pos="1440"/>
        </w:tabs>
        <w:ind w:left="1440" w:hanging="360"/>
      </w:pPr>
      <w:rPr>
        <w:rFonts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24"/>
  </w:num>
  <w:num w:numId="2">
    <w:abstractNumId w:val="25"/>
  </w:num>
  <w:num w:numId="3">
    <w:abstractNumId w:val="26"/>
  </w:num>
  <w:num w:numId="4">
    <w:abstractNumId w:val="6"/>
  </w:num>
  <w:num w:numId="5">
    <w:abstractNumId w:val="8"/>
  </w:num>
  <w:num w:numId="6">
    <w:abstractNumId w:val="22"/>
  </w:num>
  <w:num w:numId="7">
    <w:abstractNumId w:val="19"/>
  </w:num>
  <w:num w:numId="8">
    <w:abstractNumId w:val="0"/>
  </w:num>
  <w:num w:numId="9">
    <w:abstractNumId w:val="15"/>
  </w:num>
  <w:num w:numId="10">
    <w:abstractNumId w:val="9"/>
  </w:num>
  <w:num w:numId="11">
    <w:abstractNumId w:val="17"/>
  </w:num>
  <w:num w:numId="12">
    <w:abstractNumId w:val="21"/>
  </w:num>
  <w:num w:numId="13">
    <w:abstractNumId w:val="10"/>
  </w:num>
  <w:num w:numId="14">
    <w:abstractNumId w:val="12"/>
  </w:num>
  <w:num w:numId="15">
    <w:abstractNumId w:val="23"/>
  </w:num>
  <w:num w:numId="16">
    <w:abstractNumId w:val="11"/>
  </w:num>
  <w:num w:numId="17">
    <w:abstractNumId w:val="18"/>
  </w:num>
  <w:num w:numId="18">
    <w:abstractNumId w:val="13"/>
  </w:num>
  <w:num w:numId="19">
    <w:abstractNumId w:val="1"/>
  </w:num>
  <w:num w:numId="20">
    <w:abstractNumId w:val="4"/>
  </w:num>
  <w:num w:numId="21">
    <w:abstractNumId w:val="4"/>
  </w:num>
  <w:num w:numId="22">
    <w:abstractNumId w:val="16"/>
  </w:num>
  <w:num w:numId="23">
    <w:abstractNumId w:val="4"/>
  </w:num>
  <w:num w:numId="24">
    <w:abstractNumId w:val="7"/>
  </w:num>
  <w:num w:numId="25">
    <w:abstractNumId w:val="14"/>
  </w:num>
  <w:num w:numId="26">
    <w:abstractNumId w:val="5"/>
  </w:num>
  <w:num w:numId="27">
    <w:abstractNumId w:val="3"/>
  </w:num>
  <w:num w:numId="28">
    <w:abstractNumId w:val="20"/>
  </w:num>
  <w:num w:numId="2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defaultTabStop w:val="720"/>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FELayout/>
  </w:compat>
  <w:rsids>
    <w:rsidRoot w:val="00CB5523"/>
    <w:rsid w:val="00000288"/>
    <w:rsid w:val="00002C25"/>
    <w:rsid w:val="0000359F"/>
    <w:rsid w:val="00004DB5"/>
    <w:rsid w:val="000058C2"/>
    <w:rsid w:val="00005CE6"/>
    <w:rsid w:val="000060A1"/>
    <w:rsid w:val="00006323"/>
    <w:rsid w:val="0000641E"/>
    <w:rsid w:val="00007AB0"/>
    <w:rsid w:val="00007EBA"/>
    <w:rsid w:val="00013220"/>
    <w:rsid w:val="00013262"/>
    <w:rsid w:val="00013834"/>
    <w:rsid w:val="00013A6C"/>
    <w:rsid w:val="00014F65"/>
    <w:rsid w:val="0001504E"/>
    <w:rsid w:val="0001603D"/>
    <w:rsid w:val="00017C79"/>
    <w:rsid w:val="00020001"/>
    <w:rsid w:val="00020042"/>
    <w:rsid w:val="00021CB3"/>
    <w:rsid w:val="000223E9"/>
    <w:rsid w:val="000226A9"/>
    <w:rsid w:val="000248A3"/>
    <w:rsid w:val="00026076"/>
    <w:rsid w:val="00030330"/>
    <w:rsid w:val="00030BEA"/>
    <w:rsid w:val="000322B0"/>
    <w:rsid w:val="000345D0"/>
    <w:rsid w:val="00034AE8"/>
    <w:rsid w:val="00034F41"/>
    <w:rsid w:val="00036652"/>
    <w:rsid w:val="000378C2"/>
    <w:rsid w:val="000379A0"/>
    <w:rsid w:val="00040167"/>
    <w:rsid w:val="000422E2"/>
    <w:rsid w:val="0004337D"/>
    <w:rsid w:val="00043519"/>
    <w:rsid w:val="000442B0"/>
    <w:rsid w:val="00046923"/>
    <w:rsid w:val="00046DB2"/>
    <w:rsid w:val="0004734E"/>
    <w:rsid w:val="00047885"/>
    <w:rsid w:val="00047D71"/>
    <w:rsid w:val="0005077C"/>
    <w:rsid w:val="000507C6"/>
    <w:rsid w:val="00050E3A"/>
    <w:rsid w:val="00051AC1"/>
    <w:rsid w:val="00051E20"/>
    <w:rsid w:val="000536AB"/>
    <w:rsid w:val="00055456"/>
    <w:rsid w:val="00056AD6"/>
    <w:rsid w:val="00057653"/>
    <w:rsid w:val="00057C27"/>
    <w:rsid w:val="00060555"/>
    <w:rsid w:val="00060590"/>
    <w:rsid w:val="00060A60"/>
    <w:rsid w:val="00061438"/>
    <w:rsid w:val="00061F25"/>
    <w:rsid w:val="0006268F"/>
    <w:rsid w:val="000645CB"/>
    <w:rsid w:val="000648B2"/>
    <w:rsid w:val="00065232"/>
    <w:rsid w:val="00065E9A"/>
    <w:rsid w:val="00070A69"/>
    <w:rsid w:val="00071000"/>
    <w:rsid w:val="0007186F"/>
    <w:rsid w:val="000719C8"/>
    <w:rsid w:val="00071E1D"/>
    <w:rsid w:val="00076BB0"/>
    <w:rsid w:val="000774C5"/>
    <w:rsid w:val="00081681"/>
    <w:rsid w:val="0008284C"/>
    <w:rsid w:val="000829BA"/>
    <w:rsid w:val="00082C15"/>
    <w:rsid w:val="000834A3"/>
    <w:rsid w:val="000848A4"/>
    <w:rsid w:val="00084AEC"/>
    <w:rsid w:val="00085070"/>
    <w:rsid w:val="0008588F"/>
    <w:rsid w:val="00085F49"/>
    <w:rsid w:val="00087149"/>
    <w:rsid w:val="000906E5"/>
    <w:rsid w:val="0009082B"/>
    <w:rsid w:val="00091B20"/>
    <w:rsid w:val="00091C92"/>
    <w:rsid w:val="00091CD4"/>
    <w:rsid w:val="00092979"/>
    <w:rsid w:val="000933CF"/>
    <w:rsid w:val="00093C41"/>
    <w:rsid w:val="0009467C"/>
    <w:rsid w:val="00096345"/>
    <w:rsid w:val="00096560"/>
    <w:rsid w:val="000966D2"/>
    <w:rsid w:val="00096ED0"/>
    <w:rsid w:val="000A034F"/>
    <w:rsid w:val="000A1679"/>
    <w:rsid w:val="000A231A"/>
    <w:rsid w:val="000A2A2F"/>
    <w:rsid w:val="000A3330"/>
    <w:rsid w:val="000A3711"/>
    <w:rsid w:val="000A3C2C"/>
    <w:rsid w:val="000A5612"/>
    <w:rsid w:val="000A5C20"/>
    <w:rsid w:val="000A7C52"/>
    <w:rsid w:val="000B06F3"/>
    <w:rsid w:val="000B0A6C"/>
    <w:rsid w:val="000B14F2"/>
    <w:rsid w:val="000B3344"/>
    <w:rsid w:val="000B34EB"/>
    <w:rsid w:val="000B6420"/>
    <w:rsid w:val="000B7288"/>
    <w:rsid w:val="000B7716"/>
    <w:rsid w:val="000B77BC"/>
    <w:rsid w:val="000B7E1F"/>
    <w:rsid w:val="000B7E37"/>
    <w:rsid w:val="000C01C1"/>
    <w:rsid w:val="000C0517"/>
    <w:rsid w:val="000C0EF2"/>
    <w:rsid w:val="000C1C60"/>
    <w:rsid w:val="000C1DE2"/>
    <w:rsid w:val="000C1F58"/>
    <w:rsid w:val="000C2127"/>
    <w:rsid w:val="000C28B4"/>
    <w:rsid w:val="000C32ED"/>
    <w:rsid w:val="000C47DE"/>
    <w:rsid w:val="000C6DEE"/>
    <w:rsid w:val="000C7229"/>
    <w:rsid w:val="000C734D"/>
    <w:rsid w:val="000C741A"/>
    <w:rsid w:val="000C7E7E"/>
    <w:rsid w:val="000D060F"/>
    <w:rsid w:val="000D173D"/>
    <w:rsid w:val="000D1C44"/>
    <w:rsid w:val="000D24A6"/>
    <w:rsid w:val="000D2C6C"/>
    <w:rsid w:val="000D44EE"/>
    <w:rsid w:val="000D4BC1"/>
    <w:rsid w:val="000D4DD4"/>
    <w:rsid w:val="000D6358"/>
    <w:rsid w:val="000D7ED2"/>
    <w:rsid w:val="000E017E"/>
    <w:rsid w:val="000E2F6E"/>
    <w:rsid w:val="000E3672"/>
    <w:rsid w:val="000E4317"/>
    <w:rsid w:val="000E506C"/>
    <w:rsid w:val="000E695E"/>
    <w:rsid w:val="000E71B9"/>
    <w:rsid w:val="000E72D9"/>
    <w:rsid w:val="000F0D23"/>
    <w:rsid w:val="000F0F25"/>
    <w:rsid w:val="000F100D"/>
    <w:rsid w:val="000F1B42"/>
    <w:rsid w:val="000F2B28"/>
    <w:rsid w:val="000F3F82"/>
    <w:rsid w:val="000F4C25"/>
    <w:rsid w:val="000F4DEC"/>
    <w:rsid w:val="000F5072"/>
    <w:rsid w:val="000F5C7F"/>
    <w:rsid w:val="000F6067"/>
    <w:rsid w:val="000F76CE"/>
    <w:rsid w:val="000F7DEF"/>
    <w:rsid w:val="0010202A"/>
    <w:rsid w:val="001032C8"/>
    <w:rsid w:val="00103D5F"/>
    <w:rsid w:val="0010450D"/>
    <w:rsid w:val="001056BD"/>
    <w:rsid w:val="001057D9"/>
    <w:rsid w:val="00105B4C"/>
    <w:rsid w:val="001061E1"/>
    <w:rsid w:val="00106909"/>
    <w:rsid w:val="00107199"/>
    <w:rsid w:val="001100B4"/>
    <w:rsid w:val="001107A3"/>
    <w:rsid w:val="00111D53"/>
    <w:rsid w:val="00112ABB"/>
    <w:rsid w:val="00113435"/>
    <w:rsid w:val="00114410"/>
    <w:rsid w:val="00114CF5"/>
    <w:rsid w:val="001201F8"/>
    <w:rsid w:val="001207E7"/>
    <w:rsid w:val="001212D8"/>
    <w:rsid w:val="00121F9C"/>
    <w:rsid w:val="00122D5E"/>
    <w:rsid w:val="001243E7"/>
    <w:rsid w:val="0012490A"/>
    <w:rsid w:val="001258BC"/>
    <w:rsid w:val="00126527"/>
    <w:rsid w:val="00127758"/>
    <w:rsid w:val="00130DFF"/>
    <w:rsid w:val="001314C7"/>
    <w:rsid w:val="0013210B"/>
    <w:rsid w:val="0013356E"/>
    <w:rsid w:val="00134E24"/>
    <w:rsid w:val="00135750"/>
    <w:rsid w:val="00136AA9"/>
    <w:rsid w:val="00136B4A"/>
    <w:rsid w:val="00136B57"/>
    <w:rsid w:val="00137342"/>
    <w:rsid w:val="00137372"/>
    <w:rsid w:val="001376B9"/>
    <w:rsid w:val="0013787C"/>
    <w:rsid w:val="001402F0"/>
    <w:rsid w:val="00140B94"/>
    <w:rsid w:val="00144C46"/>
    <w:rsid w:val="00145703"/>
    <w:rsid w:val="00145DD4"/>
    <w:rsid w:val="00147004"/>
    <w:rsid w:val="001471F6"/>
    <w:rsid w:val="001500E9"/>
    <w:rsid w:val="001510F5"/>
    <w:rsid w:val="00152FA3"/>
    <w:rsid w:val="0015320E"/>
    <w:rsid w:val="00153E7E"/>
    <w:rsid w:val="00154D50"/>
    <w:rsid w:val="001554E3"/>
    <w:rsid w:val="001555E2"/>
    <w:rsid w:val="001558BB"/>
    <w:rsid w:val="001578C2"/>
    <w:rsid w:val="00160FC6"/>
    <w:rsid w:val="00161A88"/>
    <w:rsid w:val="0016215D"/>
    <w:rsid w:val="00164003"/>
    <w:rsid w:val="001648BF"/>
    <w:rsid w:val="001656E6"/>
    <w:rsid w:val="00165C78"/>
    <w:rsid w:val="00166E88"/>
    <w:rsid w:val="00170CE3"/>
    <w:rsid w:val="00170D1D"/>
    <w:rsid w:val="001716A5"/>
    <w:rsid w:val="001752C9"/>
    <w:rsid w:val="001759EA"/>
    <w:rsid w:val="00175D9A"/>
    <w:rsid w:val="00175E34"/>
    <w:rsid w:val="00176D65"/>
    <w:rsid w:val="00177175"/>
    <w:rsid w:val="0017730E"/>
    <w:rsid w:val="0017758D"/>
    <w:rsid w:val="001779F6"/>
    <w:rsid w:val="00177A09"/>
    <w:rsid w:val="00180C50"/>
    <w:rsid w:val="00181996"/>
    <w:rsid w:val="00181997"/>
    <w:rsid w:val="00182A9E"/>
    <w:rsid w:val="001837AA"/>
    <w:rsid w:val="00184694"/>
    <w:rsid w:val="00184D37"/>
    <w:rsid w:val="00184E66"/>
    <w:rsid w:val="00185D87"/>
    <w:rsid w:val="00186007"/>
    <w:rsid w:val="00186F1F"/>
    <w:rsid w:val="00187A88"/>
    <w:rsid w:val="00190DBD"/>
    <w:rsid w:val="001912B2"/>
    <w:rsid w:val="00191B51"/>
    <w:rsid w:val="001927C9"/>
    <w:rsid w:val="00192ED6"/>
    <w:rsid w:val="00192FEB"/>
    <w:rsid w:val="00194C1E"/>
    <w:rsid w:val="00194F19"/>
    <w:rsid w:val="001951D7"/>
    <w:rsid w:val="00195915"/>
    <w:rsid w:val="00195A21"/>
    <w:rsid w:val="00196369"/>
    <w:rsid w:val="00196BC5"/>
    <w:rsid w:val="001A1523"/>
    <w:rsid w:val="001A4754"/>
    <w:rsid w:val="001A4BDE"/>
    <w:rsid w:val="001A5CAE"/>
    <w:rsid w:val="001A5D68"/>
    <w:rsid w:val="001A5FD9"/>
    <w:rsid w:val="001B1BD1"/>
    <w:rsid w:val="001B1EAB"/>
    <w:rsid w:val="001B1EE0"/>
    <w:rsid w:val="001B3EA9"/>
    <w:rsid w:val="001B3EF9"/>
    <w:rsid w:val="001B4D5A"/>
    <w:rsid w:val="001B6041"/>
    <w:rsid w:val="001B6326"/>
    <w:rsid w:val="001B6609"/>
    <w:rsid w:val="001B666C"/>
    <w:rsid w:val="001B684D"/>
    <w:rsid w:val="001B7064"/>
    <w:rsid w:val="001C0375"/>
    <w:rsid w:val="001C0C8E"/>
    <w:rsid w:val="001C18E9"/>
    <w:rsid w:val="001C1BCE"/>
    <w:rsid w:val="001C2305"/>
    <w:rsid w:val="001C3817"/>
    <w:rsid w:val="001C41ED"/>
    <w:rsid w:val="001C438E"/>
    <w:rsid w:val="001C46F8"/>
    <w:rsid w:val="001D06FF"/>
    <w:rsid w:val="001D0E05"/>
    <w:rsid w:val="001D2F51"/>
    <w:rsid w:val="001D4974"/>
    <w:rsid w:val="001D506D"/>
    <w:rsid w:val="001D5400"/>
    <w:rsid w:val="001D58CA"/>
    <w:rsid w:val="001D6323"/>
    <w:rsid w:val="001D6F3D"/>
    <w:rsid w:val="001D7E4D"/>
    <w:rsid w:val="001D7F20"/>
    <w:rsid w:val="001E1E68"/>
    <w:rsid w:val="001E3FA1"/>
    <w:rsid w:val="001E49D9"/>
    <w:rsid w:val="001E57E2"/>
    <w:rsid w:val="001E669F"/>
    <w:rsid w:val="001E6787"/>
    <w:rsid w:val="001E6DAB"/>
    <w:rsid w:val="001E75D1"/>
    <w:rsid w:val="001E7CF2"/>
    <w:rsid w:val="001F1560"/>
    <w:rsid w:val="001F1B6C"/>
    <w:rsid w:val="001F23AF"/>
    <w:rsid w:val="001F241C"/>
    <w:rsid w:val="001F2BE8"/>
    <w:rsid w:val="001F34BA"/>
    <w:rsid w:val="001F35C4"/>
    <w:rsid w:val="001F50A6"/>
    <w:rsid w:val="001F58E3"/>
    <w:rsid w:val="001F5DD9"/>
    <w:rsid w:val="001F65FE"/>
    <w:rsid w:val="001F6639"/>
    <w:rsid w:val="001F7F2E"/>
    <w:rsid w:val="00200A9A"/>
    <w:rsid w:val="00200DF8"/>
    <w:rsid w:val="00202EEB"/>
    <w:rsid w:val="00203133"/>
    <w:rsid w:val="002032FB"/>
    <w:rsid w:val="002033C8"/>
    <w:rsid w:val="0020548F"/>
    <w:rsid w:val="00205C41"/>
    <w:rsid w:val="00205D3F"/>
    <w:rsid w:val="0020626B"/>
    <w:rsid w:val="002067CC"/>
    <w:rsid w:val="00207380"/>
    <w:rsid w:val="002074BE"/>
    <w:rsid w:val="0020782C"/>
    <w:rsid w:val="00207B6D"/>
    <w:rsid w:val="00207DD7"/>
    <w:rsid w:val="00207EBC"/>
    <w:rsid w:val="00210098"/>
    <w:rsid w:val="002107B3"/>
    <w:rsid w:val="0021255E"/>
    <w:rsid w:val="002125B2"/>
    <w:rsid w:val="002137E0"/>
    <w:rsid w:val="00216067"/>
    <w:rsid w:val="0021631D"/>
    <w:rsid w:val="002167E0"/>
    <w:rsid w:val="00217115"/>
    <w:rsid w:val="00217994"/>
    <w:rsid w:val="00220B35"/>
    <w:rsid w:val="00220DB9"/>
    <w:rsid w:val="00221462"/>
    <w:rsid w:val="0022150A"/>
    <w:rsid w:val="0022171D"/>
    <w:rsid w:val="00222A96"/>
    <w:rsid w:val="002237D7"/>
    <w:rsid w:val="00223A60"/>
    <w:rsid w:val="00225331"/>
    <w:rsid w:val="00225604"/>
    <w:rsid w:val="00226925"/>
    <w:rsid w:val="00227138"/>
    <w:rsid w:val="00227164"/>
    <w:rsid w:val="00227824"/>
    <w:rsid w:val="00227887"/>
    <w:rsid w:val="002278E7"/>
    <w:rsid w:val="00227C4E"/>
    <w:rsid w:val="00230EE6"/>
    <w:rsid w:val="00232A1F"/>
    <w:rsid w:val="00234238"/>
    <w:rsid w:val="00234FC3"/>
    <w:rsid w:val="0023608A"/>
    <w:rsid w:val="00237039"/>
    <w:rsid w:val="0023722A"/>
    <w:rsid w:val="0023759A"/>
    <w:rsid w:val="00237736"/>
    <w:rsid w:val="002407BB"/>
    <w:rsid w:val="00241C68"/>
    <w:rsid w:val="00241E8F"/>
    <w:rsid w:val="002420C9"/>
    <w:rsid w:val="00242163"/>
    <w:rsid w:val="00243C05"/>
    <w:rsid w:val="00244611"/>
    <w:rsid w:val="00244A2B"/>
    <w:rsid w:val="00245716"/>
    <w:rsid w:val="0024595C"/>
    <w:rsid w:val="00245C31"/>
    <w:rsid w:val="00246240"/>
    <w:rsid w:val="002500F1"/>
    <w:rsid w:val="00250123"/>
    <w:rsid w:val="00250593"/>
    <w:rsid w:val="00251799"/>
    <w:rsid w:val="00252592"/>
    <w:rsid w:val="00253180"/>
    <w:rsid w:val="002534DA"/>
    <w:rsid w:val="00253E27"/>
    <w:rsid w:val="002545A8"/>
    <w:rsid w:val="00255360"/>
    <w:rsid w:val="0025580A"/>
    <w:rsid w:val="00256618"/>
    <w:rsid w:val="00256950"/>
    <w:rsid w:val="002575D4"/>
    <w:rsid w:val="002578E0"/>
    <w:rsid w:val="00260650"/>
    <w:rsid w:val="00260AE9"/>
    <w:rsid w:val="00261260"/>
    <w:rsid w:val="00261B13"/>
    <w:rsid w:val="00261B80"/>
    <w:rsid w:val="0026205F"/>
    <w:rsid w:val="00263A37"/>
    <w:rsid w:val="00263B43"/>
    <w:rsid w:val="00263BE8"/>
    <w:rsid w:val="00264961"/>
    <w:rsid w:val="0026524E"/>
    <w:rsid w:val="002662A1"/>
    <w:rsid w:val="0026652A"/>
    <w:rsid w:val="00266678"/>
    <w:rsid w:val="002673C3"/>
    <w:rsid w:val="00267A84"/>
    <w:rsid w:val="00267BB7"/>
    <w:rsid w:val="00267F74"/>
    <w:rsid w:val="00270E80"/>
    <w:rsid w:val="00271310"/>
    <w:rsid w:val="00271913"/>
    <w:rsid w:val="00271B86"/>
    <w:rsid w:val="0027208D"/>
    <w:rsid w:val="0027273E"/>
    <w:rsid w:val="00272F9F"/>
    <w:rsid w:val="0027370A"/>
    <w:rsid w:val="002747AA"/>
    <w:rsid w:val="00275454"/>
    <w:rsid w:val="00275EC7"/>
    <w:rsid w:val="00277440"/>
    <w:rsid w:val="002809E1"/>
    <w:rsid w:val="00280CC7"/>
    <w:rsid w:val="00280D74"/>
    <w:rsid w:val="00281D64"/>
    <w:rsid w:val="00282D8B"/>
    <w:rsid w:val="00283146"/>
    <w:rsid w:val="0028416F"/>
    <w:rsid w:val="00284DBF"/>
    <w:rsid w:val="002851C9"/>
    <w:rsid w:val="00285F4B"/>
    <w:rsid w:val="002862B2"/>
    <w:rsid w:val="00286327"/>
    <w:rsid w:val="002877CE"/>
    <w:rsid w:val="002877E3"/>
    <w:rsid w:val="00290599"/>
    <w:rsid w:val="002909B5"/>
    <w:rsid w:val="00293389"/>
    <w:rsid w:val="002940E4"/>
    <w:rsid w:val="00294126"/>
    <w:rsid w:val="0029438B"/>
    <w:rsid w:val="00294BEA"/>
    <w:rsid w:val="00296836"/>
    <w:rsid w:val="002979D0"/>
    <w:rsid w:val="00297E14"/>
    <w:rsid w:val="002A283E"/>
    <w:rsid w:val="002A2D02"/>
    <w:rsid w:val="002A41D8"/>
    <w:rsid w:val="002A53C8"/>
    <w:rsid w:val="002A5740"/>
    <w:rsid w:val="002A65A7"/>
    <w:rsid w:val="002A70BD"/>
    <w:rsid w:val="002A79EE"/>
    <w:rsid w:val="002A7C74"/>
    <w:rsid w:val="002B0C69"/>
    <w:rsid w:val="002B0DC6"/>
    <w:rsid w:val="002B0E51"/>
    <w:rsid w:val="002B14CB"/>
    <w:rsid w:val="002B274E"/>
    <w:rsid w:val="002B3B40"/>
    <w:rsid w:val="002B4DD4"/>
    <w:rsid w:val="002B50A6"/>
    <w:rsid w:val="002B6B4D"/>
    <w:rsid w:val="002B70B8"/>
    <w:rsid w:val="002B790E"/>
    <w:rsid w:val="002C0054"/>
    <w:rsid w:val="002C0A64"/>
    <w:rsid w:val="002C2317"/>
    <w:rsid w:val="002C2F49"/>
    <w:rsid w:val="002C3B3E"/>
    <w:rsid w:val="002C3C0E"/>
    <w:rsid w:val="002C41B6"/>
    <w:rsid w:val="002C6376"/>
    <w:rsid w:val="002C679F"/>
    <w:rsid w:val="002C6BD7"/>
    <w:rsid w:val="002C6D78"/>
    <w:rsid w:val="002C70D9"/>
    <w:rsid w:val="002C7DF4"/>
    <w:rsid w:val="002D2449"/>
    <w:rsid w:val="002D2696"/>
    <w:rsid w:val="002D285E"/>
    <w:rsid w:val="002D36DB"/>
    <w:rsid w:val="002D3AAD"/>
    <w:rsid w:val="002D3CBB"/>
    <w:rsid w:val="002D3D4D"/>
    <w:rsid w:val="002D437D"/>
    <w:rsid w:val="002D4F54"/>
    <w:rsid w:val="002D5DCF"/>
    <w:rsid w:val="002E064D"/>
    <w:rsid w:val="002E080C"/>
    <w:rsid w:val="002E18DA"/>
    <w:rsid w:val="002E21EB"/>
    <w:rsid w:val="002E6DDE"/>
    <w:rsid w:val="002E76AB"/>
    <w:rsid w:val="002E7CF2"/>
    <w:rsid w:val="002F0071"/>
    <w:rsid w:val="002F0292"/>
    <w:rsid w:val="002F1ED5"/>
    <w:rsid w:val="002F1EEC"/>
    <w:rsid w:val="002F2448"/>
    <w:rsid w:val="002F497D"/>
    <w:rsid w:val="002F4EC7"/>
    <w:rsid w:val="002F5567"/>
    <w:rsid w:val="002F5C01"/>
    <w:rsid w:val="002F64BF"/>
    <w:rsid w:val="002F718F"/>
    <w:rsid w:val="002F7D68"/>
    <w:rsid w:val="003004F1"/>
    <w:rsid w:val="00301373"/>
    <w:rsid w:val="00302AEF"/>
    <w:rsid w:val="00302F0B"/>
    <w:rsid w:val="003032AC"/>
    <w:rsid w:val="0030380B"/>
    <w:rsid w:val="00306DD4"/>
    <w:rsid w:val="0030732F"/>
    <w:rsid w:val="00307704"/>
    <w:rsid w:val="00310256"/>
    <w:rsid w:val="0031137C"/>
    <w:rsid w:val="003115A6"/>
    <w:rsid w:val="00311841"/>
    <w:rsid w:val="00311A29"/>
    <w:rsid w:val="00312062"/>
    <w:rsid w:val="003120F0"/>
    <w:rsid w:val="003123A0"/>
    <w:rsid w:val="003124DD"/>
    <w:rsid w:val="00312E9E"/>
    <w:rsid w:val="00312FD5"/>
    <w:rsid w:val="0031358E"/>
    <w:rsid w:val="0031444C"/>
    <w:rsid w:val="00315C56"/>
    <w:rsid w:val="003161F3"/>
    <w:rsid w:val="003174E3"/>
    <w:rsid w:val="00317B95"/>
    <w:rsid w:val="00320427"/>
    <w:rsid w:val="00320742"/>
    <w:rsid w:val="00321365"/>
    <w:rsid w:val="003214B9"/>
    <w:rsid w:val="00321B63"/>
    <w:rsid w:val="00321D3B"/>
    <w:rsid w:val="0032374E"/>
    <w:rsid w:val="00323D40"/>
    <w:rsid w:val="003240C3"/>
    <w:rsid w:val="00324B22"/>
    <w:rsid w:val="003255C0"/>
    <w:rsid w:val="00325C5F"/>
    <w:rsid w:val="003266EE"/>
    <w:rsid w:val="00331169"/>
    <w:rsid w:val="00331F9E"/>
    <w:rsid w:val="00332D5C"/>
    <w:rsid w:val="00334FE4"/>
    <w:rsid w:val="003362DB"/>
    <w:rsid w:val="00337004"/>
    <w:rsid w:val="003412A4"/>
    <w:rsid w:val="00343F92"/>
    <w:rsid w:val="003449A9"/>
    <w:rsid w:val="00344D0E"/>
    <w:rsid w:val="0034531C"/>
    <w:rsid w:val="00345AF1"/>
    <w:rsid w:val="00345B43"/>
    <w:rsid w:val="0034645E"/>
    <w:rsid w:val="00346F61"/>
    <w:rsid w:val="00351165"/>
    <w:rsid w:val="00351994"/>
    <w:rsid w:val="00352F10"/>
    <w:rsid w:val="0035380E"/>
    <w:rsid w:val="003542F6"/>
    <w:rsid w:val="00355584"/>
    <w:rsid w:val="00356256"/>
    <w:rsid w:val="00357235"/>
    <w:rsid w:val="0035740D"/>
    <w:rsid w:val="00357CD5"/>
    <w:rsid w:val="0036000D"/>
    <w:rsid w:val="003605B3"/>
    <w:rsid w:val="00360AA1"/>
    <w:rsid w:val="003620CC"/>
    <w:rsid w:val="003631E7"/>
    <w:rsid w:val="00364D3B"/>
    <w:rsid w:val="00364E2C"/>
    <w:rsid w:val="003659A8"/>
    <w:rsid w:val="0036668B"/>
    <w:rsid w:val="00366E4F"/>
    <w:rsid w:val="003677CA"/>
    <w:rsid w:val="00371475"/>
    <w:rsid w:val="00372A12"/>
    <w:rsid w:val="00372F4F"/>
    <w:rsid w:val="00373C3E"/>
    <w:rsid w:val="00373EA2"/>
    <w:rsid w:val="00375502"/>
    <w:rsid w:val="00375AD9"/>
    <w:rsid w:val="00375F61"/>
    <w:rsid w:val="003770B9"/>
    <w:rsid w:val="003816F5"/>
    <w:rsid w:val="003820FA"/>
    <w:rsid w:val="003824FC"/>
    <w:rsid w:val="003844FD"/>
    <w:rsid w:val="00384AC0"/>
    <w:rsid w:val="0038508A"/>
    <w:rsid w:val="00385773"/>
    <w:rsid w:val="00385A99"/>
    <w:rsid w:val="00387BBF"/>
    <w:rsid w:val="00387C2D"/>
    <w:rsid w:val="003903D7"/>
    <w:rsid w:val="00390416"/>
    <w:rsid w:val="00392045"/>
    <w:rsid w:val="00393494"/>
    <w:rsid w:val="00393514"/>
    <w:rsid w:val="00393F05"/>
    <w:rsid w:val="0039450E"/>
    <w:rsid w:val="00395161"/>
    <w:rsid w:val="00395C96"/>
    <w:rsid w:val="003966C2"/>
    <w:rsid w:val="00396942"/>
    <w:rsid w:val="00396CEB"/>
    <w:rsid w:val="00396E81"/>
    <w:rsid w:val="003977BC"/>
    <w:rsid w:val="00397FA4"/>
    <w:rsid w:val="00397FAE"/>
    <w:rsid w:val="003A08B8"/>
    <w:rsid w:val="003A0991"/>
    <w:rsid w:val="003A1A01"/>
    <w:rsid w:val="003A1ABF"/>
    <w:rsid w:val="003A1D40"/>
    <w:rsid w:val="003A4254"/>
    <w:rsid w:val="003A5DD1"/>
    <w:rsid w:val="003A64CB"/>
    <w:rsid w:val="003A6855"/>
    <w:rsid w:val="003A6A20"/>
    <w:rsid w:val="003A7261"/>
    <w:rsid w:val="003A77E8"/>
    <w:rsid w:val="003A77EA"/>
    <w:rsid w:val="003A7DE2"/>
    <w:rsid w:val="003B0A54"/>
    <w:rsid w:val="003B289D"/>
    <w:rsid w:val="003B3594"/>
    <w:rsid w:val="003B3AEE"/>
    <w:rsid w:val="003B4DAE"/>
    <w:rsid w:val="003B5039"/>
    <w:rsid w:val="003B5761"/>
    <w:rsid w:val="003B57A3"/>
    <w:rsid w:val="003B6558"/>
    <w:rsid w:val="003B7CF6"/>
    <w:rsid w:val="003C0F15"/>
    <w:rsid w:val="003C27D7"/>
    <w:rsid w:val="003C2B2D"/>
    <w:rsid w:val="003C3571"/>
    <w:rsid w:val="003C5077"/>
    <w:rsid w:val="003C571B"/>
    <w:rsid w:val="003C6657"/>
    <w:rsid w:val="003C6A3E"/>
    <w:rsid w:val="003C7461"/>
    <w:rsid w:val="003C795A"/>
    <w:rsid w:val="003D3461"/>
    <w:rsid w:val="003D3B82"/>
    <w:rsid w:val="003D4157"/>
    <w:rsid w:val="003D4948"/>
    <w:rsid w:val="003D578C"/>
    <w:rsid w:val="003D58C1"/>
    <w:rsid w:val="003D5FB1"/>
    <w:rsid w:val="003D66BE"/>
    <w:rsid w:val="003D7F67"/>
    <w:rsid w:val="003E0DDD"/>
    <w:rsid w:val="003E1304"/>
    <w:rsid w:val="003E1593"/>
    <w:rsid w:val="003E4345"/>
    <w:rsid w:val="003E5713"/>
    <w:rsid w:val="003E69F7"/>
    <w:rsid w:val="003E7C39"/>
    <w:rsid w:val="003F0F3A"/>
    <w:rsid w:val="003F4AEF"/>
    <w:rsid w:val="003F647C"/>
    <w:rsid w:val="003F6D54"/>
    <w:rsid w:val="003F7662"/>
    <w:rsid w:val="003F77C4"/>
    <w:rsid w:val="004024B2"/>
    <w:rsid w:val="00402F86"/>
    <w:rsid w:val="00404239"/>
    <w:rsid w:val="00404D10"/>
    <w:rsid w:val="00405119"/>
    <w:rsid w:val="00406D41"/>
    <w:rsid w:val="00407ADC"/>
    <w:rsid w:val="00410611"/>
    <w:rsid w:val="004119BF"/>
    <w:rsid w:val="004127FD"/>
    <w:rsid w:val="00412EA0"/>
    <w:rsid w:val="0041306F"/>
    <w:rsid w:val="004137FB"/>
    <w:rsid w:val="0041415E"/>
    <w:rsid w:val="004148D1"/>
    <w:rsid w:val="00416F3C"/>
    <w:rsid w:val="00420545"/>
    <w:rsid w:val="004214C2"/>
    <w:rsid w:val="00423429"/>
    <w:rsid w:val="00423722"/>
    <w:rsid w:val="00424C38"/>
    <w:rsid w:val="0042612A"/>
    <w:rsid w:val="00426870"/>
    <w:rsid w:val="00427103"/>
    <w:rsid w:val="004278F3"/>
    <w:rsid w:val="00431E14"/>
    <w:rsid w:val="0043416B"/>
    <w:rsid w:val="004367A7"/>
    <w:rsid w:val="00436A35"/>
    <w:rsid w:val="004372E1"/>
    <w:rsid w:val="00442690"/>
    <w:rsid w:val="00442A1D"/>
    <w:rsid w:val="00442A3E"/>
    <w:rsid w:val="00443208"/>
    <w:rsid w:val="00443F04"/>
    <w:rsid w:val="00444881"/>
    <w:rsid w:val="00444C3C"/>
    <w:rsid w:val="0044526C"/>
    <w:rsid w:val="004457BF"/>
    <w:rsid w:val="00445BC4"/>
    <w:rsid w:val="00447317"/>
    <w:rsid w:val="00447694"/>
    <w:rsid w:val="004477D0"/>
    <w:rsid w:val="00450A88"/>
    <w:rsid w:val="00451048"/>
    <w:rsid w:val="00451F50"/>
    <w:rsid w:val="00452239"/>
    <w:rsid w:val="00453593"/>
    <w:rsid w:val="00453B07"/>
    <w:rsid w:val="0045478B"/>
    <w:rsid w:val="00454EF2"/>
    <w:rsid w:val="004627CE"/>
    <w:rsid w:val="00462E59"/>
    <w:rsid w:val="00464218"/>
    <w:rsid w:val="004643CB"/>
    <w:rsid w:val="00464F72"/>
    <w:rsid w:val="004651EF"/>
    <w:rsid w:val="004658A0"/>
    <w:rsid w:val="00466169"/>
    <w:rsid w:val="004665CA"/>
    <w:rsid w:val="0046662A"/>
    <w:rsid w:val="0046718D"/>
    <w:rsid w:val="00470C12"/>
    <w:rsid w:val="00470E4D"/>
    <w:rsid w:val="00471EDE"/>
    <w:rsid w:val="00472385"/>
    <w:rsid w:val="0047256D"/>
    <w:rsid w:val="00472BCC"/>
    <w:rsid w:val="004732B7"/>
    <w:rsid w:val="00473653"/>
    <w:rsid w:val="00473B59"/>
    <w:rsid w:val="00473E99"/>
    <w:rsid w:val="00473FE5"/>
    <w:rsid w:val="00474705"/>
    <w:rsid w:val="00474DD8"/>
    <w:rsid w:val="0047569A"/>
    <w:rsid w:val="00476577"/>
    <w:rsid w:val="004767A5"/>
    <w:rsid w:val="00476B3C"/>
    <w:rsid w:val="00477BBE"/>
    <w:rsid w:val="00477E18"/>
    <w:rsid w:val="00480927"/>
    <w:rsid w:val="00482B15"/>
    <w:rsid w:val="004837E2"/>
    <w:rsid w:val="004857F3"/>
    <w:rsid w:val="004859D1"/>
    <w:rsid w:val="00485B95"/>
    <w:rsid w:val="00486779"/>
    <w:rsid w:val="00486D5C"/>
    <w:rsid w:val="00487094"/>
    <w:rsid w:val="004877AC"/>
    <w:rsid w:val="0049013A"/>
    <w:rsid w:val="004902E7"/>
    <w:rsid w:val="00490D14"/>
    <w:rsid w:val="00494489"/>
    <w:rsid w:val="004945FC"/>
    <w:rsid w:val="00494975"/>
    <w:rsid w:val="00495338"/>
    <w:rsid w:val="004959E5"/>
    <w:rsid w:val="00496145"/>
    <w:rsid w:val="004A00DE"/>
    <w:rsid w:val="004A0F35"/>
    <w:rsid w:val="004A4ADA"/>
    <w:rsid w:val="004A4D16"/>
    <w:rsid w:val="004A4F9C"/>
    <w:rsid w:val="004A5B50"/>
    <w:rsid w:val="004A620E"/>
    <w:rsid w:val="004B6EEA"/>
    <w:rsid w:val="004B754B"/>
    <w:rsid w:val="004B7A50"/>
    <w:rsid w:val="004B7EF4"/>
    <w:rsid w:val="004C04FB"/>
    <w:rsid w:val="004C17A0"/>
    <w:rsid w:val="004C19A4"/>
    <w:rsid w:val="004C1A36"/>
    <w:rsid w:val="004C1CCD"/>
    <w:rsid w:val="004C1E7C"/>
    <w:rsid w:val="004C29FB"/>
    <w:rsid w:val="004C2EDD"/>
    <w:rsid w:val="004C31EF"/>
    <w:rsid w:val="004C4D36"/>
    <w:rsid w:val="004C54A1"/>
    <w:rsid w:val="004C581F"/>
    <w:rsid w:val="004C6772"/>
    <w:rsid w:val="004C6A89"/>
    <w:rsid w:val="004C6B78"/>
    <w:rsid w:val="004D0B18"/>
    <w:rsid w:val="004D14D5"/>
    <w:rsid w:val="004D2A83"/>
    <w:rsid w:val="004D2EE1"/>
    <w:rsid w:val="004D30FD"/>
    <w:rsid w:val="004D3FF6"/>
    <w:rsid w:val="004D42FF"/>
    <w:rsid w:val="004D65AA"/>
    <w:rsid w:val="004D67EB"/>
    <w:rsid w:val="004D6B14"/>
    <w:rsid w:val="004D7021"/>
    <w:rsid w:val="004D7052"/>
    <w:rsid w:val="004D7CFC"/>
    <w:rsid w:val="004E18E5"/>
    <w:rsid w:val="004E2F82"/>
    <w:rsid w:val="004E33DC"/>
    <w:rsid w:val="004E39E9"/>
    <w:rsid w:val="004E591B"/>
    <w:rsid w:val="004E64B3"/>
    <w:rsid w:val="004E6CE8"/>
    <w:rsid w:val="004E7E33"/>
    <w:rsid w:val="004F1526"/>
    <w:rsid w:val="004F379A"/>
    <w:rsid w:val="004F3EF1"/>
    <w:rsid w:val="004F53D4"/>
    <w:rsid w:val="004F569D"/>
    <w:rsid w:val="004F5DDE"/>
    <w:rsid w:val="004F5DE3"/>
    <w:rsid w:val="004F6CC0"/>
    <w:rsid w:val="00500EA7"/>
    <w:rsid w:val="00500EAC"/>
    <w:rsid w:val="00501A11"/>
    <w:rsid w:val="00501ACE"/>
    <w:rsid w:val="00501B9C"/>
    <w:rsid w:val="005038C6"/>
    <w:rsid w:val="00504639"/>
    <w:rsid w:val="00504B16"/>
    <w:rsid w:val="00505601"/>
    <w:rsid w:val="00505E73"/>
    <w:rsid w:val="00506314"/>
    <w:rsid w:val="0051084A"/>
    <w:rsid w:val="00510D9C"/>
    <w:rsid w:val="00511298"/>
    <w:rsid w:val="00511740"/>
    <w:rsid w:val="005118D0"/>
    <w:rsid w:val="00511BB0"/>
    <w:rsid w:val="00512E2B"/>
    <w:rsid w:val="005134F6"/>
    <w:rsid w:val="00513509"/>
    <w:rsid w:val="0051571B"/>
    <w:rsid w:val="00516551"/>
    <w:rsid w:val="00516A05"/>
    <w:rsid w:val="00516A40"/>
    <w:rsid w:val="005171ED"/>
    <w:rsid w:val="00521109"/>
    <w:rsid w:val="00521186"/>
    <w:rsid w:val="0052122C"/>
    <w:rsid w:val="00522422"/>
    <w:rsid w:val="00524B82"/>
    <w:rsid w:val="00524C8E"/>
    <w:rsid w:val="00524FE1"/>
    <w:rsid w:val="00525295"/>
    <w:rsid w:val="005268E5"/>
    <w:rsid w:val="0052691B"/>
    <w:rsid w:val="00527397"/>
    <w:rsid w:val="00530E51"/>
    <w:rsid w:val="00530EF2"/>
    <w:rsid w:val="00531923"/>
    <w:rsid w:val="00531B3F"/>
    <w:rsid w:val="00531D56"/>
    <w:rsid w:val="00531DBC"/>
    <w:rsid w:val="005329A0"/>
    <w:rsid w:val="00533595"/>
    <w:rsid w:val="00534010"/>
    <w:rsid w:val="00534B4B"/>
    <w:rsid w:val="005352B9"/>
    <w:rsid w:val="00540A25"/>
    <w:rsid w:val="00540FAC"/>
    <w:rsid w:val="00541951"/>
    <w:rsid w:val="0054247B"/>
    <w:rsid w:val="00543983"/>
    <w:rsid w:val="005448C5"/>
    <w:rsid w:val="00545652"/>
    <w:rsid w:val="00546138"/>
    <w:rsid w:val="00546DA1"/>
    <w:rsid w:val="005475D0"/>
    <w:rsid w:val="00550688"/>
    <w:rsid w:val="00551614"/>
    <w:rsid w:val="00552238"/>
    <w:rsid w:val="00552B17"/>
    <w:rsid w:val="00552D4A"/>
    <w:rsid w:val="0055332B"/>
    <w:rsid w:val="005535DE"/>
    <w:rsid w:val="0055389F"/>
    <w:rsid w:val="00553D09"/>
    <w:rsid w:val="0055401A"/>
    <w:rsid w:val="00554EB8"/>
    <w:rsid w:val="00554F0D"/>
    <w:rsid w:val="005553C7"/>
    <w:rsid w:val="005555AB"/>
    <w:rsid w:val="00555800"/>
    <w:rsid w:val="00556AAC"/>
    <w:rsid w:val="00556B5B"/>
    <w:rsid w:val="00556B9B"/>
    <w:rsid w:val="005571A8"/>
    <w:rsid w:val="00557416"/>
    <w:rsid w:val="00557AB4"/>
    <w:rsid w:val="00557CEA"/>
    <w:rsid w:val="00557D5B"/>
    <w:rsid w:val="005606EC"/>
    <w:rsid w:val="005612D4"/>
    <w:rsid w:val="00561495"/>
    <w:rsid w:val="00561545"/>
    <w:rsid w:val="005616E5"/>
    <w:rsid w:val="00563927"/>
    <w:rsid w:val="00565366"/>
    <w:rsid w:val="005656AF"/>
    <w:rsid w:val="00567A1F"/>
    <w:rsid w:val="00572C25"/>
    <w:rsid w:val="0057571D"/>
    <w:rsid w:val="00577724"/>
    <w:rsid w:val="0057797E"/>
    <w:rsid w:val="00581E73"/>
    <w:rsid w:val="00581EBC"/>
    <w:rsid w:val="00582543"/>
    <w:rsid w:val="00583722"/>
    <w:rsid w:val="00584585"/>
    <w:rsid w:val="0058599B"/>
    <w:rsid w:val="00585B2A"/>
    <w:rsid w:val="005872FF"/>
    <w:rsid w:val="00590B91"/>
    <w:rsid w:val="00591BFE"/>
    <w:rsid w:val="0059394E"/>
    <w:rsid w:val="00593C44"/>
    <w:rsid w:val="00593E1E"/>
    <w:rsid w:val="005946DB"/>
    <w:rsid w:val="005949BF"/>
    <w:rsid w:val="005955C5"/>
    <w:rsid w:val="0059608F"/>
    <w:rsid w:val="005960D8"/>
    <w:rsid w:val="00596D5F"/>
    <w:rsid w:val="005A0B4A"/>
    <w:rsid w:val="005A1279"/>
    <w:rsid w:val="005A13A1"/>
    <w:rsid w:val="005A312A"/>
    <w:rsid w:val="005A3C00"/>
    <w:rsid w:val="005A3FA6"/>
    <w:rsid w:val="005A4BAC"/>
    <w:rsid w:val="005A5BD4"/>
    <w:rsid w:val="005A6436"/>
    <w:rsid w:val="005A66DC"/>
    <w:rsid w:val="005A6867"/>
    <w:rsid w:val="005B0FEF"/>
    <w:rsid w:val="005B12AE"/>
    <w:rsid w:val="005B1579"/>
    <w:rsid w:val="005B1C0C"/>
    <w:rsid w:val="005B2070"/>
    <w:rsid w:val="005B3066"/>
    <w:rsid w:val="005B3A6C"/>
    <w:rsid w:val="005B41CB"/>
    <w:rsid w:val="005B46AC"/>
    <w:rsid w:val="005B6E70"/>
    <w:rsid w:val="005B72C8"/>
    <w:rsid w:val="005B7533"/>
    <w:rsid w:val="005C29E4"/>
    <w:rsid w:val="005C2C39"/>
    <w:rsid w:val="005C37E3"/>
    <w:rsid w:val="005C4BCB"/>
    <w:rsid w:val="005C52F5"/>
    <w:rsid w:val="005C55BD"/>
    <w:rsid w:val="005C56E9"/>
    <w:rsid w:val="005C5A3B"/>
    <w:rsid w:val="005C5CE6"/>
    <w:rsid w:val="005C6B08"/>
    <w:rsid w:val="005C705D"/>
    <w:rsid w:val="005D112C"/>
    <w:rsid w:val="005D135C"/>
    <w:rsid w:val="005D1A8C"/>
    <w:rsid w:val="005D1AF8"/>
    <w:rsid w:val="005D24AB"/>
    <w:rsid w:val="005D2EA0"/>
    <w:rsid w:val="005D3297"/>
    <w:rsid w:val="005D34D5"/>
    <w:rsid w:val="005D4BC8"/>
    <w:rsid w:val="005D4F6A"/>
    <w:rsid w:val="005D551F"/>
    <w:rsid w:val="005D58ED"/>
    <w:rsid w:val="005D5BB3"/>
    <w:rsid w:val="005D790A"/>
    <w:rsid w:val="005D797B"/>
    <w:rsid w:val="005E081A"/>
    <w:rsid w:val="005E1147"/>
    <w:rsid w:val="005E131D"/>
    <w:rsid w:val="005E1CF4"/>
    <w:rsid w:val="005E2609"/>
    <w:rsid w:val="005E2C76"/>
    <w:rsid w:val="005E399F"/>
    <w:rsid w:val="005E479F"/>
    <w:rsid w:val="005E4C49"/>
    <w:rsid w:val="005E573F"/>
    <w:rsid w:val="005E734C"/>
    <w:rsid w:val="005E77BE"/>
    <w:rsid w:val="005E7A4E"/>
    <w:rsid w:val="005F0409"/>
    <w:rsid w:val="005F0909"/>
    <w:rsid w:val="005F09DF"/>
    <w:rsid w:val="005F0A44"/>
    <w:rsid w:val="005F0E4A"/>
    <w:rsid w:val="005F14F4"/>
    <w:rsid w:val="005F2035"/>
    <w:rsid w:val="005F503E"/>
    <w:rsid w:val="005F56E5"/>
    <w:rsid w:val="005F581D"/>
    <w:rsid w:val="005F5CB4"/>
    <w:rsid w:val="005F6A11"/>
    <w:rsid w:val="005F7182"/>
    <w:rsid w:val="00600010"/>
    <w:rsid w:val="0060025A"/>
    <w:rsid w:val="00601FF7"/>
    <w:rsid w:val="00602317"/>
    <w:rsid w:val="00602414"/>
    <w:rsid w:val="006027B4"/>
    <w:rsid w:val="00603278"/>
    <w:rsid w:val="00603356"/>
    <w:rsid w:val="0060337E"/>
    <w:rsid w:val="00603B71"/>
    <w:rsid w:val="0060537C"/>
    <w:rsid w:val="00606B6D"/>
    <w:rsid w:val="00607005"/>
    <w:rsid w:val="00607B21"/>
    <w:rsid w:val="006105C1"/>
    <w:rsid w:val="00611A8D"/>
    <w:rsid w:val="00611D04"/>
    <w:rsid w:val="00611F57"/>
    <w:rsid w:val="00612BBE"/>
    <w:rsid w:val="00612F6A"/>
    <w:rsid w:val="00613E9A"/>
    <w:rsid w:val="0061477C"/>
    <w:rsid w:val="006216D4"/>
    <w:rsid w:val="0062249C"/>
    <w:rsid w:val="00622C06"/>
    <w:rsid w:val="00623863"/>
    <w:rsid w:val="00623DC8"/>
    <w:rsid w:val="00624876"/>
    <w:rsid w:val="006258C5"/>
    <w:rsid w:val="00625BE9"/>
    <w:rsid w:val="00627148"/>
    <w:rsid w:val="00630A05"/>
    <w:rsid w:val="006329E1"/>
    <w:rsid w:val="00634A47"/>
    <w:rsid w:val="0063540F"/>
    <w:rsid w:val="00635620"/>
    <w:rsid w:val="0063600B"/>
    <w:rsid w:val="00636387"/>
    <w:rsid w:val="006373DA"/>
    <w:rsid w:val="006375E7"/>
    <w:rsid w:val="00637729"/>
    <w:rsid w:val="006379A4"/>
    <w:rsid w:val="006404E1"/>
    <w:rsid w:val="00640E18"/>
    <w:rsid w:val="006411C7"/>
    <w:rsid w:val="00642472"/>
    <w:rsid w:val="006427AA"/>
    <w:rsid w:val="00642892"/>
    <w:rsid w:val="00642EEB"/>
    <w:rsid w:val="0064370D"/>
    <w:rsid w:val="00643B17"/>
    <w:rsid w:val="00643E15"/>
    <w:rsid w:val="0064517F"/>
    <w:rsid w:val="00645360"/>
    <w:rsid w:val="0064572F"/>
    <w:rsid w:val="00646432"/>
    <w:rsid w:val="00647ED4"/>
    <w:rsid w:val="006507BC"/>
    <w:rsid w:val="006507CF"/>
    <w:rsid w:val="0065197D"/>
    <w:rsid w:val="0065199E"/>
    <w:rsid w:val="006533F3"/>
    <w:rsid w:val="00653927"/>
    <w:rsid w:val="00653B53"/>
    <w:rsid w:val="00653C2F"/>
    <w:rsid w:val="006540DB"/>
    <w:rsid w:val="00654241"/>
    <w:rsid w:val="0065440E"/>
    <w:rsid w:val="00656B4E"/>
    <w:rsid w:val="00657BBF"/>
    <w:rsid w:val="0066055C"/>
    <w:rsid w:val="006608C6"/>
    <w:rsid w:val="00661DEA"/>
    <w:rsid w:val="006620A1"/>
    <w:rsid w:val="0066232D"/>
    <w:rsid w:val="00662456"/>
    <w:rsid w:val="00662730"/>
    <w:rsid w:val="00662897"/>
    <w:rsid w:val="006637FB"/>
    <w:rsid w:val="00663BC9"/>
    <w:rsid w:val="0066454F"/>
    <w:rsid w:val="00664A6E"/>
    <w:rsid w:val="0066503F"/>
    <w:rsid w:val="00665304"/>
    <w:rsid w:val="006658AB"/>
    <w:rsid w:val="006659BE"/>
    <w:rsid w:val="0066614C"/>
    <w:rsid w:val="006661C2"/>
    <w:rsid w:val="00666AFA"/>
    <w:rsid w:val="00667641"/>
    <w:rsid w:val="006702E4"/>
    <w:rsid w:val="006704B1"/>
    <w:rsid w:val="00670F15"/>
    <w:rsid w:val="006716DF"/>
    <w:rsid w:val="00671EB4"/>
    <w:rsid w:val="00672CAC"/>
    <w:rsid w:val="00672E7C"/>
    <w:rsid w:val="006730C1"/>
    <w:rsid w:val="00673A65"/>
    <w:rsid w:val="00675566"/>
    <w:rsid w:val="006756A9"/>
    <w:rsid w:val="0067570A"/>
    <w:rsid w:val="00676485"/>
    <w:rsid w:val="006766E9"/>
    <w:rsid w:val="00677072"/>
    <w:rsid w:val="0067776C"/>
    <w:rsid w:val="006777F7"/>
    <w:rsid w:val="00680161"/>
    <w:rsid w:val="00680392"/>
    <w:rsid w:val="00681A96"/>
    <w:rsid w:val="00682150"/>
    <w:rsid w:val="00682A12"/>
    <w:rsid w:val="00682FE3"/>
    <w:rsid w:val="00683029"/>
    <w:rsid w:val="00683602"/>
    <w:rsid w:val="006846F0"/>
    <w:rsid w:val="006851FA"/>
    <w:rsid w:val="00686245"/>
    <w:rsid w:val="00686452"/>
    <w:rsid w:val="006864B2"/>
    <w:rsid w:val="00687ADE"/>
    <w:rsid w:val="00690302"/>
    <w:rsid w:val="00690FE0"/>
    <w:rsid w:val="00693F35"/>
    <w:rsid w:val="00696481"/>
    <w:rsid w:val="006970D2"/>
    <w:rsid w:val="0069727E"/>
    <w:rsid w:val="006973DB"/>
    <w:rsid w:val="00697696"/>
    <w:rsid w:val="006A0070"/>
    <w:rsid w:val="006A0118"/>
    <w:rsid w:val="006A01B6"/>
    <w:rsid w:val="006A0A73"/>
    <w:rsid w:val="006A1055"/>
    <w:rsid w:val="006A2AA7"/>
    <w:rsid w:val="006A3055"/>
    <w:rsid w:val="006A412F"/>
    <w:rsid w:val="006A49D8"/>
    <w:rsid w:val="006A4E47"/>
    <w:rsid w:val="006A4F0C"/>
    <w:rsid w:val="006A5200"/>
    <w:rsid w:val="006A6249"/>
    <w:rsid w:val="006A7FA8"/>
    <w:rsid w:val="006B12A8"/>
    <w:rsid w:val="006B1913"/>
    <w:rsid w:val="006B27B0"/>
    <w:rsid w:val="006B4F93"/>
    <w:rsid w:val="006B643D"/>
    <w:rsid w:val="006B652C"/>
    <w:rsid w:val="006B65A6"/>
    <w:rsid w:val="006B674E"/>
    <w:rsid w:val="006B6F4B"/>
    <w:rsid w:val="006B70E0"/>
    <w:rsid w:val="006B719D"/>
    <w:rsid w:val="006C065A"/>
    <w:rsid w:val="006C06BA"/>
    <w:rsid w:val="006C08C4"/>
    <w:rsid w:val="006C3039"/>
    <w:rsid w:val="006C39CA"/>
    <w:rsid w:val="006C4266"/>
    <w:rsid w:val="006C4769"/>
    <w:rsid w:val="006C4E3F"/>
    <w:rsid w:val="006C612E"/>
    <w:rsid w:val="006C6407"/>
    <w:rsid w:val="006C6A7B"/>
    <w:rsid w:val="006C6D66"/>
    <w:rsid w:val="006C7DE9"/>
    <w:rsid w:val="006D1F17"/>
    <w:rsid w:val="006D38A9"/>
    <w:rsid w:val="006D4A84"/>
    <w:rsid w:val="006D57E5"/>
    <w:rsid w:val="006D5D17"/>
    <w:rsid w:val="006D754A"/>
    <w:rsid w:val="006D7B3B"/>
    <w:rsid w:val="006D7EDB"/>
    <w:rsid w:val="006E000A"/>
    <w:rsid w:val="006E0ADC"/>
    <w:rsid w:val="006E1215"/>
    <w:rsid w:val="006E141E"/>
    <w:rsid w:val="006E1AB7"/>
    <w:rsid w:val="006E202D"/>
    <w:rsid w:val="006E26B0"/>
    <w:rsid w:val="006E4298"/>
    <w:rsid w:val="006E5821"/>
    <w:rsid w:val="006E5E5D"/>
    <w:rsid w:val="006E6632"/>
    <w:rsid w:val="006E66A8"/>
    <w:rsid w:val="006E6C40"/>
    <w:rsid w:val="006E6CE2"/>
    <w:rsid w:val="006E70D4"/>
    <w:rsid w:val="006E7224"/>
    <w:rsid w:val="006F040B"/>
    <w:rsid w:val="006F21D6"/>
    <w:rsid w:val="006F2967"/>
    <w:rsid w:val="006F2E29"/>
    <w:rsid w:val="006F4269"/>
    <w:rsid w:val="006F4CBC"/>
    <w:rsid w:val="006F6A9D"/>
    <w:rsid w:val="006F6F9E"/>
    <w:rsid w:val="006F78FC"/>
    <w:rsid w:val="006F7EDF"/>
    <w:rsid w:val="006F7F15"/>
    <w:rsid w:val="006F7FD5"/>
    <w:rsid w:val="00700645"/>
    <w:rsid w:val="00700F87"/>
    <w:rsid w:val="0070117C"/>
    <w:rsid w:val="00701994"/>
    <w:rsid w:val="00701AF3"/>
    <w:rsid w:val="007036F9"/>
    <w:rsid w:val="0070459C"/>
    <w:rsid w:val="007056B4"/>
    <w:rsid w:val="00705DF8"/>
    <w:rsid w:val="007077BF"/>
    <w:rsid w:val="00707AD3"/>
    <w:rsid w:val="00711555"/>
    <w:rsid w:val="00711752"/>
    <w:rsid w:val="00711F96"/>
    <w:rsid w:val="0071241B"/>
    <w:rsid w:val="007130B7"/>
    <w:rsid w:val="00713219"/>
    <w:rsid w:val="00713667"/>
    <w:rsid w:val="00713C61"/>
    <w:rsid w:val="00714632"/>
    <w:rsid w:val="007153D7"/>
    <w:rsid w:val="00715740"/>
    <w:rsid w:val="00716D2C"/>
    <w:rsid w:val="007175A9"/>
    <w:rsid w:val="00720825"/>
    <w:rsid w:val="0072129F"/>
    <w:rsid w:val="0072190B"/>
    <w:rsid w:val="007219FB"/>
    <w:rsid w:val="00721ACB"/>
    <w:rsid w:val="00722C28"/>
    <w:rsid w:val="00724409"/>
    <w:rsid w:val="00724616"/>
    <w:rsid w:val="00724851"/>
    <w:rsid w:val="007248AF"/>
    <w:rsid w:val="007249ED"/>
    <w:rsid w:val="00725BBC"/>
    <w:rsid w:val="00725BD8"/>
    <w:rsid w:val="00725F82"/>
    <w:rsid w:val="00726324"/>
    <w:rsid w:val="0072650C"/>
    <w:rsid w:val="00726C6D"/>
    <w:rsid w:val="00730786"/>
    <w:rsid w:val="007315D0"/>
    <w:rsid w:val="00731F92"/>
    <w:rsid w:val="00732A93"/>
    <w:rsid w:val="0073415B"/>
    <w:rsid w:val="00734454"/>
    <w:rsid w:val="00734917"/>
    <w:rsid w:val="00734DBA"/>
    <w:rsid w:val="00735EAB"/>
    <w:rsid w:val="00735F4D"/>
    <w:rsid w:val="007365A5"/>
    <w:rsid w:val="00736D21"/>
    <w:rsid w:val="00736E59"/>
    <w:rsid w:val="00737DDE"/>
    <w:rsid w:val="00737EA1"/>
    <w:rsid w:val="0074077D"/>
    <w:rsid w:val="00740D19"/>
    <w:rsid w:val="00740F2B"/>
    <w:rsid w:val="00741136"/>
    <w:rsid w:val="00741AFC"/>
    <w:rsid w:val="00742FFD"/>
    <w:rsid w:val="00745709"/>
    <w:rsid w:val="00746C2A"/>
    <w:rsid w:val="00747310"/>
    <w:rsid w:val="00750BA0"/>
    <w:rsid w:val="0075470E"/>
    <w:rsid w:val="00754ED2"/>
    <w:rsid w:val="007552F7"/>
    <w:rsid w:val="0075642C"/>
    <w:rsid w:val="00756436"/>
    <w:rsid w:val="00761A00"/>
    <w:rsid w:val="00763997"/>
    <w:rsid w:val="00764F68"/>
    <w:rsid w:val="00766379"/>
    <w:rsid w:val="00766608"/>
    <w:rsid w:val="00766867"/>
    <w:rsid w:val="00770E20"/>
    <w:rsid w:val="007716B1"/>
    <w:rsid w:val="007724AD"/>
    <w:rsid w:val="00772705"/>
    <w:rsid w:val="007739AA"/>
    <w:rsid w:val="00774764"/>
    <w:rsid w:val="00775A77"/>
    <w:rsid w:val="007761E4"/>
    <w:rsid w:val="00776AE7"/>
    <w:rsid w:val="007771BF"/>
    <w:rsid w:val="00780A4D"/>
    <w:rsid w:val="00780B94"/>
    <w:rsid w:val="00781D01"/>
    <w:rsid w:val="00783138"/>
    <w:rsid w:val="00784C18"/>
    <w:rsid w:val="00785BB0"/>
    <w:rsid w:val="00785E0D"/>
    <w:rsid w:val="007868D9"/>
    <w:rsid w:val="007870F4"/>
    <w:rsid w:val="00787BC0"/>
    <w:rsid w:val="007907F6"/>
    <w:rsid w:val="00790D81"/>
    <w:rsid w:val="00791A87"/>
    <w:rsid w:val="0079331E"/>
    <w:rsid w:val="00793FBA"/>
    <w:rsid w:val="00794D8C"/>
    <w:rsid w:val="007951A9"/>
    <w:rsid w:val="0079540E"/>
    <w:rsid w:val="00795E17"/>
    <w:rsid w:val="0079657D"/>
    <w:rsid w:val="0079658C"/>
    <w:rsid w:val="00797EC1"/>
    <w:rsid w:val="007A0626"/>
    <w:rsid w:val="007A14D3"/>
    <w:rsid w:val="007A1686"/>
    <w:rsid w:val="007A1FBD"/>
    <w:rsid w:val="007A2ABB"/>
    <w:rsid w:val="007A2FE3"/>
    <w:rsid w:val="007A37BD"/>
    <w:rsid w:val="007A39A8"/>
    <w:rsid w:val="007A42BB"/>
    <w:rsid w:val="007A4EA7"/>
    <w:rsid w:val="007A5B24"/>
    <w:rsid w:val="007A71D4"/>
    <w:rsid w:val="007A7C56"/>
    <w:rsid w:val="007B04CD"/>
    <w:rsid w:val="007B0750"/>
    <w:rsid w:val="007B0B91"/>
    <w:rsid w:val="007B17CB"/>
    <w:rsid w:val="007B3E66"/>
    <w:rsid w:val="007B45A2"/>
    <w:rsid w:val="007B4895"/>
    <w:rsid w:val="007B4D0E"/>
    <w:rsid w:val="007B6654"/>
    <w:rsid w:val="007B7993"/>
    <w:rsid w:val="007B7EBC"/>
    <w:rsid w:val="007C00AB"/>
    <w:rsid w:val="007C163F"/>
    <w:rsid w:val="007C2B79"/>
    <w:rsid w:val="007C2D9A"/>
    <w:rsid w:val="007C305D"/>
    <w:rsid w:val="007C3DE9"/>
    <w:rsid w:val="007C4079"/>
    <w:rsid w:val="007C4BBE"/>
    <w:rsid w:val="007C5486"/>
    <w:rsid w:val="007C5EBF"/>
    <w:rsid w:val="007C6F75"/>
    <w:rsid w:val="007C7069"/>
    <w:rsid w:val="007C7085"/>
    <w:rsid w:val="007C74D3"/>
    <w:rsid w:val="007D032F"/>
    <w:rsid w:val="007D0878"/>
    <w:rsid w:val="007D0CCA"/>
    <w:rsid w:val="007D17F4"/>
    <w:rsid w:val="007D1D17"/>
    <w:rsid w:val="007D1EFA"/>
    <w:rsid w:val="007D24A5"/>
    <w:rsid w:val="007D2C26"/>
    <w:rsid w:val="007D3C31"/>
    <w:rsid w:val="007D3E55"/>
    <w:rsid w:val="007D41A2"/>
    <w:rsid w:val="007D55BE"/>
    <w:rsid w:val="007D594E"/>
    <w:rsid w:val="007D59CF"/>
    <w:rsid w:val="007D5D35"/>
    <w:rsid w:val="007D6B2F"/>
    <w:rsid w:val="007D708B"/>
    <w:rsid w:val="007D758E"/>
    <w:rsid w:val="007E1311"/>
    <w:rsid w:val="007E3791"/>
    <w:rsid w:val="007E37E2"/>
    <w:rsid w:val="007E39FB"/>
    <w:rsid w:val="007E40B0"/>
    <w:rsid w:val="007E62F9"/>
    <w:rsid w:val="007E634F"/>
    <w:rsid w:val="007E70F2"/>
    <w:rsid w:val="007E720A"/>
    <w:rsid w:val="007F031D"/>
    <w:rsid w:val="007F09A0"/>
    <w:rsid w:val="007F15AC"/>
    <w:rsid w:val="007F3082"/>
    <w:rsid w:val="007F33AE"/>
    <w:rsid w:val="007F3BB9"/>
    <w:rsid w:val="007F5A4F"/>
    <w:rsid w:val="007F5FBB"/>
    <w:rsid w:val="007F610C"/>
    <w:rsid w:val="007F7046"/>
    <w:rsid w:val="007F7324"/>
    <w:rsid w:val="007F73E6"/>
    <w:rsid w:val="007F79B6"/>
    <w:rsid w:val="0080259C"/>
    <w:rsid w:val="008028AD"/>
    <w:rsid w:val="00802CE7"/>
    <w:rsid w:val="00803267"/>
    <w:rsid w:val="00804933"/>
    <w:rsid w:val="00805685"/>
    <w:rsid w:val="00807771"/>
    <w:rsid w:val="00810879"/>
    <w:rsid w:val="008109A9"/>
    <w:rsid w:val="00811905"/>
    <w:rsid w:val="00811AC7"/>
    <w:rsid w:val="008140F3"/>
    <w:rsid w:val="0081415F"/>
    <w:rsid w:val="0081593C"/>
    <w:rsid w:val="00815EC9"/>
    <w:rsid w:val="008175E7"/>
    <w:rsid w:val="008179B3"/>
    <w:rsid w:val="00820A2A"/>
    <w:rsid w:val="00822392"/>
    <w:rsid w:val="00822453"/>
    <w:rsid w:val="0082293E"/>
    <w:rsid w:val="0082295E"/>
    <w:rsid w:val="00822BD0"/>
    <w:rsid w:val="0082462B"/>
    <w:rsid w:val="008253F0"/>
    <w:rsid w:val="00825C27"/>
    <w:rsid w:val="00826D82"/>
    <w:rsid w:val="00827BEF"/>
    <w:rsid w:val="00827FA5"/>
    <w:rsid w:val="00830B67"/>
    <w:rsid w:val="00831651"/>
    <w:rsid w:val="008317E3"/>
    <w:rsid w:val="008331F1"/>
    <w:rsid w:val="008342FA"/>
    <w:rsid w:val="00835068"/>
    <w:rsid w:val="008352F3"/>
    <w:rsid w:val="008357C2"/>
    <w:rsid w:val="008375AA"/>
    <w:rsid w:val="008406CE"/>
    <w:rsid w:val="00840BF3"/>
    <w:rsid w:val="008412CA"/>
    <w:rsid w:val="00841CF8"/>
    <w:rsid w:val="00841E98"/>
    <w:rsid w:val="008422CC"/>
    <w:rsid w:val="00842515"/>
    <w:rsid w:val="008437A2"/>
    <w:rsid w:val="00843F4D"/>
    <w:rsid w:val="0084432A"/>
    <w:rsid w:val="008446ED"/>
    <w:rsid w:val="00844E11"/>
    <w:rsid w:val="00845A3D"/>
    <w:rsid w:val="00845B7D"/>
    <w:rsid w:val="0084618F"/>
    <w:rsid w:val="00846A74"/>
    <w:rsid w:val="008506AC"/>
    <w:rsid w:val="00850B16"/>
    <w:rsid w:val="00850E04"/>
    <w:rsid w:val="008523A9"/>
    <w:rsid w:val="00852DCE"/>
    <w:rsid w:val="008532FE"/>
    <w:rsid w:val="0086037F"/>
    <w:rsid w:val="00860401"/>
    <w:rsid w:val="00860D59"/>
    <w:rsid w:val="00863719"/>
    <w:rsid w:val="00864402"/>
    <w:rsid w:val="00864634"/>
    <w:rsid w:val="00864F35"/>
    <w:rsid w:val="00864FC5"/>
    <w:rsid w:val="008654F3"/>
    <w:rsid w:val="00866367"/>
    <w:rsid w:val="008679B2"/>
    <w:rsid w:val="00871265"/>
    <w:rsid w:val="008724F5"/>
    <w:rsid w:val="00872809"/>
    <w:rsid w:val="00873153"/>
    <w:rsid w:val="00873533"/>
    <w:rsid w:val="00874EAF"/>
    <w:rsid w:val="0087559A"/>
    <w:rsid w:val="008762B5"/>
    <w:rsid w:val="008774FC"/>
    <w:rsid w:val="00877DDB"/>
    <w:rsid w:val="00880C79"/>
    <w:rsid w:val="0088142F"/>
    <w:rsid w:val="0088147B"/>
    <w:rsid w:val="008822DD"/>
    <w:rsid w:val="00882FC0"/>
    <w:rsid w:val="0088347C"/>
    <w:rsid w:val="00884A96"/>
    <w:rsid w:val="00884D9A"/>
    <w:rsid w:val="00887A30"/>
    <w:rsid w:val="00887FC7"/>
    <w:rsid w:val="0089004A"/>
    <w:rsid w:val="0089066A"/>
    <w:rsid w:val="00892723"/>
    <w:rsid w:val="0089323E"/>
    <w:rsid w:val="00893D40"/>
    <w:rsid w:val="008940A8"/>
    <w:rsid w:val="008955A0"/>
    <w:rsid w:val="00896473"/>
    <w:rsid w:val="0089695A"/>
    <w:rsid w:val="008A04D4"/>
    <w:rsid w:val="008A2D66"/>
    <w:rsid w:val="008A31CB"/>
    <w:rsid w:val="008A32C9"/>
    <w:rsid w:val="008A335C"/>
    <w:rsid w:val="008A35CD"/>
    <w:rsid w:val="008A39E7"/>
    <w:rsid w:val="008A48D5"/>
    <w:rsid w:val="008A4C70"/>
    <w:rsid w:val="008A519B"/>
    <w:rsid w:val="008A588E"/>
    <w:rsid w:val="008A5CBB"/>
    <w:rsid w:val="008A609A"/>
    <w:rsid w:val="008A6A54"/>
    <w:rsid w:val="008A709A"/>
    <w:rsid w:val="008A7B4D"/>
    <w:rsid w:val="008B096E"/>
    <w:rsid w:val="008B1CF1"/>
    <w:rsid w:val="008B1DB2"/>
    <w:rsid w:val="008B21D9"/>
    <w:rsid w:val="008B3642"/>
    <w:rsid w:val="008B4C13"/>
    <w:rsid w:val="008B5BA6"/>
    <w:rsid w:val="008B5E1D"/>
    <w:rsid w:val="008B6457"/>
    <w:rsid w:val="008B6FFF"/>
    <w:rsid w:val="008C0EB2"/>
    <w:rsid w:val="008C179F"/>
    <w:rsid w:val="008C1C04"/>
    <w:rsid w:val="008C27D1"/>
    <w:rsid w:val="008C5239"/>
    <w:rsid w:val="008C5A45"/>
    <w:rsid w:val="008C7149"/>
    <w:rsid w:val="008D16B8"/>
    <w:rsid w:val="008D30F7"/>
    <w:rsid w:val="008D5153"/>
    <w:rsid w:val="008D572E"/>
    <w:rsid w:val="008D5E1D"/>
    <w:rsid w:val="008D6613"/>
    <w:rsid w:val="008D6794"/>
    <w:rsid w:val="008D733F"/>
    <w:rsid w:val="008D779D"/>
    <w:rsid w:val="008D7A0B"/>
    <w:rsid w:val="008E1441"/>
    <w:rsid w:val="008E471D"/>
    <w:rsid w:val="008E4F84"/>
    <w:rsid w:val="008E5017"/>
    <w:rsid w:val="008E50A5"/>
    <w:rsid w:val="008E577F"/>
    <w:rsid w:val="008E5D8C"/>
    <w:rsid w:val="008E60A5"/>
    <w:rsid w:val="008E668C"/>
    <w:rsid w:val="008E670A"/>
    <w:rsid w:val="008E6FE4"/>
    <w:rsid w:val="008E70D4"/>
    <w:rsid w:val="008E73DB"/>
    <w:rsid w:val="008F04E7"/>
    <w:rsid w:val="008F07AD"/>
    <w:rsid w:val="008F098D"/>
    <w:rsid w:val="008F307D"/>
    <w:rsid w:val="008F3A8C"/>
    <w:rsid w:val="008F3F7C"/>
    <w:rsid w:val="008F4094"/>
    <w:rsid w:val="008F49CA"/>
    <w:rsid w:val="008F4E83"/>
    <w:rsid w:val="008F59CD"/>
    <w:rsid w:val="009016F3"/>
    <w:rsid w:val="00901C4E"/>
    <w:rsid w:val="00902AC6"/>
    <w:rsid w:val="00902C41"/>
    <w:rsid w:val="00903041"/>
    <w:rsid w:val="00903D4E"/>
    <w:rsid w:val="00904BC2"/>
    <w:rsid w:val="00905F55"/>
    <w:rsid w:val="0090663D"/>
    <w:rsid w:val="00907A7A"/>
    <w:rsid w:val="009104F3"/>
    <w:rsid w:val="00910586"/>
    <w:rsid w:val="00912212"/>
    <w:rsid w:val="00912F63"/>
    <w:rsid w:val="00913865"/>
    <w:rsid w:val="00914A9E"/>
    <w:rsid w:val="00915EEC"/>
    <w:rsid w:val="00916A8F"/>
    <w:rsid w:val="00916F14"/>
    <w:rsid w:val="00917694"/>
    <w:rsid w:val="00917E17"/>
    <w:rsid w:val="00920219"/>
    <w:rsid w:val="00920340"/>
    <w:rsid w:val="00921EF5"/>
    <w:rsid w:val="00921F09"/>
    <w:rsid w:val="00921FAF"/>
    <w:rsid w:val="009248C9"/>
    <w:rsid w:val="00926DDF"/>
    <w:rsid w:val="00927DA8"/>
    <w:rsid w:val="00930085"/>
    <w:rsid w:val="0093022D"/>
    <w:rsid w:val="00930DCB"/>
    <w:rsid w:val="00931098"/>
    <w:rsid w:val="009310FE"/>
    <w:rsid w:val="009318A2"/>
    <w:rsid w:val="00931A5B"/>
    <w:rsid w:val="00934330"/>
    <w:rsid w:val="00934425"/>
    <w:rsid w:val="00934DF1"/>
    <w:rsid w:val="00935646"/>
    <w:rsid w:val="00935EAE"/>
    <w:rsid w:val="00935FB1"/>
    <w:rsid w:val="0093659C"/>
    <w:rsid w:val="00937B66"/>
    <w:rsid w:val="00937D62"/>
    <w:rsid w:val="00937E91"/>
    <w:rsid w:val="00941247"/>
    <w:rsid w:val="00942359"/>
    <w:rsid w:val="009429F3"/>
    <w:rsid w:val="00942DE7"/>
    <w:rsid w:val="00944BFA"/>
    <w:rsid w:val="00945968"/>
    <w:rsid w:val="00946133"/>
    <w:rsid w:val="009462FA"/>
    <w:rsid w:val="00946BBE"/>
    <w:rsid w:val="00946E55"/>
    <w:rsid w:val="00947E71"/>
    <w:rsid w:val="00952843"/>
    <w:rsid w:val="0095293B"/>
    <w:rsid w:val="00952A27"/>
    <w:rsid w:val="00954954"/>
    <w:rsid w:val="00954FEB"/>
    <w:rsid w:val="00955466"/>
    <w:rsid w:val="009555D8"/>
    <w:rsid w:val="009555F2"/>
    <w:rsid w:val="00955E5C"/>
    <w:rsid w:val="00956B17"/>
    <w:rsid w:val="0096011B"/>
    <w:rsid w:val="00960DEC"/>
    <w:rsid w:val="009639CC"/>
    <w:rsid w:val="009642F9"/>
    <w:rsid w:val="00964F85"/>
    <w:rsid w:val="00964FE0"/>
    <w:rsid w:val="00965494"/>
    <w:rsid w:val="0096626F"/>
    <w:rsid w:val="00970381"/>
    <w:rsid w:val="00970EF3"/>
    <w:rsid w:val="0097138A"/>
    <w:rsid w:val="00971504"/>
    <w:rsid w:val="009717F9"/>
    <w:rsid w:val="0097198C"/>
    <w:rsid w:val="00971DAA"/>
    <w:rsid w:val="00972466"/>
    <w:rsid w:val="00972ED7"/>
    <w:rsid w:val="0097357E"/>
    <w:rsid w:val="00973A5C"/>
    <w:rsid w:val="00974543"/>
    <w:rsid w:val="00974F4E"/>
    <w:rsid w:val="00975B43"/>
    <w:rsid w:val="00975BA3"/>
    <w:rsid w:val="0097652D"/>
    <w:rsid w:val="009769F8"/>
    <w:rsid w:val="00977D6E"/>
    <w:rsid w:val="00980419"/>
    <w:rsid w:val="009807D5"/>
    <w:rsid w:val="0098162C"/>
    <w:rsid w:val="009816A2"/>
    <w:rsid w:val="00981A46"/>
    <w:rsid w:val="009823CC"/>
    <w:rsid w:val="0098286D"/>
    <w:rsid w:val="00983B8A"/>
    <w:rsid w:val="00984158"/>
    <w:rsid w:val="00984651"/>
    <w:rsid w:val="00984BA3"/>
    <w:rsid w:val="009851A0"/>
    <w:rsid w:val="00985F0A"/>
    <w:rsid w:val="009869C5"/>
    <w:rsid w:val="0098795D"/>
    <w:rsid w:val="00987ABE"/>
    <w:rsid w:val="00987C0C"/>
    <w:rsid w:val="00987C62"/>
    <w:rsid w:val="00991553"/>
    <w:rsid w:val="0099283E"/>
    <w:rsid w:val="009931A9"/>
    <w:rsid w:val="00993890"/>
    <w:rsid w:val="00993BEC"/>
    <w:rsid w:val="0099436E"/>
    <w:rsid w:val="0099481D"/>
    <w:rsid w:val="00995145"/>
    <w:rsid w:val="00995FEB"/>
    <w:rsid w:val="0099767D"/>
    <w:rsid w:val="009A006F"/>
    <w:rsid w:val="009A0771"/>
    <w:rsid w:val="009A0AC6"/>
    <w:rsid w:val="009A0F6B"/>
    <w:rsid w:val="009A11C5"/>
    <w:rsid w:val="009A1D80"/>
    <w:rsid w:val="009A2A7B"/>
    <w:rsid w:val="009A2AD0"/>
    <w:rsid w:val="009A2F49"/>
    <w:rsid w:val="009A358C"/>
    <w:rsid w:val="009A35A8"/>
    <w:rsid w:val="009A4127"/>
    <w:rsid w:val="009A56D9"/>
    <w:rsid w:val="009A5E02"/>
    <w:rsid w:val="009A5FE0"/>
    <w:rsid w:val="009A62F7"/>
    <w:rsid w:val="009A6B44"/>
    <w:rsid w:val="009A7928"/>
    <w:rsid w:val="009A7BAE"/>
    <w:rsid w:val="009A7FA9"/>
    <w:rsid w:val="009B1621"/>
    <w:rsid w:val="009B1F1D"/>
    <w:rsid w:val="009B2100"/>
    <w:rsid w:val="009B352D"/>
    <w:rsid w:val="009B4394"/>
    <w:rsid w:val="009B43EB"/>
    <w:rsid w:val="009B4F72"/>
    <w:rsid w:val="009B509A"/>
    <w:rsid w:val="009B55DF"/>
    <w:rsid w:val="009B574F"/>
    <w:rsid w:val="009B65B3"/>
    <w:rsid w:val="009C0842"/>
    <w:rsid w:val="009C08FC"/>
    <w:rsid w:val="009C0C12"/>
    <w:rsid w:val="009C114D"/>
    <w:rsid w:val="009C2183"/>
    <w:rsid w:val="009C2CA2"/>
    <w:rsid w:val="009C2DE1"/>
    <w:rsid w:val="009C4F5C"/>
    <w:rsid w:val="009C5523"/>
    <w:rsid w:val="009C574D"/>
    <w:rsid w:val="009C66BD"/>
    <w:rsid w:val="009C74B5"/>
    <w:rsid w:val="009C7FAD"/>
    <w:rsid w:val="009D07CE"/>
    <w:rsid w:val="009D07D7"/>
    <w:rsid w:val="009D2898"/>
    <w:rsid w:val="009D3697"/>
    <w:rsid w:val="009D3C73"/>
    <w:rsid w:val="009D438E"/>
    <w:rsid w:val="009D4528"/>
    <w:rsid w:val="009D46CB"/>
    <w:rsid w:val="009D59CF"/>
    <w:rsid w:val="009D602E"/>
    <w:rsid w:val="009D6F1B"/>
    <w:rsid w:val="009E0BCE"/>
    <w:rsid w:val="009E1FDB"/>
    <w:rsid w:val="009E2BE4"/>
    <w:rsid w:val="009E32D2"/>
    <w:rsid w:val="009E6A78"/>
    <w:rsid w:val="009F010D"/>
    <w:rsid w:val="009F0C49"/>
    <w:rsid w:val="009F0E30"/>
    <w:rsid w:val="009F269A"/>
    <w:rsid w:val="009F2C4A"/>
    <w:rsid w:val="009F3711"/>
    <w:rsid w:val="009F3951"/>
    <w:rsid w:val="009F3AC7"/>
    <w:rsid w:val="009F44C4"/>
    <w:rsid w:val="009F4F54"/>
    <w:rsid w:val="009F5753"/>
    <w:rsid w:val="009F770D"/>
    <w:rsid w:val="00A00B04"/>
    <w:rsid w:val="00A01C06"/>
    <w:rsid w:val="00A026FC"/>
    <w:rsid w:val="00A02E9E"/>
    <w:rsid w:val="00A02F91"/>
    <w:rsid w:val="00A0473C"/>
    <w:rsid w:val="00A06028"/>
    <w:rsid w:val="00A0624D"/>
    <w:rsid w:val="00A06DB1"/>
    <w:rsid w:val="00A07081"/>
    <w:rsid w:val="00A07CD5"/>
    <w:rsid w:val="00A10000"/>
    <w:rsid w:val="00A10135"/>
    <w:rsid w:val="00A10F47"/>
    <w:rsid w:val="00A1118A"/>
    <w:rsid w:val="00A112E7"/>
    <w:rsid w:val="00A11935"/>
    <w:rsid w:val="00A11ABA"/>
    <w:rsid w:val="00A1264F"/>
    <w:rsid w:val="00A12B94"/>
    <w:rsid w:val="00A12ECB"/>
    <w:rsid w:val="00A13FBF"/>
    <w:rsid w:val="00A14A8A"/>
    <w:rsid w:val="00A15218"/>
    <w:rsid w:val="00A16775"/>
    <w:rsid w:val="00A173C6"/>
    <w:rsid w:val="00A177BE"/>
    <w:rsid w:val="00A207B3"/>
    <w:rsid w:val="00A20D2B"/>
    <w:rsid w:val="00A21173"/>
    <w:rsid w:val="00A237F4"/>
    <w:rsid w:val="00A23B3E"/>
    <w:rsid w:val="00A24040"/>
    <w:rsid w:val="00A24286"/>
    <w:rsid w:val="00A24356"/>
    <w:rsid w:val="00A245F6"/>
    <w:rsid w:val="00A2666C"/>
    <w:rsid w:val="00A269F1"/>
    <w:rsid w:val="00A30362"/>
    <w:rsid w:val="00A305C1"/>
    <w:rsid w:val="00A31072"/>
    <w:rsid w:val="00A3146F"/>
    <w:rsid w:val="00A3165F"/>
    <w:rsid w:val="00A319DD"/>
    <w:rsid w:val="00A31E55"/>
    <w:rsid w:val="00A32293"/>
    <w:rsid w:val="00A3294D"/>
    <w:rsid w:val="00A33577"/>
    <w:rsid w:val="00A34330"/>
    <w:rsid w:val="00A35008"/>
    <w:rsid w:val="00A37F6D"/>
    <w:rsid w:val="00A40882"/>
    <w:rsid w:val="00A411FA"/>
    <w:rsid w:val="00A41D5B"/>
    <w:rsid w:val="00A42398"/>
    <w:rsid w:val="00A427CD"/>
    <w:rsid w:val="00A4315E"/>
    <w:rsid w:val="00A437FC"/>
    <w:rsid w:val="00A43A42"/>
    <w:rsid w:val="00A4419D"/>
    <w:rsid w:val="00A45779"/>
    <w:rsid w:val="00A47574"/>
    <w:rsid w:val="00A50B89"/>
    <w:rsid w:val="00A51C19"/>
    <w:rsid w:val="00A51DA3"/>
    <w:rsid w:val="00A5238B"/>
    <w:rsid w:val="00A5261F"/>
    <w:rsid w:val="00A52AB7"/>
    <w:rsid w:val="00A531D0"/>
    <w:rsid w:val="00A53BAA"/>
    <w:rsid w:val="00A53FDE"/>
    <w:rsid w:val="00A54C38"/>
    <w:rsid w:val="00A54D0D"/>
    <w:rsid w:val="00A564EB"/>
    <w:rsid w:val="00A574A3"/>
    <w:rsid w:val="00A57689"/>
    <w:rsid w:val="00A60F9B"/>
    <w:rsid w:val="00A61F6B"/>
    <w:rsid w:val="00A63E90"/>
    <w:rsid w:val="00A63EFD"/>
    <w:rsid w:val="00A64B09"/>
    <w:rsid w:val="00A64E75"/>
    <w:rsid w:val="00A65538"/>
    <w:rsid w:val="00A65A45"/>
    <w:rsid w:val="00A72849"/>
    <w:rsid w:val="00A732A0"/>
    <w:rsid w:val="00A733D1"/>
    <w:rsid w:val="00A73616"/>
    <w:rsid w:val="00A74034"/>
    <w:rsid w:val="00A742DD"/>
    <w:rsid w:val="00A744E8"/>
    <w:rsid w:val="00A74759"/>
    <w:rsid w:val="00A75248"/>
    <w:rsid w:val="00A75803"/>
    <w:rsid w:val="00A75998"/>
    <w:rsid w:val="00A7623D"/>
    <w:rsid w:val="00A767CD"/>
    <w:rsid w:val="00A768D8"/>
    <w:rsid w:val="00A76F3E"/>
    <w:rsid w:val="00A77A8E"/>
    <w:rsid w:val="00A77E3E"/>
    <w:rsid w:val="00A80AC9"/>
    <w:rsid w:val="00A81172"/>
    <w:rsid w:val="00A82443"/>
    <w:rsid w:val="00A83580"/>
    <w:rsid w:val="00A83D30"/>
    <w:rsid w:val="00A8471C"/>
    <w:rsid w:val="00A8502E"/>
    <w:rsid w:val="00A863A0"/>
    <w:rsid w:val="00A87A02"/>
    <w:rsid w:val="00A90B4E"/>
    <w:rsid w:val="00A91FB0"/>
    <w:rsid w:val="00A92812"/>
    <w:rsid w:val="00A93587"/>
    <w:rsid w:val="00A940EC"/>
    <w:rsid w:val="00A941AC"/>
    <w:rsid w:val="00A9453D"/>
    <w:rsid w:val="00A947DD"/>
    <w:rsid w:val="00A952C7"/>
    <w:rsid w:val="00A95670"/>
    <w:rsid w:val="00A95C2C"/>
    <w:rsid w:val="00A96A74"/>
    <w:rsid w:val="00A977CC"/>
    <w:rsid w:val="00AA00E3"/>
    <w:rsid w:val="00AA0559"/>
    <w:rsid w:val="00AA1109"/>
    <w:rsid w:val="00AA1D20"/>
    <w:rsid w:val="00AA226F"/>
    <w:rsid w:val="00AA23E3"/>
    <w:rsid w:val="00AA354D"/>
    <w:rsid w:val="00AA3FF5"/>
    <w:rsid w:val="00AA5216"/>
    <w:rsid w:val="00AA618B"/>
    <w:rsid w:val="00AA65D8"/>
    <w:rsid w:val="00AA6925"/>
    <w:rsid w:val="00AA7EB4"/>
    <w:rsid w:val="00AB17BF"/>
    <w:rsid w:val="00AB1B71"/>
    <w:rsid w:val="00AB2140"/>
    <w:rsid w:val="00AB2C22"/>
    <w:rsid w:val="00AB49E3"/>
    <w:rsid w:val="00AB63EF"/>
    <w:rsid w:val="00AB6C6C"/>
    <w:rsid w:val="00AB6DDE"/>
    <w:rsid w:val="00AC0498"/>
    <w:rsid w:val="00AC2206"/>
    <w:rsid w:val="00AC2491"/>
    <w:rsid w:val="00AC3488"/>
    <w:rsid w:val="00AC355B"/>
    <w:rsid w:val="00AC4D46"/>
    <w:rsid w:val="00AC506E"/>
    <w:rsid w:val="00AC50DF"/>
    <w:rsid w:val="00AC52D2"/>
    <w:rsid w:val="00AC617B"/>
    <w:rsid w:val="00AC686C"/>
    <w:rsid w:val="00AC76B0"/>
    <w:rsid w:val="00AC7778"/>
    <w:rsid w:val="00AD0228"/>
    <w:rsid w:val="00AD0AE4"/>
    <w:rsid w:val="00AD0B09"/>
    <w:rsid w:val="00AD1B8C"/>
    <w:rsid w:val="00AD2D1F"/>
    <w:rsid w:val="00AD32B8"/>
    <w:rsid w:val="00AD32FB"/>
    <w:rsid w:val="00AD384D"/>
    <w:rsid w:val="00AD3DC0"/>
    <w:rsid w:val="00AD3F33"/>
    <w:rsid w:val="00AD4186"/>
    <w:rsid w:val="00AD55BF"/>
    <w:rsid w:val="00AD649F"/>
    <w:rsid w:val="00AD650A"/>
    <w:rsid w:val="00AD657C"/>
    <w:rsid w:val="00AD65A3"/>
    <w:rsid w:val="00AD6747"/>
    <w:rsid w:val="00AD6A24"/>
    <w:rsid w:val="00AE0368"/>
    <w:rsid w:val="00AE0795"/>
    <w:rsid w:val="00AE3831"/>
    <w:rsid w:val="00AE3AC2"/>
    <w:rsid w:val="00AE3FD0"/>
    <w:rsid w:val="00AE709F"/>
    <w:rsid w:val="00AF0AED"/>
    <w:rsid w:val="00AF130B"/>
    <w:rsid w:val="00AF14D2"/>
    <w:rsid w:val="00AF1DCA"/>
    <w:rsid w:val="00AF2598"/>
    <w:rsid w:val="00AF34D6"/>
    <w:rsid w:val="00AF42EF"/>
    <w:rsid w:val="00AF4349"/>
    <w:rsid w:val="00AF4FB5"/>
    <w:rsid w:val="00AF5F24"/>
    <w:rsid w:val="00AF6FC0"/>
    <w:rsid w:val="00AF75DF"/>
    <w:rsid w:val="00B000C1"/>
    <w:rsid w:val="00B00A01"/>
    <w:rsid w:val="00B01601"/>
    <w:rsid w:val="00B0289D"/>
    <w:rsid w:val="00B03693"/>
    <w:rsid w:val="00B039E3"/>
    <w:rsid w:val="00B04A59"/>
    <w:rsid w:val="00B07148"/>
    <w:rsid w:val="00B07BA4"/>
    <w:rsid w:val="00B10093"/>
    <w:rsid w:val="00B10F6D"/>
    <w:rsid w:val="00B11AFE"/>
    <w:rsid w:val="00B12B4A"/>
    <w:rsid w:val="00B14150"/>
    <w:rsid w:val="00B154BA"/>
    <w:rsid w:val="00B1559C"/>
    <w:rsid w:val="00B1689F"/>
    <w:rsid w:val="00B17073"/>
    <w:rsid w:val="00B20DDB"/>
    <w:rsid w:val="00B21082"/>
    <w:rsid w:val="00B21421"/>
    <w:rsid w:val="00B2159D"/>
    <w:rsid w:val="00B2207C"/>
    <w:rsid w:val="00B22B82"/>
    <w:rsid w:val="00B22C22"/>
    <w:rsid w:val="00B233D3"/>
    <w:rsid w:val="00B24092"/>
    <w:rsid w:val="00B240D7"/>
    <w:rsid w:val="00B24962"/>
    <w:rsid w:val="00B25337"/>
    <w:rsid w:val="00B26C9D"/>
    <w:rsid w:val="00B27328"/>
    <w:rsid w:val="00B306A5"/>
    <w:rsid w:val="00B327C4"/>
    <w:rsid w:val="00B32A84"/>
    <w:rsid w:val="00B3460E"/>
    <w:rsid w:val="00B3464F"/>
    <w:rsid w:val="00B358AF"/>
    <w:rsid w:val="00B35C81"/>
    <w:rsid w:val="00B35E24"/>
    <w:rsid w:val="00B4070B"/>
    <w:rsid w:val="00B4195B"/>
    <w:rsid w:val="00B42E2C"/>
    <w:rsid w:val="00B43F8D"/>
    <w:rsid w:val="00B44136"/>
    <w:rsid w:val="00B4422C"/>
    <w:rsid w:val="00B44600"/>
    <w:rsid w:val="00B4461E"/>
    <w:rsid w:val="00B44D67"/>
    <w:rsid w:val="00B45215"/>
    <w:rsid w:val="00B457C9"/>
    <w:rsid w:val="00B472F5"/>
    <w:rsid w:val="00B501AD"/>
    <w:rsid w:val="00B50996"/>
    <w:rsid w:val="00B5283F"/>
    <w:rsid w:val="00B52934"/>
    <w:rsid w:val="00B5457B"/>
    <w:rsid w:val="00B56EE7"/>
    <w:rsid w:val="00B5724F"/>
    <w:rsid w:val="00B60A40"/>
    <w:rsid w:val="00B60CB5"/>
    <w:rsid w:val="00B60F76"/>
    <w:rsid w:val="00B6138F"/>
    <w:rsid w:val="00B61BB6"/>
    <w:rsid w:val="00B62E05"/>
    <w:rsid w:val="00B64658"/>
    <w:rsid w:val="00B658C6"/>
    <w:rsid w:val="00B66BA6"/>
    <w:rsid w:val="00B66BF1"/>
    <w:rsid w:val="00B67134"/>
    <w:rsid w:val="00B67352"/>
    <w:rsid w:val="00B67D33"/>
    <w:rsid w:val="00B70228"/>
    <w:rsid w:val="00B7058D"/>
    <w:rsid w:val="00B71B72"/>
    <w:rsid w:val="00B72C23"/>
    <w:rsid w:val="00B732C8"/>
    <w:rsid w:val="00B745BB"/>
    <w:rsid w:val="00B74741"/>
    <w:rsid w:val="00B74A33"/>
    <w:rsid w:val="00B761D1"/>
    <w:rsid w:val="00B77810"/>
    <w:rsid w:val="00B80A11"/>
    <w:rsid w:val="00B80A12"/>
    <w:rsid w:val="00B80E39"/>
    <w:rsid w:val="00B82E55"/>
    <w:rsid w:val="00B841A1"/>
    <w:rsid w:val="00B851FA"/>
    <w:rsid w:val="00B863B2"/>
    <w:rsid w:val="00B86A37"/>
    <w:rsid w:val="00B86F00"/>
    <w:rsid w:val="00B87366"/>
    <w:rsid w:val="00B87DD0"/>
    <w:rsid w:val="00B9004C"/>
    <w:rsid w:val="00B9098A"/>
    <w:rsid w:val="00B91BC8"/>
    <w:rsid w:val="00B931D7"/>
    <w:rsid w:val="00B945DC"/>
    <w:rsid w:val="00B955F8"/>
    <w:rsid w:val="00B967F8"/>
    <w:rsid w:val="00B96EE2"/>
    <w:rsid w:val="00BA01F6"/>
    <w:rsid w:val="00BA09C6"/>
    <w:rsid w:val="00BA15DB"/>
    <w:rsid w:val="00BA30D4"/>
    <w:rsid w:val="00BA3B04"/>
    <w:rsid w:val="00BA425C"/>
    <w:rsid w:val="00BA4950"/>
    <w:rsid w:val="00BA4BC3"/>
    <w:rsid w:val="00BA4EB2"/>
    <w:rsid w:val="00BA4F42"/>
    <w:rsid w:val="00BA65E5"/>
    <w:rsid w:val="00BB1149"/>
    <w:rsid w:val="00BB19D7"/>
    <w:rsid w:val="00BB202D"/>
    <w:rsid w:val="00BB3F77"/>
    <w:rsid w:val="00BB402D"/>
    <w:rsid w:val="00BB4726"/>
    <w:rsid w:val="00BB4F5F"/>
    <w:rsid w:val="00BB570C"/>
    <w:rsid w:val="00BB5EE8"/>
    <w:rsid w:val="00BB61B8"/>
    <w:rsid w:val="00BC0617"/>
    <w:rsid w:val="00BC1614"/>
    <w:rsid w:val="00BC1A01"/>
    <w:rsid w:val="00BC2305"/>
    <w:rsid w:val="00BC4944"/>
    <w:rsid w:val="00BC5B82"/>
    <w:rsid w:val="00BC6054"/>
    <w:rsid w:val="00BC6243"/>
    <w:rsid w:val="00BC697D"/>
    <w:rsid w:val="00BC72B2"/>
    <w:rsid w:val="00BD0C4E"/>
    <w:rsid w:val="00BD13BC"/>
    <w:rsid w:val="00BD17A6"/>
    <w:rsid w:val="00BD2428"/>
    <w:rsid w:val="00BD24CA"/>
    <w:rsid w:val="00BD3AF0"/>
    <w:rsid w:val="00BD4264"/>
    <w:rsid w:val="00BD44B7"/>
    <w:rsid w:val="00BD466E"/>
    <w:rsid w:val="00BD4F3D"/>
    <w:rsid w:val="00BD5339"/>
    <w:rsid w:val="00BD5C4B"/>
    <w:rsid w:val="00BD6D7F"/>
    <w:rsid w:val="00BD6D9A"/>
    <w:rsid w:val="00BD6EDD"/>
    <w:rsid w:val="00BD6F44"/>
    <w:rsid w:val="00BE091E"/>
    <w:rsid w:val="00BE1091"/>
    <w:rsid w:val="00BE219C"/>
    <w:rsid w:val="00BE2E49"/>
    <w:rsid w:val="00BE335A"/>
    <w:rsid w:val="00BE3A6C"/>
    <w:rsid w:val="00BE4EFB"/>
    <w:rsid w:val="00BE63A5"/>
    <w:rsid w:val="00BE6BA5"/>
    <w:rsid w:val="00BE7342"/>
    <w:rsid w:val="00BF0D66"/>
    <w:rsid w:val="00BF146D"/>
    <w:rsid w:val="00BF1C67"/>
    <w:rsid w:val="00BF20B7"/>
    <w:rsid w:val="00BF26DE"/>
    <w:rsid w:val="00BF4452"/>
    <w:rsid w:val="00BF470C"/>
    <w:rsid w:val="00BF5754"/>
    <w:rsid w:val="00BF5CDD"/>
    <w:rsid w:val="00BF7595"/>
    <w:rsid w:val="00C03DCE"/>
    <w:rsid w:val="00C0708D"/>
    <w:rsid w:val="00C074A7"/>
    <w:rsid w:val="00C07A45"/>
    <w:rsid w:val="00C104A3"/>
    <w:rsid w:val="00C11904"/>
    <w:rsid w:val="00C12250"/>
    <w:rsid w:val="00C12321"/>
    <w:rsid w:val="00C129ED"/>
    <w:rsid w:val="00C13C2E"/>
    <w:rsid w:val="00C15044"/>
    <w:rsid w:val="00C158C4"/>
    <w:rsid w:val="00C159A7"/>
    <w:rsid w:val="00C16819"/>
    <w:rsid w:val="00C1719B"/>
    <w:rsid w:val="00C201FA"/>
    <w:rsid w:val="00C21151"/>
    <w:rsid w:val="00C21D2B"/>
    <w:rsid w:val="00C228CE"/>
    <w:rsid w:val="00C245DD"/>
    <w:rsid w:val="00C25EA0"/>
    <w:rsid w:val="00C2657B"/>
    <w:rsid w:val="00C3023D"/>
    <w:rsid w:val="00C30519"/>
    <w:rsid w:val="00C313C8"/>
    <w:rsid w:val="00C31918"/>
    <w:rsid w:val="00C3244E"/>
    <w:rsid w:val="00C33B71"/>
    <w:rsid w:val="00C3454A"/>
    <w:rsid w:val="00C34760"/>
    <w:rsid w:val="00C34A25"/>
    <w:rsid w:val="00C35264"/>
    <w:rsid w:val="00C353BD"/>
    <w:rsid w:val="00C35CE4"/>
    <w:rsid w:val="00C35D78"/>
    <w:rsid w:val="00C36517"/>
    <w:rsid w:val="00C3709E"/>
    <w:rsid w:val="00C378CD"/>
    <w:rsid w:val="00C40FA5"/>
    <w:rsid w:val="00C41584"/>
    <w:rsid w:val="00C41679"/>
    <w:rsid w:val="00C4174E"/>
    <w:rsid w:val="00C41910"/>
    <w:rsid w:val="00C426AF"/>
    <w:rsid w:val="00C433F4"/>
    <w:rsid w:val="00C4411E"/>
    <w:rsid w:val="00C44479"/>
    <w:rsid w:val="00C44BDD"/>
    <w:rsid w:val="00C44E7B"/>
    <w:rsid w:val="00C44F32"/>
    <w:rsid w:val="00C4755F"/>
    <w:rsid w:val="00C4774B"/>
    <w:rsid w:val="00C5557D"/>
    <w:rsid w:val="00C614B4"/>
    <w:rsid w:val="00C618EB"/>
    <w:rsid w:val="00C61B28"/>
    <w:rsid w:val="00C61BA7"/>
    <w:rsid w:val="00C625C3"/>
    <w:rsid w:val="00C62B71"/>
    <w:rsid w:val="00C63B04"/>
    <w:rsid w:val="00C646C2"/>
    <w:rsid w:val="00C64C84"/>
    <w:rsid w:val="00C65696"/>
    <w:rsid w:val="00C662EA"/>
    <w:rsid w:val="00C6710D"/>
    <w:rsid w:val="00C671D4"/>
    <w:rsid w:val="00C67D28"/>
    <w:rsid w:val="00C70CF2"/>
    <w:rsid w:val="00C7202F"/>
    <w:rsid w:val="00C72EA5"/>
    <w:rsid w:val="00C730DA"/>
    <w:rsid w:val="00C73867"/>
    <w:rsid w:val="00C73EFD"/>
    <w:rsid w:val="00C741CB"/>
    <w:rsid w:val="00C74234"/>
    <w:rsid w:val="00C74AF0"/>
    <w:rsid w:val="00C75F74"/>
    <w:rsid w:val="00C76C74"/>
    <w:rsid w:val="00C76F57"/>
    <w:rsid w:val="00C7787B"/>
    <w:rsid w:val="00C808C3"/>
    <w:rsid w:val="00C80BDB"/>
    <w:rsid w:val="00C81201"/>
    <w:rsid w:val="00C81F5D"/>
    <w:rsid w:val="00C822CA"/>
    <w:rsid w:val="00C83411"/>
    <w:rsid w:val="00C84195"/>
    <w:rsid w:val="00C8509A"/>
    <w:rsid w:val="00C8549A"/>
    <w:rsid w:val="00C85D13"/>
    <w:rsid w:val="00C86788"/>
    <w:rsid w:val="00C86EF1"/>
    <w:rsid w:val="00C86F28"/>
    <w:rsid w:val="00C87842"/>
    <w:rsid w:val="00C9014B"/>
    <w:rsid w:val="00C90977"/>
    <w:rsid w:val="00C9113B"/>
    <w:rsid w:val="00C91B8C"/>
    <w:rsid w:val="00C91CE2"/>
    <w:rsid w:val="00C9483E"/>
    <w:rsid w:val="00C94C79"/>
    <w:rsid w:val="00C94E90"/>
    <w:rsid w:val="00CA004A"/>
    <w:rsid w:val="00CA0DD7"/>
    <w:rsid w:val="00CA2718"/>
    <w:rsid w:val="00CA5458"/>
    <w:rsid w:val="00CA651B"/>
    <w:rsid w:val="00CA6E85"/>
    <w:rsid w:val="00CA76D6"/>
    <w:rsid w:val="00CA78D2"/>
    <w:rsid w:val="00CA7CFC"/>
    <w:rsid w:val="00CB04E2"/>
    <w:rsid w:val="00CB14DF"/>
    <w:rsid w:val="00CB19BD"/>
    <w:rsid w:val="00CB1DFB"/>
    <w:rsid w:val="00CB349B"/>
    <w:rsid w:val="00CB3A76"/>
    <w:rsid w:val="00CB3E57"/>
    <w:rsid w:val="00CB40C6"/>
    <w:rsid w:val="00CB4FA1"/>
    <w:rsid w:val="00CB5523"/>
    <w:rsid w:val="00CB567C"/>
    <w:rsid w:val="00CB5CA8"/>
    <w:rsid w:val="00CB5F28"/>
    <w:rsid w:val="00CB6035"/>
    <w:rsid w:val="00CB674F"/>
    <w:rsid w:val="00CB6BF8"/>
    <w:rsid w:val="00CB7A62"/>
    <w:rsid w:val="00CC0224"/>
    <w:rsid w:val="00CC081A"/>
    <w:rsid w:val="00CC0BEC"/>
    <w:rsid w:val="00CC0C4B"/>
    <w:rsid w:val="00CC17EA"/>
    <w:rsid w:val="00CC2F90"/>
    <w:rsid w:val="00CC3D1D"/>
    <w:rsid w:val="00CC498F"/>
    <w:rsid w:val="00CC4E00"/>
    <w:rsid w:val="00CC6D1C"/>
    <w:rsid w:val="00CD02A2"/>
    <w:rsid w:val="00CD1C9F"/>
    <w:rsid w:val="00CD33BD"/>
    <w:rsid w:val="00CD377B"/>
    <w:rsid w:val="00CD3C40"/>
    <w:rsid w:val="00CD3DB2"/>
    <w:rsid w:val="00CD46E2"/>
    <w:rsid w:val="00CD5363"/>
    <w:rsid w:val="00CD55A2"/>
    <w:rsid w:val="00CD639F"/>
    <w:rsid w:val="00CD67EA"/>
    <w:rsid w:val="00CD6D6C"/>
    <w:rsid w:val="00CE0763"/>
    <w:rsid w:val="00CE0B70"/>
    <w:rsid w:val="00CE0D60"/>
    <w:rsid w:val="00CE34A0"/>
    <w:rsid w:val="00CE45CA"/>
    <w:rsid w:val="00CE5761"/>
    <w:rsid w:val="00CE73D9"/>
    <w:rsid w:val="00CF01F6"/>
    <w:rsid w:val="00CF0580"/>
    <w:rsid w:val="00CF0CE7"/>
    <w:rsid w:val="00CF0D5D"/>
    <w:rsid w:val="00CF16EB"/>
    <w:rsid w:val="00CF293F"/>
    <w:rsid w:val="00CF3248"/>
    <w:rsid w:val="00CF44E3"/>
    <w:rsid w:val="00CF49AC"/>
    <w:rsid w:val="00CF5ABA"/>
    <w:rsid w:val="00CF748D"/>
    <w:rsid w:val="00D00724"/>
    <w:rsid w:val="00D0215A"/>
    <w:rsid w:val="00D02C99"/>
    <w:rsid w:val="00D02F8F"/>
    <w:rsid w:val="00D03263"/>
    <w:rsid w:val="00D04D7E"/>
    <w:rsid w:val="00D05DC3"/>
    <w:rsid w:val="00D05F36"/>
    <w:rsid w:val="00D06DAD"/>
    <w:rsid w:val="00D07FB3"/>
    <w:rsid w:val="00D11167"/>
    <w:rsid w:val="00D11504"/>
    <w:rsid w:val="00D11869"/>
    <w:rsid w:val="00D12176"/>
    <w:rsid w:val="00D123F4"/>
    <w:rsid w:val="00D1272B"/>
    <w:rsid w:val="00D12C24"/>
    <w:rsid w:val="00D133B4"/>
    <w:rsid w:val="00D13496"/>
    <w:rsid w:val="00D13FB4"/>
    <w:rsid w:val="00D1461E"/>
    <w:rsid w:val="00D1535D"/>
    <w:rsid w:val="00D159F4"/>
    <w:rsid w:val="00D1643B"/>
    <w:rsid w:val="00D169BA"/>
    <w:rsid w:val="00D169C9"/>
    <w:rsid w:val="00D20E58"/>
    <w:rsid w:val="00D2114D"/>
    <w:rsid w:val="00D2482C"/>
    <w:rsid w:val="00D24AEA"/>
    <w:rsid w:val="00D253EE"/>
    <w:rsid w:val="00D25926"/>
    <w:rsid w:val="00D26654"/>
    <w:rsid w:val="00D26AEE"/>
    <w:rsid w:val="00D3092D"/>
    <w:rsid w:val="00D31825"/>
    <w:rsid w:val="00D325BD"/>
    <w:rsid w:val="00D32FD9"/>
    <w:rsid w:val="00D3322D"/>
    <w:rsid w:val="00D33A4F"/>
    <w:rsid w:val="00D34E08"/>
    <w:rsid w:val="00D35267"/>
    <w:rsid w:val="00D35785"/>
    <w:rsid w:val="00D3608B"/>
    <w:rsid w:val="00D365BF"/>
    <w:rsid w:val="00D37649"/>
    <w:rsid w:val="00D3777A"/>
    <w:rsid w:val="00D40294"/>
    <w:rsid w:val="00D40A9E"/>
    <w:rsid w:val="00D41FFC"/>
    <w:rsid w:val="00D42CEF"/>
    <w:rsid w:val="00D42E6C"/>
    <w:rsid w:val="00D431E7"/>
    <w:rsid w:val="00D44CD5"/>
    <w:rsid w:val="00D45244"/>
    <w:rsid w:val="00D46281"/>
    <w:rsid w:val="00D47083"/>
    <w:rsid w:val="00D474E2"/>
    <w:rsid w:val="00D47BD6"/>
    <w:rsid w:val="00D47CD9"/>
    <w:rsid w:val="00D47E50"/>
    <w:rsid w:val="00D5159E"/>
    <w:rsid w:val="00D52005"/>
    <w:rsid w:val="00D54189"/>
    <w:rsid w:val="00D54722"/>
    <w:rsid w:val="00D54DB4"/>
    <w:rsid w:val="00D551D2"/>
    <w:rsid w:val="00D55CD7"/>
    <w:rsid w:val="00D55DC6"/>
    <w:rsid w:val="00D57112"/>
    <w:rsid w:val="00D5788E"/>
    <w:rsid w:val="00D612E3"/>
    <w:rsid w:val="00D61AEE"/>
    <w:rsid w:val="00D6239F"/>
    <w:rsid w:val="00D62846"/>
    <w:rsid w:val="00D635BA"/>
    <w:rsid w:val="00D64CD7"/>
    <w:rsid w:val="00D64E99"/>
    <w:rsid w:val="00D6671D"/>
    <w:rsid w:val="00D672D2"/>
    <w:rsid w:val="00D71C7C"/>
    <w:rsid w:val="00D733E0"/>
    <w:rsid w:val="00D73C07"/>
    <w:rsid w:val="00D73E4F"/>
    <w:rsid w:val="00D746B1"/>
    <w:rsid w:val="00D752A9"/>
    <w:rsid w:val="00D7555E"/>
    <w:rsid w:val="00D755B1"/>
    <w:rsid w:val="00D75630"/>
    <w:rsid w:val="00D759BB"/>
    <w:rsid w:val="00D75C94"/>
    <w:rsid w:val="00D7626C"/>
    <w:rsid w:val="00D76369"/>
    <w:rsid w:val="00D7704C"/>
    <w:rsid w:val="00D80F19"/>
    <w:rsid w:val="00D81AA2"/>
    <w:rsid w:val="00D83A1B"/>
    <w:rsid w:val="00D83F6F"/>
    <w:rsid w:val="00D84067"/>
    <w:rsid w:val="00D84E3B"/>
    <w:rsid w:val="00D84E79"/>
    <w:rsid w:val="00D86664"/>
    <w:rsid w:val="00D86D26"/>
    <w:rsid w:val="00D872D3"/>
    <w:rsid w:val="00D8734D"/>
    <w:rsid w:val="00D87406"/>
    <w:rsid w:val="00D903A0"/>
    <w:rsid w:val="00D90B18"/>
    <w:rsid w:val="00D9176B"/>
    <w:rsid w:val="00D91CD1"/>
    <w:rsid w:val="00D95F49"/>
    <w:rsid w:val="00D976DB"/>
    <w:rsid w:val="00DA02E5"/>
    <w:rsid w:val="00DA0648"/>
    <w:rsid w:val="00DA0BCB"/>
    <w:rsid w:val="00DA1872"/>
    <w:rsid w:val="00DA2688"/>
    <w:rsid w:val="00DA26ED"/>
    <w:rsid w:val="00DA2BF9"/>
    <w:rsid w:val="00DA39A7"/>
    <w:rsid w:val="00DA3FA2"/>
    <w:rsid w:val="00DA45AA"/>
    <w:rsid w:val="00DA47DC"/>
    <w:rsid w:val="00DA6E1A"/>
    <w:rsid w:val="00DA6E54"/>
    <w:rsid w:val="00DA749C"/>
    <w:rsid w:val="00DA75E9"/>
    <w:rsid w:val="00DB0A4D"/>
    <w:rsid w:val="00DB0F3E"/>
    <w:rsid w:val="00DB12F5"/>
    <w:rsid w:val="00DB15EF"/>
    <w:rsid w:val="00DB1928"/>
    <w:rsid w:val="00DB194D"/>
    <w:rsid w:val="00DB2CAC"/>
    <w:rsid w:val="00DB33D2"/>
    <w:rsid w:val="00DB33FC"/>
    <w:rsid w:val="00DB5068"/>
    <w:rsid w:val="00DB5A1E"/>
    <w:rsid w:val="00DB6862"/>
    <w:rsid w:val="00DB695C"/>
    <w:rsid w:val="00DB6A68"/>
    <w:rsid w:val="00DB737B"/>
    <w:rsid w:val="00DB7572"/>
    <w:rsid w:val="00DC0846"/>
    <w:rsid w:val="00DC0C31"/>
    <w:rsid w:val="00DC4A73"/>
    <w:rsid w:val="00DC73A2"/>
    <w:rsid w:val="00DC7B0A"/>
    <w:rsid w:val="00DC7B36"/>
    <w:rsid w:val="00DD1560"/>
    <w:rsid w:val="00DD18E4"/>
    <w:rsid w:val="00DD1AEB"/>
    <w:rsid w:val="00DD2CE1"/>
    <w:rsid w:val="00DD3E34"/>
    <w:rsid w:val="00DD4572"/>
    <w:rsid w:val="00DD4A8E"/>
    <w:rsid w:val="00DD4CD1"/>
    <w:rsid w:val="00DD4FC2"/>
    <w:rsid w:val="00DD545B"/>
    <w:rsid w:val="00DD7A9A"/>
    <w:rsid w:val="00DE0844"/>
    <w:rsid w:val="00DE09FF"/>
    <w:rsid w:val="00DE0E0D"/>
    <w:rsid w:val="00DE2009"/>
    <w:rsid w:val="00DE2225"/>
    <w:rsid w:val="00DE2243"/>
    <w:rsid w:val="00DE2C09"/>
    <w:rsid w:val="00DE3B47"/>
    <w:rsid w:val="00DE3B7F"/>
    <w:rsid w:val="00DE4DE7"/>
    <w:rsid w:val="00DE4F13"/>
    <w:rsid w:val="00DE5EAD"/>
    <w:rsid w:val="00DE6CD0"/>
    <w:rsid w:val="00DE6D94"/>
    <w:rsid w:val="00DE6DDE"/>
    <w:rsid w:val="00DF01C6"/>
    <w:rsid w:val="00DF0CC5"/>
    <w:rsid w:val="00DF14DD"/>
    <w:rsid w:val="00DF211A"/>
    <w:rsid w:val="00DF516D"/>
    <w:rsid w:val="00DF5671"/>
    <w:rsid w:val="00DF5FD4"/>
    <w:rsid w:val="00DF662B"/>
    <w:rsid w:val="00DF66DC"/>
    <w:rsid w:val="00DF75CD"/>
    <w:rsid w:val="00DF77C0"/>
    <w:rsid w:val="00E005D4"/>
    <w:rsid w:val="00E00628"/>
    <w:rsid w:val="00E018E1"/>
    <w:rsid w:val="00E01FF5"/>
    <w:rsid w:val="00E024FB"/>
    <w:rsid w:val="00E036D5"/>
    <w:rsid w:val="00E03B63"/>
    <w:rsid w:val="00E04CC4"/>
    <w:rsid w:val="00E057AB"/>
    <w:rsid w:val="00E05B4A"/>
    <w:rsid w:val="00E0607C"/>
    <w:rsid w:val="00E06986"/>
    <w:rsid w:val="00E06B72"/>
    <w:rsid w:val="00E07467"/>
    <w:rsid w:val="00E07F3F"/>
    <w:rsid w:val="00E07FD0"/>
    <w:rsid w:val="00E115A1"/>
    <w:rsid w:val="00E11632"/>
    <w:rsid w:val="00E125F6"/>
    <w:rsid w:val="00E131B1"/>
    <w:rsid w:val="00E1342F"/>
    <w:rsid w:val="00E136A5"/>
    <w:rsid w:val="00E14025"/>
    <w:rsid w:val="00E14FE9"/>
    <w:rsid w:val="00E15266"/>
    <w:rsid w:val="00E17A63"/>
    <w:rsid w:val="00E2154D"/>
    <w:rsid w:val="00E236F6"/>
    <w:rsid w:val="00E25F71"/>
    <w:rsid w:val="00E26117"/>
    <w:rsid w:val="00E2635F"/>
    <w:rsid w:val="00E268C4"/>
    <w:rsid w:val="00E26ED1"/>
    <w:rsid w:val="00E274A9"/>
    <w:rsid w:val="00E2761F"/>
    <w:rsid w:val="00E301A5"/>
    <w:rsid w:val="00E319DF"/>
    <w:rsid w:val="00E34DE3"/>
    <w:rsid w:val="00E35E72"/>
    <w:rsid w:val="00E36828"/>
    <w:rsid w:val="00E37053"/>
    <w:rsid w:val="00E37864"/>
    <w:rsid w:val="00E407D4"/>
    <w:rsid w:val="00E4163E"/>
    <w:rsid w:val="00E41CE7"/>
    <w:rsid w:val="00E42372"/>
    <w:rsid w:val="00E42FBA"/>
    <w:rsid w:val="00E44316"/>
    <w:rsid w:val="00E45157"/>
    <w:rsid w:val="00E458FE"/>
    <w:rsid w:val="00E45C2C"/>
    <w:rsid w:val="00E46217"/>
    <w:rsid w:val="00E4714F"/>
    <w:rsid w:val="00E4791E"/>
    <w:rsid w:val="00E4795B"/>
    <w:rsid w:val="00E5004D"/>
    <w:rsid w:val="00E50328"/>
    <w:rsid w:val="00E51454"/>
    <w:rsid w:val="00E51C0E"/>
    <w:rsid w:val="00E52215"/>
    <w:rsid w:val="00E53BF4"/>
    <w:rsid w:val="00E53FF9"/>
    <w:rsid w:val="00E544E5"/>
    <w:rsid w:val="00E547B0"/>
    <w:rsid w:val="00E549E7"/>
    <w:rsid w:val="00E54A35"/>
    <w:rsid w:val="00E5571E"/>
    <w:rsid w:val="00E55E58"/>
    <w:rsid w:val="00E5653A"/>
    <w:rsid w:val="00E56D6F"/>
    <w:rsid w:val="00E56E18"/>
    <w:rsid w:val="00E576D3"/>
    <w:rsid w:val="00E578EE"/>
    <w:rsid w:val="00E60071"/>
    <w:rsid w:val="00E604E6"/>
    <w:rsid w:val="00E61E47"/>
    <w:rsid w:val="00E62A4C"/>
    <w:rsid w:val="00E637ED"/>
    <w:rsid w:val="00E64AF0"/>
    <w:rsid w:val="00E654F4"/>
    <w:rsid w:val="00E65BC8"/>
    <w:rsid w:val="00E66078"/>
    <w:rsid w:val="00E66B0D"/>
    <w:rsid w:val="00E71025"/>
    <w:rsid w:val="00E714AC"/>
    <w:rsid w:val="00E72632"/>
    <w:rsid w:val="00E74157"/>
    <w:rsid w:val="00E7426F"/>
    <w:rsid w:val="00E7461F"/>
    <w:rsid w:val="00E74B31"/>
    <w:rsid w:val="00E74FCD"/>
    <w:rsid w:val="00E7643E"/>
    <w:rsid w:val="00E76BBB"/>
    <w:rsid w:val="00E76D1E"/>
    <w:rsid w:val="00E77400"/>
    <w:rsid w:val="00E7772E"/>
    <w:rsid w:val="00E8142E"/>
    <w:rsid w:val="00E82910"/>
    <w:rsid w:val="00E82F58"/>
    <w:rsid w:val="00E83992"/>
    <w:rsid w:val="00E83DA6"/>
    <w:rsid w:val="00E84961"/>
    <w:rsid w:val="00E862A6"/>
    <w:rsid w:val="00E86332"/>
    <w:rsid w:val="00E86943"/>
    <w:rsid w:val="00E917E9"/>
    <w:rsid w:val="00E9183F"/>
    <w:rsid w:val="00E9199B"/>
    <w:rsid w:val="00E91D81"/>
    <w:rsid w:val="00E92246"/>
    <w:rsid w:val="00E92DF3"/>
    <w:rsid w:val="00E932E6"/>
    <w:rsid w:val="00E9379A"/>
    <w:rsid w:val="00E93C00"/>
    <w:rsid w:val="00E941A2"/>
    <w:rsid w:val="00E9781A"/>
    <w:rsid w:val="00E97BF6"/>
    <w:rsid w:val="00EA0235"/>
    <w:rsid w:val="00EA0E18"/>
    <w:rsid w:val="00EA2FCA"/>
    <w:rsid w:val="00EA6B53"/>
    <w:rsid w:val="00EA6CF6"/>
    <w:rsid w:val="00EA6DBF"/>
    <w:rsid w:val="00EA7368"/>
    <w:rsid w:val="00EA7C39"/>
    <w:rsid w:val="00EB007B"/>
    <w:rsid w:val="00EB1135"/>
    <w:rsid w:val="00EB148F"/>
    <w:rsid w:val="00EB2A38"/>
    <w:rsid w:val="00EB4021"/>
    <w:rsid w:val="00EB4025"/>
    <w:rsid w:val="00EB50B7"/>
    <w:rsid w:val="00EB5B97"/>
    <w:rsid w:val="00EC09A2"/>
    <w:rsid w:val="00EC1F41"/>
    <w:rsid w:val="00EC2FB9"/>
    <w:rsid w:val="00EC316E"/>
    <w:rsid w:val="00EC49A4"/>
    <w:rsid w:val="00EC5BDD"/>
    <w:rsid w:val="00EC617C"/>
    <w:rsid w:val="00EC7988"/>
    <w:rsid w:val="00ED06C2"/>
    <w:rsid w:val="00ED1968"/>
    <w:rsid w:val="00ED3B03"/>
    <w:rsid w:val="00ED70D0"/>
    <w:rsid w:val="00ED7A8E"/>
    <w:rsid w:val="00ED7A8F"/>
    <w:rsid w:val="00EE03F5"/>
    <w:rsid w:val="00EE1DD4"/>
    <w:rsid w:val="00EE3A14"/>
    <w:rsid w:val="00EE4E21"/>
    <w:rsid w:val="00EE5044"/>
    <w:rsid w:val="00EE575C"/>
    <w:rsid w:val="00EE6220"/>
    <w:rsid w:val="00EE7DB9"/>
    <w:rsid w:val="00EF1052"/>
    <w:rsid w:val="00EF1466"/>
    <w:rsid w:val="00EF1A37"/>
    <w:rsid w:val="00EF2A41"/>
    <w:rsid w:val="00EF4DD8"/>
    <w:rsid w:val="00EF5362"/>
    <w:rsid w:val="00EF5E0D"/>
    <w:rsid w:val="00EF63AA"/>
    <w:rsid w:val="00EF764E"/>
    <w:rsid w:val="00EF7C90"/>
    <w:rsid w:val="00F0161C"/>
    <w:rsid w:val="00F06317"/>
    <w:rsid w:val="00F0735F"/>
    <w:rsid w:val="00F10F7A"/>
    <w:rsid w:val="00F11441"/>
    <w:rsid w:val="00F12DBC"/>
    <w:rsid w:val="00F1437D"/>
    <w:rsid w:val="00F14398"/>
    <w:rsid w:val="00F14764"/>
    <w:rsid w:val="00F14F72"/>
    <w:rsid w:val="00F15070"/>
    <w:rsid w:val="00F152FC"/>
    <w:rsid w:val="00F15405"/>
    <w:rsid w:val="00F158AA"/>
    <w:rsid w:val="00F17D49"/>
    <w:rsid w:val="00F20229"/>
    <w:rsid w:val="00F20B1C"/>
    <w:rsid w:val="00F2164B"/>
    <w:rsid w:val="00F21764"/>
    <w:rsid w:val="00F21D6A"/>
    <w:rsid w:val="00F24B3B"/>
    <w:rsid w:val="00F25C41"/>
    <w:rsid w:val="00F26904"/>
    <w:rsid w:val="00F26B09"/>
    <w:rsid w:val="00F26B2C"/>
    <w:rsid w:val="00F276CB"/>
    <w:rsid w:val="00F308B5"/>
    <w:rsid w:val="00F30A9E"/>
    <w:rsid w:val="00F30DA5"/>
    <w:rsid w:val="00F31BAA"/>
    <w:rsid w:val="00F32633"/>
    <w:rsid w:val="00F32689"/>
    <w:rsid w:val="00F33F5B"/>
    <w:rsid w:val="00F34D16"/>
    <w:rsid w:val="00F34F8D"/>
    <w:rsid w:val="00F35204"/>
    <w:rsid w:val="00F358F5"/>
    <w:rsid w:val="00F35C19"/>
    <w:rsid w:val="00F3727F"/>
    <w:rsid w:val="00F40634"/>
    <w:rsid w:val="00F40EBE"/>
    <w:rsid w:val="00F41221"/>
    <w:rsid w:val="00F41762"/>
    <w:rsid w:val="00F41816"/>
    <w:rsid w:val="00F41FDC"/>
    <w:rsid w:val="00F4328B"/>
    <w:rsid w:val="00F43CE1"/>
    <w:rsid w:val="00F4486A"/>
    <w:rsid w:val="00F46198"/>
    <w:rsid w:val="00F47728"/>
    <w:rsid w:val="00F51284"/>
    <w:rsid w:val="00F51A17"/>
    <w:rsid w:val="00F52D17"/>
    <w:rsid w:val="00F533A2"/>
    <w:rsid w:val="00F545CA"/>
    <w:rsid w:val="00F56116"/>
    <w:rsid w:val="00F56B46"/>
    <w:rsid w:val="00F57794"/>
    <w:rsid w:val="00F57B2E"/>
    <w:rsid w:val="00F60D4F"/>
    <w:rsid w:val="00F60DDD"/>
    <w:rsid w:val="00F618B3"/>
    <w:rsid w:val="00F6197E"/>
    <w:rsid w:val="00F620A7"/>
    <w:rsid w:val="00F64B84"/>
    <w:rsid w:val="00F65960"/>
    <w:rsid w:val="00F66134"/>
    <w:rsid w:val="00F67C77"/>
    <w:rsid w:val="00F71322"/>
    <w:rsid w:val="00F7282F"/>
    <w:rsid w:val="00F72D49"/>
    <w:rsid w:val="00F739A3"/>
    <w:rsid w:val="00F7407C"/>
    <w:rsid w:val="00F754B2"/>
    <w:rsid w:val="00F7635F"/>
    <w:rsid w:val="00F76952"/>
    <w:rsid w:val="00F76C36"/>
    <w:rsid w:val="00F77A91"/>
    <w:rsid w:val="00F801A2"/>
    <w:rsid w:val="00F8022F"/>
    <w:rsid w:val="00F809B7"/>
    <w:rsid w:val="00F809EC"/>
    <w:rsid w:val="00F80DD4"/>
    <w:rsid w:val="00F8147A"/>
    <w:rsid w:val="00F81593"/>
    <w:rsid w:val="00F81B1B"/>
    <w:rsid w:val="00F83ECA"/>
    <w:rsid w:val="00F850EB"/>
    <w:rsid w:val="00F85F2E"/>
    <w:rsid w:val="00F86914"/>
    <w:rsid w:val="00F86A7B"/>
    <w:rsid w:val="00F872CB"/>
    <w:rsid w:val="00F873D8"/>
    <w:rsid w:val="00F90A12"/>
    <w:rsid w:val="00F93B60"/>
    <w:rsid w:val="00F9539A"/>
    <w:rsid w:val="00F95604"/>
    <w:rsid w:val="00F96FEB"/>
    <w:rsid w:val="00F9764C"/>
    <w:rsid w:val="00FA05BA"/>
    <w:rsid w:val="00FA05DA"/>
    <w:rsid w:val="00FA0D0C"/>
    <w:rsid w:val="00FA0D70"/>
    <w:rsid w:val="00FA10A0"/>
    <w:rsid w:val="00FA178C"/>
    <w:rsid w:val="00FA18F8"/>
    <w:rsid w:val="00FA1C3F"/>
    <w:rsid w:val="00FA1C51"/>
    <w:rsid w:val="00FA1DE9"/>
    <w:rsid w:val="00FA21B4"/>
    <w:rsid w:val="00FA26BB"/>
    <w:rsid w:val="00FA2781"/>
    <w:rsid w:val="00FA3107"/>
    <w:rsid w:val="00FA349D"/>
    <w:rsid w:val="00FA3F22"/>
    <w:rsid w:val="00FA500B"/>
    <w:rsid w:val="00FA6C20"/>
    <w:rsid w:val="00FA7301"/>
    <w:rsid w:val="00FA7A3A"/>
    <w:rsid w:val="00FA7F2B"/>
    <w:rsid w:val="00FB047F"/>
    <w:rsid w:val="00FB05F3"/>
    <w:rsid w:val="00FB0DC7"/>
    <w:rsid w:val="00FB1525"/>
    <w:rsid w:val="00FB1982"/>
    <w:rsid w:val="00FB2795"/>
    <w:rsid w:val="00FB2EBF"/>
    <w:rsid w:val="00FB3658"/>
    <w:rsid w:val="00FB3A8D"/>
    <w:rsid w:val="00FB4CDE"/>
    <w:rsid w:val="00FB58D2"/>
    <w:rsid w:val="00FB6365"/>
    <w:rsid w:val="00FB698D"/>
    <w:rsid w:val="00FB6DC5"/>
    <w:rsid w:val="00FB7C95"/>
    <w:rsid w:val="00FC076C"/>
    <w:rsid w:val="00FC3D98"/>
    <w:rsid w:val="00FC3F0C"/>
    <w:rsid w:val="00FC4718"/>
    <w:rsid w:val="00FC4996"/>
    <w:rsid w:val="00FC4C7B"/>
    <w:rsid w:val="00FC6564"/>
    <w:rsid w:val="00FC6577"/>
    <w:rsid w:val="00FC6C6E"/>
    <w:rsid w:val="00FC6C84"/>
    <w:rsid w:val="00FC6CA5"/>
    <w:rsid w:val="00FC7378"/>
    <w:rsid w:val="00FD0F05"/>
    <w:rsid w:val="00FD26CE"/>
    <w:rsid w:val="00FD30A3"/>
    <w:rsid w:val="00FD3DD0"/>
    <w:rsid w:val="00FD459C"/>
    <w:rsid w:val="00FD4842"/>
    <w:rsid w:val="00FD5009"/>
    <w:rsid w:val="00FD509C"/>
    <w:rsid w:val="00FD574D"/>
    <w:rsid w:val="00FD5E0D"/>
    <w:rsid w:val="00FD619A"/>
    <w:rsid w:val="00FD630B"/>
    <w:rsid w:val="00FD6745"/>
    <w:rsid w:val="00FD6BC6"/>
    <w:rsid w:val="00FD71EE"/>
    <w:rsid w:val="00FD789B"/>
    <w:rsid w:val="00FD7A2E"/>
    <w:rsid w:val="00FE00DA"/>
    <w:rsid w:val="00FE37DB"/>
    <w:rsid w:val="00FE3E35"/>
    <w:rsid w:val="00FE42EE"/>
    <w:rsid w:val="00FE4BF3"/>
    <w:rsid w:val="00FE5105"/>
    <w:rsid w:val="00FE53BC"/>
    <w:rsid w:val="00FE53DC"/>
    <w:rsid w:val="00FE6C20"/>
    <w:rsid w:val="00FF0165"/>
    <w:rsid w:val="00FF0B1C"/>
    <w:rsid w:val="00FF1EAB"/>
    <w:rsid w:val="00FF2655"/>
    <w:rsid w:val="00FF2A8B"/>
    <w:rsid w:val="00FF31DE"/>
    <w:rsid w:val="00FF50ED"/>
    <w:rsid w:val="00FF524D"/>
    <w:rsid w:val="00FF5730"/>
    <w:rsid w:val="00FF588D"/>
    <w:rsid w:val="00FF6EBC"/>
    <w:rsid w:val="00FF75A7"/>
    <w:rsid w:val="00FF7E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907F6"/>
    <w:pPr>
      <w:spacing w:before="120" w:after="120"/>
      <w:jc w:val="both"/>
    </w:pPr>
    <w:rPr>
      <w:rFonts w:ascii="Calibri" w:hAnsi="Calibri" w:cs="Calibri"/>
    </w:rPr>
  </w:style>
  <w:style w:type="paragraph" w:styleId="Heading1">
    <w:name w:val="heading 1"/>
    <w:basedOn w:val="Normal"/>
    <w:next w:val="Normal"/>
    <w:link w:val="Heading1Char"/>
    <w:uiPriority w:val="99"/>
    <w:qFormat/>
    <w:rsid w:val="00D759BB"/>
    <w:pPr>
      <w:keepNext/>
      <w:numPr>
        <w:numId w:val="20"/>
      </w:numPr>
      <w:tabs>
        <w:tab w:val="center" w:pos="5954"/>
      </w:tabs>
      <w:jc w:val="center"/>
      <w:outlineLvl w:val="0"/>
    </w:pPr>
    <w:rPr>
      <w:b/>
      <w:bCs/>
      <w:caps/>
      <w:sz w:val="24"/>
      <w:szCs w:val="24"/>
      <w:lang w:val="it-IT"/>
    </w:rPr>
  </w:style>
  <w:style w:type="paragraph" w:styleId="Heading2">
    <w:name w:val="heading 2"/>
    <w:basedOn w:val="Normal"/>
    <w:next w:val="Normal"/>
    <w:link w:val="Heading2Char"/>
    <w:uiPriority w:val="99"/>
    <w:qFormat/>
    <w:locked/>
    <w:rsid w:val="000D44EE"/>
    <w:pPr>
      <w:keepNext/>
      <w:numPr>
        <w:ilvl w:val="1"/>
        <w:numId w:val="20"/>
      </w:numPr>
      <w:tabs>
        <w:tab w:val="left" w:pos="510"/>
      </w:tabs>
      <w:spacing w:before="480" w:after="80"/>
      <w:outlineLvl w:val="1"/>
    </w:pPr>
    <w:rPr>
      <w:rFonts w:ascii="Times New Roman Bold" w:hAnsi="Times New Roman Bold" w:cs="Times New Roman Bold"/>
      <w:b/>
      <w:bCs/>
      <w:smallCaps/>
      <w:sz w:val="23"/>
      <w:szCs w:val="23"/>
      <w:lang w:val="en-GB" w:eastAsia="en-GB"/>
    </w:rPr>
  </w:style>
  <w:style w:type="paragraph" w:styleId="Heading3">
    <w:name w:val="heading 3"/>
    <w:basedOn w:val="Normal"/>
    <w:next w:val="Normal"/>
    <w:link w:val="Heading3Char"/>
    <w:uiPriority w:val="99"/>
    <w:qFormat/>
    <w:locked/>
    <w:rsid w:val="00AA618B"/>
    <w:pPr>
      <w:keepNext/>
      <w:numPr>
        <w:ilvl w:val="2"/>
        <w:numId w:val="9"/>
      </w:numPr>
      <w:tabs>
        <w:tab w:val="left" w:pos="510"/>
        <w:tab w:val="num" w:pos="720"/>
      </w:tabs>
      <w:spacing w:before="300" w:after="60"/>
      <w:ind w:left="720" w:hanging="720"/>
      <w:outlineLvl w:val="2"/>
    </w:pPr>
    <w:rPr>
      <w:rFonts w:ascii="Times New Roman Bold" w:hAnsi="Times New Roman Bold" w:cs="Times New Roman Bold"/>
      <w:b/>
      <w:bCs/>
      <w:sz w:val="23"/>
      <w:szCs w:val="23"/>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91CD4"/>
    <w:rPr>
      <w:rFonts w:ascii="Cambria" w:hAnsi="Cambria" w:cs="Cambria"/>
      <w:b/>
      <w:bCs/>
      <w:kern w:val="32"/>
      <w:sz w:val="32"/>
      <w:szCs w:val="32"/>
    </w:rPr>
  </w:style>
  <w:style w:type="character" w:customStyle="1" w:styleId="Heading2Char">
    <w:name w:val="Heading 2 Char"/>
    <w:basedOn w:val="DefaultParagraphFont"/>
    <w:link w:val="Heading2"/>
    <w:uiPriority w:val="99"/>
    <w:locked/>
    <w:rsid w:val="000D44EE"/>
    <w:rPr>
      <w:rFonts w:ascii="Times New Roman Bold" w:hAnsi="Times New Roman Bold" w:cs="Times New Roman Bold"/>
      <w:b/>
      <w:bCs/>
      <w:smallCaps/>
      <w:sz w:val="23"/>
      <w:szCs w:val="23"/>
      <w:lang w:val="en-GB" w:eastAsia="en-GB"/>
    </w:rPr>
  </w:style>
  <w:style w:type="character" w:customStyle="1" w:styleId="Heading3Char">
    <w:name w:val="Heading 3 Char"/>
    <w:basedOn w:val="DefaultParagraphFont"/>
    <w:link w:val="Heading3"/>
    <w:uiPriority w:val="99"/>
    <w:locked/>
    <w:rsid w:val="00AA618B"/>
    <w:rPr>
      <w:rFonts w:ascii="Times New Roman Bold" w:hAnsi="Times New Roman Bold" w:cs="Times New Roman Bold"/>
      <w:b/>
      <w:bCs/>
      <w:sz w:val="23"/>
      <w:szCs w:val="23"/>
      <w:lang w:val="en-GB" w:eastAsia="en-GB"/>
    </w:rPr>
  </w:style>
  <w:style w:type="character" w:customStyle="1" w:styleId="MessageHeaderLabel">
    <w:name w:val="Message Header Label"/>
    <w:uiPriority w:val="99"/>
    <w:rsid w:val="00CB5523"/>
    <w:rPr>
      <w:rFonts w:ascii="Arial Black" w:hAnsi="Arial Black" w:cs="Arial Black"/>
      <w:spacing w:val="-10"/>
      <w:sz w:val="18"/>
      <w:szCs w:val="18"/>
    </w:rPr>
  </w:style>
  <w:style w:type="paragraph" w:styleId="Subtitle">
    <w:name w:val="Subtitle"/>
    <w:basedOn w:val="Normal"/>
    <w:link w:val="SubtitleChar"/>
    <w:uiPriority w:val="99"/>
    <w:qFormat/>
    <w:rsid w:val="00CB5523"/>
    <w:pPr>
      <w:jc w:val="center"/>
    </w:pPr>
    <w:rPr>
      <w:b/>
      <w:bCs/>
      <w:lang w:val="it-IT"/>
    </w:rPr>
  </w:style>
  <w:style w:type="character" w:customStyle="1" w:styleId="SubtitleChar">
    <w:name w:val="Subtitle Char"/>
    <w:basedOn w:val="DefaultParagraphFont"/>
    <w:link w:val="Subtitle"/>
    <w:uiPriority w:val="99"/>
    <w:locked/>
    <w:rsid w:val="00091CD4"/>
    <w:rPr>
      <w:rFonts w:ascii="Cambria" w:hAnsi="Cambria" w:cs="Cambria"/>
      <w:sz w:val="24"/>
      <w:szCs w:val="24"/>
    </w:rPr>
  </w:style>
  <w:style w:type="character" w:styleId="FollowedHyperlink">
    <w:name w:val="FollowedHyperlink"/>
    <w:basedOn w:val="DefaultParagraphFont"/>
    <w:uiPriority w:val="99"/>
    <w:rsid w:val="00CB5523"/>
    <w:rPr>
      <w:color w:val="800080"/>
      <w:u w:val="single"/>
    </w:rPr>
  </w:style>
  <w:style w:type="table" w:styleId="TableGrid">
    <w:name w:val="Table Grid"/>
    <w:basedOn w:val="TableNormal"/>
    <w:uiPriority w:val="99"/>
    <w:rsid w:val="004F5DE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99"/>
    <w:qFormat/>
    <w:rsid w:val="00D759BB"/>
    <w:rPr>
      <w:rFonts w:ascii="Calibri" w:hAnsi="Calibri" w:cs="Calibri"/>
    </w:rPr>
  </w:style>
  <w:style w:type="character" w:customStyle="1" w:styleId="NoSpacingChar">
    <w:name w:val="No Spacing Char"/>
    <w:link w:val="NoSpacing"/>
    <w:uiPriority w:val="99"/>
    <w:locked/>
    <w:rsid w:val="00D759BB"/>
    <w:rPr>
      <w:rFonts w:ascii="Calibri" w:hAnsi="Calibri" w:cs="Calibri"/>
      <w:sz w:val="22"/>
      <w:szCs w:val="22"/>
      <w:lang w:val="en-US" w:eastAsia="en-US"/>
    </w:rPr>
  </w:style>
  <w:style w:type="paragraph" w:styleId="BalloonText">
    <w:name w:val="Balloon Text"/>
    <w:basedOn w:val="Normal"/>
    <w:link w:val="BalloonTextChar"/>
    <w:uiPriority w:val="99"/>
    <w:semiHidden/>
    <w:rsid w:val="00D759BB"/>
    <w:rPr>
      <w:rFonts w:ascii="Tahoma" w:hAnsi="Tahoma" w:cs="Tahoma"/>
      <w:sz w:val="16"/>
      <w:szCs w:val="16"/>
    </w:rPr>
  </w:style>
  <w:style w:type="character" w:customStyle="1" w:styleId="BalloonTextChar">
    <w:name w:val="Balloon Text Char"/>
    <w:basedOn w:val="DefaultParagraphFont"/>
    <w:link w:val="BalloonText"/>
    <w:uiPriority w:val="99"/>
    <w:locked/>
    <w:rsid w:val="00D759BB"/>
    <w:rPr>
      <w:rFonts w:ascii="Tahoma" w:hAnsi="Tahoma" w:cs="Tahoma"/>
      <w:sz w:val="16"/>
      <w:szCs w:val="16"/>
    </w:rPr>
  </w:style>
  <w:style w:type="paragraph" w:customStyle="1" w:styleId="CharCharChar">
    <w:name w:val="Char Char Char"/>
    <w:basedOn w:val="Normal"/>
    <w:uiPriority w:val="99"/>
    <w:rsid w:val="00D759BB"/>
    <w:pPr>
      <w:spacing w:before="0" w:after="160" w:line="240" w:lineRule="exact"/>
      <w:jc w:val="left"/>
    </w:pPr>
    <w:rPr>
      <w:rFonts w:ascii="Tahoma" w:hAnsi="Tahoma" w:cs="Tahoma"/>
      <w:sz w:val="20"/>
      <w:szCs w:val="20"/>
    </w:rPr>
  </w:style>
  <w:style w:type="paragraph" w:styleId="Header">
    <w:name w:val="header"/>
    <w:basedOn w:val="Normal"/>
    <w:link w:val="HeaderChar"/>
    <w:uiPriority w:val="99"/>
    <w:rsid w:val="001D4974"/>
    <w:pPr>
      <w:tabs>
        <w:tab w:val="center" w:pos="4680"/>
        <w:tab w:val="right" w:pos="9360"/>
      </w:tabs>
      <w:spacing w:before="0" w:after="0"/>
    </w:pPr>
    <w:rPr>
      <w:sz w:val="24"/>
      <w:szCs w:val="24"/>
    </w:rPr>
  </w:style>
  <w:style w:type="character" w:customStyle="1" w:styleId="HeaderChar">
    <w:name w:val="Header Char"/>
    <w:basedOn w:val="DefaultParagraphFont"/>
    <w:link w:val="Header"/>
    <w:uiPriority w:val="99"/>
    <w:locked/>
    <w:rsid w:val="001D4974"/>
    <w:rPr>
      <w:rFonts w:ascii="Calibri" w:hAnsi="Calibri" w:cs="Calibri"/>
      <w:sz w:val="24"/>
      <w:szCs w:val="24"/>
    </w:rPr>
  </w:style>
  <w:style w:type="paragraph" w:styleId="Footer">
    <w:name w:val="footer"/>
    <w:basedOn w:val="Normal"/>
    <w:link w:val="FooterChar"/>
    <w:uiPriority w:val="99"/>
    <w:rsid w:val="001D4974"/>
    <w:pPr>
      <w:tabs>
        <w:tab w:val="center" w:pos="4680"/>
        <w:tab w:val="right" w:pos="9360"/>
      </w:tabs>
      <w:spacing w:before="0" w:after="0"/>
    </w:pPr>
    <w:rPr>
      <w:sz w:val="24"/>
      <w:szCs w:val="24"/>
    </w:rPr>
  </w:style>
  <w:style w:type="character" w:customStyle="1" w:styleId="FooterChar">
    <w:name w:val="Footer Char"/>
    <w:basedOn w:val="DefaultParagraphFont"/>
    <w:link w:val="Footer"/>
    <w:uiPriority w:val="99"/>
    <w:locked/>
    <w:rsid w:val="001D4974"/>
    <w:rPr>
      <w:rFonts w:ascii="Calibri" w:hAnsi="Calibri" w:cs="Calibri"/>
      <w:sz w:val="24"/>
      <w:szCs w:val="24"/>
    </w:rPr>
  </w:style>
  <w:style w:type="table" w:styleId="TableClassic4">
    <w:name w:val="Table Classic 4"/>
    <w:basedOn w:val="TableNormal"/>
    <w:uiPriority w:val="99"/>
    <w:rsid w:val="006027B4"/>
    <w:pPr>
      <w:spacing w:before="120" w:after="120"/>
      <w:jc w:val="both"/>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rsid w:val="00F4486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091CD4"/>
    <w:rPr>
      <w:sz w:val="2"/>
      <w:szCs w:val="2"/>
    </w:rPr>
  </w:style>
  <w:style w:type="paragraph" w:styleId="TOC1">
    <w:name w:val="toc 1"/>
    <w:basedOn w:val="Normal"/>
    <w:next w:val="Normal"/>
    <w:autoRedefine/>
    <w:uiPriority w:val="99"/>
    <w:semiHidden/>
    <w:rsid w:val="00C9483E"/>
    <w:pPr>
      <w:tabs>
        <w:tab w:val="right" w:leader="dot" w:pos="8636"/>
      </w:tabs>
    </w:pPr>
    <w:rPr>
      <w:b/>
      <w:bCs/>
      <w:noProof/>
      <w:sz w:val="24"/>
      <w:szCs w:val="24"/>
      <w:lang w:val="sq-AL"/>
    </w:rPr>
  </w:style>
  <w:style w:type="paragraph" w:styleId="TOC2">
    <w:name w:val="toc 2"/>
    <w:basedOn w:val="Normal"/>
    <w:next w:val="Normal"/>
    <w:autoRedefine/>
    <w:uiPriority w:val="99"/>
    <w:semiHidden/>
    <w:rsid w:val="00530EF2"/>
    <w:pPr>
      <w:tabs>
        <w:tab w:val="right" w:leader="dot" w:pos="8636"/>
      </w:tabs>
      <w:ind w:left="360"/>
    </w:pPr>
    <w:rPr>
      <w:b/>
      <w:bCs/>
      <w:noProof/>
      <w:sz w:val="24"/>
      <w:szCs w:val="24"/>
      <w:lang w:val="sq-AL"/>
    </w:rPr>
  </w:style>
  <w:style w:type="paragraph" w:styleId="TOC3">
    <w:name w:val="toc 3"/>
    <w:basedOn w:val="Normal"/>
    <w:next w:val="Normal"/>
    <w:autoRedefine/>
    <w:uiPriority w:val="99"/>
    <w:semiHidden/>
    <w:rsid w:val="00250123"/>
    <w:pPr>
      <w:tabs>
        <w:tab w:val="right" w:leader="dot" w:pos="8636"/>
      </w:tabs>
      <w:ind w:left="840"/>
    </w:pPr>
  </w:style>
  <w:style w:type="character" w:styleId="Hyperlink">
    <w:name w:val="Hyperlink"/>
    <w:basedOn w:val="DefaultParagraphFont"/>
    <w:uiPriority w:val="99"/>
    <w:rsid w:val="00E76BBB"/>
    <w:rPr>
      <w:color w:val="0000FF"/>
      <w:u w:val="single"/>
    </w:rPr>
  </w:style>
  <w:style w:type="character" w:styleId="CommentReference">
    <w:name w:val="annotation reference"/>
    <w:basedOn w:val="DefaultParagraphFont"/>
    <w:uiPriority w:val="99"/>
    <w:semiHidden/>
    <w:rsid w:val="003B289D"/>
    <w:rPr>
      <w:sz w:val="16"/>
      <w:szCs w:val="16"/>
    </w:rPr>
  </w:style>
  <w:style w:type="paragraph" w:styleId="CommentText">
    <w:name w:val="annotation text"/>
    <w:basedOn w:val="Normal"/>
    <w:link w:val="CommentTextChar"/>
    <w:uiPriority w:val="99"/>
    <w:semiHidden/>
    <w:rsid w:val="003B289D"/>
    <w:rPr>
      <w:sz w:val="20"/>
      <w:szCs w:val="20"/>
    </w:rPr>
  </w:style>
  <w:style w:type="character" w:customStyle="1" w:styleId="CommentTextChar">
    <w:name w:val="Comment Text Char"/>
    <w:basedOn w:val="DefaultParagraphFont"/>
    <w:link w:val="CommentText"/>
    <w:uiPriority w:val="99"/>
    <w:semiHidden/>
    <w:locked/>
    <w:rsid w:val="00091CD4"/>
    <w:rPr>
      <w:rFonts w:ascii="Calibri" w:hAnsi="Calibri" w:cs="Calibri"/>
      <w:sz w:val="20"/>
      <w:szCs w:val="20"/>
    </w:rPr>
  </w:style>
  <w:style w:type="paragraph" w:styleId="FootnoteText">
    <w:name w:val="footnote text"/>
    <w:basedOn w:val="Normal"/>
    <w:link w:val="FootnoteTextChar"/>
    <w:uiPriority w:val="99"/>
    <w:semiHidden/>
    <w:rsid w:val="00473FE5"/>
    <w:pPr>
      <w:spacing w:before="0" w:after="0"/>
    </w:pPr>
    <w:rPr>
      <w:sz w:val="20"/>
      <w:szCs w:val="20"/>
    </w:rPr>
  </w:style>
  <w:style w:type="character" w:customStyle="1" w:styleId="FootnoteTextChar">
    <w:name w:val="Footnote Text Char"/>
    <w:basedOn w:val="DefaultParagraphFont"/>
    <w:link w:val="FootnoteText"/>
    <w:uiPriority w:val="99"/>
    <w:locked/>
    <w:rsid w:val="00473FE5"/>
    <w:rPr>
      <w:rFonts w:ascii="Calibri" w:hAnsi="Calibri" w:cs="Calibri"/>
    </w:rPr>
  </w:style>
  <w:style w:type="character" w:styleId="FootnoteReference">
    <w:name w:val="footnote reference"/>
    <w:basedOn w:val="DefaultParagraphFont"/>
    <w:uiPriority w:val="99"/>
    <w:semiHidden/>
    <w:rsid w:val="00473FE5"/>
    <w:rPr>
      <w:vertAlign w:val="superscript"/>
    </w:rPr>
  </w:style>
  <w:style w:type="paragraph" w:customStyle="1" w:styleId="CharCharChar2">
    <w:name w:val="Char Char Char2"/>
    <w:basedOn w:val="Normal"/>
    <w:uiPriority w:val="99"/>
    <w:rsid w:val="003004F1"/>
    <w:pPr>
      <w:spacing w:before="0" w:after="160" w:line="240" w:lineRule="exact"/>
      <w:jc w:val="left"/>
    </w:pPr>
    <w:rPr>
      <w:rFonts w:ascii="Tahoma" w:hAnsi="Tahoma" w:cs="Tahoma"/>
      <w:sz w:val="20"/>
      <w:szCs w:val="20"/>
    </w:rPr>
  </w:style>
  <w:style w:type="paragraph" w:styleId="ListParagraph">
    <w:name w:val="List Paragraph"/>
    <w:basedOn w:val="Normal"/>
    <w:uiPriority w:val="99"/>
    <w:qFormat/>
    <w:rsid w:val="003004F1"/>
    <w:pPr>
      <w:ind w:left="720"/>
    </w:pPr>
  </w:style>
  <w:style w:type="paragraph" w:customStyle="1" w:styleId="CharCharChar1">
    <w:name w:val="Char Char Char1"/>
    <w:basedOn w:val="Normal"/>
    <w:uiPriority w:val="99"/>
    <w:rsid w:val="00320742"/>
    <w:pPr>
      <w:spacing w:before="0" w:after="160" w:line="240" w:lineRule="exact"/>
      <w:jc w:val="left"/>
    </w:pPr>
    <w:rPr>
      <w:rFonts w:ascii="Tahoma" w:hAnsi="Tahoma" w:cs="Tahoma"/>
      <w:sz w:val="20"/>
      <w:szCs w:val="20"/>
    </w:rPr>
  </w:style>
  <w:style w:type="paragraph" w:styleId="CommentSubject">
    <w:name w:val="annotation subject"/>
    <w:basedOn w:val="CommentText"/>
    <w:next w:val="CommentText"/>
    <w:link w:val="CommentSubjectChar"/>
    <w:uiPriority w:val="99"/>
    <w:semiHidden/>
    <w:rsid w:val="00420545"/>
    <w:rPr>
      <w:b/>
      <w:bCs/>
    </w:rPr>
  </w:style>
  <w:style w:type="character" w:customStyle="1" w:styleId="CommentSubjectChar">
    <w:name w:val="Comment Subject Char"/>
    <w:basedOn w:val="CommentTextChar"/>
    <w:link w:val="CommentSubject"/>
    <w:uiPriority w:val="99"/>
    <w:semiHidden/>
    <w:locked/>
    <w:rsid w:val="00091CD4"/>
    <w:rPr>
      <w:b/>
      <w:bCs/>
    </w:rPr>
  </w:style>
  <w:style w:type="paragraph" w:customStyle="1" w:styleId="Char2">
    <w:name w:val="Char2"/>
    <w:basedOn w:val="Normal"/>
    <w:uiPriority w:val="99"/>
    <w:rsid w:val="00ED3B03"/>
    <w:pPr>
      <w:spacing w:before="0" w:after="160" w:line="240" w:lineRule="exact"/>
      <w:jc w:val="left"/>
    </w:pPr>
    <w:rPr>
      <w:rFonts w:ascii="Tahoma" w:hAnsi="Tahoma" w:cs="Tahoma"/>
      <w:sz w:val="20"/>
      <w:szCs w:val="20"/>
    </w:rPr>
  </w:style>
  <w:style w:type="paragraph" w:customStyle="1" w:styleId="CharCharChar3">
    <w:name w:val="Char Char Char3"/>
    <w:basedOn w:val="Normal"/>
    <w:uiPriority w:val="99"/>
    <w:rsid w:val="00A81172"/>
    <w:pPr>
      <w:spacing w:before="0" w:after="160" w:line="240" w:lineRule="exact"/>
      <w:jc w:val="left"/>
    </w:pPr>
    <w:rPr>
      <w:rFonts w:ascii="Tahoma" w:hAnsi="Tahoma" w:cs="Tahoma"/>
      <w:sz w:val="20"/>
      <w:szCs w:val="20"/>
    </w:rPr>
  </w:style>
  <w:style w:type="paragraph" w:customStyle="1" w:styleId="CharCharChar4">
    <w:name w:val="Char Char Char4"/>
    <w:basedOn w:val="Normal"/>
    <w:uiPriority w:val="99"/>
    <w:rsid w:val="00887FC7"/>
    <w:pPr>
      <w:spacing w:before="0" w:after="160" w:line="240" w:lineRule="exact"/>
      <w:jc w:val="left"/>
    </w:pPr>
    <w:rPr>
      <w:rFonts w:ascii="Tahoma" w:hAnsi="Tahoma" w:cs="Tahoma"/>
      <w:sz w:val="20"/>
      <w:szCs w:val="20"/>
    </w:rPr>
  </w:style>
  <w:style w:type="paragraph" w:styleId="TOCHeading">
    <w:name w:val="TOC Heading"/>
    <w:basedOn w:val="Heading1"/>
    <w:next w:val="Normal"/>
    <w:uiPriority w:val="99"/>
    <w:qFormat/>
    <w:rsid w:val="00B01601"/>
    <w:pPr>
      <w:keepLines/>
      <w:tabs>
        <w:tab w:val="clear" w:pos="5954"/>
      </w:tabs>
      <w:spacing w:before="480" w:after="0" w:line="276" w:lineRule="auto"/>
      <w:jc w:val="left"/>
      <w:outlineLvl w:val="9"/>
    </w:pPr>
    <w:rPr>
      <w:rFonts w:ascii="Cambria" w:hAnsi="Cambria" w:cs="Cambria"/>
      <w:caps w:val="0"/>
      <w:color w:val="365F91"/>
      <w:sz w:val="28"/>
      <w:szCs w:val="28"/>
      <w:lang w:val="en-US"/>
    </w:rPr>
  </w:style>
  <w:style w:type="table" w:styleId="TableClassic2">
    <w:name w:val="Table Classic 2"/>
    <w:basedOn w:val="TableNormal"/>
    <w:uiPriority w:val="99"/>
    <w:rsid w:val="00934DF1"/>
    <w:pPr>
      <w:spacing w:before="120" w:after="120"/>
      <w:jc w:val="both"/>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Emphasis">
    <w:name w:val="Emphasis"/>
    <w:basedOn w:val="DefaultParagraphFont"/>
    <w:uiPriority w:val="99"/>
    <w:qFormat/>
    <w:locked/>
    <w:rsid w:val="00892723"/>
    <w:rPr>
      <w:i/>
      <w:iCs/>
    </w:rPr>
  </w:style>
  <w:style w:type="paragraph" w:customStyle="1" w:styleId="CharCharChar5">
    <w:name w:val="Char Char Char5"/>
    <w:basedOn w:val="Normal"/>
    <w:uiPriority w:val="99"/>
    <w:rsid w:val="00EC316E"/>
    <w:pPr>
      <w:spacing w:before="0" w:after="160" w:line="240" w:lineRule="exact"/>
      <w:jc w:val="left"/>
    </w:pPr>
    <w:rPr>
      <w:rFonts w:ascii="Tahoma" w:hAnsi="Tahoma" w:cs="Tahoma"/>
      <w:sz w:val="20"/>
      <w:szCs w:val="20"/>
    </w:rPr>
  </w:style>
  <w:style w:type="paragraph" w:customStyle="1" w:styleId="CharCharChar6">
    <w:name w:val="Char Char Char6"/>
    <w:basedOn w:val="Normal"/>
    <w:uiPriority w:val="99"/>
    <w:rsid w:val="0089066A"/>
    <w:pPr>
      <w:spacing w:before="0" w:after="160" w:line="240" w:lineRule="exact"/>
      <w:jc w:val="left"/>
    </w:pPr>
    <w:rPr>
      <w:rFonts w:ascii="Tahoma" w:hAnsi="Tahoma" w:cs="Tahoma"/>
      <w:sz w:val="20"/>
      <w:szCs w:val="20"/>
    </w:rPr>
  </w:style>
  <w:style w:type="paragraph" w:styleId="NormalWeb">
    <w:name w:val="Normal (Web)"/>
    <w:basedOn w:val="Normal"/>
    <w:uiPriority w:val="99"/>
    <w:rsid w:val="00346F61"/>
    <w:pPr>
      <w:spacing w:before="100" w:beforeAutospacing="1" w:after="100" w:afterAutospacing="1"/>
      <w:jc w:val="left"/>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B61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uiPriority w:val="99"/>
    <w:rsid w:val="00B61BB6"/>
    <w:rPr>
      <w:rFonts w:ascii="Courier New" w:eastAsia="Times New Roman" w:hAnsi="Courier New" w:cs="Courier New"/>
      <w:color w:val="000000"/>
      <w:sz w:val="20"/>
      <w:szCs w:val="20"/>
    </w:rPr>
  </w:style>
</w:styles>
</file>

<file path=word/webSettings.xml><?xml version="1.0" encoding="utf-8"?>
<w:webSettings xmlns:r="http://schemas.openxmlformats.org/officeDocument/2006/relationships" xmlns:w="http://schemas.openxmlformats.org/wordprocessingml/2006/main">
  <w:divs>
    <w:div w:id="63332622">
      <w:marLeft w:val="0"/>
      <w:marRight w:val="0"/>
      <w:marTop w:val="0"/>
      <w:marBottom w:val="0"/>
      <w:divBdr>
        <w:top w:val="none" w:sz="0" w:space="0" w:color="auto"/>
        <w:left w:val="none" w:sz="0" w:space="0" w:color="auto"/>
        <w:bottom w:val="none" w:sz="0" w:space="0" w:color="auto"/>
        <w:right w:val="none" w:sz="0" w:space="0" w:color="auto"/>
      </w:divBdr>
    </w:div>
    <w:div w:id="63332623">
      <w:marLeft w:val="0"/>
      <w:marRight w:val="0"/>
      <w:marTop w:val="0"/>
      <w:marBottom w:val="0"/>
      <w:divBdr>
        <w:top w:val="none" w:sz="0" w:space="0" w:color="auto"/>
        <w:left w:val="none" w:sz="0" w:space="0" w:color="auto"/>
        <w:bottom w:val="none" w:sz="0" w:space="0" w:color="auto"/>
        <w:right w:val="none" w:sz="0" w:space="0" w:color="auto"/>
      </w:divBdr>
    </w:div>
    <w:div w:id="63332624">
      <w:marLeft w:val="0"/>
      <w:marRight w:val="0"/>
      <w:marTop w:val="0"/>
      <w:marBottom w:val="0"/>
      <w:divBdr>
        <w:top w:val="none" w:sz="0" w:space="0" w:color="auto"/>
        <w:left w:val="none" w:sz="0" w:space="0" w:color="auto"/>
        <w:bottom w:val="none" w:sz="0" w:space="0" w:color="auto"/>
        <w:right w:val="none" w:sz="0" w:space="0" w:color="auto"/>
      </w:divBdr>
    </w:div>
    <w:div w:id="63332625">
      <w:marLeft w:val="0"/>
      <w:marRight w:val="0"/>
      <w:marTop w:val="0"/>
      <w:marBottom w:val="0"/>
      <w:divBdr>
        <w:top w:val="none" w:sz="0" w:space="0" w:color="auto"/>
        <w:left w:val="none" w:sz="0" w:space="0" w:color="auto"/>
        <w:bottom w:val="none" w:sz="0" w:space="0" w:color="auto"/>
        <w:right w:val="none" w:sz="0" w:space="0" w:color="auto"/>
      </w:divBdr>
    </w:div>
    <w:div w:id="63332626">
      <w:marLeft w:val="0"/>
      <w:marRight w:val="0"/>
      <w:marTop w:val="0"/>
      <w:marBottom w:val="0"/>
      <w:divBdr>
        <w:top w:val="none" w:sz="0" w:space="0" w:color="auto"/>
        <w:left w:val="none" w:sz="0" w:space="0" w:color="auto"/>
        <w:bottom w:val="none" w:sz="0" w:space="0" w:color="auto"/>
        <w:right w:val="none" w:sz="0" w:space="0" w:color="auto"/>
      </w:divBdr>
    </w:div>
    <w:div w:id="63332627">
      <w:marLeft w:val="0"/>
      <w:marRight w:val="0"/>
      <w:marTop w:val="0"/>
      <w:marBottom w:val="0"/>
      <w:divBdr>
        <w:top w:val="none" w:sz="0" w:space="0" w:color="auto"/>
        <w:left w:val="none" w:sz="0" w:space="0" w:color="auto"/>
        <w:bottom w:val="none" w:sz="0" w:space="0" w:color="auto"/>
        <w:right w:val="none" w:sz="0" w:space="0" w:color="auto"/>
      </w:divBdr>
    </w:div>
    <w:div w:id="63332628">
      <w:marLeft w:val="0"/>
      <w:marRight w:val="0"/>
      <w:marTop w:val="0"/>
      <w:marBottom w:val="0"/>
      <w:divBdr>
        <w:top w:val="none" w:sz="0" w:space="0" w:color="auto"/>
        <w:left w:val="none" w:sz="0" w:space="0" w:color="auto"/>
        <w:bottom w:val="none" w:sz="0" w:space="0" w:color="auto"/>
        <w:right w:val="none" w:sz="0" w:space="0" w:color="auto"/>
      </w:divBdr>
    </w:div>
    <w:div w:id="63332629">
      <w:marLeft w:val="0"/>
      <w:marRight w:val="0"/>
      <w:marTop w:val="0"/>
      <w:marBottom w:val="0"/>
      <w:divBdr>
        <w:top w:val="none" w:sz="0" w:space="0" w:color="auto"/>
        <w:left w:val="none" w:sz="0" w:space="0" w:color="auto"/>
        <w:bottom w:val="none" w:sz="0" w:space="0" w:color="auto"/>
        <w:right w:val="none" w:sz="0" w:space="0" w:color="auto"/>
      </w:divBdr>
    </w:div>
    <w:div w:id="63332630">
      <w:marLeft w:val="0"/>
      <w:marRight w:val="0"/>
      <w:marTop w:val="0"/>
      <w:marBottom w:val="0"/>
      <w:divBdr>
        <w:top w:val="none" w:sz="0" w:space="0" w:color="auto"/>
        <w:left w:val="none" w:sz="0" w:space="0" w:color="auto"/>
        <w:bottom w:val="none" w:sz="0" w:space="0" w:color="auto"/>
        <w:right w:val="none" w:sz="0" w:space="0" w:color="auto"/>
      </w:divBdr>
    </w:div>
    <w:div w:id="63332631">
      <w:marLeft w:val="0"/>
      <w:marRight w:val="0"/>
      <w:marTop w:val="0"/>
      <w:marBottom w:val="0"/>
      <w:divBdr>
        <w:top w:val="none" w:sz="0" w:space="0" w:color="auto"/>
        <w:left w:val="none" w:sz="0" w:space="0" w:color="auto"/>
        <w:bottom w:val="none" w:sz="0" w:space="0" w:color="auto"/>
        <w:right w:val="none" w:sz="0" w:space="0" w:color="auto"/>
      </w:divBdr>
    </w:div>
    <w:div w:id="63332632">
      <w:marLeft w:val="0"/>
      <w:marRight w:val="0"/>
      <w:marTop w:val="0"/>
      <w:marBottom w:val="0"/>
      <w:divBdr>
        <w:top w:val="none" w:sz="0" w:space="0" w:color="auto"/>
        <w:left w:val="none" w:sz="0" w:space="0" w:color="auto"/>
        <w:bottom w:val="none" w:sz="0" w:space="0" w:color="auto"/>
        <w:right w:val="none" w:sz="0" w:space="0" w:color="auto"/>
      </w:divBdr>
    </w:div>
    <w:div w:id="63332633">
      <w:marLeft w:val="0"/>
      <w:marRight w:val="0"/>
      <w:marTop w:val="0"/>
      <w:marBottom w:val="0"/>
      <w:divBdr>
        <w:top w:val="none" w:sz="0" w:space="0" w:color="auto"/>
        <w:left w:val="none" w:sz="0" w:space="0" w:color="auto"/>
        <w:bottom w:val="none" w:sz="0" w:space="0" w:color="auto"/>
        <w:right w:val="none" w:sz="0" w:space="0" w:color="auto"/>
      </w:divBdr>
    </w:div>
    <w:div w:id="63332634">
      <w:marLeft w:val="0"/>
      <w:marRight w:val="0"/>
      <w:marTop w:val="0"/>
      <w:marBottom w:val="0"/>
      <w:divBdr>
        <w:top w:val="none" w:sz="0" w:space="0" w:color="auto"/>
        <w:left w:val="none" w:sz="0" w:space="0" w:color="auto"/>
        <w:bottom w:val="none" w:sz="0" w:space="0" w:color="auto"/>
        <w:right w:val="none" w:sz="0" w:space="0" w:color="auto"/>
      </w:divBdr>
    </w:div>
    <w:div w:id="63332635">
      <w:marLeft w:val="0"/>
      <w:marRight w:val="0"/>
      <w:marTop w:val="0"/>
      <w:marBottom w:val="0"/>
      <w:divBdr>
        <w:top w:val="none" w:sz="0" w:space="0" w:color="auto"/>
        <w:left w:val="none" w:sz="0" w:space="0" w:color="auto"/>
        <w:bottom w:val="none" w:sz="0" w:space="0" w:color="auto"/>
        <w:right w:val="none" w:sz="0" w:space="0" w:color="auto"/>
      </w:divBdr>
    </w:div>
    <w:div w:id="63332636">
      <w:marLeft w:val="0"/>
      <w:marRight w:val="0"/>
      <w:marTop w:val="0"/>
      <w:marBottom w:val="0"/>
      <w:divBdr>
        <w:top w:val="none" w:sz="0" w:space="0" w:color="auto"/>
        <w:left w:val="none" w:sz="0" w:space="0" w:color="auto"/>
        <w:bottom w:val="none" w:sz="0" w:space="0" w:color="auto"/>
        <w:right w:val="none" w:sz="0" w:space="0" w:color="auto"/>
      </w:divBdr>
    </w:div>
    <w:div w:id="63332637">
      <w:marLeft w:val="0"/>
      <w:marRight w:val="0"/>
      <w:marTop w:val="0"/>
      <w:marBottom w:val="0"/>
      <w:divBdr>
        <w:top w:val="none" w:sz="0" w:space="0" w:color="auto"/>
        <w:left w:val="none" w:sz="0" w:space="0" w:color="auto"/>
        <w:bottom w:val="none" w:sz="0" w:space="0" w:color="auto"/>
        <w:right w:val="none" w:sz="0" w:space="0" w:color="auto"/>
      </w:divBdr>
    </w:div>
    <w:div w:id="63332638">
      <w:marLeft w:val="0"/>
      <w:marRight w:val="0"/>
      <w:marTop w:val="0"/>
      <w:marBottom w:val="0"/>
      <w:divBdr>
        <w:top w:val="none" w:sz="0" w:space="0" w:color="auto"/>
        <w:left w:val="none" w:sz="0" w:space="0" w:color="auto"/>
        <w:bottom w:val="none" w:sz="0" w:space="0" w:color="auto"/>
        <w:right w:val="none" w:sz="0" w:space="0" w:color="auto"/>
      </w:divBdr>
    </w:div>
    <w:div w:id="63332639">
      <w:marLeft w:val="0"/>
      <w:marRight w:val="0"/>
      <w:marTop w:val="0"/>
      <w:marBottom w:val="0"/>
      <w:divBdr>
        <w:top w:val="none" w:sz="0" w:space="0" w:color="auto"/>
        <w:left w:val="none" w:sz="0" w:space="0" w:color="auto"/>
        <w:bottom w:val="none" w:sz="0" w:space="0" w:color="auto"/>
        <w:right w:val="none" w:sz="0" w:space="0" w:color="auto"/>
      </w:divBdr>
    </w:div>
    <w:div w:id="63332640">
      <w:marLeft w:val="0"/>
      <w:marRight w:val="0"/>
      <w:marTop w:val="0"/>
      <w:marBottom w:val="0"/>
      <w:divBdr>
        <w:top w:val="none" w:sz="0" w:space="0" w:color="auto"/>
        <w:left w:val="none" w:sz="0" w:space="0" w:color="auto"/>
        <w:bottom w:val="none" w:sz="0" w:space="0" w:color="auto"/>
        <w:right w:val="none" w:sz="0" w:space="0" w:color="auto"/>
      </w:divBdr>
    </w:div>
    <w:div w:id="63332641">
      <w:marLeft w:val="0"/>
      <w:marRight w:val="0"/>
      <w:marTop w:val="0"/>
      <w:marBottom w:val="0"/>
      <w:divBdr>
        <w:top w:val="none" w:sz="0" w:space="0" w:color="auto"/>
        <w:left w:val="none" w:sz="0" w:space="0" w:color="auto"/>
        <w:bottom w:val="none" w:sz="0" w:space="0" w:color="auto"/>
        <w:right w:val="none" w:sz="0" w:space="0" w:color="auto"/>
      </w:divBdr>
    </w:div>
    <w:div w:id="63332642">
      <w:marLeft w:val="0"/>
      <w:marRight w:val="0"/>
      <w:marTop w:val="0"/>
      <w:marBottom w:val="0"/>
      <w:divBdr>
        <w:top w:val="none" w:sz="0" w:space="0" w:color="auto"/>
        <w:left w:val="none" w:sz="0" w:space="0" w:color="auto"/>
        <w:bottom w:val="none" w:sz="0" w:space="0" w:color="auto"/>
        <w:right w:val="none" w:sz="0" w:space="0" w:color="auto"/>
      </w:divBdr>
    </w:div>
    <w:div w:id="633326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jpe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footer" Target="footer1.xml"/><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1485</TotalTime>
  <Pages>19</Pages>
  <Words>4502</Words>
  <Characters>25666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Analiza fiskale mujore</vt:lpstr>
    </vt:vector>
  </TitlesOfParts>
  <Company>Hewlett-Packard</Company>
  <LinksUpToDate>false</LinksUpToDate>
  <CharactersWithSpaces>30108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fiskale mujore</dc:title>
  <dc:subject>Te ardhura, shpenzime, deficit Janar-Prill 2010</dc:subject>
  <dc:creator>Ministria  Financave, Maj 2010</dc:creator>
  <cp:keywords/>
  <dc:description/>
  <cp:lastModifiedBy>Sigita.Gjoka</cp:lastModifiedBy>
  <cp:revision>51</cp:revision>
  <cp:lastPrinted>2013-04-18T14:02:00Z</cp:lastPrinted>
  <dcterms:created xsi:type="dcterms:W3CDTF">2013-04-17T09:46:00Z</dcterms:created>
  <dcterms:modified xsi:type="dcterms:W3CDTF">2013-04-18T14:03:00Z</dcterms:modified>
</cp:coreProperties>
</file>