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76" w:rsidRPr="00D66812" w:rsidRDefault="005064E4" w:rsidP="002C222B">
      <w:pPr>
        <w:pStyle w:val="IntenseQuote"/>
        <w:rPr>
          <w:rFonts w:cs="Courier"/>
        </w:rPr>
      </w:pPr>
      <w:r>
        <w:t xml:space="preserve">INTEGRIMI I BUXHETIMIT TË PËRGJIGJSHËM GJINOR NË CIKLIN E MENAXHIMIT FINANCIAR PUBLIK - ARRITJET </w:t>
      </w:r>
      <w:r w:rsidR="00F87CEB">
        <w:t xml:space="preserve">E DERITANISHME </w:t>
      </w:r>
      <w:r>
        <w:t xml:space="preserve">DHE </w:t>
      </w:r>
      <w:r w:rsidR="00B52096">
        <w:t>SFIDAT</w:t>
      </w:r>
    </w:p>
    <w:p w:rsidR="00B50476" w:rsidRDefault="00B50476" w:rsidP="002C222B">
      <w:pPr>
        <w:pStyle w:val="IntenseQuote"/>
        <w:rPr>
          <w:rFonts w:cs="Courier"/>
        </w:rPr>
      </w:pPr>
    </w:p>
    <w:p w:rsidR="000C5807" w:rsidRPr="000C5807" w:rsidRDefault="005064E4" w:rsidP="00786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b/>
          <w:color w:val="212121"/>
        </w:rPr>
        <w:t>Arritjet:</w:t>
      </w:r>
    </w:p>
    <w:p w:rsidR="000C5807" w:rsidRDefault="000C5807" w:rsidP="00786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2C04E9" w:rsidRPr="002C04E9" w:rsidRDefault="002C04E9" w:rsidP="00786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b/>
          <w:color w:val="212121"/>
        </w:rPr>
        <w:t>Nivel qendror</w:t>
      </w:r>
      <w:bookmarkStart w:id="0" w:name="_GoBack"/>
      <w:bookmarkEnd w:id="0"/>
    </w:p>
    <w:p w:rsidR="002C04E9" w:rsidRDefault="002C04E9" w:rsidP="00786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Që prej vitit 2010,</w:t>
      </w:r>
      <w:r w:rsidR="009E4E75">
        <w:rPr>
          <w:color w:val="212121"/>
        </w:rPr>
        <w:t xml:space="preserve"> </w:t>
      </w:r>
      <w:r w:rsidR="00F87CEB">
        <w:rPr>
          <w:color w:val="212121"/>
        </w:rPr>
        <w:t xml:space="preserve">Ministria e Mirëqenies Sociale dhe Rinisë dhe Ministria e Financave </w:t>
      </w:r>
      <w:r w:rsidR="009E4E75">
        <w:rPr>
          <w:color w:val="212121"/>
        </w:rPr>
        <w:t>në bashkëpunim të ngushtë</w:t>
      </w:r>
      <w:r>
        <w:rPr>
          <w:color w:val="212121"/>
        </w:rPr>
        <w:t xml:space="preserve"> </w:t>
      </w:r>
      <w:r w:rsidR="00334D98">
        <w:rPr>
          <w:color w:val="212121"/>
        </w:rPr>
        <w:t xml:space="preserve">me zyrën e UN WOMEN në Shqipëri, </w:t>
      </w:r>
      <w:r w:rsidR="00F87CEB">
        <w:rPr>
          <w:color w:val="212121"/>
        </w:rPr>
        <w:t xml:space="preserve">ka </w:t>
      </w:r>
      <w:r>
        <w:rPr>
          <w:color w:val="212121"/>
        </w:rPr>
        <w:t>ndërmarrë nismën e integrimit të parimeve të Buxhetimit të Përgjigjshëm Gjinor (BPGJ) në proceset e programimit të buxhetit vjetor dhe atij afatmesëm.</w:t>
      </w:r>
      <w:r w:rsidR="002439CE">
        <w:rPr>
          <w:color w:val="212121"/>
        </w:rPr>
        <w:t xml:space="preserve"> </w:t>
      </w:r>
      <w:r>
        <w:rPr>
          <w:color w:val="212121"/>
        </w:rPr>
        <w:t>Rrjedhimisht, më 18 korrik 2012, Këshilli i Ministrave të Shqipërisë miratoi Vendimin Nr. 465 “Për integrimin e pikëpamjes gjinore në Programin Buxhetor Afatmesëm (PBA)”.</w:t>
      </w:r>
      <w:r w:rsidR="00C408DE">
        <w:rPr>
          <w:color w:val="212121"/>
        </w:rPr>
        <w:t xml:space="preserve"> </w:t>
      </w:r>
      <w:r>
        <w:rPr>
          <w:color w:val="212121"/>
        </w:rPr>
        <w:t>Ky vendim synon integrimin e parimeve të buxhetimit gjinor në procesin e buxhetimit</w:t>
      </w:r>
      <w:r w:rsidR="00F87CEB">
        <w:rPr>
          <w:color w:val="212121"/>
        </w:rPr>
        <w:t>,</w:t>
      </w:r>
      <w:r>
        <w:rPr>
          <w:color w:val="212121"/>
        </w:rPr>
        <w:t xml:space="preserve"> me qëllim lehtësimin ose eliminimin e pabarazive gjinore në fusha të ndryshme, që janë prekur nga politikat publike.</w:t>
      </w: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Si pasojë, parimet e buxhetimit gjinor u integruan në kërkesat për PBA në </w:t>
      </w:r>
      <w:r>
        <w:rPr>
          <w:b/>
          <w:bCs/>
          <w:color w:val="212121"/>
        </w:rPr>
        <w:t>9 programe buxhetore</w:t>
      </w:r>
      <w:r>
        <w:rPr>
          <w:color w:val="212121"/>
        </w:rPr>
        <w:t>, si pjesë e Programit Buxhetor Afatmesëm 2013-2015.</w:t>
      </w: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064E4" w:rsidRPr="005064E4" w:rsidRDefault="00F62A6A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Në fund të procesit të përgatitjes së PBA 2017-2019, </w:t>
      </w:r>
      <w:r w:rsidR="00F87CEB">
        <w:rPr>
          <w:color w:val="212121"/>
        </w:rPr>
        <w:t xml:space="preserve">dhe </w:t>
      </w:r>
      <w:r>
        <w:rPr>
          <w:color w:val="212121"/>
        </w:rPr>
        <w:t xml:space="preserve">falë ndihmës së vyer teknike të UN Women, </w:t>
      </w:r>
      <w:r>
        <w:rPr>
          <w:b/>
          <w:bCs/>
          <w:color w:val="212121"/>
        </w:rPr>
        <w:t>janë shtuar 15 programe të reja duke e rritur numrin e programeve buxhetore në 24.</w:t>
      </w:r>
      <w:r w:rsidR="00295F74">
        <w:rPr>
          <w:b/>
          <w:bCs/>
          <w:color w:val="212121"/>
        </w:rPr>
        <w:t xml:space="preserve"> </w:t>
      </w:r>
      <w:r>
        <w:rPr>
          <w:color w:val="212121"/>
        </w:rPr>
        <w:t>Për këtë arsye, fondet buxhetore të dedikuara parashikohen të forcojnë rolin e grave në biznes, bujqësi ose arsim profesional.</w:t>
      </w:r>
      <w:r w:rsidR="00022F5A">
        <w:rPr>
          <w:color w:val="212121"/>
        </w:rPr>
        <w:t xml:space="preserve"> </w:t>
      </w:r>
      <w:r>
        <w:rPr>
          <w:color w:val="212121"/>
        </w:rPr>
        <w:t>Në të njëjtën kohë, për herë të parë parashikohen fonde buxhetore për strehimin e familjeve një</w:t>
      </w:r>
      <w:r w:rsidR="00F87CEB">
        <w:rPr>
          <w:color w:val="212121"/>
        </w:rPr>
        <w:t>-</w:t>
      </w:r>
      <w:r>
        <w:rPr>
          <w:color w:val="212121"/>
        </w:rPr>
        <w:t>prindërore (përdhun</w:t>
      </w:r>
      <w:r w:rsidR="00F87CEB">
        <w:rPr>
          <w:color w:val="212121"/>
        </w:rPr>
        <w:t>uar</w:t>
      </w:r>
      <w:r>
        <w:rPr>
          <w:color w:val="212121"/>
        </w:rPr>
        <w:t>/ divorc</w:t>
      </w:r>
      <w:r w:rsidR="00F87CEB">
        <w:rPr>
          <w:color w:val="212121"/>
        </w:rPr>
        <w:t>uar</w:t>
      </w:r>
      <w:r>
        <w:rPr>
          <w:color w:val="212121"/>
        </w:rPr>
        <w:t>/ kryefamiljar).</w:t>
      </w:r>
      <w:r w:rsidR="00295F74">
        <w:rPr>
          <w:color w:val="212121"/>
        </w:rPr>
        <w:t xml:space="preserve"> </w:t>
      </w:r>
      <w:r>
        <w:rPr>
          <w:color w:val="212121"/>
        </w:rPr>
        <w:t>Krahas kësaj, fondet buxhetore parashikohen të forcojnë rolin e grave në procesin e integrimit, jetën kulturore në vend dhe zhvillimin e shkencës.</w:t>
      </w:r>
      <w:r w:rsidR="0080747A">
        <w:rPr>
          <w:color w:val="212121"/>
        </w:rPr>
        <w:t xml:space="preserve"> </w:t>
      </w:r>
      <w:r>
        <w:rPr>
          <w:color w:val="212121"/>
        </w:rPr>
        <w:t>Këto janë vetëm disa nga fushat dhe veprimtaritë ku ndërhyrjet publike parashikohe</w:t>
      </w:r>
      <w:r w:rsidR="008434F8">
        <w:rPr>
          <w:color w:val="212121"/>
        </w:rPr>
        <w:t>n</w:t>
      </w:r>
      <w:r w:rsidR="000D2339">
        <w:rPr>
          <w:color w:val="212121"/>
        </w:rPr>
        <w:t xml:space="preserve"> </w:t>
      </w:r>
      <w:r>
        <w:rPr>
          <w:color w:val="212121"/>
        </w:rPr>
        <w:t xml:space="preserve">të lehtësojnë/ </w:t>
      </w:r>
      <w:r w:rsidR="00E40D3B">
        <w:rPr>
          <w:color w:val="212121"/>
        </w:rPr>
        <w:t xml:space="preserve">të </w:t>
      </w:r>
      <w:r>
        <w:rPr>
          <w:color w:val="212121"/>
        </w:rPr>
        <w:t>eliminojnë pabarazinë gjinore.</w:t>
      </w: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Gjithsej, në buxhetin e vitit 2017</w:t>
      </w:r>
      <w:r w:rsidR="002C222B">
        <w:rPr>
          <w:color w:val="212121"/>
        </w:rPr>
        <w:t xml:space="preserve"> u parashikuan</w:t>
      </w:r>
      <w:r>
        <w:rPr>
          <w:color w:val="212121"/>
        </w:rPr>
        <w:t xml:space="preserve"> rreth </w:t>
      </w:r>
      <w:r>
        <w:rPr>
          <w:b/>
          <w:bCs/>
          <w:color w:val="212121"/>
        </w:rPr>
        <w:t>10.8 miliardë lekë</w:t>
      </w:r>
      <w:r>
        <w:rPr>
          <w:color w:val="212121"/>
        </w:rPr>
        <w:t xml:space="preserve"> </w:t>
      </w:r>
      <w:r w:rsidR="00F87CEB">
        <w:rPr>
          <w:color w:val="212121"/>
        </w:rPr>
        <w:t xml:space="preserve">ose </w:t>
      </w:r>
      <w:r>
        <w:rPr>
          <w:color w:val="212121"/>
        </w:rPr>
        <w:t>90.1 milion</w:t>
      </w:r>
      <w:r w:rsidR="002338FD">
        <w:rPr>
          <w:color w:val="212121"/>
        </w:rPr>
        <w:t>ë</w:t>
      </w:r>
      <w:r>
        <w:rPr>
          <w:color w:val="212121"/>
        </w:rPr>
        <w:t xml:space="preserve"> dollarë për mbështetjen e politikave gjinore.</w:t>
      </w:r>
      <w:r w:rsidR="002338FD">
        <w:rPr>
          <w:color w:val="212121"/>
        </w:rPr>
        <w:t xml:space="preserve"> </w:t>
      </w:r>
      <w:r w:rsidR="002C222B">
        <w:rPr>
          <w:color w:val="212121"/>
        </w:rPr>
        <w:t>Këto shifra përfaqësonin</w:t>
      </w:r>
      <w:r>
        <w:rPr>
          <w:color w:val="212121"/>
        </w:rPr>
        <w:t xml:space="preserve"> rreth </w:t>
      </w:r>
      <w:r>
        <w:rPr>
          <w:b/>
          <w:bCs/>
          <w:color w:val="212121"/>
        </w:rPr>
        <w:t>2.3% të shpenzimeve totale të buxhetit</w:t>
      </w:r>
      <w:r w:rsidR="002C222B">
        <w:rPr>
          <w:color w:val="212121"/>
        </w:rPr>
        <w:t xml:space="preserve"> për a</w:t>
      </w:r>
      <w:r>
        <w:rPr>
          <w:color w:val="212121"/>
        </w:rPr>
        <w:t>të vit.</w:t>
      </w: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Vlera e shtuar në zbatimin e politikave publike për lehtësimin ose eliminimin e pabarazive gjinore </w:t>
      </w:r>
      <w:r w:rsidR="00F87CEB">
        <w:rPr>
          <w:color w:val="212121"/>
        </w:rPr>
        <w:t xml:space="preserve">apo </w:t>
      </w:r>
      <w:r>
        <w:rPr>
          <w:color w:val="212121"/>
        </w:rPr>
        <w:t>ndikimin e tyre të drejtpërdrejtë në mirëqenien sociale në përgjithësi dhe rëndësinë e buxhetimit gjinor në arritjen e këtyre qëllimeve parashikohet qartë në Strategjinë e Menaxhimit të Financave Publike 2015-2020.</w:t>
      </w: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Nuk duhet harruar as fakti se për herë të parë buxhetimi </w:t>
      </w:r>
      <w:r w:rsidR="00AD3576">
        <w:rPr>
          <w:color w:val="212121"/>
        </w:rPr>
        <w:t>gjinor</w:t>
      </w:r>
      <w:r>
        <w:rPr>
          <w:color w:val="212121"/>
        </w:rPr>
        <w:t xml:space="preserve"> është bërë pjesë e Strategjisë Kombëtare për Zhvillim dhe Integrim (SKZHI) 2015-2020.</w:t>
      </w:r>
    </w:p>
    <w:p w:rsidR="005064E4" w:rsidRPr="005064E4" w:rsidRDefault="005064E4" w:rsidP="0050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2C222B" w:rsidRDefault="005064E4" w:rsidP="002C2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color w:val="212121"/>
        </w:rPr>
      </w:pPr>
      <w:r>
        <w:rPr>
          <w:color w:val="212121"/>
        </w:rPr>
        <w:lastRenderedPageBreak/>
        <w:t xml:space="preserve">Të gjitha përpjekjet dhe rezultatet e sipërpërmendura kanë krijuar kushtet e përshtatshme për të përfshirë </w:t>
      </w:r>
      <w:r w:rsidRPr="004F7F6B">
        <w:rPr>
          <w:b/>
          <w:color w:val="212121"/>
        </w:rPr>
        <w:t>parimin e Barazisë Gjinore si pjesë të setit të parim</w:t>
      </w:r>
      <w:r w:rsidR="00353166" w:rsidRPr="004F7F6B">
        <w:rPr>
          <w:b/>
          <w:color w:val="212121"/>
        </w:rPr>
        <w:t>eve</w:t>
      </w:r>
      <w:r w:rsidRPr="004F7F6B">
        <w:rPr>
          <w:b/>
          <w:color w:val="212121"/>
        </w:rPr>
        <w:t xml:space="preserve"> të Menaxhimit Financiar Publik</w:t>
      </w:r>
      <w:r>
        <w:rPr>
          <w:color w:val="212121"/>
        </w:rPr>
        <w:t xml:space="preserve">, siç parashikohet në ndryshimet e bëra më 2 qershor 2016 </w:t>
      </w:r>
      <w:r w:rsidR="00DF4277">
        <w:rPr>
          <w:color w:val="212121"/>
        </w:rPr>
        <w:t>në</w:t>
      </w:r>
      <w:r>
        <w:rPr>
          <w:color w:val="212121"/>
        </w:rPr>
        <w:t xml:space="preserve"> Ligji</w:t>
      </w:r>
      <w:r w:rsidR="00DF4277">
        <w:rPr>
          <w:color w:val="212121"/>
        </w:rPr>
        <w:t>n</w:t>
      </w:r>
      <w:r>
        <w:rPr>
          <w:color w:val="212121"/>
        </w:rPr>
        <w:t xml:space="preserve"> Nr. 9936, datë 26.06.2008 “Për menaxhimin e </w:t>
      </w:r>
    </w:p>
    <w:p w:rsidR="003A26D1" w:rsidRPr="006F65DE" w:rsidRDefault="005064E4" w:rsidP="002C2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sistemit buxhetor të Republikës së Shqipërisë”, ndryshuar</w:t>
      </w:r>
      <w:r w:rsidR="00E0376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5238750" cy="952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36" w:rsidRPr="00724D36" w:rsidRDefault="00724D36" w:rsidP="00724D36">
                            <w:pPr>
                              <w:jc w:val="center"/>
                              <w:rPr>
                                <w:rFonts w:cs="Courier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Neni 4</w:t>
                            </w:r>
                          </w:p>
                          <w:p w:rsidR="00724D36" w:rsidRPr="00724D36" w:rsidRDefault="00724D36" w:rsidP="00724D36">
                            <w:pPr>
                              <w:jc w:val="center"/>
                              <w:rPr>
                                <w:rFonts w:cs="Courier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Parimet funksionale të sistemit buxhetor</w:t>
                            </w:r>
                          </w:p>
                          <w:p w:rsidR="00724D36" w:rsidRPr="00724D36" w:rsidRDefault="00724D36" w:rsidP="00724D36">
                            <w:pPr>
                              <w:jc w:val="both"/>
                              <w:rPr>
                                <w:rFonts w:cs="Courier"/>
                                <w:color w:val="212121"/>
                                <w:sz w:val="16"/>
                                <w:szCs w:val="16"/>
                              </w:rPr>
                            </w:pPr>
                          </w:p>
                          <w:p w:rsidR="006F65DE" w:rsidRPr="00724D36" w:rsidRDefault="00724D36" w:rsidP="00724D36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12121"/>
                              </w:rPr>
                              <w:t xml:space="preserve">e) 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>Barazia gjinore,</w:t>
                            </w:r>
                            <w:r>
                              <w:rPr>
                                <w:i/>
                                <w:color w:val="212121"/>
                              </w:rPr>
                              <w:t xml:space="preserve"> që i referohet gjendjes së burrave dhe grave që kanë mundësi dhe akses të barabartë në të njëjtat të drejta dhe përfitime.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pt;margin-top:43.5pt;width:412.5pt;height: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">
                <v:textbox>
                  <w:txbxContent>
                    <w:p w:rsidR="00724D36" w:rsidRPr="00724D36" w:rsidRDefault="00724D36" w:rsidP="00724D36">
                      <w:pPr>
                        <w:jc w:val="center"/>
                        <w:rPr>
                          <w:rFonts w:cs="Courier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Neni 4</w:t>
                      </w:r>
                    </w:p>
                    <w:p w:rsidR="00724D36" w:rsidRPr="00724D36" w:rsidRDefault="00724D36" w:rsidP="00724D36">
                      <w:pPr>
                        <w:jc w:val="center"/>
                        <w:rPr>
                          <w:rFonts w:cs="Courier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Parimet funksionale të sistemit buxhetor</w:t>
                      </w:r>
                    </w:p>
                    <w:p w:rsidR="00724D36" w:rsidRPr="00724D36" w:rsidRDefault="00724D36" w:rsidP="00724D36">
                      <w:pPr>
                        <w:jc w:val="both"/>
                        <w:rPr>
                          <w:rFonts w:cs="Courier"/>
                          <w:color w:val="212121"/>
                          <w:sz w:val="16"/>
                          <w:szCs w:val="16"/>
                        </w:rPr>
                      </w:pPr>
                    </w:p>
                    <w:p w:rsidR="006F65DE" w:rsidRPr="00724D36" w:rsidRDefault="00724D36" w:rsidP="00724D36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color w:val="212121"/>
                        </w:rPr>
                        <w:t xml:space="preserve">e) </w:t>
                      </w:r>
                      <w:r>
                        <w:rPr>
                          <w:b/>
                          <w:i/>
                          <w:color w:val="212121"/>
                        </w:rPr>
                        <w:t>Barazia gjinore,</w:t>
                      </w:r>
                      <w:r>
                        <w:rPr>
                          <w:i/>
                          <w:color w:val="212121"/>
                        </w:rPr>
                        <w:t xml:space="preserve"> që i referohet gjendjes së burrave dhe grave që kanë mundësi dhe akses të barabartë në të njëjtat të drejta dhe përfitime.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12121"/>
        </w:rPr>
        <w:t>:</w:t>
      </w:r>
    </w:p>
    <w:p w:rsidR="003A26D1" w:rsidRPr="003A26D1" w:rsidRDefault="003A26D1" w:rsidP="003A2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center"/>
        <w:rPr>
          <w:rFonts w:cs="Courier"/>
          <w:color w:val="212121"/>
        </w:rPr>
      </w:pPr>
    </w:p>
    <w:p w:rsidR="002C222B" w:rsidRDefault="002C222B" w:rsidP="00724D36">
      <w:pPr>
        <w:jc w:val="both"/>
        <w:rPr>
          <w:color w:val="212121"/>
        </w:rPr>
      </w:pPr>
    </w:p>
    <w:p w:rsidR="00724D36" w:rsidRDefault="00724D36" w:rsidP="00724D36">
      <w:pPr>
        <w:jc w:val="both"/>
        <w:rPr>
          <w:rFonts w:cs="Courier"/>
          <w:color w:val="212121"/>
        </w:rPr>
      </w:pPr>
      <w:r>
        <w:rPr>
          <w:color w:val="212121"/>
        </w:rPr>
        <w:t>Përfshirja e parimit të barazisë gjinore në Ligjin Organik për Buxhetin do t’u mundësojë të gjitha ministrive të linjës dhe institucioneve dhe programeve të tjera buxhetore të shqyrtojnë dhe</w:t>
      </w:r>
      <w:r w:rsidR="00E161A8">
        <w:rPr>
          <w:color w:val="212121"/>
        </w:rPr>
        <w:t xml:space="preserve"> të</w:t>
      </w:r>
      <w:r>
        <w:rPr>
          <w:color w:val="212121"/>
        </w:rPr>
        <w:t xml:space="preserve"> paraqesin qartë politikat e tyre gjinore, pa asnjë përjashtim.</w:t>
      </w:r>
      <w:r w:rsidR="00E161A8">
        <w:rPr>
          <w:color w:val="212121"/>
        </w:rPr>
        <w:t xml:space="preserve"> </w:t>
      </w:r>
      <w:r>
        <w:rPr>
          <w:color w:val="212121"/>
        </w:rPr>
        <w:t>Përpos kësaj, përfshirja e buxhetimit gjinor si kërkesë ligjore do të mundësojë ndërgjegjësimin më të madh të punonjësve të lartë të menaxhimit në ministritë e linjës dhe institucionet buxhetore në trajtimin e efektshëm të çështjeve gjinore dhe rrjedhimisht do të shpjerë drejt arritjes së barazisë gjinore.</w:t>
      </w:r>
      <w:r w:rsidR="009543A7">
        <w:rPr>
          <w:color w:val="212121"/>
        </w:rPr>
        <w:t xml:space="preserve"> </w:t>
      </w:r>
      <w:r>
        <w:rPr>
          <w:color w:val="212121"/>
        </w:rPr>
        <w:t>Gjithashtu, do të krijohen edhe kushtet e nevojshme për monitorimin e politikave gjinore gjatë zbatimit të buxhetit, si dhe për vlerësimin dhe auditimin e tij në përputhje me ciklin e menaxhimit financiar publik.</w:t>
      </w:r>
    </w:p>
    <w:p w:rsidR="005626FF" w:rsidRDefault="005626FF" w:rsidP="00724D36">
      <w:pPr>
        <w:jc w:val="both"/>
        <w:rPr>
          <w:rFonts w:cs="Courier"/>
          <w:color w:val="212121"/>
        </w:rPr>
      </w:pPr>
    </w:p>
    <w:p w:rsid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Zyrtarët që mbulojnë çështjet gjinore në të gjitha ministritë e linjës janë trajnuar në lidhje me Barazinë Gjinore dhe Buxhetimin e Përgjigjshëm Gjinor dhe janë certifikuar nga Shkolla Shqiptare e Administratës Publike.</w:t>
      </w:r>
      <w:r w:rsidR="002C60FA">
        <w:rPr>
          <w:color w:val="212121"/>
        </w:rPr>
        <w:t xml:space="preserve"> </w:t>
      </w:r>
      <w:r>
        <w:rPr>
          <w:color w:val="212121"/>
        </w:rPr>
        <w:t>Ata do të ofrojnë ndihmën e tyre në identifikimin e pabarazive të mundshme ose hendeqeve gjinore në nivel qendror dhe ndërhyrjeve përkatëse në buxhete për t’i trajtuar këto pabarazi.</w:t>
      </w:r>
    </w:p>
    <w:p w:rsidR="005626FF" w:rsidRDefault="005626FF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626FF" w:rsidRDefault="005626FF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b/>
          <w:color w:val="212121"/>
        </w:rPr>
        <w:t xml:space="preserve">Transparenca dhe instrumentet </w:t>
      </w:r>
      <w:r w:rsidR="0039669F">
        <w:rPr>
          <w:b/>
          <w:color w:val="212121"/>
        </w:rPr>
        <w:t>e monitorimit</w:t>
      </w: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Në fund të fazës strategjike të PBA 2019-2021, Ministria e Financave dhe Ekonomisë ka përfshirë një Aneks të veçantë për Buxhetimin e Përgjigjshëm Gjinor në Dokumentin e PBA-së, </w:t>
      </w:r>
      <w:r w:rsidR="006845F4">
        <w:rPr>
          <w:color w:val="212121"/>
        </w:rPr>
        <w:t>i cili</w:t>
      </w:r>
      <w:r>
        <w:rPr>
          <w:color w:val="212121"/>
        </w:rPr>
        <w:t xml:space="preserve"> do t’i</w:t>
      </w:r>
      <w:r w:rsidR="00BF0180">
        <w:rPr>
          <w:color w:val="212121"/>
        </w:rPr>
        <w:t>u</w:t>
      </w:r>
      <w:r>
        <w:rPr>
          <w:color w:val="212121"/>
        </w:rPr>
        <w:t xml:space="preserve"> paraqitet kryeministrit dhe parlamentit.</w:t>
      </w:r>
      <w:r w:rsidR="00BF0180">
        <w:rPr>
          <w:color w:val="212121"/>
        </w:rPr>
        <w:t xml:space="preserve"> </w:t>
      </w:r>
      <w:r>
        <w:rPr>
          <w:color w:val="212121"/>
        </w:rPr>
        <w:t xml:space="preserve">Veç kësaj, të gjitha ministrive të linjës iu kërkohet që të përfshijnë dy </w:t>
      </w:r>
      <w:r w:rsidR="00181E19">
        <w:rPr>
          <w:color w:val="212121"/>
        </w:rPr>
        <w:t>seksione</w:t>
      </w:r>
      <w:r>
        <w:rPr>
          <w:color w:val="212121"/>
        </w:rPr>
        <w:t xml:space="preserve"> për BPGJ</w:t>
      </w:r>
      <w:r w:rsidR="001360E4">
        <w:rPr>
          <w:color w:val="212121"/>
        </w:rPr>
        <w:t>-në</w:t>
      </w:r>
      <w:r>
        <w:rPr>
          <w:color w:val="212121"/>
        </w:rPr>
        <w:t xml:space="preserve"> dhe Procese</w:t>
      </w:r>
      <w:r w:rsidR="00181E19">
        <w:rPr>
          <w:color w:val="212121"/>
        </w:rPr>
        <w:t>t</w:t>
      </w:r>
      <w:r>
        <w:rPr>
          <w:color w:val="212121"/>
        </w:rPr>
        <w:t xml:space="preserve"> me Pjesëmarrje në Përmbledhjen Ekzekutive të dokumentit të PBA-së.</w:t>
      </w: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626FF" w:rsidRPr="002C04E9" w:rsidRDefault="005626FF" w:rsidP="005626FF">
      <w:pPr>
        <w:spacing w:after="240"/>
        <w:jc w:val="both"/>
        <w:textAlignment w:val="baseline"/>
        <w:rPr>
          <w:rFonts w:cs="Courier"/>
          <w:color w:val="212121"/>
        </w:rPr>
      </w:pPr>
      <w:r>
        <w:rPr>
          <w:color w:val="212121"/>
        </w:rPr>
        <w:t>Futja e Sistemit Informativ të Menaxhimit Financiar Shqiptar (AFMIS) (në fillim të vitit 2019).</w:t>
      </w:r>
      <w:r w:rsidR="00181E19">
        <w:rPr>
          <w:color w:val="212121"/>
        </w:rPr>
        <w:t xml:space="preserve"> </w:t>
      </w:r>
      <w:r>
        <w:rPr>
          <w:color w:val="212121"/>
        </w:rPr>
        <w:t>AFMIS-i do të mundësojë:</w:t>
      </w:r>
    </w:p>
    <w:p w:rsidR="002C04E9" w:rsidRPr="002C04E9" w:rsidRDefault="00F87CEB" w:rsidP="005626FF">
      <w:pPr>
        <w:numPr>
          <w:ilvl w:val="0"/>
          <w:numId w:val="6"/>
        </w:numPr>
        <w:ind w:left="1267"/>
        <w:contextualSpacing/>
        <w:jc w:val="both"/>
        <w:textAlignment w:val="baseline"/>
        <w:rPr>
          <w:rFonts w:cs="Courier"/>
          <w:color w:val="212121"/>
        </w:rPr>
      </w:pPr>
      <w:r>
        <w:rPr>
          <w:color w:val="212121"/>
        </w:rPr>
        <w:t>L</w:t>
      </w:r>
      <w:r w:rsidR="002C04E9">
        <w:rPr>
          <w:color w:val="212121"/>
        </w:rPr>
        <w:t>idhje</w:t>
      </w:r>
      <w:r>
        <w:rPr>
          <w:color w:val="212121"/>
        </w:rPr>
        <w:t>n</w:t>
      </w:r>
      <w:r w:rsidR="002C04E9">
        <w:rPr>
          <w:color w:val="212121"/>
        </w:rPr>
        <w:t xml:space="preserve"> më të fortë ndërmjet Planifikimit Strategjik dhe Programit Buxhetor Afatmesëm;</w:t>
      </w:r>
    </w:p>
    <w:p w:rsidR="002C04E9" w:rsidRPr="002C04E9" w:rsidRDefault="002C04E9" w:rsidP="005626FF">
      <w:pPr>
        <w:numPr>
          <w:ilvl w:val="0"/>
          <w:numId w:val="6"/>
        </w:numPr>
        <w:ind w:left="1267"/>
        <w:contextualSpacing/>
        <w:jc w:val="both"/>
        <w:textAlignment w:val="baseline"/>
        <w:rPr>
          <w:rFonts w:cs="Courier"/>
          <w:color w:val="212121"/>
        </w:rPr>
      </w:pPr>
      <w:r>
        <w:rPr>
          <w:color w:val="212121"/>
        </w:rPr>
        <w:t xml:space="preserve">Përmirësimin e Planifikimit Afatmesëm dhe procesit të përgatitjes së buxhetit me anë të përzgjedhjes së Treguesve Kyç të Performancës të </w:t>
      </w:r>
      <w:r>
        <w:rPr>
          <w:color w:val="212121"/>
        </w:rPr>
        <w:lastRenderedPageBreak/>
        <w:t>përshtatshëm dhe realë në nivel qëllimesh dhe objektivash, si dhe nëpërmjet identifikimit dhe kostimit të produkteve bazë;</w:t>
      </w:r>
    </w:p>
    <w:p w:rsidR="002C04E9" w:rsidRPr="002C04E9" w:rsidRDefault="002C04E9" w:rsidP="005626FF">
      <w:pPr>
        <w:numPr>
          <w:ilvl w:val="0"/>
          <w:numId w:val="6"/>
        </w:numPr>
        <w:ind w:left="1267"/>
        <w:contextualSpacing/>
        <w:jc w:val="both"/>
        <w:textAlignment w:val="baseline"/>
        <w:rPr>
          <w:rFonts w:cs="Courier"/>
          <w:color w:val="212121"/>
        </w:rPr>
      </w:pPr>
      <w:r>
        <w:rPr>
          <w:color w:val="212121"/>
        </w:rPr>
        <w:t>Përdorimin e efektshëm të AFMIS</w:t>
      </w:r>
      <w:r w:rsidR="00AD5331">
        <w:rPr>
          <w:color w:val="212121"/>
        </w:rPr>
        <w:t>-it</w:t>
      </w:r>
      <w:r>
        <w:rPr>
          <w:color w:val="212121"/>
        </w:rPr>
        <w:t xml:space="preserve"> (më parë software-i PBA</w:t>
      </w:r>
      <w:r w:rsidR="005502A8">
        <w:rPr>
          <w:color w:val="212121"/>
        </w:rPr>
        <w:t>-s</w:t>
      </w:r>
      <w:r w:rsidR="006D0A4C">
        <w:rPr>
          <w:color w:val="212121"/>
        </w:rPr>
        <w:t>ë</w:t>
      </w:r>
      <w:r>
        <w:rPr>
          <w:color w:val="212121"/>
        </w:rPr>
        <w:t xml:space="preserve"> aksesohej vetëm nga ministritë e linjës);</w:t>
      </w:r>
    </w:p>
    <w:p w:rsidR="002C04E9" w:rsidRPr="002C04E9" w:rsidRDefault="002C04E9" w:rsidP="005626FF">
      <w:pPr>
        <w:numPr>
          <w:ilvl w:val="0"/>
          <w:numId w:val="6"/>
        </w:numPr>
        <w:ind w:left="1267"/>
        <w:contextualSpacing/>
        <w:jc w:val="both"/>
        <w:textAlignment w:val="baseline"/>
        <w:rPr>
          <w:rFonts w:cs="Courier"/>
          <w:color w:val="212121"/>
        </w:rPr>
      </w:pPr>
      <w:r>
        <w:rPr>
          <w:color w:val="212121"/>
        </w:rPr>
        <w:t>Monitorimin e efektshëm të performancës së programit buxhetor sipas treguesve financiarë dhe jofinanciarë (TKP në nivel objektivash dhe produktesh);</w:t>
      </w:r>
    </w:p>
    <w:p w:rsidR="002C04E9" w:rsidRPr="002C04E9" w:rsidRDefault="00F87CEB" w:rsidP="005626FF">
      <w:pPr>
        <w:numPr>
          <w:ilvl w:val="0"/>
          <w:numId w:val="6"/>
        </w:numPr>
        <w:ind w:left="1267"/>
        <w:contextualSpacing/>
        <w:jc w:val="both"/>
        <w:textAlignment w:val="baseline"/>
        <w:rPr>
          <w:rFonts w:cs="Courier"/>
          <w:color w:val="212121"/>
        </w:rPr>
      </w:pPr>
      <w:r>
        <w:rPr>
          <w:color w:val="212121"/>
        </w:rPr>
        <w:t xml:space="preserve">Prezantimin </w:t>
      </w:r>
      <w:r w:rsidR="002C04E9">
        <w:rPr>
          <w:color w:val="212121"/>
        </w:rPr>
        <w:t>e një sistemi raportimi fleksibël shumëdimensional me instrumente analitike.</w:t>
      </w: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3B02FE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AFMIS-i do të shërbejë edhe si instrument </w:t>
      </w:r>
      <w:r w:rsidR="0039669F">
        <w:rPr>
          <w:color w:val="212121"/>
        </w:rPr>
        <w:t xml:space="preserve">e monitorimit </w:t>
      </w:r>
      <w:r>
        <w:rPr>
          <w:color w:val="212121"/>
        </w:rPr>
        <w:t>për Buxhetimin e Përgjigjshëm Gjinor.</w:t>
      </w:r>
      <w:r w:rsidR="00577236">
        <w:rPr>
          <w:color w:val="212121"/>
        </w:rPr>
        <w:t xml:space="preserve"> </w:t>
      </w:r>
      <w:r>
        <w:rPr>
          <w:color w:val="212121"/>
        </w:rPr>
        <w:t xml:space="preserve">Ministria e Financave dhe Ekonomisë ka pranuar përfshirjen e një metode të veçantë </w:t>
      </w:r>
      <w:r w:rsidR="0039669F">
        <w:rPr>
          <w:color w:val="212121"/>
        </w:rPr>
        <w:t xml:space="preserve">monitorimi </w:t>
      </w:r>
      <w:r>
        <w:rPr>
          <w:color w:val="212121"/>
        </w:rPr>
        <w:t xml:space="preserve">në fazën e përgatitjes së software-it, duke </w:t>
      </w:r>
      <w:r w:rsidR="008F3323">
        <w:rPr>
          <w:color w:val="212121"/>
        </w:rPr>
        <w:t xml:space="preserve">dhënë </w:t>
      </w:r>
      <w:r>
        <w:rPr>
          <w:color w:val="212121"/>
        </w:rPr>
        <w:t xml:space="preserve">kutiza </w:t>
      </w:r>
      <w:r w:rsidR="008F3323">
        <w:rPr>
          <w:color w:val="212121"/>
        </w:rPr>
        <w:t xml:space="preserve">për t'u shënuar </w:t>
      </w:r>
      <w:r>
        <w:rPr>
          <w:color w:val="212121"/>
        </w:rPr>
        <w:t>në nivel programi/objektivash/produktesh për ministritë e linjës.</w:t>
      </w:r>
      <w:r w:rsidR="004B1B8A">
        <w:rPr>
          <w:color w:val="212121"/>
        </w:rPr>
        <w:t xml:space="preserve"> </w:t>
      </w:r>
      <w:r>
        <w:rPr>
          <w:color w:val="212121"/>
        </w:rPr>
        <w:t>Në këtë mënyrë, që në fazën e dorëzimit</w:t>
      </w:r>
      <w:r w:rsidR="007940B7">
        <w:rPr>
          <w:color w:val="212121"/>
        </w:rPr>
        <w:t xml:space="preserve"> të raportit</w:t>
      </w:r>
      <w:r>
        <w:rPr>
          <w:color w:val="212121"/>
        </w:rPr>
        <w:t xml:space="preserve"> ministritë e linjës do të arrijnë të identifikojnë nëse ka programe buxhetore, të cilat përfshijnë aspektin gjinor, si dhe nivelin e elementit gjinor.</w:t>
      </w:r>
    </w:p>
    <w:p w:rsidR="003B02FE" w:rsidRDefault="003B02FE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3B02FE" w:rsidRDefault="003B02FE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Shembull:</w:t>
      </w:r>
    </w:p>
    <w:p w:rsidR="003B02FE" w:rsidRDefault="003B02FE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3B02FE" w:rsidRDefault="00E03768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rFonts w:cs="Courier"/>
          <w:noProof/>
          <w:color w:val="212121"/>
        </w:rPr>
        <mc:AlternateContent>
          <mc:Choice Requires="wpc">
            <w:drawing>
              <wp:inline distT="0" distB="0" distL="0" distR="0">
                <wp:extent cx="5883275" cy="2486025"/>
                <wp:effectExtent l="0" t="0" r="3175" b="635"/>
                <wp:docPr id="70" name="Canvas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573020" y="284480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2235" y="284480"/>
                            <a:ext cx="527050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t xml:space="preserve">Moduli duhet të përmbajë një hapësirë/kutizë shënjuese në niveli programi/objektivash dhe produkti për identifikimin e elementeve gjinore.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778000" y="751205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2235" y="739775"/>
                            <a:ext cx="6515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t>Shembull: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36575" y="1033780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22250" y="929640"/>
                            <a:ext cx="1473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09270" y="1323975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08305" y="929640"/>
                            <a:ext cx="19056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Pr="006E2DA4" w:rsidRDefault="00396C3B" w:rsidP="00396C3B">
                              <w:r>
                                <w:t>Nivel programi: Arsimi i lartë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329180" y="969645"/>
                            <a:ext cx="1104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433955" y="1314450"/>
                            <a:ext cx="57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433955" y="1314450"/>
                            <a:ext cx="57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439670" y="1314450"/>
                            <a:ext cx="7620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515870" y="1314450"/>
                            <a:ext cx="50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15870" y="1314450"/>
                            <a:ext cx="50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433955" y="1508125"/>
                            <a:ext cx="57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433955" y="1508125"/>
                            <a:ext cx="57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439670" y="1508125"/>
                            <a:ext cx="7620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15870" y="1508125"/>
                            <a:ext cx="50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515870" y="1508125"/>
                            <a:ext cx="50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73990" y="1212215"/>
                            <a:ext cx="1473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22250" y="1263650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60045" y="1212215"/>
                            <a:ext cx="527050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Pr="006E2DA4" w:rsidRDefault="00396C3B" w:rsidP="00396C3B">
                              <w:r>
                                <w:t>Nivel objektive: Rritja e përqindjes së ndjekjes së shkollës nga vajzat në zona rurale.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22250" y="1547495"/>
                            <a:ext cx="345694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t xml:space="preserve">TKP: x% e vajzave në zona rurale që ndjekin shkollën </w:t>
                              </w:r>
                            </w:p>
                            <w:p w:rsidR="00396C3B" w:rsidRPr="006E2DA4" w:rsidRDefault="00396C3B" w:rsidP="00396C3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500370" y="1252220"/>
                            <a:ext cx="1104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27805" y="1808480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940810" y="1798955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940810" y="1798955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946525" y="1798955"/>
                            <a:ext cx="762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022725" y="1798955"/>
                            <a:ext cx="50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022725" y="1798955"/>
                            <a:ext cx="50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022725" y="1806575"/>
                            <a:ext cx="5080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940810" y="1992630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940810" y="1992630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946525" y="1992630"/>
                            <a:ext cx="762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22725" y="1992630"/>
                            <a:ext cx="50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022725" y="1992630"/>
                            <a:ext cx="50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2235" y="1715135"/>
                            <a:ext cx="1473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09270" y="2106295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88290" y="1715135"/>
                            <a:ext cx="482473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Pr="006E2DA4" w:rsidRDefault="00396C3B" w:rsidP="00396C3B">
                              <w:r>
                                <w:t>Niveli produkti: Numri i vajzave në zonat rurale që ndjekin arsimin e lartë.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113020" y="1715135"/>
                            <a:ext cx="1104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676140" y="2106295"/>
                            <a:ext cx="4635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C3B" w:rsidRDefault="00396C3B" w:rsidP="00396C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589145" y="2096770"/>
                            <a:ext cx="50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589145" y="2096770"/>
                            <a:ext cx="50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0425" y="2096770"/>
                            <a:ext cx="57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670425" y="2096770"/>
                            <a:ext cx="57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589145" y="2290445"/>
                            <a:ext cx="50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589145" y="2290445"/>
                            <a:ext cx="50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670425" y="2290445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670425" y="2290445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0" o:spid="_x0000_s1027" editas="canvas" style="width:463.25pt;height:195.75pt;mso-position-horizontal-relative:char;mso-position-vertical-relative:line" coordsize="58832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832;height:24860;visibility:visible;mso-wrap-style:square">
                  <v:fill o:detectmouseclick="t"/>
                  <v:path o:connecttype="none"/>
                </v:shape>
                <v:rect id="Rectangle 72" o:spid="_x0000_s1029" style="position:absolute;left:25730;top:2844;width:463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30" style="position:absolute;left:1022;top:2844;width:52705;height:3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t xml:space="preserve">Moduli duhet të përmbajë një hapësirë/kutizë shënjuese në niveli programi/objektivash dhe produkti për identifikimin e elementeve gjinore. </w:t>
                        </w:r>
                      </w:p>
                    </w:txbxContent>
                  </v:textbox>
                </v:rect>
                <v:rect id="Rectangle 74" o:spid="_x0000_s1031" style="position:absolute;left:17780;top:7512;width:463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2" style="position:absolute;left:1022;top:7397;width:6515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t>Shembull:</w:t>
                        </w:r>
                      </w:p>
                    </w:txbxContent>
                  </v:textbox>
                </v:rect>
                <v:rect id="Rectangle 76" o:spid="_x0000_s1033" style="position:absolute;left:5365;top:10337;width:464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34" style="position:absolute;left:2222;top:9296;width:1473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1)</w:t>
                        </w:r>
                      </w:p>
                    </w:txbxContent>
                  </v:textbox>
                </v:rect>
                <v:rect id="Rectangle 78" o:spid="_x0000_s1035" style="position:absolute;left:5092;top:13239;width:464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6" style="position:absolute;left:4083;top:9296;width:19056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Pr="006E2DA4" w:rsidRDefault="00396C3B" w:rsidP="00396C3B">
                        <w:r>
                          <w:t>Nivel programi: Arsimi i lartë</w:t>
                        </w:r>
                      </w:p>
                    </w:txbxContent>
                  </v:textbox>
                </v:rect>
                <v:rect id="Rectangle 80" o:spid="_x0000_s1037" style="position:absolute;left:23291;top:9696;width:1105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X</w:t>
                        </w:r>
                      </w:p>
                    </w:txbxContent>
                  </v:textbox>
                </v:rect>
                <v:rect id="Rectangle 81" o:spid="_x0000_s1038" style="position:absolute;left:24339;top:13144;width:5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Rectangle 82" o:spid="_x0000_s1039" style="position:absolute;left:24339;top:13144;width:5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83" o:spid="_x0000_s1040" style="position:absolute;left:24396;top:13144;width:76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84" o:spid="_x0000_s1041" style="position:absolute;left:25158;top:13144;width:5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85" o:spid="_x0000_s1042" style="position:absolute;left:25158;top:13144;width:5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rect id="Rectangle 86" o:spid="_x0000_s1043" style="position:absolute;left:24339;top:15081;width:5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87" o:spid="_x0000_s1044" style="position:absolute;left:24339;top:15081;width:5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88" o:spid="_x0000_s1045" style="position:absolute;left:24396;top:15081;width:76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rect id="Rectangle 89" o:spid="_x0000_s1046" style="position:absolute;left:25158;top:15081;width:5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90" o:spid="_x0000_s1047" style="position:absolute;left:25158;top:15081;width:5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91" o:spid="_x0000_s1048" style="position:absolute;left:1739;top:12122;width:1474;height:18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2)</w:t>
                        </w:r>
                      </w:p>
                    </w:txbxContent>
                  </v:textbox>
                </v:rect>
                <v:rect id="Rectangle 92" o:spid="_x0000_s1049" style="position:absolute;left:2222;top:12636;width:46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50" style="position:absolute;left:3600;top:12122;width:52705;height:3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Pr="006E2DA4" w:rsidRDefault="00396C3B" w:rsidP="00396C3B">
                        <w:r>
                          <w:t>Nivel objektive: Rritja e përqindjes së ndjekjes së shkollës nga vajzat në zona rurale.</w:t>
                        </w:r>
                      </w:p>
                    </w:txbxContent>
                  </v:textbox>
                </v:rect>
                <v:rect id="Rectangle 94" o:spid="_x0000_s1051" style="position:absolute;left:2222;top:15474;width:34569;height:35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t xml:space="preserve">TKP: x% e vajzave në zona rurale që ndjekin shkollën </w:t>
                        </w:r>
                      </w:p>
                      <w:p w:rsidR="00396C3B" w:rsidRPr="006E2DA4" w:rsidRDefault="00396C3B" w:rsidP="00396C3B"/>
                    </w:txbxContent>
                  </v:textbox>
                </v:rect>
                <v:rect id="Rectangle 95" o:spid="_x0000_s1052" style="position:absolute;left:55003;top:12522;width:1105;height:18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X</w:t>
                        </w:r>
                      </w:p>
                    </w:txbxContent>
                  </v:textbox>
                </v:rect>
                <v:rect id="Rectangle 96" o:spid="_x0000_s1053" style="position:absolute;left:40278;top:18084;width:463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54" style="position:absolute;left:39408;top:17989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98" o:spid="_x0000_s1055" style="position:absolute;left:39408;top:17989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99" o:spid="_x0000_s1056" style="position:absolute;left:39465;top:17989;width:76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rect id="Rectangle 100" o:spid="_x0000_s1057" style="position:absolute;left:40227;top:17989;width: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rect id="Rectangle 101" o:spid="_x0000_s1058" style="position:absolute;left:40227;top:17989;width: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102" o:spid="_x0000_s1059" style="position:absolute;left:40227;top:18065;width:51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rect id="Rectangle 103" o:spid="_x0000_s1060" style="position:absolute;left:39408;top:19926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rect id="Rectangle 104" o:spid="_x0000_s1061" style="position:absolute;left:39408;top:19926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105" o:spid="_x0000_s1062" style="position:absolute;left:39465;top:19926;width:76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106" o:spid="_x0000_s1063" style="position:absolute;left:40227;top:19926;width: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rect id="Rectangle 107" o:spid="_x0000_s1064" style="position:absolute;left:40227;top:19926;width: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108" o:spid="_x0000_s1065" style="position:absolute;left:1022;top:17151;width:1473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3)</w:t>
                        </w:r>
                      </w:p>
                    </w:txbxContent>
                  </v:textbox>
                </v:rect>
                <v:rect id="Rectangle 109" o:spid="_x0000_s1066" style="position:absolute;left:5092;top:21062;width:464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67" style="position:absolute;left:2882;top:17151;width:48248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396C3B" w:rsidRPr="006E2DA4" w:rsidRDefault="00396C3B" w:rsidP="00396C3B">
                        <w:r>
                          <w:t>Niveli produkti: Numri i vajzave në zonat rurale që ndjekin arsimin e lartë.</w:t>
                        </w:r>
                      </w:p>
                    </w:txbxContent>
                  </v:textbox>
                </v:rect>
                <v:rect id="Rectangle 111" o:spid="_x0000_s1068" style="position:absolute;left:51130;top:17151;width:1105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>X</w:t>
                        </w:r>
                      </w:p>
                    </w:txbxContent>
                  </v:textbox>
                </v:rect>
                <v:rect id="Rectangle 112" o:spid="_x0000_s1069" style="position:absolute;left:46761;top:21062;width:463;height:17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396C3B" w:rsidRDefault="00396C3B" w:rsidP="00396C3B"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70" style="position:absolute;left:45891;top:20967;width:5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114" o:spid="_x0000_s1071" style="position:absolute;left:45891;top:20967;width:5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rect id="Rectangle 115" o:spid="_x0000_s1072" style="position:absolute;left:46704;top:20967;width:5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rect id="Rectangle 116" o:spid="_x0000_s1073" style="position:absolute;left:46704;top:20967;width:5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rect id="Rectangle 117" o:spid="_x0000_s1074" style="position:absolute;left:45891;top:22904;width: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rect id="Rectangle 118" o:spid="_x0000_s1075" style="position:absolute;left:45891;top:22904;width:5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rect id="Rectangle 119" o:spid="_x0000_s1076" style="position:absolute;left:46704;top:22904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120" o:spid="_x0000_s1077" style="position:absolute;left:46704;top:22904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Gjithashtu, Treguesit</w:t>
      </w:r>
      <w:r w:rsidR="002C222B">
        <w:rPr>
          <w:color w:val="212121"/>
        </w:rPr>
        <w:t xml:space="preserve"> Gjinorë Kyç të Performancës </w:t>
      </w:r>
      <w:r>
        <w:rPr>
          <w:color w:val="212121"/>
        </w:rPr>
        <w:t>do të jenë të detyrueshëm në AFMIS, siç shpjegohet në Udhëzimin e ri për Përgatitjen e Buxhetit të Ministrit të Financave dhe Ekonomisë (Mars 2019), Aneksi 5 “Buxhetimi i Përgjigjshëm Gjinor”.</w:t>
      </w: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cs="Courier"/>
          <w:color w:val="212121"/>
        </w:rPr>
      </w:pPr>
    </w:p>
    <w:p w:rsidR="005626FF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cs="Courier"/>
          <w:i/>
          <w:iCs/>
          <w:color w:val="212121"/>
        </w:rPr>
      </w:pPr>
      <w:r>
        <w:rPr>
          <w:i/>
          <w:iCs/>
          <w:color w:val="212121"/>
        </w:rPr>
        <w:t>Në Udhëzimet Standarde për Përgatitjen e Buxhetit 2016 dhe 2018, BPGJ-ja është përfshirë si kërkesë e detyrueshme në fazat e Zbatimit dhe Programimit Buxhetor:</w:t>
      </w:r>
    </w:p>
    <w:p w:rsidR="005626FF" w:rsidRPr="003F6E36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cs="Courier"/>
          <w:color w:val="212121"/>
          <w:lang w:val="en-GB"/>
        </w:rPr>
      </w:pPr>
    </w:p>
    <w:p w:rsidR="005626FF" w:rsidRPr="003F6E36" w:rsidRDefault="005626FF" w:rsidP="005626F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Të paktën një objektiv i politikave duhet të jetë me bazë gjinore dhe të ketë TKP të dallueshëm, të cilët masin rezultatet gjinore;</w:t>
      </w:r>
    </w:p>
    <w:p w:rsidR="005626FF" w:rsidRPr="003F6E36" w:rsidRDefault="005626FF" w:rsidP="005626F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Sipas mundësive, Institucionet Buxhetore (IB) duhet të programojnë dhe të kostojnë produktet me bazë gjinore;</w:t>
      </w:r>
    </w:p>
    <w:p w:rsidR="005626FF" w:rsidRPr="003F6E36" w:rsidRDefault="005626FF" w:rsidP="005626F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>Secili IB duhet të ruajë të dhëna të kategorizuara sipas gjinisë gjatë përgatitjes së kërkesave të PBA-së dhe monitorimit dhe vlerësimit të buxhetit vjetor.</w:t>
      </w:r>
    </w:p>
    <w:p w:rsidR="003B02FE" w:rsidRDefault="003B02FE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626FF" w:rsidRDefault="003B02FE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lastRenderedPageBreak/>
        <w:t>Deri tani, kryerja e një analize të hollësishme të ndikimit të këtyre buxheteve në jetën e burrave dhe grave në Shqipëri ka qenë thuajse e pamundur dhe kjo për shkak se në PBA nuk janë paraqitur asnjëherë Tregues Kyç të Performancës.</w:t>
      </w:r>
      <w:r w:rsidR="00403C06">
        <w:rPr>
          <w:color w:val="212121"/>
        </w:rPr>
        <w:t xml:space="preserve"> </w:t>
      </w:r>
      <w:r>
        <w:rPr>
          <w:color w:val="212121"/>
        </w:rPr>
        <w:t>Metodologjia e re e përgatitjes së buxhetit do të mundësojë lidhjen midis shpenzimeve të parashikuara me TKP-të në nivel strategjie dhe në nivele specifike.</w:t>
      </w:r>
      <w:r w:rsidR="00403C06">
        <w:rPr>
          <w:color w:val="212121"/>
        </w:rPr>
        <w:t xml:space="preserve"> </w:t>
      </w:r>
      <w:r>
        <w:rPr>
          <w:color w:val="212121"/>
        </w:rPr>
        <w:t>Kjo do të krijojë mundësinë për të zhvilluar një analizë më të përshtatshme të ndikimit të buxheteve gjinore mbi jetën e grave dhe burrave në Shqipëri.</w:t>
      </w:r>
    </w:p>
    <w:p w:rsidR="003B02FE" w:rsidRDefault="003B02FE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5626FF" w:rsidRPr="0039740D" w:rsidRDefault="005626FF" w:rsidP="00562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Krahas kësaj, UN Women ka kontribuar edhe </w:t>
      </w:r>
      <w:r w:rsidR="008F3323">
        <w:rPr>
          <w:color w:val="212121"/>
        </w:rPr>
        <w:t xml:space="preserve">me </w:t>
      </w:r>
      <w:r>
        <w:rPr>
          <w:color w:val="212121"/>
        </w:rPr>
        <w:t xml:space="preserve">hartimin e Aneksit 6 të Udhëzimit të ri për Përgatitjen e Buxhetit </w:t>
      </w:r>
      <w:r w:rsidR="008E653F">
        <w:rPr>
          <w:color w:val="212121"/>
        </w:rPr>
        <w:t>mbi</w:t>
      </w:r>
      <w:r>
        <w:rPr>
          <w:color w:val="212121"/>
        </w:rPr>
        <w:t xml:space="preserve"> Proceset Buxhetore me Pjesëmarrje.</w:t>
      </w:r>
    </w:p>
    <w:p w:rsidR="005626FF" w:rsidRDefault="005626FF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2C04E9" w:rsidRP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b/>
          <w:color w:val="212121"/>
        </w:rPr>
        <w:t>Shoqëria civile</w:t>
      </w:r>
    </w:p>
    <w:p w:rsid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UN Women ka ftuar 30 Organizata të Shoqërisë Civile për t’u kërkuar llogari institucioneve publike </w:t>
      </w:r>
      <w:r w:rsidR="005C063A">
        <w:rPr>
          <w:color w:val="212121"/>
        </w:rPr>
        <w:t>lidhur me</w:t>
      </w:r>
      <w:r>
        <w:rPr>
          <w:color w:val="212121"/>
        </w:rPr>
        <w:t xml:space="preserve"> detyrimet që kanë ndaj barazisë gjinore.</w:t>
      </w:r>
      <w:r w:rsidR="000A76D9">
        <w:rPr>
          <w:color w:val="212121"/>
        </w:rPr>
        <w:t xml:space="preserve"> </w:t>
      </w:r>
      <w:r>
        <w:rPr>
          <w:color w:val="212121"/>
        </w:rPr>
        <w:t xml:space="preserve">OSHC-të monitoruese janë trajnuar në lidhje me monitorimin e buxhetimit gjinor dhe janë angazhuar </w:t>
      </w:r>
      <w:r w:rsidR="008F3323">
        <w:rPr>
          <w:color w:val="212121"/>
        </w:rPr>
        <w:t xml:space="preserve">me </w:t>
      </w:r>
      <w:r>
        <w:rPr>
          <w:color w:val="212121"/>
        </w:rPr>
        <w:t>përgatitjen e një raporti paraprak të monitorimit gjinor, i cili do të botohet në shtator.</w:t>
      </w:r>
      <w:r w:rsidR="00356C06">
        <w:rPr>
          <w:color w:val="212121"/>
        </w:rPr>
        <w:t xml:space="preserve"> </w:t>
      </w:r>
      <w:r>
        <w:rPr>
          <w:color w:val="212121"/>
        </w:rPr>
        <w:t xml:space="preserve">Qytetarët kanë në </w:t>
      </w:r>
      <w:r w:rsidR="00566796">
        <w:rPr>
          <w:color w:val="212121"/>
        </w:rPr>
        <w:t>duar një instrument të fuqishëm</w:t>
      </w:r>
      <w:r w:rsidR="00612C14">
        <w:rPr>
          <w:color w:val="212121"/>
        </w:rPr>
        <w:t>,</w:t>
      </w:r>
      <w:r w:rsidR="000463D4">
        <w:rPr>
          <w:color w:val="212121"/>
        </w:rPr>
        <w:t xml:space="preserve"> si</w:t>
      </w:r>
      <w:r>
        <w:rPr>
          <w:color w:val="212121"/>
        </w:rPr>
        <w:t xml:space="preserve"> shoqëria civile, për t’i kërkuar llogari qeverisë lidhur me vendimet e marra prej saj.</w:t>
      </w:r>
      <w:r w:rsidR="00E26A99">
        <w:rPr>
          <w:color w:val="212121"/>
        </w:rPr>
        <w:t xml:space="preserve"> </w:t>
      </w:r>
      <w:r>
        <w:rPr>
          <w:color w:val="212121"/>
        </w:rPr>
        <w:t>Kjo është arsyeja përse UN Women, Shqipëri dhe Agjencia Austriake për Zhvillim me mbështetjen e saj financiare investojnë në ngritjen e kapaciteteve të OSHC-ve në lidhje me monitorimin buxhetor në nivel qendror dhe vendor.</w:t>
      </w:r>
    </w:p>
    <w:p w:rsid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2C04E9" w:rsidRP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b/>
          <w:color w:val="212121"/>
        </w:rPr>
        <w:t>Parlamenti</w:t>
      </w:r>
    </w:p>
    <w:p w:rsid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</w:p>
    <w:p w:rsidR="002C04E9" w:rsidRPr="002C04E9" w:rsidRDefault="002C04E9" w:rsidP="002C0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color w:val="212121"/>
        </w:rPr>
        <w:t>UN Women ka nisur punën me Parlamentin e Shqipërisë për forcimin e kuadrit ligjor dhe institucional për barazinë gjinor</w:t>
      </w:r>
      <w:r w:rsidR="00626DB3">
        <w:rPr>
          <w:color w:val="212121"/>
        </w:rPr>
        <w:t>e</w:t>
      </w:r>
      <w:r>
        <w:rPr>
          <w:color w:val="212121"/>
        </w:rPr>
        <w:t xml:space="preserve"> në përgjithësi, dhe për Buxhetimin e Përgjigjshëm Gjinor në veçanti.</w:t>
      </w:r>
      <w:r w:rsidR="00626DB3">
        <w:rPr>
          <w:color w:val="212121"/>
        </w:rPr>
        <w:t xml:space="preserve"> </w:t>
      </w:r>
      <w:r>
        <w:rPr>
          <w:color w:val="212121"/>
        </w:rPr>
        <w:t xml:space="preserve">Qëllimi është kërkesa e llogarisë ndaj deputetëve për vendimet që marrin kur votojnë ligjet, </w:t>
      </w:r>
      <w:r w:rsidR="005E34E5">
        <w:rPr>
          <w:color w:val="212121"/>
        </w:rPr>
        <w:t>të cilat</w:t>
      </w:r>
      <w:r>
        <w:rPr>
          <w:color w:val="212121"/>
        </w:rPr>
        <w:t xml:space="preserve"> mund të ndihmojnë në uljen e pabarazive gjinore dhe anasjelltas.</w:t>
      </w:r>
      <w:r w:rsidR="00012D91">
        <w:rPr>
          <w:color w:val="212121"/>
        </w:rPr>
        <w:t xml:space="preserve"> </w:t>
      </w:r>
      <w:r>
        <w:rPr>
          <w:color w:val="212121"/>
        </w:rPr>
        <w:t>Në bashkëpunim me Ministri</w:t>
      </w:r>
      <w:r w:rsidR="00012D91">
        <w:rPr>
          <w:color w:val="212121"/>
        </w:rPr>
        <w:t>në</w:t>
      </w:r>
      <w:r>
        <w:rPr>
          <w:color w:val="212121"/>
        </w:rPr>
        <w:t xml:space="preserve"> e Financave dhe Ekonomisë, UN Women po iu ofron deputetëve asistencë teknike</w:t>
      </w:r>
      <w:r w:rsidR="008F3323">
        <w:rPr>
          <w:color w:val="212121"/>
        </w:rPr>
        <w:t>,</w:t>
      </w:r>
      <w:r>
        <w:rPr>
          <w:color w:val="212121"/>
        </w:rPr>
        <w:t xml:space="preserve"> në mënyrë që të kuptojnë rolin që luajnë në procesin e integrimit gjinor.</w:t>
      </w:r>
    </w:p>
    <w:p w:rsidR="00724D36" w:rsidRDefault="00724D36" w:rsidP="00724D36">
      <w:pPr>
        <w:jc w:val="both"/>
        <w:rPr>
          <w:rFonts w:cs="Courier"/>
          <w:color w:val="212121"/>
        </w:rPr>
      </w:pPr>
    </w:p>
    <w:p w:rsidR="002C04E9" w:rsidRDefault="002C04E9" w:rsidP="00724D36">
      <w:pPr>
        <w:jc w:val="both"/>
        <w:rPr>
          <w:rFonts w:cs="Courier"/>
          <w:color w:val="212121"/>
        </w:rPr>
      </w:pPr>
    </w:p>
    <w:p w:rsidR="002C04E9" w:rsidRPr="002C04E9" w:rsidRDefault="002C04E9" w:rsidP="00724D36">
      <w:pPr>
        <w:jc w:val="both"/>
        <w:rPr>
          <w:rFonts w:cs="Courier"/>
          <w:b/>
          <w:color w:val="212121"/>
        </w:rPr>
      </w:pPr>
      <w:r>
        <w:rPr>
          <w:b/>
          <w:color w:val="212121"/>
        </w:rPr>
        <w:t>Niveli vendor</w:t>
      </w:r>
    </w:p>
    <w:p w:rsidR="002C04E9" w:rsidRPr="00724D36" w:rsidRDefault="002C04E9" w:rsidP="00724D36">
      <w:pPr>
        <w:jc w:val="both"/>
        <w:rPr>
          <w:rFonts w:cs="Courier"/>
          <w:color w:val="212121"/>
        </w:rPr>
      </w:pPr>
    </w:p>
    <w:p w:rsidR="006F65DE" w:rsidRDefault="00724D36" w:rsidP="00724D36">
      <w:pPr>
        <w:jc w:val="both"/>
      </w:pPr>
      <w:r>
        <w:rPr>
          <w:color w:val="212121"/>
        </w:rPr>
        <w:t xml:space="preserve">Një tjetër arritje e madhe që ka ardhur si rrjedhojë </w:t>
      </w:r>
      <w:r w:rsidR="00B452E9">
        <w:rPr>
          <w:color w:val="212121"/>
        </w:rPr>
        <w:t>e</w:t>
      </w:r>
      <w:r>
        <w:rPr>
          <w:color w:val="212121"/>
        </w:rPr>
        <w:t xml:space="preserve"> bashkëpunimit të efektshëm me zyrën e UN Women në Shqipëri ka qenë </w:t>
      </w:r>
      <w:r>
        <w:rPr>
          <w:b/>
          <w:bCs/>
          <w:color w:val="212121"/>
        </w:rPr>
        <w:t>përfshirja e BPGJ-së si kërkesë ligjore në ciklin e Menaxhimit Financiar të Qeverisë Vendore.</w:t>
      </w:r>
      <w:r w:rsidR="0002095B">
        <w:rPr>
          <w:b/>
          <w:bCs/>
          <w:color w:val="212121"/>
        </w:rPr>
        <w:t xml:space="preserve"> </w:t>
      </w:r>
      <w:r>
        <w:rPr>
          <w:color w:val="212121"/>
        </w:rPr>
        <w:t>Miratimi i Ligjit Nr. 68/2017 “Për financat e vetëqeverisjes vendore” ka krijuar mundësitë për përfshirjen e efektshme të BPGJ-së në të gjitha fazat e ciklit të menaxhimit financiar vendor (programimi i buxhetit vjetor dhe afat</w:t>
      </w:r>
      <w:r w:rsidR="000D4BDD">
        <w:rPr>
          <w:color w:val="212121"/>
        </w:rPr>
        <w:t>mesëm, monitorimi dhe raportimi</w:t>
      </w:r>
      <w:r>
        <w:rPr>
          <w:color w:val="212121"/>
        </w:rPr>
        <w:t>, vlerësimi dhe auditimi) nga njësitë e qeverisjes vendore:</w:t>
      </w:r>
    </w:p>
    <w:p w:rsidR="0056367E" w:rsidRDefault="00E03768" w:rsidP="003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5248275" cy="28651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67E" w:rsidRPr="006F65DE" w:rsidRDefault="0056367E" w:rsidP="0056367E">
                            <w:pPr>
                              <w:jc w:val="center"/>
                            </w:pPr>
                            <w:r>
                              <w:t>Neni 2</w:t>
                            </w:r>
                          </w:p>
                          <w:p w:rsidR="0056367E" w:rsidRPr="006F65DE" w:rsidRDefault="0056367E" w:rsidP="0056367E">
                            <w:pPr>
                              <w:jc w:val="center"/>
                            </w:pPr>
                            <w:r>
                              <w:t>Qëllimi i ligjit</w:t>
                            </w:r>
                          </w:p>
                          <w:p w:rsidR="0056367E" w:rsidRPr="0039740D" w:rsidRDefault="0056367E" w:rsidP="0056367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6367E" w:rsidRPr="006F65DE" w:rsidRDefault="0056367E" w:rsidP="0056367E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8.</w:t>
                            </w:r>
                            <w:r w:rsidR="00755D6B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Të sigurojë që në krijimin dhe shpërndarjen e burimeve financiare vendore të njësive të vetëqeverisjes vendore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përshpejtohet dhe realizohet barazia gjinore.</w:t>
                            </w:r>
                          </w:p>
                          <w:p w:rsidR="0056367E" w:rsidRPr="0039740D" w:rsidRDefault="0056367E" w:rsidP="005636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6367E" w:rsidRDefault="0056367E" w:rsidP="0056367E">
                            <w:pPr>
                              <w:jc w:val="center"/>
                            </w:pPr>
                            <w:r>
                              <w:t>Neni 36</w:t>
                            </w:r>
                          </w:p>
                          <w:p w:rsidR="0056367E" w:rsidRDefault="0056367E" w:rsidP="0056367E">
                            <w:pPr>
                              <w:jc w:val="center"/>
                            </w:pPr>
                            <w:r>
                              <w:t>Programi Buxhetor Afatmesëm Vendor</w:t>
                            </w:r>
                          </w:p>
                          <w:p w:rsidR="0056367E" w:rsidRPr="0039740D" w:rsidRDefault="0056367E" w:rsidP="005636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6367E" w:rsidRPr="0039740D" w:rsidRDefault="0056367E" w:rsidP="0056367E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c) Qëllimet e politikave të programeve, objektivat e politikave të programeve, projektet e investimeve publike, produktet e programeve dhe kostot e tyre përkatëse.</w:t>
                            </w:r>
                            <w:r w:rsidR="00301C27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Të paktën një nga objektivat e politikave të programeve</w:t>
                            </w:r>
                            <w:r>
                              <w:rPr>
                                <w:i/>
                              </w:rPr>
                              <w:t xml:space="preserve"> duhet të adresojë problematika të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pabarazisë gjinore</w:t>
                            </w:r>
                            <w:r>
                              <w:rPr>
                                <w:i/>
                              </w:rPr>
                              <w:t xml:space="preserve"> ose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respektimin e plotë të barazisë gjinore</w:t>
                            </w:r>
                            <w:r>
                              <w:rPr>
                                <w:i/>
                              </w:rPr>
                              <w:t>, duke identifikuar qartazi produktet dhe treguesit e tjerë të matshëm me bazë gjinore;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362.05pt;margin-top:32.35pt;width:413.25pt;height:225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">
                <v:textbox>
                  <w:txbxContent>
                    <w:p w:rsidR="0056367E" w:rsidRPr="006F65DE" w:rsidRDefault="0056367E" w:rsidP="0056367E">
                      <w:pPr>
                        <w:jc w:val="center"/>
                      </w:pPr>
                      <w:r>
                        <w:t>Neni 2</w:t>
                      </w:r>
                    </w:p>
                    <w:p w:rsidR="0056367E" w:rsidRPr="006F65DE" w:rsidRDefault="0056367E" w:rsidP="0056367E">
                      <w:pPr>
                        <w:jc w:val="center"/>
                      </w:pPr>
                      <w:r>
                        <w:t>Qëllimi i ligjit</w:t>
                      </w:r>
                    </w:p>
                    <w:p w:rsidR="0056367E" w:rsidRPr="0039740D" w:rsidRDefault="0056367E" w:rsidP="0056367E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56367E" w:rsidRPr="006F65DE" w:rsidRDefault="0056367E" w:rsidP="0056367E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8.</w:t>
                      </w:r>
                      <w:r w:rsidR="00755D6B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Të sigurojë që në krijimin dhe shpërndarjen e burimeve financiare vendore të njësive të vetëqeverisjes vendore </w:t>
                      </w:r>
                      <w:r>
                        <w:rPr>
                          <w:b/>
                          <w:bCs/>
                          <w:i/>
                        </w:rPr>
                        <w:t>përshpejtohet dhe realizohet barazia gjinore.</w:t>
                      </w:r>
                    </w:p>
                    <w:p w:rsidR="0056367E" w:rsidRPr="0039740D" w:rsidRDefault="0056367E" w:rsidP="0056367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6367E" w:rsidRDefault="0056367E" w:rsidP="0056367E">
                      <w:pPr>
                        <w:jc w:val="center"/>
                      </w:pPr>
                      <w:r>
                        <w:t>Neni 36</w:t>
                      </w:r>
                    </w:p>
                    <w:p w:rsidR="0056367E" w:rsidRDefault="0056367E" w:rsidP="0056367E">
                      <w:pPr>
                        <w:jc w:val="center"/>
                      </w:pPr>
                      <w:r>
                        <w:t>Programi Buxhetor Afatmesëm Vendor</w:t>
                      </w:r>
                    </w:p>
                    <w:p w:rsidR="0056367E" w:rsidRPr="0039740D" w:rsidRDefault="0056367E" w:rsidP="005636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6367E" w:rsidRPr="0039740D" w:rsidRDefault="0056367E" w:rsidP="0056367E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c) Qëllimet e politikave të programeve, objektivat e politikave të programeve, projektet e investimeve publike, produktet e programeve dhe kostot e tyre përkatëse.</w:t>
                      </w:r>
                      <w:r w:rsidR="00301C27">
                        <w:rPr>
                          <w:i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Të paktën një nga objektivat e politikave të programeve</w:t>
                      </w:r>
                      <w:r>
                        <w:rPr>
                          <w:i/>
                        </w:rPr>
                        <w:t xml:space="preserve"> duhet të adresojë problematika të </w:t>
                      </w:r>
                      <w:r>
                        <w:rPr>
                          <w:b/>
                          <w:bCs/>
                          <w:i/>
                        </w:rPr>
                        <w:t>pabarazisë gjinore</w:t>
                      </w:r>
                      <w:r>
                        <w:rPr>
                          <w:i/>
                        </w:rPr>
                        <w:t xml:space="preserve"> ose </w:t>
                      </w:r>
                      <w:r>
                        <w:rPr>
                          <w:b/>
                          <w:bCs/>
                          <w:i/>
                        </w:rPr>
                        <w:t>respektimin e plotë të barazisë gjinore</w:t>
                      </w:r>
                      <w:r>
                        <w:rPr>
                          <w:i/>
                        </w:rPr>
                        <w:t>, duke identifikuar qartazi produktet dhe treguesit e tjerë të matshëm me bazë gjinore;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367E" w:rsidRDefault="0056367E" w:rsidP="003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</w:p>
    <w:p w:rsidR="004F73E5" w:rsidRPr="002C04E9" w:rsidRDefault="002C04E9" w:rsidP="003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color w:val="212121"/>
        </w:rPr>
      </w:pPr>
      <w:r>
        <w:rPr>
          <w:color w:val="212121"/>
        </w:rPr>
        <w:t xml:space="preserve">Në bashkëpunim me Ministrinë e Financave dhe Ekonomisë, UN Women ka ofruar asistencë teknike </w:t>
      </w:r>
      <w:r w:rsidR="008F3323">
        <w:rPr>
          <w:color w:val="212121"/>
        </w:rPr>
        <w:t xml:space="preserve">për </w:t>
      </w:r>
      <w:r>
        <w:rPr>
          <w:color w:val="212121"/>
        </w:rPr>
        <w:t xml:space="preserve">61 bashki duke organizuar 5 seanca informuese </w:t>
      </w:r>
      <w:r w:rsidR="00615FAA">
        <w:rPr>
          <w:color w:val="212121"/>
        </w:rPr>
        <w:t>për</w:t>
      </w:r>
      <w:r>
        <w:rPr>
          <w:color w:val="212121"/>
        </w:rPr>
        <w:t xml:space="preserve"> barazinë gjinore dhe prezantimin e Buxhetimit të Përgjigjshëm Gjinor në Financat Vendore.</w:t>
      </w:r>
      <w:r w:rsidR="00926A6C">
        <w:rPr>
          <w:color w:val="212121"/>
        </w:rPr>
        <w:t xml:space="preserve"> </w:t>
      </w:r>
      <w:r>
        <w:rPr>
          <w:color w:val="212121"/>
        </w:rPr>
        <w:t>Më shumë se 100 zyrtarë të njësive të qeverisjes vendore janë informuar për rëndësinë dhe mënyrat e integrimit të BPGJ-së në Programin Buxhetor Afatmesëm.</w:t>
      </w:r>
      <w:r w:rsidR="00926A6C">
        <w:rPr>
          <w:color w:val="212121"/>
        </w:rPr>
        <w:t xml:space="preserve"> </w:t>
      </w:r>
      <w:r>
        <w:rPr>
          <w:color w:val="212121"/>
        </w:rPr>
        <w:t>Zyrtarët e Ministrisë së Financave dhe Ekonomisë kanë bërë shumë përmirësime në trajtimin e buxheteve vendore nga pikëpamja gjinore.</w:t>
      </w:r>
    </w:p>
    <w:p w:rsidR="004F73E5" w:rsidRDefault="004F73E5" w:rsidP="003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</w:p>
    <w:p w:rsidR="005626FF" w:rsidRDefault="005626FF" w:rsidP="003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  <w:r>
        <w:rPr>
          <w:b/>
          <w:color w:val="212121"/>
        </w:rPr>
        <w:t>Të tjera</w:t>
      </w:r>
    </w:p>
    <w:p w:rsidR="005626FF" w:rsidRDefault="005626FF" w:rsidP="003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jc w:val="both"/>
        <w:rPr>
          <w:rFonts w:cs="Courier"/>
          <w:b/>
          <w:color w:val="212121"/>
        </w:rPr>
      </w:pPr>
    </w:p>
    <w:p w:rsidR="005626FF" w:rsidRDefault="005626FF" w:rsidP="004836F9">
      <w:pPr>
        <w:jc w:val="both"/>
      </w:pPr>
      <w:r>
        <w:t xml:space="preserve">Nisur nga vështirësitë në identifikimin e produkteve të qarta gjinore dhe pamundësia për të ndjekur shpenzimet përkatëse në Sistemin e Thesarit, </w:t>
      </w:r>
      <w:r w:rsidR="00C44B8D">
        <w:t xml:space="preserve">sipas </w:t>
      </w:r>
      <w:r>
        <w:rPr>
          <w:b/>
          <w:bCs/>
          <w:i/>
          <w:iCs/>
        </w:rPr>
        <w:t>Analiz</w:t>
      </w:r>
      <w:r w:rsidR="00C44B8D">
        <w:rPr>
          <w:b/>
          <w:bCs/>
          <w:i/>
          <w:iCs/>
        </w:rPr>
        <w:t>ës</w:t>
      </w:r>
      <w:r>
        <w:rPr>
          <w:b/>
          <w:bCs/>
          <w:i/>
          <w:iCs/>
        </w:rPr>
        <w:t xml:space="preserve"> Bazë </w:t>
      </w:r>
      <w:r w:rsidR="00C44B8D">
        <w:rPr>
          <w:b/>
          <w:bCs/>
          <w:i/>
          <w:iCs/>
        </w:rPr>
        <w:t>të</w:t>
      </w:r>
      <w:r>
        <w:rPr>
          <w:b/>
          <w:bCs/>
          <w:i/>
          <w:iCs/>
        </w:rPr>
        <w:t xml:space="preserve"> Projektbuxhetit ndaj OZHQ-ve në Shqipëri</w:t>
      </w:r>
      <w:r>
        <w:t xml:space="preserve"> OZHQ 5 nuk merret aspak parasysh si çështje ndërsektoriale.</w:t>
      </w:r>
      <w:r w:rsidR="00CC5F77">
        <w:t xml:space="preserve"> </w:t>
      </w:r>
      <w:r>
        <w:t xml:space="preserve">Gjatë hartimit të Strategjisë Kombëtare për Zhvillim dhe Integrim 2016-2020, OZHQ 5 nuk është trajtuar si çështje ndërsektoriale dhe kjo ka </w:t>
      </w:r>
      <w:r w:rsidR="00A1352B">
        <w:t xml:space="preserve">çuar </w:t>
      </w:r>
      <w:r>
        <w:t>drejt hartëzimit të pasaktë të investimeve buxhetore të Qeverisë ndaj OZHQ-ve.</w:t>
      </w:r>
      <w:r w:rsidR="00130542">
        <w:t xml:space="preserve"> </w:t>
      </w:r>
      <w:r>
        <w:t>Ia vlen të përmendim se identifikimi i shpenzimeve gjinore është veçanërisht i vështirë.</w:t>
      </w:r>
      <w:r w:rsidR="00E73CBB">
        <w:t xml:space="preserve"> </w:t>
      </w:r>
      <w:r>
        <w:t>Shpenzimet e synuara, që janë identifikuar dhe janë klasifikuar në OZHQ 5 në pajtim me metodologjinë e përgjithshme për këtë analizë, zakonisht lidhen me menaxhimin dhe administrimin e kostove, si dhe me projekte të veçanta për çështjet gjinore.</w:t>
      </w:r>
      <w:r w:rsidR="00F144DB">
        <w:t xml:space="preserve"> </w:t>
      </w:r>
      <w:r>
        <w:t>Niveli i integrimit të shpenzimeve gjinore në mbarë sektorët ka më shumë rëndësi sesa shpenzimet e identifikuara për burokracitë e qeverisë në lidhje me barazinë gjinore.</w:t>
      </w:r>
    </w:p>
    <w:p w:rsidR="004836F9" w:rsidRPr="004836F9" w:rsidRDefault="004836F9" w:rsidP="004836F9">
      <w:pPr>
        <w:jc w:val="both"/>
      </w:pPr>
      <w:r>
        <w:t>UN Women, Shqipëri i ofroi ekipit të ekspertëve të dhëna shumë të dobishme për planifikimin e buxhetit dhe programet buxhetore gjinore në Ministritë e Linjës.</w:t>
      </w:r>
      <w:r w:rsidR="006D0BCB">
        <w:t xml:space="preserve"> </w:t>
      </w:r>
      <w:r>
        <w:t>Të dhënat janë përfshirë në projektin përfundimtar dhe e kanë ndryshuar tërësisht hartëzimin fillestar.</w:t>
      </w:r>
      <w:r w:rsidR="00444657">
        <w:t xml:space="preserve"> </w:t>
      </w:r>
    </w:p>
    <w:sectPr w:rsidR="004836F9" w:rsidRPr="004836F9" w:rsidSect="0039740D">
      <w:footerReference w:type="default" r:id="rId7"/>
      <w:pgSz w:w="11900" w:h="16840"/>
      <w:pgMar w:top="1350" w:right="1800" w:bottom="135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D66" w:rsidRDefault="00633D66" w:rsidP="00C42961">
      <w:r>
        <w:separator/>
      </w:r>
    </w:p>
  </w:endnote>
  <w:endnote w:type="continuationSeparator" w:id="0">
    <w:p w:rsidR="00633D66" w:rsidRDefault="00633D66" w:rsidP="00C4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269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961" w:rsidRDefault="00FC338A">
        <w:pPr>
          <w:pStyle w:val="Footer"/>
          <w:jc w:val="center"/>
        </w:pPr>
        <w:r>
          <w:fldChar w:fldCharType="begin"/>
        </w:r>
        <w:r w:rsidR="00C42961">
          <w:instrText xml:space="preserve"> PAGE   \* MERGEFORMAT </w:instrText>
        </w:r>
        <w:r>
          <w:fldChar w:fldCharType="separate"/>
        </w:r>
        <w:r w:rsidR="00334DD3">
          <w:rPr>
            <w:noProof/>
          </w:rPr>
          <w:t>3</w:t>
        </w:r>
        <w:r>
          <w:fldChar w:fldCharType="end"/>
        </w:r>
      </w:p>
    </w:sdtContent>
  </w:sdt>
  <w:p w:rsidR="00C42961" w:rsidRDefault="00C42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D66" w:rsidRDefault="00633D66" w:rsidP="00C42961">
      <w:r>
        <w:separator/>
      </w:r>
    </w:p>
  </w:footnote>
  <w:footnote w:type="continuationSeparator" w:id="0">
    <w:p w:rsidR="00633D66" w:rsidRDefault="00633D66" w:rsidP="00C4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AAC"/>
    <w:multiLevelType w:val="hybridMultilevel"/>
    <w:tmpl w:val="8578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4F39"/>
    <w:multiLevelType w:val="hybridMultilevel"/>
    <w:tmpl w:val="E19C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7546E"/>
    <w:multiLevelType w:val="hybridMultilevel"/>
    <w:tmpl w:val="D67A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B5B7E"/>
    <w:multiLevelType w:val="hybridMultilevel"/>
    <w:tmpl w:val="544AF0F8"/>
    <w:lvl w:ilvl="0" w:tplc="00CA8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05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C1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C1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69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4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24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C6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735B69"/>
    <w:multiLevelType w:val="hybridMultilevel"/>
    <w:tmpl w:val="17E8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32EF6"/>
    <w:multiLevelType w:val="hybridMultilevel"/>
    <w:tmpl w:val="BB0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F0D67"/>
    <w:multiLevelType w:val="hybridMultilevel"/>
    <w:tmpl w:val="95E29F82"/>
    <w:lvl w:ilvl="0" w:tplc="DF24FB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08F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22D9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0CA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C09A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8EE6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CC1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4DA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45B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AB"/>
    <w:rsid w:val="00012D91"/>
    <w:rsid w:val="0002095B"/>
    <w:rsid w:val="00022F5A"/>
    <w:rsid w:val="000463D4"/>
    <w:rsid w:val="00076878"/>
    <w:rsid w:val="000A76D9"/>
    <w:rsid w:val="000C5807"/>
    <w:rsid w:val="000D2339"/>
    <w:rsid w:val="000D4BDD"/>
    <w:rsid w:val="000F310D"/>
    <w:rsid w:val="00130542"/>
    <w:rsid w:val="001360E4"/>
    <w:rsid w:val="00166EA1"/>
    <w:rsid w:val="00181E19"/>
    <w:rsid w:val="00190F13"/>
    <w:rsid w:val="001E45F1"/>
    <w:rsid w:val="001F5FDE"/>
    <w:rsid w:val="00216E0F"/>
    <w:rsid w:val="002338FD"/>
    <w:rsid w:val="002439CE"/>
    <w:rsid w:val="00294FB9"/>
    <w:rsid w:val="00295F74"/>
    <w:rsid w:val="002C04E9"/>
    <w:rsid w:val="002C222B"/>
    <w:rsid w:val="002C60FA"/>
    <w:rsid w:val="00301C27"/>
    <w:rsid w:val="00334D98"/>
    <w:rsid w:val="00334DD3"/>
    <w:rsid w:val="00353166"/>
    <w:rsid w:val="00356C06"/>
    <w:rsid w:val="00383576"/>
    <w:rsid w:val="0039669F"/>
    <w:rsid w:val="00396C3B"/>
    <w:rsid w:val="0039740D"/>
    <w:rsid w:val="003A26D1"/>
    <w:rsid w:val="003B02FE"/>
    <w:rsid w:val="003B70C4"/>
    <w:rsid w:val="003F6E36"/>
    <w:rsid w:val="00403C06"/>
    <w:rsid w:val="00444657"/>
    <w:rsid w:val="004836F9"/>
    <w:rsid w:val="004B1B8A"/>
    <w:rsid w:val="004F73E5"/>
    <w:rsid w:val="004F7F6B"/>
    <w:rsid w:val="005064E4"/>
    <w:rsid w:val="00523517"/>
    <w:rsid w:val="005502A8"/>
    <w:rsid w:val="005626FF"/>
    <w:rsid w:val="0056367E"/>
    <w:rsid w:val="00566796"/>
    <w:rsid w:val="00570F08"/>
    <w:rsid w:val="00577236"/>
    <w:rsid w:val="005C063A"/>
    <w:rsid w:val="005C4B31"/>
    <w:rsid w:val="005D6CB9"/>
    <w:rsid w:val="005E34E5"/>
    <w:rsid w:val="00605BC0"/>
    <w:rsid w:val="00611ACD"/>
    <w:rsid w:val="00612C14"/>
    <w:rsid w:val="00612F0C"/>
    <w:rsid w:val="00615FAA"/>
    <w:rsid w:val="00626DB3"/>
    <w:rsid w:val="00633D66"/>
    <w:rsid w:val="00645359"/>
    <w:rsid w:val="00652066"/>
    <w:rsid w:val="006651CC"/>
    <w:rsid w:val="00675E45"/>
    <w:rsid w:val="006845F4"/>
    <w:rsid w:val="006D0A4C"/>
    <w:rsid w:val="006D0BCB"/>
    <w:rsid w:val="006D4921"/>
    <w:rsid w:val="006D66B6"/>
    <w:rsid w:val="006E2BE3"/>
    <w:rsid w:val="006F65DE"/>
    <w:rsid w:val="00724D36"/>
    <w:rsid w:val="00755D6B"/>
    <w:rsid w:val="00771C23"/>
    <w:rsid w:val="00774781"/>
    <w:rsid w:val="007864AB"/>
    <w:rsid w:val="00787971"/>
    <w:rsid w:val="00790E49"/>
    <w:rsid w:val="007913A3"/>
    <w:rsid w:val="00791929"/>
    <w:rsid w:val="007940B7"/>
    <w:rsid w:val="00797F17"/>
    <w:rsid w:val="007A72E8"/>
    <w:rsid w:val="007C74E9"/>
    <w:rsid w:val="0080747A"/>
    <w:rsid w:val="008434F8"/>
    <w:rsid w:val="00872ECE"/>
    <w:rsid w:val="008E653F"/>
    <w:rsid w:val="008F3323"/>
    <w:rsid w:val="00926A6C"/>
    <w:rsid w:val="0093367B"/>
    <w:rsid w:val="009543A7"/>
    <w:rsid w:val="009625B2"/>
    <w:rsid w:val="00974D16"/>
    <w:rsid w:val="00996061"/>
    <w:rsid w:val="009B3171"/>
    <w:rsid w:val="009C7D9D"/>
    <w:rsid w:val="009E4E75"/>
    <w:rsid w:val="00A060CF"/>
    <w:rsid w:val="00A1352B"/>
    <w:rsid w:val="00AD3576"/>
    <w:rsid w:val="00AD5331"/>
    <w:rsid w:val="00B14386"/>
    <w:rsid w:val="00B37699"/>
    <w:rsid w:val="00B452E9"/>
    <w:rsid w:val="00B50476"/>
    <w:rsid w:val="00B52096"/>
    <w:rsid w:val="00B568F8"/>
    <w:rsid w:val="00B5712F"/>
    <w:rsid w:val="00BA6C81"/>
    <w:rsid w:val="00BD066D"/>
    <w:rsid w:val="00BF0180"/>
    <w:rsid w:val="00BF7AC7"/>
    <w:rsid w:val="00C408DE"/>
    <w:rsid w:val="00C42961"/>
    <w:rsid w:val="00C44B8D"/>
    <w:rsid w:val="00CC5673"/>
    <w:rsid w:val="00CC5F77"/>
    <w:rsid w:val="00CE0666"/>
    <w:rsid w:val="00D06577"/>
    <w:rsid w:val="00D62EAF"/>
    <w:rsid w:val="00D66812"/>
    <w:rsid w:val="00DF4277"/>
    <w:rsid w:val="00E03768"/>
    <w:rsid w:val="00E161A8"/>
    <w:rsid w:val="00E26A99"/>
    <w:rsid w:val="00E40D3B"/>
    <w:rsid w:val="00E665D9"/>
    <w:rsid w:val="00E73CBB"/>
    <w:rsid w:val="00E85351"/>
    <w:rsid w:val="00EA5180"/>
    <w:rsid w:val="00F144DB"/>
    <w:rsid w:val="00F45AAB"/>
    <w:rsid w:val="00F53E39"/>
    <w:rsid w:val="00F60D1A"/>
    <w:rsid w:val="00F62343"/>
    <w:rsid w:val="00F62A6A"/>
    <w:rsid w:val="00F87CEB"/>
    <w:rsid w:val="00FA68E2"/>
    <w:rsid w:val="00FC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12997"/>
  <w15:docId w15:val="{70232DDA-64D0-480A-BF73-08F7F41B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4AB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29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961"/>
  </w:style>
  <w:style w:type="paragraph" w:styleId="Footer">
    <w:name w:val="footer"/>
    <w:basedOn w:val="Normal"/>
    <w:link w:val="FooterChar"/>
    <w:uiPriority w:val="99"/>
    <w:unhideWhenUsed/>
    <w:rsid w:val="00C42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961"/>
  </w:style>
  <w:style w:type="paragraph" w:styleId="NormalWeb">
    <w:name w:val="Normal (Web)"/>
    <w:basedOn w:val="Normal"/>
    <w:uiPriority w:val="99"/>
    <w:semiHidden/>
    <w:unhideWhenUsed/>
    <w:rsid w:val="00771C23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sq-AL"/>
    </w:rPr>
  </w:style>
  <w:style w:type="paragraph" w:styleId="ListParagraph">
    <w:name w:val="List Paragraph"/>
    <w:basedOn w:val="Normal"/>
    <w:uiPriority w:val="34"/>
    <w:qFormat/>
    <w:rsid w:val="009C7D9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F73E5"/>
  </w:style>
  <w:style w:type="paragraph" w:styleId="BalloonText">
    <w:name w:val="Balloon Text"/>
    <w:basedOn w:val="Normal"/>
    <w:link w:val="BalloonTextChar"/>
    <w:uiPriority w:val="99"/>
    <w:semiHidden/>
    <w:unhideWhenUsed/>
    <w:rsid w:val="00181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1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2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22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2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9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5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2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3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6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2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Xhani</dc:creator>
  <cp:lastModifiedBy>Blerina Xhani</cp:lastModifiedBy>
  <cp:revision>3</cp:revision>
  <dcterms:created xsi:type="dcterms:W3CDTF">2019-02-07T21:14:00Z</dcterms:created>
  <dcterms:modified xsi:type="dcterms:W3CDTF">2019-02-07T21:15:00Z</dcterms:modified>
</cp:coreProperties>
</file>