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4.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5.xml" ContentType="application/vnd.openxmlformats-officedocument.themeOverride+xml"/>
  <Override PartName="/word/charts/chart27.xml" ContentType="application/vnd.openxmlformats-officedocument.drawingml.chart+xml"/>
  <Override PartName="/word/drawings/drawing1.xml" ContentType="application/vnd.openxmlformats-officedocument.drawingml.chartshapes+xml"/>
  <Override PartName="/word/charts/chart28.xml" ContentType="application/vnd.openxmlformats-officedocument.drawingml.chart+xml"/>
  <Override PartName="/word/theme/themeOverride6.xml" ContentType="application/vnd.openxmlformats-officedocument.themeOverride+xml"/>
  <Override PartName="/word/charts/chart29.xml" ContentType="application/vnd.openxmlformats-officedocument.drawingml.chart+xml"/>
  <Override PartName="/word/theme/themeOverride7.xml" ContentType="application/vnd.openxmlformats-officedocument.themeOverride+xml"/>
  <Override PartName="/word/charts/chart30.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10.xml" ContentType="application/vnd.openxmlformats-officedocument.themeOverride+xml"/>
  <Override PartName="/word/charts/chart34.xml" ContentType="application/vnd.openxmlformats-officedocument.drawingml.chart+xml"/>
  <Override PartName="/word/theme/themeOverride11.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theme/themeOverride12.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3C410" w14:textId="77777777" w:rsidR="007F44B9" w:rsidRPr="002E06C4" w:rsidRDefault="007F44B9" w:rsidP="007F44B9">
      <w:pPr>
        <w:pStyle w:val="Default"/>
        <w:spacing w:line="276" w:lineRule="auto"/>
        <w:jc w:val="center"/>
        <w:rPr>
          <w:rFonts w:asciiTheme="majorHAnsi" w:hAnsiTheme="majorHAnsi"/>
          <w:b/>
          <w:color w:val="C00000"/>
          <w:sz w:val="72"/>
          <w:lang w:val="sq-AL"/>
        </w:rPr>
      </w:pPr>
      <w:r w:rsidRPr="002E06C4">
        <w:rPr>
          <w:rFonts w:asciiTheme="majorHAnsi" w:hAnsiTheme="majorHAnsi"/>
          <w:noProof/>
          <w:lang w:eastAsia="en-US"/>
        </w:rPr>
        <w:drawing>
          <wp:inline distT="0" distB="0" distL="0" distR="0" wp14:anchorId="7200F3ED" wp14:editId="299ACF7F">
            <wp:extent cx="6561156" cy="1508760"/>
            <wp:effectExtent l="0" t="0" r="0" b="0"/>
            <wp:docPr id="296" name="Picture 296" descr="C:\Users\kostandine.dorri\Desktop\logo minis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andine.dorri\Desktop\logo ministr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8101" cy="1510357"/>
                    </a:xfrm>
                    <a:prstGeom prst="rect">
                      <a:avLst/>
                    </a:prstGeom>
                    <a:noFill/>
                    <a:ln>
                      <a:noFill/>
                    </a:ln>
                  </pic:spPr>
                </pic:pic>
              </a:graphicData>
            </a:graphic>
          </wp:inline>
        </w:drawing>
      </w:r>
    </w:p>
    <w:p w14:paraId="50457EBE" w14:textId="77777777" w:rsidR="007F44B9" w:rsidRPr="002E06C4" w:rsidRDefault="007F44B9" w:rsidP="007F44B9">
      <w:pPr>
        <w:pStyle w:val="Default"/>
        <w:spacing w:line="276" w:lineRule="auto"/>
        <w:jc w:val="center"/>
        <w:rPr>
          <w:rFonts w:asciiTheme="majorHAnsi" w:hAnsiTheme="majorHAnsi"/>
          <w:b/>
          <w:color w:val="C00000"/>
          <w:sz w:val="72"/>
          <w:lang w:val="sq-AL"/>
        </w:rPr>
      </w:pPr>
    </w:p>
    <w:p w14:paraId="151C0C47" w14:textId="77777777" w:rsidR="007F44B9" w:rsidRPr="002E06C4" w:rsidRDefault="007F44B9" w:rsidP="007F44B9">
      <w:pPr>
        <w:pStyle w:val="Default"/>
        <w:spacing w:line="276" w:lineRule="auto"/>
        <w:rPr>
          <w:rFonts w:asciiTheme="majorHAnsi" w:hAnsiTheme="majorHAnsi"/>
          <w:b/>
          <w:color w:val="C00000"/>
          <w:sz w:val="72"/>
          <w:lang w:val="sq-AL"/>
        </w:rPr>
      </w:pPr>
    </w:p>
    <w:p w14:paraId="700FBDAE" w14:textId="77777777" w:rsidR="007F44B9" w:rsidRPr="002E06C4" w:rsidRDefault="007F44B9" w:rsidP="007F44B9">
      <w:pPr>
        <w:pStyle w:val="Default"/>
        <w:spacing w:line="276" w:lineRule="auto"/>
        <w:jc w:val="center"/>
        <w:rPr>
          <w:rFonts w:asciiTheme="majorHAnsi" w:hAnsiTheme="majorHAnsi"/>
          <w:b/>
          <w:color w:val="365F91" w:themeColor="accent1" w:themeShade="BF"/>
          <w:sz w:val="72"/>
          <w:lang w:val="sq-AL"/>
        </w:rPr>
      </w:pPr>
      <w:r w:rsidRPr="002E06C4">
        <w:rPr>
          <w:rFonts w:asciiTheme="majorHAnsi" w:hAnsiTheme="majorHAnsi"/>
          <w:b/>
          <w:color w:val="C00000"/>
          <w:sz w:val="72"/>
          <w:lang w:val="sq-AL"/>
        </w:rPr>
        <w:t>RAPORT</w:t>
      </w:r>
      <w:r w:rsidRPr="002E06C4">
        <w:rPr>
          <w:rFonts w:asciiTheme="majorHAnsi" w:hAnsiTheme="majorHAnsi"/>
          <w:b/>
          <w:color w:val="365F91" w:themeColor="accent1" w:themeShade="BF"/>
          <w:sz w:val="72"/>
          <w:lang w:val="sq-AL"/>
        </w:rPr>
        <w:t xml:space="preserve"> </w:t>
      </w:r>
    </w:p>
    <w:p w14:paraId="26ECBDC4" w14:textId="77777777" w:rsidR="00824B19" w:rsidRPr="002E06C4" w:rsidRDefault="007F44B9" w:rsidP="00824B19">
      <w:pPr>
        <w:pStyle w:val="Default"/>
        <w:spacing w:line="276" w:lineRule="auto"/>
        <w:jc w:val="center"/>
        <w:rPr>
          <w:rFonts w:asciiTheme="majorHAnsi" w:hAnsiTheme="majorHAnsi"/>
          <w:b/>
          <w:color w:val="365F91" w:themeColor="accent1" w:themeShade="BF"/>
          <w:sz w:val="48"/>
          <w:lang w:val="sq-AL"/>
        </w:rPr>
      </w:pPr>
      <w:r w:rsidRPr="002E06C4">
        <w:rPr>
          <w:rFonts w:asciiTheme="majorHAnsi" w:hAnsiTheme="majorHAnsi"/>
          <w:b/>
          <w:color w:val="365F91" w:themeColor="accent1" w:themeShade="BF"/>
          <w:sz w:val="48"/>
          <w:lang w:val="sq-AL"/>
        </w:rPr>
        <w:t xml:space="preserve">MBI </w:t>
      </w:r>
    </w:p>
    <w:p w14:paraId="6338BDED" w14:textId="77777777" w:rsidR="00824B19" w:rsidRPr="002E06C4" w:rsidRDefault="00824B19" w:rsidP="00824B19">
      <w:pPr>
        <w:pStyle w:val="Default"/>
        <w:spacing w:line="276" w:lineRule="auto"/>
        <w:jc w:val="center"/>
        <w:rPr>
          <w:rFonts w:asciiTheme="majorHAnsi" w:hAnsiTheme="majorHAnsi"/>
          <w:b/>
          <w:color w:val="365F91" w:themeColor="accent1" w:themeShade="BF"/>
          <w:sz w:val="48"/>
          <w:lang w:val="sq-AL"/>
        </w:rPr>
      </w:pPr>
      <w:r w:rsidRPr="002E06C4">
        <w:rPr>
          <w:rFonts w:asciiTheme="majorHAnsi" w:hAnsiTheme="majorHAnsi"/>
          <w:b/>
          <w:color w:val="365F91" w:themeColor="accent1" w:themeShade="BF"/>
          <w:sz w:val="48"/>
          <w:lang w:val="sq-AL"/>
        </w:rPr>
        <w:t xml:space="preserve">ZBATIMIN E BUXHETIT </w:t>
      </w:r>
      <w:r w:rsidR="007F44B9" w:rsidRPr="002E06C4">
        <w:rPr>
          <w:rFonts w:asciiTheme="majorHAnsi" w:hAnsiTheme="majorHAnsi"/>
          <w:b/>
          <w:color w:val="365F91" w:themeColor="accent1" w:themeShade="BF"/>
          <w:sz w:val="48"/>
          <w:lang w:val="sq-AL"/>
        </w:rPr>
        <w:t>VJETOR</w:t>
      </w:r>
      <w:r w:rsidRPr="002E06C4">
        <w:rPr>
          <w:rFonts w:asciiTheme="majorHAnsi" w:hAnsiTheme="majorHAnsi"/>
          <w:b/>
          <w:color w:val="365F91" w:themeColor="accent1" w:themeShade="BF"/>
          <w:sz w:val="48"/>
          <w:lang w:val="sq-AL"/>
        </w:rPr>
        <w:t xml:space="preserve">, </w:t>
      </w:r>
    </w:p>
    <w:p w14:paraId="12DB1002" w14:textId="77777777" w:rsidR="007F44B9" w:rsidRPr="002E06C4" w:rsidRDefault="007F44B9" w:rsidP="00824B19">
      <w:pPr>
        <w:pStyle w:val="Default"/>
        <w:spacing w:line="276" w:lineRule="auto"/>
        <w:jc w:val="center"/>
        <w:rPr>
          <w:rFonts w:asciiTheme="majorHAnsi" w:hAnsiTheme="majorHAnsi"/>
          <w:b/>
          <w:color w:val="365F91" w:themeColor="accent1" w:themeShade="BF"/>
          <w:sz w:val="48"/>
          <w:lang w:val="sq-AL"/>
        </w:rPr>
      </w:pPr>
      <w:r w:rsidRPr="002E06C4">
        <w:rPr>
          <w:rFonts w:asciiTheme="majorHAnsi" w:hAnsiTheme="majorHAnsi"/>
          <w:b/>
          <w:color w:val="365F91" w:themeColor="accent1" w:themeShade="BF"/>
          <w:sz w:val="48"/>
          <w:lang w:val="sq-AL"/>
        </w:rPr>
        <w:t>SITUATËN MAKROEKONOMIKE</w:t>
      </w:r>
      <w:r w:rsidR="00824B19" w:rsidRPr="002E06C4">
        <w:rPr>
          <w:rFonts w:asciiTheme="majorHAnsi" w:hAnsiTheme="majorHAnsi"/>
          <w:b/>
          <w:color w:val="365F91" w:themeColor="accent1" w:themeShade="BF"/>
          <w:sz w:val="48"/>
          <w:lang w:val="sq-AL"/>
        </w:rPr>
        <w:t xml:space="preserve"> </w:t>
      </w:r>
      <w:r w:rsidRPr="002E06C4">
        <w:rPr>
          <w:rFonts w:asciiTheme="majorHAnsi" w:hAnsiTheme="majorHAnsi"/>
          <w:b/>
          <w:color w:val="365F91" w:themeColor="accent1" w:themeShade="BF"/>
          <w:sz w:val="48"/>
          <w:lang w:val="sq-AL"/>
        </w:rPr>
        <w:t>DHE FISKALE</w:t>
      </w:r>
    </w:p>
    <w:p w14:paraId="7901C735" w14:textId="77777777" w:rsidR="00824B19" w:rsidRPr="002E06C4" w:rsidRDefault="00824B19" w:rsidP="00824B19">
      <w:pPr>
        <w:pStyle w:val="Default"/>
        <w:spacing w:line="276" w:lineRule="auto"/>
        <w:jc w:val="center"/>
        <w:rPr>
          <w:rFonts w:asciiTheme="majorHAnsi" w:hAnsiTheme="majorHAnsi"/>
          <w:b/>
          <w:color w:val="365F91" w:themeColor="accent1" w:themeShade="BF"/>
          <w:sz w:val="20"/>
          <w:lang w:val="sq-AL"/>
        </w:rPr>
      </w:pPr>
    </w:p>
    <w:p w14:paraId="54443C15" w14:textId="77777777" w:rsidR="007F44B9" w:rsidRPr="002E06C4" w:rsidRDefault="007F44B9" w:rsidP="007F44B9">
      <w:pPr>
        <w:pStyle w:val="Default"/>
        <w:spacing w:line="276" w:lineRule="auto"/>
        <w:jc w:val="center"/>
        <w:rPr>
          <w:rFonts w:asciiTheme="majorHAnsi" w:hAnsiTheme="majorHAnsi"/>
          <w:b/>
          <w:color w:val="365F91" w:themeColor="accent1" w:themeShade="BF"/>
          <w:sz w:val="48"/>
          <w:lang w:val="sq-AL"/>
        </w:rPr>
      </w:pPr>
      <w:r w:rsidRPr="002E06C4">
        <w:rPr>
          <w:rFonts w:asciiTheme="majorHAnsi" w:hAnsiTheme="majorHAnsi"/>
          <w:b/>
          <w:color w:val="365F91" w:themeColor="accent1" w:themeShade="BF"/>
          <w:sz w:val="48"/>
          <w:lang w:val="sq-AL"/>
        </w:rPr>
        <w:t xml:space="preserve">GJATË VITIT </w:t>
      </w:r>
      <w:r w:rsidRPr="002E06C4">
        <w:rPr>
          <w:rFonts w:asciiTheme="majorHAnsi" w:hAnsiTheme="majorHAnsi"/>
          <w:b/>
          <w:color w:val="C00000"/>
          <w:sz w:val="48"/>
          <w:lang w:val="sq-AL"/>
        </w:rPr>
        <w:t>2018</w:t>
      </w:r>
    </w:p>
    <w:p w14:paraId="58C1C6F9" w14:textId="77777777" w:rsidR="007F44B9" w:rsidRPr="002E06C4" w:rsidRDefault="007F44B9" w:rsidP="007F44B9">
      <w:pPr>
        <w:pStyle w:val="Default"/>
        <w:spacing w:line="276" w:lineRule="auto"/>
        <w:jc w:val="center"/>
        <w:rPr>
          <w:rFonts w:asciiTheme="majorHAnsi" w:hAnsiTheme="majorHAnsi"/>
          <w:color w:val="auto"/>
          <w:lang w:val="sq-AL"/>
        </w:rPr>
      </w:pPr>
      <w:r w:rsidRPr="002E06C4">
        <w:rPr>
          <w:rFonts w:asciiTheme="majorHAnsi" w:hAnsiTheme="majorHAnsi"/>
          <w:b/>
          <w:color w:val="800000"/>
          <w:lang w:val="sq-AL"/>
        </w:rPr>
        <w:t>______________________________</w:t>
      </w:r>
    </w:p>
    <w:p w14:paraId="1CFB1407" w14:textId="77777777" w:rsidR="007F44B9" w:rsidRPr="002E06C4" w:rsidRDefault="007F44B9" w:rsidP="007F44B9">
      <w:pPr>
        <w:pStyle w:val="Default"/>
        <w:spacing w:line="276" w:lineRule="auto"/>
        <w:jc w:val="center"/>
        <w:rPr>
          <w:rFonts w:asciiTheme="majorHAnsi" w:hAnsiTheme="majorHAnsi"/>
          <w:color w:val="auto"/>
          <w:lang w:val="sq-AL"/>
        </w:rPr>
      </w:pPr>
    </w:p>
    <w:p w14:paraId="673C14A7" w14:textId="77777777" w:rsidR="007F44B9" w:rsidRPr="002E06C4" w:rsidRDefault="007F44B9" w:rsidP="007F44B9">
      <w:pPr>
        <w:pStyle w:val="Default"/>
        <w:spacing w:line="276" w:lineRule="auto"/>
        <w:jc w:val="both"/>
        <w:rPr>
          <w:rFonts w:asciiTheme="majorHAnsi" w:hAnsiTheme="majorHAnsi"/>
          <w:color w:val="auto"/>
          <w:lang w:val="sq-AL"/>
        </w:rPr>
      </w:pPr>
    </w:p>
    <w:p w14:paraId="06F128C8" w14:textId="77777777" w:rsidR="007F44B9" w:rsidRPr="002E06C4" w:rsidRDefault="007F44B9" w:rsidP="007F44B9">
      <w:pPr>
        <w:pStyle w:val="Default"/>
        <w:spacing w:line="276" w:lineRule="auto"/>
        <w:jc w:val="both"/>
        <w:rPr>
          <w:rFonts w:asciiTheme="majorHAnsi" w:hAnsiTheme="majorHAnsi"/>
          <w:color w:val="auto"/>
          <w:lang w:val="sq-AL"/>
        </w:rPr>
      </w:pPr>
    </w:p>
    <w:p w14:paraId="6CB63986" w14:textId="77777777" w:rsidR="007F44B9" w:rsidRPr="002E06C4" w:rsidRDefault="007F44B9" w:rsidP="007F44B9">
      <w:pPr>
        <w:spacing w:line="276" w:lineRule="auto"/>
        <w:jc w:val="both"/>
        <w:rPr>
          <w:rFonts w:asciiTheme="majorHAnsi" w:hAnsiTheme="majorHAnsi" w:cs="Times New Roman"/>
          <w:lang w:val="sq-AL"/>
        </w:rPr>
      </w:pPr>
    </w:p>
    <w:p w14:paraId="25C9C4B7" w14:textId="77777777" w:rsidR="007F44B9" w:rsidRPr="002E06C4" w:rsidRDefault="007F44B9" w:rsidP="007F44B9">
      <w:pPr>
        <w:spacing w:line="276" w:lineRule="auto"/>
        <w:jc w:val="both"/>
        <w:rPr>
          <w:rFonts w:asciiTheme="majorHAnsi" w:hAnsiTheme="majorHAnsi" w:cs="Times New Roman"/>
          <w:lang w:val="sq-AL"/>
        </w:rPr>
      </w:pPr>
    </w:p>
    <w:p w14:paraId="488C5DD9" w14:textId="77777777" w:rsidR="007F44B9" w:rsidRPr="002E06C4" w:rsidRDefault="007F44B9" w:rsidP="007F44B9">
      <w:pPr>
        <w:spacing w:line="276" w:lineRule="auto"/>
        <w:jc w:val="both"/>
        <w:rPr>
          <w:rFonts w:asciiTheme="majorHAnsi" w:hAnsiTheme="majorHAnsi" w:cs="Times New Roman"/>
          <w:lang w:val="sq-AL"/>
        </w:rPr>
      </w:pPr>
    </w:p>
    <w:p w14:paraId="4BF91E9B" w14:textId="77777777" w:rsidR="007F44B9" w:rsidRPr="002E06C4" w:rsidRDefault="007F44B9" w:rsidP="007F44B9">
      <w:pPr>
        <w:spacing w:line="276" w:lineRule="auto"/>
        <w:jc w:val="both"/>
        <w:rPr>
          <w:rFonts w:asciiTheme="majorHAnsi" w:hAnsiTheme="majorHAnsi" w:cs="Times New Roman"/>
          <w:lang w:val="sq-AL"/>
        </w:rPr>
      </w:pPr>
    </w:p>
    <w:p w14:paraId="2F17F2CE" w14:textId="77777777" w:rsidR="007F44B9" w:rsidRPr="002E06C4" w:rsidRDefault="007F44B9" w:rsidP="007F44B9">
      <w:pPr>
        <w:spacing w:line="276" w:lineRule="auto"/>
        <w:jc w:val="both"/>
        <w:rPr>
          <w:rFonts w:asciiTheme="majorHAnsi" w:hAnsiTheme="majorHAnsi" w:cs="Times New Roman"/>
          <w:lang w:val="sq-AL"/>
        </w:rPr>
      </w:pPr>
    </w:p>
    <w:p w14:paraId="44CAA227" w14:textId="77777777" w:rsidR="007F44B9" w:rsidRPr="002E06C4" w:rsidRDefault="007F44B9" w:rsidP="007F44B9">
      <w:pPr>
        <w:spacing w:line="276" w:lineRule="auto"/>
        <w:jc w:val="both"/>
        <w:rPr>
          <w:rFonts w:asciiTheme="majorHAnsi" w:hAnsiTheme="majorHAnsi" w:cs="Times New Roman"/>
          <w:lang w:val="sq-AL"/>
        </w:rPr>
      </w:pPr>
    </w:p>
    <w:p w14:paraId="2CBB796D" w14:textId="77777777" w:rsidR="007F44B9" w:rsidRPr="002E06C4" w:rsidRDefault="007F44B9" w:rsidP="007F44B9">
      <w:pPr>
        <w:spacing w:line="276" w:lineRule="auto"/>
        <w:jc w:val="both"/>
        <w:rPr>
          <w:rFonts w:asciiTheme="majorHAnsi" w:hAnsiTheme="majorHAnsi" w:cs="Times New Roman"/>
          <w:b/>
          <w:color w:val="C00000"/>
          <w:sz w:val="32"/>
          <w:lang w:val="sq-AL"/>
        </w:rPr>
      </w:pPr>
      <w:r w:rsidRPr="002E06C4">
        <w:rPr>
          <w:rFonts w:asciiTheme="majorHAnsi" w:hAnsiTheme="majorHAnsi" w:cs="Times New Roman"/>
          <w:b/>
          <w:color w:val="C00000"/>
          <w:sz w:val="32"/>
          <w:lang w:val="sq-AL"/>
        </w:rPr>
        <w:t>Tiranë, Maj 2019</w:t>
      </w:r>
    </w:p>
    <w:p w14:paraId="2F2E1A79" w14:textId="77777777" w:rsidR="007F44B9" w:rsidRPr="002E06C4" w:rsidRDefault="007F44B9" w:rsidP="007F44B9">
      <w:pPr>
        <w:spacing w:line="276" w:lineRule="auto"/>
        <w:jc w:val="both"/>
        <w:rPr>
          <w:rFonts w:asciiTheme="majorHAnsi" w:hAnsiTheme="majorHAnsi" w:cs="Times New Roman"/>
          <w:b/>
          <w:color w:val="C00000"/>
          <w:sz w:val="28"/>
          <w:lang w:val="sq-AL"/>
        </w:rPr>
      </w:pPr>
    </w:p>
    <w:p w14:paraId="16BA5F90" w14:textId="77777777" w:rsidR="00DF1136" w:rsidRPr="002E06C4" w:rsidRDefault="00DF1136" w:rsidP="00DF1136">
      <w:pPr>
        <w:pStyle w:val="TOCHeading"/>
        <w:spacing w:before="0" w:line="360" w:lineRule="auto"/>
        <w:jc w:val="center"/>
        <w:rPr>
          <w:color w:val="0070C0"/>
          <w:sz w:val="36"/>
          <w:szCs w:val="24"/>
          <w:lang w:val="sq-AL"/>
        </w:rPr>
      </w:pPr>
      <w:r w:rsidRPr="002E06C4">
        <w:rPr>
          <w:color w:val="0070C0"/>
          <w:sz w:val="36"/>
          <w:szCs w:val="24"/>
          <w:lang w:val="sq-AL"/>
        </w:rPr>
        <w:lastRenderedPageBreak/>
        <w:t>P Ë R M B A J T J A</w:t>
      </w:r>
    </w:p>
    <w:sdt>
      <w:sdtPr>
        <w:rPr>
          <w:rFonts w:asciiTheme="minorHAnsi" w:eastAsiaTheme="minorEastAsia" w:hAnsiTheme="minorHAnsi" w:cstheme="minorBidi"/>
          <w:b w:val="0"/>
          <w:bCs/>
          <w:noProof w:val="0"/>
          <w:color w:val="auto"/>
          <w:sz w:val="24"/>
          <w:lang w:val="en-US"/>
        </w:rPr>
        <w:id w:val="824712578"/>
        <w:docPartObj>
          <w:docPartGallery w:val="Table of Contents"/>
          <w:docPartUnique/>
        </w:docPartObj>
      </w:sdtPr>
      <w:sdtEndPr>
        <w:rPr>
          <w:rFonts w:ascii="Times New Roman" w:eastAsia="Times New Roman" w:hAnsi="Times New Roman" w:cs="Times New Roman"/>
          <w:bCs w:val="0"/>
        </w:rPr>
      </w:sdtEndPr>
      <w:sdtContent>
        <w:p w14:paraId="06F0D55B" w14:textId="77777777" w:rsidR="00020F57" w:rsidRPr="00020F57" w:rsidRDefault="00140052" w:rsidP="00543C22">
          <w:pPr>
            <w:pStyle w:val="TOC1"/>
            <w:spacing w:before="0" w:line="276" w:lineRule="auto"/>
            <w:jc w:val="both"/>
            <w:rPr>
              <w:rFonts w:eastAsiaTheme="minorEastAsia" w:cstheme="minorBidi"/>
              <w:b w:val="0"/>
              <w:color w:val="auto"/>
              <w:sz w:val="24"/>
              <w:lang w:val="en-US"/>
            </w:rPr>
          </w:pPr>
          <w:r w:rsidRPr="00020F57">
            <w:rPr>
              <w:noProof w:val="0"/>
              <w:sz w:val="24"/>
            </w:rPr>
            <w:fldChar w:fldCharType="begin"/>
          </w:r>
          <w:r w:rsidRPr="00020F57">
            <w:rPr>
              <w:sz w:val="24"/>
            </w:rPr>
            <w:instrText xml:space="preserve"> TOC \o "1-3" \h \z \u </w:instrText>
          </w:r>
          <w:r w:rsidRPr="00020F57">
            <w:rPr>
              <w:noProof w:val="0"/>
              <w:sz w:val="24"/>
            </w:rPr>
            <w:fldChar w:fldCharType="separate"/>
          </w:r>
          <w:hyperlink w:anchor="_Toc11134199" w:history="1">
            <w:r w:rsidR="00C76A56" w:rsidRPr="00020F57">
              <w:rPr>
                <w:rStyle w:val="Hyperlink"/>
                <w:sz w:val="24"/>
              </w:rPr>
              <w:t>1.</w:t>
            </w:r>
            <w:r w:rsidR="00C76A56" w:rsidRPr="00020F57">
              <w:rPr>
                <w:rFonts w:eastAsiaTheme="minorEastAsia" w:cstheme="minorBidi"/>
                <w:b w:val="0"/>
                <w:color w:val="auto"/>
                <w:sz w:val="24"/>
                <w:lang w:val="en-US"/>
              </w:rPr>
              <w:tab/>
            </w:r>
            <w:r w:rsidR="00C76A56" w:rsidRPr="00020F57">
              <w:rPr>
                <w:rStyle w:val="Hyperlink"/>
                <w:sz w:val="24"/>
              </w:rPr>
              <w:t>REZULTATI I BUXHETIT TË KONSOLIDUAR</w:t>
            </w:r>
            <w:r w:rsidR="00C76A56" w:rsidRPr="00020F57">
              <w:rPr>
                <w:webHidden/>
                <w:sz w:val="24"/>
              </w:rPr>
              <w:tab/>
            </w:r>
            <w:r w:rsidR="00C76A56">
              <w:rPr>
                <w:webHidden/>
                <w:sz w:val="24"/>
              </w:rPr>
              <w:tab/>
            </w:r>
            <w:r w:rsidR="00C76A56">
              <w:rPr>
                <w:webHidden/>
                <w:sz w:val="24"/>
              </w:rPr>
              <w:tab/>
            </w:r>
            <w:r w:rsidR="00020F57" w:rsidRPr="00020F57">
              <w:rPr>
                <w:webHidden/>
                <w:sz w:val="24"/>
              </w:rPr>
              <w:fldChar w:fldCharType="begin"/>
            </w:r>
            <w:r w:rsidR="00020F57" w:rsidRPr="00020F57">
              <w:rPr>
                <w:webHidden/>
                <w:sz w:val="24"/>
              </w:rPr>
              <w:instrText xml:space="preserve"> PAGEREF _Toc11134199 \h </w:instrText>
            </w:r>
            <w:r w:rsidR="00020F57" w:rsidRPr="00020F57">
              <w:rPr>
                <w:webHidden/>
                <w:sz w:val="24"/>
              </w:rPr>
            </w:r>
            <w:r w:rsidR="00020F57" w:rsidRPr="00020F57">
              <w:rPr>
                <w:webHidden/>
                <w:sz w:val="24"/>
              </w:rPr>
              <w:fldChar w:fldCharType="separate"/>
            </w:r>
            <w:r w:rsidR="006B7599">
              <w:rPr>
                <w:webHidden/>
                <w:sz w:val="24"/>
              </w:rPr>
              <w:t>6</w:t>
            </w:r>
            <w:r w:rsidR="00020F57" w:rsidRPr="00020F57">
              <w:rPr>
                <w:webHidden/>
                <w:sz w:val="24"/>
              </w:rPr>
              <w:fldChar w:fldCharType="end"/>
            </w:r>
          </w:hyperlink>
        </w:p>
        <w:p w14:paraId="6035C6D1" w14:textId="77777777" w:rsidR="00020F57" w:rsidRPr="00020F57" w:rsidRDefault="003D3813" w:rsidP="00543C22">
          <w:pPr>
            <w:pStyle w:val="TOC1"/>
            <w:spacing w:before="0" w:line="276" w:lineRule="auto"/>
            <w:jc w:val="both"/>
            <w:rPr>
              <w:rFonts w:eastAsiaTheme="minorEastAsia" w:cstheme="minorBidi"/>
              <w:b w:val="0"/>
              <w:color w:val="auto"/>
              <w:sz w:val="24"/>
              <w:lang w:val="en-US"/>
            </w:rPr>
          </w:pPr>
          <w:hyperlink w:anchor="_Toc11134200" w:history="1">
            <w:r w:rsidR="00C76A56" w:rsidRPr="00020F57">
              <w:rPr>
                <w:rStyle w:val="Hyperlink"/>
                <w:sz w:val="24"/>
              </w:rPr>
              <w:t>2.</w:t>
            </w:r>
            <w:r w:rsidR="00C76A56" w:rsidRPr="00020F57">
              <w:rPr>
                <w:rFonts w:eastAsiaTheme="minorEastAsia" w:cstheme="minorBidi"/>
                <w:b w:val="0"/>
                <w:color w:val="auto"/>
                <w:sz w:val="24"/>
                <w:lang w:val="en-US"/>
              </w:rPr>
              <w:tab/>
            </w:r>
            <w:r w:rsidR="00C76A56" w:rsidRPr="00020F57">
              <w:rPr>
                <w:rStyle w:val="Hyperlink"/>
                <w:sz w:val="24"/>
              </w:rPr>
              <w:t>PASQYRË E ZHVILLIMEVE MAKROEKONOMIKE</w:t>
            </w:r>
            <w:r w:rsidR="00C76A56" w:rsidRPr="00020F57">
              <w:rPr>
                <w:webHidden/>
                <w:sz w:val="24"/>
              </w:rPr>
              <w:tab/>
            </w:r>
            <w:r w:rsidR="00C76A56">
              <w:rPr>
                <w:webHidden/>
                <w:sz w:val="24"/>
              </w:rPr>
              <w:tab/>
            </w:r>
            <w:r w:rsidR="00C76A56">
              <w:rPr>
                <w:webHidden/>
                <w:sz w:val="24"/>
              </w:rPr>
              <w:tab/>
            </w:r>
            <w:r w:rsidR="00020F57" w:rsidRPr="00020F57">
              <w:rPr>
                <w:webHidden/>
                <w:sz w:val="24"/>
              </w:rPr>
              <w:fldChar w:fldCharType="begin"/>
            </w:r>
            <w:r w:rsidR="00020F57" w:rsidRPr="00020F57">
              <w:rPr>
                <w:webHidden/>
                <w:sz w:val="24"/>
              </w:rPr>
              <w:instrText xml:space="preserve"> PAGEREF _Toc11134200 \h </w:instrText>
            </w:r>
            <w:r w:rsidR="00020F57" w:rsidRPr="00020F57">
              <w:rPr>
                <w:webHidden/>
                <w:sz w:val="24"/>
              </w:rPr>
            </w:r>
            <w:r w:rsidR="00020F57" w:rsidRPr="00020F57">
              <w:rPr>
                <w:webHidden/>
                <w:sz w:val="24"/>
              </w:rPr>
              <w:fldChar w:fldCharType="separate"/>
            </w:r>
            <w:r w:rsidR="006B7599">
              <w:rPr>
                <w:webHidden/>
                <w:sz w:val="24"/>
              </w:rPr>
              <w:t>7</w:t>
            </w:r>
            <w:r w:rsidR="00020F57" w:rsidRPr="00020F57">
              <w:rPr>
                <w:webHidden/>
                <w:sz w:val="24"/>
              </w:rPr>
              <w:fldChar w:fldCharType="end"/>
            </w:r>
          </w:hyperlink>
        </w:p>
        <w:p w14:paraId="0A193A10" w14:textId="77777777" w:rsidR="00020F57" w:rsidRPr="00020F57" w:rsidRDefault="003D3813" w:rsidP="00543C22">
          <w:pPr>
            <w:pStyle w:val="TOC2"/>
            <w:rPr>
              <w:rFonts w:eastAsiaTheme="minorEastAsia" w:cstheme="minorBidi"/>
              <w:lang w:val="en-US"/>
            </w:rPr>
          </w:pPr>
          <w:hyperlink w:anchor="_Toc11134201" w:history="1">
            <w:r w:rsidR="00020F57" w:rsidRPr="00020F57">
              <w:rPr>
                <w:rStyle w:val="Hyperlink"/>
              </w:rPr>
              <w:t>2.1</w:t>
            </w:r>
            <w:r w:rsidR="00020F57" w:rsidRPr="00020F57">
              <w:rPr>
                <w:rFonts w:eastAsiaTheme="minorEastAsia" w:cstheme="minorBidi"/>
                <w:lang w:val="en-US"/>
              </w:rPr>
              <w:tab/>
            </w:r>
            <w:r w:rsidR="00020F57" w:rsidRPr="00020F57">
              <w:rPr>
                <w:rStyle w:val="Hyperlink"/>
              </w:rPr>
              <w:t>Zhvillimet e fundit ekonomike</w:t>
            </w:r>
            <w:r w:rsidR="00020F57">
              <w:rPr>
                <w:rStyle w:val="Hyperlink"/>
              </w:rPr>
              <w:t xml:space="preserve">                                                                                    </w:t>
            </w:r>
            <w:r w:rsidR="00A13597">
              <w:rPr>
                <w:rStyle w:val="Hyperlink"/>
              </w:rPr>
              <w:t xml:space="preserve">                              </w:t>
            </w:r>
            <w:r w:rsidR="00020F57" w:rsidRPr="00020F57">
              <w:rPr>
                <w:webHidden/>
              </w:rPr>
              <w:fldChar w:fldCharType="begin"/>
            </w:r>
            <w:r w:rsidR="00020F57" w:rsidRPr="00020F57">
              <w:rPr>
                <w:webHidden/>
              </w:rPr>
              <w:instrText xml:space="preserve"> PAGEREF _Toc11134201 \h </w:instrText>
            </w:r>
            <w:r w:rsidR="00020F57" w:rsidRPr="00020F57">
              <w:rPr>
                <w:webHidden/>
              </w:rPr>
            </w:r>
            <w:r w:rsidR="00020F57" w:rsidRPr="00020F57">
              <w:rPr>
                <w:webHidden/>
              </w:rPr>
              <w:fldChar w:fldCharType="separate"/>
            </w:r>
            <w:r w:rsidR="006B7599">
              <w:rPr>
                <w:webHidden/>
              </w:rPr>
              <w:t>7</w:t>
            </w:r>
            <w:r w:rsidR="00020F57" w:rsidRPr="00020F57">
              <w:rPr>
                <w:webHidden/>
              </w:rPr>
              <w:fldChar w:fldCharType="end"/>
            </w:r>
          </w:hyperlink>
        </w:p>
        <w:p w14:paraId="04D52E24" w14:textId="7C9A5383" w:rsidR="00020F57" w:rsidRPr="00020F57" w:rsidRDefault="003D3813" w:rsidP="00543C22">
          <w:pPr>
            <w:pStyle w:val="TOC2"/>
            <w:rPr>
              <w:rFonts w:eastAsiaTheme="minorEastAsia" w:cstheme="minorBidi"/>
              <w:lang w:val="en-US"/>
            </w:rPr>
          </w:pPr>
          <w:hyperlink w:anchor="_Toc11134202" w:history="1">
            <w:r w:rsidR="00020F57" w:rsidRPr="00020F57">
              <w:rPr>
                <w:rStyle w:val="Hyperlink"/>
              </w:rPr>
              <w:t>2.2</w:t>
            </w:r>
            <w:r w:rsidR="00020F57" w:rsidRPr="00020F57">
              <w:rPr>
                <w:rFonts w:eastAsiaTheme="minorEastAsia" w:cstheme="minorBidi"/>
                <w:lang w:val="en-US"/>
              </w:rPr>
              <w:tab/>
            </w:r>
            <w:r w:rsidR="00020F57" w:rsidRPr="00020F57">
              <w:rPr>
                <w:rStyle w:val="Hyperlink"/>
              </w:rPr>
              <w:t>Krahasimi me vendet e rajonit</w:t>
            </w:r>
            <w:r w:rsidR="00020F57">
              <w:rPr>
                <w:rStyle w:val="Hyperlink"/>
              </w:rPr>
              <w:t xml:space="preserve">                                                                                 </w:t>
            </w:r>
            <w:r w:rsidR="00A13597">
              <w:rPr>
                <w:rStyle w:val="Hyperlink"/>
              </w:rPr>
              <w:t xml:space="preserve">                               </w:t>
            </w:r>
            <w:r w:rsidR="002755E8">
              <w:rPr>
                <w:rStyle w:val="Hyperlink"/>
              </w:rPr>
              <w:t xml:space="preserve">  </w:t>
            </w:r>
            <w:r w:rsidR="00020F57" w:rsidRPr="00020F57">
              <w:rPr>
                <w:webHidden/>
              </w:rPr>
              <w:fldChar w:fldCharType="begin"/>
            </w:r>
            <w:r w:rsidR="00020F57" w:rsidRPr="00020F57">
              <w:rPr>
                <w:webHidden/>
              </w:rPr>
              <w:instrText xml:space="preserve"> PAGEREF _Toc11134202 \h </w:instrText>
            </w:r>
            <w:r w:rsidR="00020F57" w:rsidRPr="00020F57">
              <w:rPr>
                <w:webHidden/>
              </w:rPr>
            </w:r>
            <w:r w:rsidR="00020F57" w:rsidRPr="00020F57">
              <w:rPr>
                <w:webHidden/>
              </w:rPr>
              <w:fldChar w:fldCharType="separate"/>
            </w:r>
            <w:r w:rsidR="006B7599">
              <w:rPr>
                <w:webHidden/>
              </w:rPr>
              <w:t>8</w:t>
            </w:r>
            <w:r w:rsidR="00020F57" w:rsidRPr="00020F57">
              <w:rPr>
                <w:webHidden/>
              </w:rPr>
              <w:fldChar w:fldCharType="end"/>
            </w:r>
          </w:hyperlink>
        </w:p>
        <w:p w14:paraId="0157C2A5" w14:textId="77777777" w:rsidR="00020F57" w:rsidRPr="00020F57" w:rsidRDefault="003D3813" w:rsidP="00543C22">
          <w:pPr>
            <w:pStyle w:val="TOC1"/>
            <w:spacing w:before="0" w:line="276" w:lineRule="auto"/>
            <w:jc w:val="both"/>
            <w:rPr>
              <w:rFonts w:eastAsiaTheme="minorEastAsia" w:cstheme="minorBidi"/>
              <w:b w:val="0"/>
              <w:color w:val="auto"/>
              <w:sz w:val="24"/>
              <w:lang w:val="en-US"/>
            </w:rPr>
          </w:pPr>
          <w:hyperlink w:anchor="_Toc11134203" w:history="1">
            <w:r w:rsidR="00C76A56" w:rsidRPr="00020F57">
              <w:rPr>
                <w:rStyle w:val="Hyperlink"/>
                <w:sz w:val="24"/>
              </w:rPr>
              <w:t>3.</w:t>
            </w:r>
            <w:r w:rsidR="00C76A56" w:rsidRPr="00020F57">
              <w:rPr>
                <w:rFonts w:eastAsiaTheme="minorEastAsia" w:cstheme="minorBidi"/>
                <w:b w:val="0"/>
                <w:color w:val="auto"/>
                <w:sz w:val="24"/>
                <w:lang w:val="en-US"/>
              </w:rPr>
              <w:tab/>
            </w:r>
            <w:r w:rsidR="00C76A56" w:rsidRPr="00020F57">
              <w:rPr>
                <w:rStyle w:val="Hyperlink"/>
                <w:sz w:val="24"/>
              </w:rPr>
              <w:t>POLITIKAT FISKALE DHE REZULTATI I MBLEDHJES SË TË ARDHURAVE</w:t>
            </w:r>
            <w:r w:rsidR="00020F57" w:rsidRPr="00020F57">
              <w:rPr>
                <w:webHidden/>
                <w:sz w:val="24"/>
              </w:rPr>
              <w:tab/>
            </w:r>
            <w:r w:rsidR="00020F57">
              <w:rPr>
                <w:webHidden/>
                <w:sz w:val="24"/>
              </w:rPr>
              <w:t xml:space="preserve">                </w:t>
            </w:r>
            <w:r w:rsidR="00020F57" w:rsidRPr="00020F57">
              <w:rPr>
                <w:webHidden/>
                <w:sz w:val="24"/>
              </w:rPr>
              <w:fldChar w:fldCharType="begin"/>
            </w:r>
            <w:r w:rsidR="00020F57" w:rsidRPr="00020F57">
              <w:rPr>
                <w:webHidden/>
                <w:sz w:val="24"/>
              </w:rPr>
              <w:instrText xml:space="preserve"> PAGEREF _Toc11134203 \h </w:instrText>
            </w:r>
            <w:r w:rsidR="00020F57" w:rsidRPr="00020F57">
              <w:rPr>
                <w:webHidden/>
                <w:sz w:val="24"/>
              </w:rPr>
            </w:r>
            <w:r w:rsidR="00020F57" w:rsidRPr="00020F57">
              <w:rPr>
                <w:webHidden/>
                <w:sz w:val="24"/>
              </w:rPr>
              <w:fldChar w:fldCharType="separate"/>
            </w:r>
            <w:r w:rsidR="006B7599">
              <w:rPr>
                <w:webHidden/>
                <w:sz w:val="24"/>
              </w:rPr>
              <w:t>11</w:t>
            </w:r>
            <w:r w:rsidR="00020F57" w:rsidRPr="00020F57">
              <w:rPr>
                <w:webHidden/>
                <w:sz w:val="24"/>
              </w:rPr>
              <w:fldChar w:fldCharType="end"/>
            </w:r>
          </w:hyperlink>
        </w:p>
        <w:p w14:paraId="1ED2E3D3" w14:textId="77777777" w:rsidR="00020F57" w:rsidRPr="00020F57" w:rsidRDefault="003D3813" w:rsidP="00543C22">
          <w:pPr>
            <w:pStyle w:val="TOC2"/>
            <w:rPr>
              <w:rFonts w:eastAsiaTheme="minorEastAsia" w:cstheme="minorBidi"/>
              <w:lang w:val="en-US"/>
            </w:rPr>
          </w:pPr>
          <w:hyperlink w:anchor="_Toc11134204" w:history="1">
            <w:r w:rsidR="00020F57" w:rsidRPr="00020F57">
              <w:rPr>
                <w:rStyle w:val="Hyperlink"/>
              </w:rPr>
              <w:t>3.1</w:t>
            </w:r>
            <w:r w:rsidR="00020F57" w:rsidRPr="00020F57">
              <w:rPr>
                <w:rFonts w:eastAsiaTheme="minorEastAsia" w:cstheme="minorBidi"/>
                <w:lang w:val="en-US"/>
              </w:rPr>
              <w:tab/>
            </w:r>
            <w:r w:rsidR="00020F57" w:rsidRPr="00020F57">
              <w:rPr>
                <w:rStyle w:val="Hyperlink"/>
              </w:rPr>
              <w:t>Politika fiskale në vitin 2018 dhe efektet në buxhet dhe në ekonomi</w:t>
            </w:r>
            <w:r w:rsidR="00020F57">
              <w:rPr>
                <w:rStyle w:val="Hyperlink"/>
              </w:rPr>
              <w:t xml:space="preserve">              </w:t>
            </w:r>
            <w:r w:rsidR="00A13597">
              <w:rPr>
                <w:rStyle w:val="Hyperlink"/>
              </w:rPr>
              <w:t xml:space="preserve">                             </w:t>
            </w:r>
            <w:r w:rsidR="00020F57" w:rsidRPr="00020F57">
              <w:rPr>
                <w:webHidden/>
              </w:rPr>
              <w:fldChar w:fldCharType="begin"/>
            </w:r>
            <w:r w:rsidR="00020F57" w:rsidRPr="00020F57">
              <w:rPr>
                <w:webHidden/>
              </w:rPr>
              <w:instrText xml:space="preserve"> PAGEREF _Toc11134204 \h </w:instrText>
            </w:r>
            <w:r w:rsidR="00020F57" w:rsidRPr="00020F57">
              <w:rPr>
                <w:webHidden/>
              </w:rPr>
            </w:r>
            <w:r w:rsidR="00020F57" w:rsidRPr="00020F57">
              <w:rPr>
                <w:webHidden/>
              </w:rPr>
              <w:fldChar w:fldCharType="separate"/>
            </w:r>
            <w:r w:rsidR="006B7599">
              <w:rPr>
                <w:webHidden/>
              </w:rPr>
              <w:t>11</w:t>
            </w:r>
            <w:r w:rsidR="00020F57" w:rsidRPr="00020F57">
              <w:rPr>
                <w:webHidden/>
              </w:rPr>
              <w:fldChar w:fldCharType="end"/>
            </w:r>
          </w:hyperlink>
        </w:p>
        <w:p w14:paraId="1B7ACBC1" w14:textId="77777777" w:rsidR="00020F57" w:rsidRPr="00020F57" w:rsidRDefault="003D3813" w:rsidP="00543C22">
          <w:pPr>
            <w:pStyle w:val="TOC3"/>
            <w:spacing w:line="276" w:lineRule="auto"/>
            <w:jc w:val="both"/>
            <w:rPr>
              <w:rFonts w:asciiTheme="majorHAnsi" w:eastAsiaTheme="minorEastAsia" w:hAnsiTheme="majorHAnsi" w:cstheme="minorBidi"/>
              <w:noProof/>
            </w:rPr>
          </w:pPr>
          <w:hyperlink w:anchor="_Toc11134205" w:history="1">
            <w:r w:rsidR="00020F57" w:rsidRPr="00020F57">
              <w:rPr>
                <w:rStyle w:val="Hyperlink"/>
                <w:rFonts w:asciiTheme="majorHAnsi" w:hAnsiTheme="majorHAnsi"/>
                <w:i/>
                <w:noProof/>
                <w:lang w:val="sq-AL"/>
              </w:rPr>
              <w:t>3.1.1</w:t>
            </w:r>
            <w:r w:rsidR="00020F57" w:rsidRPr="00020F57">
              <w:rPr>
                <w:rFonts w:asciiTheme="majorHAnsi" w:eastAsiaTheme="minorEastAsia" w:hAnsiTheme="majorHAnsi" w:cstheme="minorBidi"/>
                <w:noProof/>
              </w:rPr>
              <w:tab/>
            </w:r>
            <w:r w:rsidR="00020F57" w:rsidRPr="00020F57">
              <w:rPr>
                <w:rStyle w:val="Hyperlink"/>
                <w:rFonts w:asciiTheme="majorHAnsi" w:hAnsiTheme="majorHAnsi"/>
                <w:i/>
                <w:noProof/>
                <w:lang w:val="sq-AL"/>
              </w:rPr>
              <w:t>Tatimi mbi Vlerën e Shtuar</w:t>
            </w:r>
            <w:r w:rsidR="00020F57">
              <w:rPr>
                <w:rStyle w:val="Hyperlink"/>
                <w:rFonts w:asciiTheme="majorHAnsi" w:hAnsiTheme="majorHAnsi"/>
                <w:i/>
                <w:noProof/>
                <w:lang w:val="sq-AL"/>
              </w:rPr>
              <w:t xml:space="preserve">                                                                                                               </w:t>
            </w:r>
            <w:r w:rsidR="00020F57" w:rsidRPr="00020F57">
              <w:rPr>
                <w:rFonts w:asciiTheme="majorHAnsi" w:hAnsiTheme="majorHAnsi"/>
                <w:noProof/>
                <w:webHidden/>
              </w:rPr>
              <w:fldChar w:fldCharType="begin"/>
            </w:r>
            <w:r w:rsidR="00020F57" w:rsidRPr="00020F57">
              <w:rPr>
                <w:rFonts w:asciiTheme="majorHAnsi" w:hAnsiTheme="majorHAnsi"/>
                <w:noProof/>
                <w:webHidden/>
              </w:rPr>
              <w:instrText xml:space="preserve"> PAGEREF _Toc11134205 \h </w:instrText>
            </w:r>
            <w:r w:rsidR="00020F57" w:rsidRPr="00020F57">
              <w:rPr>
                <w:rFonts w:asciiTheme="majorHAnsi" w:hAnsiTheme="majorHAnsi"/>
                <w:noProof/>
                <w:webHidden/>
              </w:rPr>
            </w:r>
            <w:r w:rsidR="00020F57" w:rsidRPr="00020F57">
              <w:rPr>
                <w:rFonts w:asciiTheme="majorHAnsi" w:hAnsiTheme="majorHAnsi"/>
                <w:noProof/>
                <w:webHidden/>
              </w:rPr>
              <w:fldChar w:fldCharType="separate"/>
            </w:r>
            <w:r w:rsidR="006B7599">
              <w:rPr>
                <w:rFonts w:asciiTheme="majorHAnsi" w:hAnsiTheme="majorHAnsi"/>
                <w:noProof/>
                <w:webHidden/>
              </w:rPr>
              <w:t>11</w:t>
            </w:r>
            <w:r w:rsidR="00020F57" w:rsidRPr="00020F57">
              <w:rPr>
                <w:rFonts w:asciiTheme="majorHAnsi" w:hAnsiTheme="majorHAnsi"/>
                <w:noProof/>
                <w:webHidden/>
              </w:rPr>
              <w:fldChar w:fldCharType="end"/>
            </w:r>
          </w:hyperlink>
        </w:p>
        <w:p w14:paraId="50E76FA2" w14:textId="77777777" w:rsidR="00020F57" w:rsidRPr="00020F57" w:rsidRDefault="003D3813" w:rsidP="00543C22">
          <w:pPr>
            <w:pStyle w:val="TOC3"/>
            <w:spacing w:line="276" w:lineRule="auto"/>
            <w:jc w:val="both"/>
            <w:rPr>
              <w:rFonts w:asciiTheme="majorHAnsi" w:eastAsiaTheme="minorEastAsia" w:hAnsiTheme="majorHAnsi" w:cstheme="minorBidi"/>
              <w:noProof/>
            </w:rPr>
          </w:pPr>
          <w:hyperlink w:anchor="_Toc11134206" w:history="1">
            <w:r w:rsidR="00020F57" w:rsidRPr="00020F57">
              <w:rPr>
                <w:rStyle w:val="Hyperlink"/>
                <w:rFonts w:asciiTheme="majorHAnsi" w:hAnsiTheme="majorHAnsi"/>
                <w:i/>
                <w:noProof/>
                <w:lang w:val="sq-AL"/>
              </w:rPr>
              <w:t>3.1.2</w:t>
            </w:r>
            <w:r w:rsidR="00020F57" w:rsidRPr="00020F57">
              <w:rPr>
                <w:rFonts w:asciiTheme="majorHAnsi" w:eastAsiaTheme="minorEastAsia" w:hAnsiTheme="majorHAnsi" w:cstheme="minorBidi"/>
                <w:noProof/>
              </w:rPr>
              <w:tab/>
            </w:r>
            <w:r w:rsidR="00020F57" w:rsidRPr="00020F57">
              <w:rPr>
                <w:rStyle w:val="Hyperlink"/>
                <w:rFonts w:asciiTheme="majorHAnsi" w:hAnsiTheme="majorHAnsi"/>
                <w:i/>
                <w:noProof/>
                <w:lang w:val="sq-AL"/>
              </w:rPr>
              <w:t>Tatimi mbi të Ardhurat</w:t>
            </w:r>
            <w:r w:rsidR="00020F57">
              <w:rPr>
                <w:rFonts w:asciiTheme="majorHAnsi" w:hAnsiTheme="majorHAnsi"/>
                <w:noProof/>
                <w:webHidden/>
              </w:rPr>
              <w:t xml:space="preserve">                                                                                                                      </w:t>
            </w:r>
            <w:r w:rsidR="00020F57" w:rsidRPr="00020F57">
              <w:rPr>
                <w:rFonts w:asciiTheme="majorHAnsi" w:hAnsiTheme="majorHAnsi"/>
                <w:noProof/>
                <w:webHidden/>
              </w:rPr>
              <w:fldChar w:fldCharType="begin"/>
            </w:r>
            <w:r w:rsidR="00020F57" w:rsidRPr="00020F57">
              <w:rPr>
                <w:rFonts w:asciiTheme="majorHAnsi" w:hAnsiTheme="majorHAnsi"/>
                <w:noProof/>
                <w:webHidden/>
              </w:rPr>
              <w:instrText xml:space="preserve"> PAGEREF _Toc11134206 \h </w:instrText>
            </w:r>
            <w:r w:rsidR="00020F57" w:rsidRPr="00020F57">
              <w:rPr>
                <w:rFonts w:asciiTheme="majorHAnsi" w:hAnsiTheme="majorHAnsi"/>
                <w:noProof/>
                <w:webHidden/>
              </w:rPr>
            </w:r>
            <w:r w:rsidR="00020F57" w:rsidRPr="00020F57">
              <w:rPr>
                <w:rFonts w:asciiTheme="majorHAnsi" w:hAnsiTheme="majorHAnsi"/>
                <w:noProof/>
                <w:webHidden/>
              </w:rPr>
              <w:fldChar w:fldCharType="separate"/>
            </w:r>
            <w:r w:rsidR="006B7599">
              <w:rPr>
                <w:rFonts w:asciiTheme="majorHAnsi" w:hAnsiTheme="majorHAnsi"/>
                <w:noProof/>
                <w:webHidden/>
              </w:rPr>
              <w:t>12</w:t>
            </w:r>
            <w:r w:rsidR="00020F57" w:rsidRPr="00020F57">
              <w:rPr>
                <w:rFonts w:asciiTheme="majorHAnsi" w:hAnsiTheme="majorHAnsi"/>
                <w:noProof/>
                <w:webHidden/>
              </w:rPr>
              <w:fldChar w:fldCharType="end"/>
            </w:r>
          </w:hyperlink>
        </w:p>
        <w:p w14:paraId="59B28B1B"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07" w:history="1">
            <w:r w:rsidR="00020F57" w:rsidRPr="00020F57">
              <w:rPr>
                <w:rStyle w:val="Hyperlink"/>
                <w:rFonts w:asciiTheme="majorHAnsi" w:hAnsiTheme="majorHAnsi"/>
                <w:i/>
                <w:noProof/>
                <w:u w:val="none"/>
                <w:lang w:val="sq-AL"/>
              </w:rPr>
              <w:t>3.1.3</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Akciza</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_Toc11134207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12</w:t>
            </w:r>
            <w:r w:rsidR="00020F57" w:rsidRPr="00020F57">
              <w:rPr>
                <w:rFonts w:asciiTheme="majorHAnsi" w:hAnsiTheme="majorHAnsi"/>
                <w:i/>
                <w:noProof/>
                <w:webHidden/>
              </w:rPr>
              <w:fldChar w:fldCharType="end"/>
            </w:r>
          </w:hyperlink>
        </w:p>
        <w:p w14:paraId="318F6686"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08" w:history="1">
            <w:r w:rsidR="00020F57" w:rsidRPr="00020F57">
              <w:rPr>
                <w:rStyle w:val="Hyperlink"/>
                <w:rFonts w:asciiTheme="majorHAnsi" w:hAnsiTheme="majorHAnsi"/>
                <w:i/>
                <w:noProof/>
                <w:u w:val="none"/>
                <w:lang w:val="sq-AL"/>
              </w:rPr>
              <w:t>3.1.4</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Tarifat Doganore</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_Toc11134208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12</w:t>
            </w:r>
            <w:r w:rsidR="00020F57" w:rsidRPr="00020F57">
              <w:rPr>
                <w:rFonts w:asciiTheme="majorHAnsi" w:hAnsiTheme="majorHAnsi"/>
                <w:i/>
                <w:noProof/>
                <w:webHidden/>
              </w:rPr>
              <w:fldChar w:fldCharType="end"/>
            </w:r>
          </w:hyperlink>
        </w:p>
        <w:p w14:paraId="655CE2BE"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09" w:history="1">
            <w:r w:rsidR="00020F57" w:rsidRPr="00020F57">
              <w:rPr>
                <w:rStyle w:val="Hyperlink"/>
                <w:rFonts w:asciiTheme="majorHAnsi" w:hAnsiTheme="majorHAnsi"/>
                <w:i/>
                <w:iCs/>
                <w:noProof/>
                <w:u w:val="none"/>
                <w:lang w:val="sq-AL"/>
              </w:rPr>
              <w:t>3.1.5</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Taksat Vendore</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_Toc11134209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12</w:t>
            </w:r>
            <w:r w:rsidR="00020F57" w:rsidRPr="00020F57">
              <w:rPr>
                <w:rFonts w:asciiTheme="majorHAnsi" w:hAnsiTheme="majorHAnsi"/>
                <w:i/>
                <w:noProof/>
                <w:webHidden/>
              </w:rPr>
              <w:fldChar w:fldCharType="end"/>
            </w:r>
          </w:hyperlink>
        </w:p>
        <w:p w14:paraId="3773787A" w14:textId="77777777" w:rsidR="00020F57" w:rsidRPr="00020F57" w:rsidRDefault="003D3813" w:rsidP="00543C22">
          <w:pPr>
            <w:pStyle w:val="TOC2"/>
            <w:rPr>
              <w:rFonts w:eastAsiaTheme="minorEastAsia" w:cstheme="minorBidi"/>
              <w:lang w:val="en-US"/>
            </w:rPr>
          </w:pPr>
          <w:hyperlink w:anchor="_Toc11134210" w:history="1">
            <w:r w:rsidR="00020F57" w:rsidRPr="00020F57">
              <w:rPr>
                <w:rStyle w:val="Hyperlink"/>
              </w:rPr>
              <w:t>3.2</w:t>
            </w:r>
            <w:r w:rsidR="00020F57" w:rsidRPr="00020F57">
              <w:rPr>
                <w:rFonts w:eastAsiaTheme="minorEastAsia" w:cstheme="minorBidi"/>
                <w:lang w:val="en-US"/>
              </w:rPr>
              <w:tab/>
            </w:r>
            <w:r w:rsidR="00020F57" w:rsidRPr="00020F57">
              <w:rPr>
                <w:rStyle w:val="Hyperlink"/>
              </w:rPr>
              <w:t>Të Ardhurat e Përgjithshme</w:t>
            </w:r>
            <w:r w:rsidR="00020F57">
              <w:rPr>
                <w:rStyle w:val="Hyperlink"/>
              </w:rPr>
              <w:t xml:space="preserve">                                                                                      </w:t>
            </w:r>
            <w:r w:rsidR="00543C22">
              <w:rPr>
                <w:rStyle w:val="Hyperlink"/>
              </w:rPr>
              <w:t xml:space="preserve">                              </w:t>
            </w:r>
            <w:r w:rsidR="00020F57" w:rsidRPr="00020F57">
              <w:rPr>
                <w:webHidden/>
              </w:rPr>
              <w:fldChar w:fldCharType="begin"/>
            </w:r>
            <w:r w:rsidR="00020F57" w:rsidRPr="00020F57">
              <w:rPr>
                <w:webHidden/>
              </w:rPr>
              <w:instrText xml:space="preserve"> PAGEREF _Toc11134210 \h </w:instrText>
            </w:r>
            <w:r w:rsidR="00020F57" w:rsidRPr="00020F57">
              <w:rPr>
                <w:webHidden/>
              </w:rPr>
            </w:r>
            <w:r w:rsidR="00020F57" w:rsidRPr="00020F57">
              <w:rPr>
                <w:webHidden/>
              </w:rPr>
              <w:fldChar w:fldCharType="separate"/>
            </w:r>
            <w:r w:rsidR="006B7599">
              <w:rPr>
                <w:webHidden/>
              </w:rPr>
              <w:t>12</w:t>
            </w:r>
            <w:r w:rsidR="00020F57" w:rsidRPr="00020F57">
              <w:rPr>
                <w:webHidden/>
              </w:rPr>
              <w:fldChar w:fldCharType="end"/>
            </w:r>
          </w:hyperlink>
        </w:p>
        <w:p w14:paraId="63E1B7E9"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11" w:history="1">
            <w:r w:rsidR="00020F57" w:rsidRPr="00020F57">
              <w:rPr>
                <w:rStyle w:val="Hyperlink"/>
                <w:rFonts w:asciiTheme="majorHAnsi" w:hAnsiTheme="majorHAnsi"/>
                <w:i/>
                <w:noProof/>
                <w:lang w:val="sq-AL"/>
              </w:rPr>
              <w:t>3.2.1</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lang w:val="sq-AL"/>
              </w:rPr>
              <w:t>Të ardhurat nga ndihmat</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_Toc11134211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14</w:t>
            </w:r>
            <w:r w:rsidR="00020F57" w:rsidRPr="00020F57">
              <w:rPr>
                <w:rFonts w:asciiTheme="majorHAnsi" w:hAnsiTheme="majorHAnsi"/>
                <w:i/>
                <w:noProof/>
                <w:webHidden/>
              </w:rPr>
              <w:fldChar w:fldCharType="end"/>
            </w:r>
          </w:hyperlink>
        </w:p>
        <w:p w14:paraId="65594C72"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12" w:history="1">
            <w:r w:rsidR="00020F57" w:rsidRPr="00020F57">
              <w:rPr>
                <w:rStyle w:val="Hyperlink"/>
                <w:rFonts w:asciiTheme="majorHAnsi" w:hAnsiTheme="majorHAnsi"/>
                <w:i/>
                <w:noProof/>
                <w:lang w:val="sq-AL"/>
              </w:rPr>
              <w:t>3.2.2</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lang w:val="sq-AL"/>
              </w:rPr>
              <w:t>Të ardhurat tatimore</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_Toc11134212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14</w:t>
            </w:r>
            <w:r w:rsidR="00020F57" w:rsidRPr="00020F57">
              <w:rPr>
                <w:rFonts w:asciiTheme="majorHAnsi" w:hAnsiTheme="majorHAnsi"/>
                <w:i/>
                <w:noProof/>
                <w:webHidden/>
              </w:rPr>
              <w:fldChar w:fldCharType="end"/>
            </w:r>
          </w:hyperlink>
        </w:p>
        <w:p w14:paraId="2DD69359"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13" w:history="1">
            <w:r w:rsidR="00020F57" w:rsidRPr="00020F57">
              <w:rPr>
                <w:rStyle w:val="Hyperlink"/>
                <w:rFonts w:asciiTheme="majorHAnsi" w:hAnsiTheme="majorHAnsi"/>
                <w:i/>
                <w:noProof/>
                <w:lang w:val="sq-AL"/>
              </w:rPr>
              <w:t>3.2.3</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lang w:val="sq-AL"/>
              </w:rPr>
              <w:t>Të ardhurat nga pushteti vendor</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_Toc11134213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14</w:t>
            </w:r>
            <w:r w:rsidR="00020F57" w:rsidRPr="00020F57">
              <w:rPr>
                <w:rFonts w:asciiTheme="majorHAnsi" w:hAnsiTheme="majorHAnsi"/>
                <w:i/>
                <w:noProof/>
                <w:webHidden/>
              </w:rPr>
              <w:fldChar w:fldCharType="end"/>
            </w:r>
          </w:hyperlink>
        </w:p>
        <w:p w14:paraId="1BDF8052"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14" w:history="1">
            <w:r w:rsidR="00020F57" w:rsidRPr="00020F57">
              <w:rPr>
                <w:rStyle w:val="Hyperlink"/>
                <w:rFonts w:asciiTheme="majorHAnsi" w:hAnsiTheme="majorHAnsi"/>
                <w:i/>
                <w:noProof/>
                <w:lang w:val="sq-AL"/>
              </w:rPr>
              <w:t>3.2.4</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lang w:val="sq-AL"/>
              </w:rPr>
              <w:t>Të ardhurat nga fondet speciale</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_Toc11134214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15</w:t>
            </w:r>
            <w:r w:rsidR="00020F57" w:rsidRPr="00020F57">
              <w:rPr>
                <w:rFonts w:asciiTheme="majorHAnsi" w:hAnsiTheme="majorHAnsi"/>
                <w:i/>
                <w:noProof/>
                <w:webHidden/>
              </w:rPr>
              <w:fldChar w:fldCharType="end"/>
            </w:r>
          </w:hyperlink>
        </w:p>
        <w:p w14:paraId="684A8C19"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15" w:history="1">
            <w:r w:rsidR="00020F57" w:rsidRPr="00020F57">
              <w:rPr>
                <w:rStyle w:val="Hyperlink"/>
                <w:rFonts w:asciiTheme="majorHAnsi" w:hAnsiTheme="majorHAnsi"/>
                <w:i/>
                <w:noProof/>
                <w:lang w:val="sq-AL"/>
              </w:rPr>
              <w:t>3.2.5</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lang w:val="sq-AL"/>
              </w:rPr>
              <w:t>Të ardhurat jotatimore</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_Toc11134215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16</w:t>
            </w:r>
            <w:r w:rsidR="00020F57" w:rsidRPr="00020F57">
              <w:rPr>
                <w:rFonts w:asciiTheme="majorHAnsi" w:hAnsiTheme="majorHAnsi"/>
                <w:i/>
                <w:noProof/>
                <w:webHidden/>
              </w:rPr>
              <w:fldChar w:fldCharType="end"/>
            </w:r>
          </w:hyperlink>
        </w:p>
        <w:p w14:paraId="0EED91C6"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16" w:history="1">
            <w:r w:rsidR="00020F57" w:rsidRPr="00020F57">
              <w:rPr>
                <w:rStyle w:val="Hyperlink"/>
                <w:rFonts w:asciiTheme="majorHAnsi" w:hAnsiTheme="majorHAnsi"/>
                <w:i/>
                <w:noProof/>
                <w:lang w:val="sq-AL"/>
              </w:rPr>
              <w:t>3.2.6</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lang w:val="sq-AL"/>
              </w:rPr>
              <w:t>Të ardhurat nga tatimet dhe doganat</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_Toc11134216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16</w:t>
            </w:r>
            <w:r w:rsidR="00020F57" w:rsidRPr="00020F57">
              <w:rPr>
                <w:rFonts w:asciiTheme="majorHAnsi" w:hAnsiTheme="majorHAnsi"/>
                <w:i/>
                <w:noProof/>
                <w:webHidden/>
              </w:rPr>
              <w:fldChar w:fldCharType="end"/>
            </w:r>
          </w:hyperlink>
        </w:p>
        <w:p w14:paraId="4AFE019E" w14:textId="77777777" w:rsidR="00020F57" w:rsidRPr="00020F57" w:rsidRDefault="003D3813" w:rsidP="00543C22">
          <w:pPr>
            <w:pStyle w:val="TOC2"/>
            <w:rPr>
              <w:rFonts w:eastAsiaTheme="minorEastAsia" w:cstheme="minorBidi"/>
              <w:lang w:val="en-US"/>
            </w:rPr>
          </w:pPr>
          <w:hyperlink w:anchor="_Toc11134217" w:history="1">
            <w:r w:rsidR="00020F57" w:rsidRPr="00020F57">
              <w:rPr>
                <w:rStyle w:val="Hyperlink"/>
              </w:rPr>
              <w:t>3.3</w:t>
            </w:r>
            <w:r w:rsidR="00020F57" w:rsidRPr="00020F57">
              <w:rPr>
                <w:rFonts w:eastAsiaTheme="minorEastAsia" w:cstheme="minorBidi"/>
                <w:lang w:val="en-US"/>
              </w:rPr>
              <w:tab/>
            </w:r>
            <w:r w:rsidR="00020F57" w:rsidRPr="00020F57">
              <w:rPr>
                <w:rStyle w:val="Hyperlink"/>
              </w:rPr>
              <w:t>Të ardhurat sipas taksave, tatimeve dhe burimeve të tjera</w:t>
            </w:r>
            <w:r w:rsidR="00020F57">
              <w:rPr>
                <w:webHidden/>
              </w:rPr>
              <w:t xml:space="preserve">                                                             </w:t>
            </w:r>
            <w:r w:rsidR="00020F57" w:rsidRPr="00020F57">
              <w:rPr>
                <w:webHidden/>
              </w:rPr>
              <w:fldChar w:fldCharType="begin"/>
            </w:r>
            <w:r w:rsidR="00020F57" w:rsidRPr="00020F57">
              <w:rPr>
                <w:webHidden/>
              </w:rPr>
              <w:instrText xml:space="preserve"> PAGEREF _Toc11134217 \h </w:instrText>
            </w:r>
            <w:r w:rsidR="00020F57" w:rsidRPr="00020F57">
              <w:rPr>
                <w:webHidden/>
              </w:rPr>
            </w:r>
            <w:r w:rsidR="00020F57" w:rsidRPr="00020F57">
              <w:rPr>
                <w:webHidden/>
              </w:rPr>
              <w:fldChar w:fldCharType="separate"/>
            </w:r>
            <w:r w:rsidR="006B7599">
              <w:rPr>
                <w:webHidden/>
              </w:rPr>
              <w:t>20</w:t>
            </w:r>
            <w:r w:rsidR="00020F57" w:rsidRPr="00020F57">
              <w:rPr>
                <w:webHidden/>
              </w:rPr>
              <w:fldChar w:fldCharType="end"/>
            </w:r>
          </w:hyperlink>
        </w:p>
        <w:p w14:paraId="0D90D614"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18" w:history="1">
            <w:r w:rsidR="00020F57" w:rsidRPr="00020F57">
              <w:rPr>
                <w:rStyle w:val="Hyperlink"/>
                <w:rFonts w:asciiTheme="majorHAnsi" w:hAnsiTheme="majorHAnsi"/>
                <w:i/>
                <w:noProof/>
                <w:u w:val="none"/>
                <w:lang w:val="sq-AL"/>
              </w:rPr>
              <w:t>3.3.1</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Taksimi Indirekt</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_Toc11134218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20</w:t>
            </w:r>
            <w:r w:rsidR="00020F57" w:rsidRPr="00020F57">
              <w:rPr>
                <w:rFonts w:asciiTheme="majorHAnsi" w:hAnsiTheme="majorHAnsi"/>
                <w:i/>
                <w:noProof/>
                <w:webHidden/>
              </w:rPr>
              <w:fldChar w:fldCharType="end"/>
            </w:r>
          </w:hyperlink>
        </w:p>
        <w:p w14:paraId="08718247"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19" w:history="1">
            <w:r w:rsidR="00020F57" w:rsidRPr="00020F57">
              <w:rPr>
                <w:rStyle w:val="Hyperlink"/>
                <w:rFonts w:asciiTheme="majorHAnsi" w:hAnsiTheme="majorHAnsi"/>
                <w:i/>
                <w:noProof/>
                <w:u w:val="none"/>
                <w:lang w:val="sq-AL"/>
              </w:rPr>
              <w:t>3.3.2</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Taksimi direkt</w:t>
            </w:r>
            <w:r w:rsidR="00020F57">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_Toc11134219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23</w:t>
            </w:r>
            <w:r w:rsidR="00020F57" w:rsidRPr="00020F57">
              <w:rPr>
                <w:rFonts w:asciiTheme="majorHAnsi" w:hAnsiTheme="majorHAnsi"/>
                <w:i/>
                <w:noProof/>
                <w:webHidden/>
              </w:rPr>
              <w:fldChar w:fldCharType="end"/>
            </w:r>
          </w:hyperlink>
        </w:p>
        <w:p w14:paraId="059F9C70" w14:textId="77777777" w:rsidR="00020F57" w:rsidRPr="00020F57" w:rsidRDefault="003D3813" w:rsidP="00543C22">
          <w:pPr>
            <w:pStyle w:val="TOC1"/>
            <w:spacing w:before="0" w:line="276" w:lineRule="auto"/>
            <w:jc w:val="both"/>
            <w:rPr>
              <w:rFonts w:eastAsiaTheme="minorEastAsia" w:cstheme="minorBidi"/>
              <w:b w:val="0"/>
              <w:color w:val="auto"/>
              <w:sz w:val="24"/>
              <w:lang w:val="en-US"/>
            </w:rPr>
          </w:pPr>
          <w:hyperlink w:anchor="_Toc11134220" w:history="1">
            <w:r w:rsidR="00C76A56" w:rsidRPr="00020F57">
              <w:rPr>
                <w:rStyle w:val="Hyperlink"/>
                <w:sz w:val="24"/>
              </w:rPr>
              <w:t>4.</w:t>
            </w:r>
            <w:r w:rsidR="00C76A56" w:rsidRPr="00020F57">
              <w:rPr>
                <w:rFonts w:eastAsiaTheme="minorEastAsia" w:cstheme="minorBidi"/>
                <w:b w:val="0"/>
                <w:color w:val="auto"/>
                <w:sz w:val="24"/>
                <w:lang w:val="en-US"/>
              </w:rPr>
              <w:tab/>
            </w:r>
            <w:r w:rsidR="00C76A56" w:rsidRPr="00020F57">
              <w:rPr>
                <w:rStyle w:val="Hyperlink"/>
                <w:sz w:val="24"/>
              </w:rPr>
              <w:t>SHPENZIMET E PËRGJITHSHME</w:t>
            </w:r>
            <w:r w:rsidR="00020F57" w:rsidRPr="00020F57">
              <w:rPr>
                <w:webHidden/>
                <w:sz w:val="24"/>
              </w:rPr>
              <w:tab/>
            </w:r>
            <w:r w:rsidR="00365BD3">
              <w:rPr>
                <w:webHidden/>
                <w:sz w:val="24"/>
              </w:rPr>
              <w:tab/>
              <w:t xml:space="preserve">           </w:t>
            </w:r>
            <w:r w:rsidR="00020F57" w:rsidRPr="00020F57">
              <w:rPr>
                <w:webHidden/>
                <w:sz w:val="24"/>
              </w:rPr>
              <w:fldChar w:fldCharType="begin"/>
            </w:r>
            <w:r w:rsidR="00020F57" w:rsidRPr="00020F57">
              <w:rPr>
                <w:webHidden/>
                <w:sz w:val="24"/>
              </w:rPr>
              <w:instrText xml:space="preserve"> PAGEREF _Toc11134220 \h </w:instrText>
            </w:r>
            <w:r w:rsidR="00020F57" w:rsidRPr="00020F57">
              <w:rPr>
                <w:webHidden/>
                <w:sz w:val="24"/>
              </w:rPr>
            </w:r>
            <w:r w:rsidR="00020F57" w:rsidRPr="00020F57">
              <w:rPr>
                <w:webHidden/>
                <w:sz w:val="24"/>
              </w:rPr>
              <w:fldChar w:fldCharType="separate"/>
            </w:r>
            <w:r w:rsidR="006B7599">
              <w:rPr>
                <w:webHidden/>
                <w:sz w:val="24"/>
              </w:rPr>
              <w:t>26</w:t>
            </w:r>
            <w:r w:rsidR="00020F57" w:rsidRPr="00020F57">
              <w:rPr>
                <w:webHidden/>
                <w:sz w:val="24"/>
              </w:rPr>
              <w:fldChar w:fldCharType="end"/>
            </w:r>
          </w:hyperlink>
        </w:p>
        <w:p w14:paraId="57412278" w14:textId="77777777" w:rsidR="00020F57" w:rsidRPr="00020F57" w:rsidRDefault="003D3813" w:rsidP="00543C22">
          <w:pPr>
            <w:pStyle w:val="TOC2"/>
            <w:rPr>
              <w:rFonts w:eastAsiaTheme="minorEastAsia" w:cstheme="minorBidi"/>
              <w:lang w:val="en-US"/>
            </w:rPr>
          </w:pPr>
          <w:hyperlink w:anchor="_Toc11134221" w:history="1">
            <w:r w:rsidR="00020F57" w:rsidRPr="00020F57">
              <w:rPr>
                <w:rStyle w:val="Hyperlink"/>
              </w:rPr>
              <w:t>4.1</w:t>
            </w:r>
            <w:r w:rsidR="00020F57" w:rsidRPr="00020F57">
              <w:rPr>
                <w:rFonts w:eastAsiaTheme="minorEastAsia" w:cstheme="minorBidi"/>
                <w:lang w:val="en-US"/>
              </w:rPr>
              <w:tab/>
            </w:r>
            <w:r w:rsidR="00020F57" w:rsidRPr="00020F57">
              <w:rPr>
                <w:rStyle w:val="Hyperlink"/>
              </w:rPr>
              <w:t>Shpenzimet sipas natyrës ekonomike</w:t>
            </w:r>
            <w:r w:rsidR="00365BD3">
              <w:rPr>
                <w:rStyle w:val="Hyperlink"/>
              </w:rPr>
              <w:t xml:space="preserve">                                                                     </w:t>
            </w:r>
            <w:r w:rsidR="00A13597">
              <w:rPr>
                <w:rStyle w:val="Hyperlink"/>
              </w:rPr>
              <w:t xml:space="preserve">                              </w:t>
            </w:r>
            <w:r w:rsidR="00020F57" w:rsidRPr="00020F57">
              <w:rPr>
                <w:webHidden/>
              </w:rPr>
              <w:fldChar w:fldCharType="begin"/>
            </w:r>
            <w:r w:rsidR="00020F57" w:rsidRPr="00020F57">
              <w:rPr>
                <w:webHidden/>
              </w:rPr>
              <w:instrText xml:space="preserve"> PAGEREF _Toc11134221 \h </w:instrText>
            </w:r>
            <w:r w:rsidR="00020F57" w:rsidRPr="00020F57">
              <w:rPr>
                <w:webHidden/>
              </w:rPr>
            </w:r>
            <w:r w:rsidR="00020F57" w:rsidRPr="00020F57">
              <w:rPr>
                <w:webHidden/>
              </w:rPr>
              <w:fldChar w:fldCharType="separate"/>
            </w:r>
            <w:r w:rsidR="006B7599">
              <w:rPr>
                <w:webHidden/>
              </w:rPr>
              <w:t>26</w:t>
            </w:r>
            <w:r w:rsidR="00020F57" w:rsidRPr="00020F57">
              <w:rPr>
                <w:webHidden/>
              </w:rPr>
              <w:fldChar w:fldCharType="end"/>
            </w:r>
          </w:hyperlink>
        </w:p>
        <w:p w14:paraId="78D42EC1" w14:textId="77777777" w:rsidR="00020F57" w:rsidRPr="00020F57" w:rsidRDefault="003D3813" w:rsidP="00543C22">
          <w:pPr>
            <w:pStyle w:val="TOC2"/>
            <w:rPr>
              <w:rFonts w:eastAsiaTheme="minorEastAsia" w:cstheme="minorBidi"/>
              <w:lang w:val="en-US"/>
            </w:rPr>
          </w:pPr>
          <w:hyperlink w:anchor="_Toc11134222" w:history="1">
            <w:r w:rsidR="00020F57" w:rsidRPr="00020F57">
              <w:rPr>
                <w:rStyle w:val="Hyperlink"/>
              </w:rPr>
              <w:t>4.2</w:t>
            </w:r>
            <w:r w:rsidR="00020F57" w:rsidRPr="00020F57">
              <w:rPr>
                <w:rFonts w:eastAsiaTheme="minorEastAsia" w:cstheme="minorBidi"/>
                <w:lang w:val="en-US"/>
              </w:rPr>
              <w:tab/>
            </w:r>
            <w:r w:rsidR="00020F57" w:rsidRPr="00020F57">
              <w:rPr>
                <w:rStyle w:val="Hyperlink"/>
              </w:rPr>
              <w:t>Shpenzimet sipas natyrës funksionale</w:t>
            </w:r>
            <w:r w:rsidR="00365BD3">
              <w:rPr>
                <w:rStyle w:val="Hyperlink"/>
              </w:rPr>
              <w:t xml:space="preserve">                                                                     </w:t>
            </w:r>
            <w:r w:rsidR="00A13597">
              <w:rPr>
                <w:rStyle w:val="Hyperlink"/>
              </w:rPr>
              <w:t xml:space="preserve">                             </w:t>
            </w:r>
            <w:r w:rsidR="00020F57" w:rsidRPr="00020F57">
              <w:rPr>
                <w:webHidden/>
              </w:rPr>
              <w:fldChar w:fldCharType="begin"/>
            </w:r>
            <w:r w:rsidR="00020F57" w:rsidRPr="00020F57">
              <w:rPr>
                <w:webHidden/>
              </w:rPr>
              <w:instrText xml:space="preserve"> PAGEREF _Toc11134222 \h </w:instrText>
            </w:r>
            <w:r w:rsidR="00020F57" w:rsidRPr="00020F57">
              <w:rPr>
                <w:webHidden/>
              </w:rPr>
            </w:r>
            <w:r w:rsidR="00020F57" w:rsidRPr="00020F57">
              <w:rPr>
                <w:webHidden/>
              </w:rPr>
              <w:fldChar w:fldCharType="separate"/>
            </w:r>
            <w:r w:rsidR="006B7599">
              <w:rPr>
                <w:webHidden/>
              </w:rPr>
              <w:t>32</w:t>
            </w:r>
            <w:r w:rsidR="00020F57" w:rsidRPr="00020F57">
              <w:rPr>
                <w:webHidden/>
              </w:rPr>
              <w:fldChar w:fldCharType="end"/>
            </w:r>
          </w:hyperlink>
        </w:p>
        <w:p w14:paraId="7F12A828" w14:textId="4782C771" w:rsidR="00020F57" w:rsidRPr="00020F57" w:rsidRDefault="003D3813" w:rsidP="00543C22">
          <w:pPr>
            <w:pStyle w:val="TOC2"/>
            <w:rPr>
              <w:rFonts w:eastAsiaTheme="minorEastAsia" w:cstheme="minorBidi"/>
              <w:lang w:val="en-US"/>
            </w:rPr>
          </w:pPr>
          <w:hyperlink w:anchor="_Toc11134223" w:history="1">
            <w:r w:rsidR="00020F57" w:rsidRPr="00365BD3">
              <w:rPr>
                <w:rStyle w:val="Hyperlink"/>
              </w:rPr>
              <w:t>4.3</w:t>
            </w:r>
            <w:r w:rsidR="00020F57" w:rsidRPr="00365BD3">
              <w:rPr>
                <w:rFonts w:eastAsiaTheme="minorEastAsia" w:cstheme="minorBidi"/>
                <w:lang w:val="en-US"/>
              </w:rPr>
              <w:tab/>
            </w:r>
            <w:r w:rsidR="00020F57" w:rsidRPr="00365BD3">
              <w:rPr>
                <w:rStyle w:val="Hyperlink"/>
              </w:rPr>
              <w:t xml:space="preserve">Ndryshimet </w:t>
            </w:r>
            <w:r w:rsidR="00365BD3">
              <w:rPr>
                <w:rStyle w:val="Hyperlink"/>
              </w:rPr>
              <w:t>e</w:t>
            </w:r>
            <w:r w:rsidR="00020F57" w:rsidRPr="00365BD3">
              <w:rPr>
                <w:rStyle w:val="Hyperlink"/>
              </w:rPr>
              <w:t xml:space="preserve"> </w:t>
            </w:r>
            <w:r w:rsidR="00365BD3">
              <w:rPr>
                <w:rStyle w:val="Hyperlink"/>
              </w:rPr>
              <w:t>ligjit t</w:t>
            </w:r>
            <w:r w:rsidR="0092055B">
              <w:rPr>
                <w:rStyle w:val="Hyperlink"/>
              </w:rPr>
              <w:t>ë</w:t>
            </w:r>
            <w:r w:rsidR="00365BD3">
              <w:rPr>
                <w:rStyle w:val="Hyperlink"/>
              </w:rPr>
              <w:t xml:space="preserve"> </w:t>
            </w:r>
            <w:r w:rsidR="00020F57" w:rsidRPr="00365BD3">
              <w:rPr>
                <w:rStyle w:val="Hyperlink"/>
              </w:rPr>
              <w:t>buxheti</w:t>
            </w:r>
            <w:r w:rsidR="00365BD3">
              <w:rPr>
                <w:rStyle w:val="Hyperlink"/>
              </w:rPr>
              <w:t>t</w:t>
            </w:r>
            <w:r w:rsidR="00020F57" w:rsidRPr="00365BD3">
              <w:rPr>
                <w:rStyle w:val="Hyperlink"/>
              </w:rPr>
              <w:t xml:space="preserve"> 2018</w:t>
            </w:r>
            <w:r w:rsidR="00365BD3">
              <w:rPr>
                <w:rStyle w:val="Hyperlink"/>
              </w:rPr>
              <w:t xml:space="preserve">                                                                       </w:t>
            </w:r>
            <w:r w:rsidR="00A13597">
              <w:rPr>
                <w:rStyle w:val="Hyperlink"/>
              </w:rPr>
              <w:t xml:space="preserve">                              </w:t>
            </w:r>
            <w:r w:rsidR="002755E8">
              <w:rPr>
                <w:rStyle w:val="Hyperlink"/>
              </w:rPr>
              <w:t xml:space="preserve"> </w:t>
            </w:r>
            <w:r w:rsidR="00020F57" w:rsidRPr="00020F57">
              <w:rPr>
                <w:webHidden/>
              </w:rPr>
              <w:fldChar w:fldCharType="begin"/>
            </w:r>
            <w:r w:rsidR="00020F57" w:rsidRPr="00020F57">
              <w:rPr>
                <w:webHidden/>
              </w:rPr>
              <w:instrText xml:space="preserve"> PAGEREF _Toc11134223 \h </w:instrText>
            </w:r>
            <w:r w:rsidR="00020F57" w:rsidRPr="00020F57">
              <w:rPr>
                <w:webHidden/>
              </w:rPr>
            </w:r>
            <w:r w:rsidR="00020F57" w:rsidRPr="00020F57">
              <w:rPr>
                <w:webHidden/>
              </w:rPr>
              <w:fldChar w:fldCharType="separate"/>
            </w:r>
            <w:r w:rsidR="006B7599">
              <w:rPr>
                <w:webHidden/>
              </w:rPr>
              <w:t>33</w:t>
            </w:r>
            <w:r w:rsidR="00020F57" w:rsidRPr="00020F57">
              <w:rPr>
                <w:webHidden/>
              </w:rPr>
              <w:fldChar w:fldCharType="end"/>
            </w:r>
          </w:hyperlink>
        </w:p>
        <w:p w14:paraId="09CA0517" w14:textId="77777777" w:rsidR="00020F57" w:rsidRPr="00020F57" w:rsidRDefault="003D3813" w:rsidP="00543C22">
          <w:pPr>
            <w:pStyle w:val="TOC2"/>
            <w:rPr>
              <w:rFonts w:eastAsiaTheme="minorEastAsia" w:cstheme="minorBidi"/>
              <w:lang w:val="en-US"/>
            </w:rPr>
          </w:pPr>
          <w:hyperlink w:anchor="_Toc11134224" w:history="1">
            <w:r w:rsidR="00020F57" w:rsidRPr="00020F57">
              <w:rPr>
                <w:rStyle w:val="Hyperlink"/>
              </w:rPr>
              <w:t>4.4</w:t>
            </w:r>
            <w:r w:rsidR="00020F57" w:rsidRPr="00020F57">
              <w:rPr>
                <w:rFonts w:eastAsiaTheme="minorEastAsia" w:cstheme="minorBidi"/>
                <w:lang w:val="en-US"/>
              </w:rPr>
              <w:tab/>
            </w:r>
            <w:r w:rsidR="00020F57" w:rsidRPr="00020F57">
              <w:rPr>
                <w:rStyle w:val="Hyperlink"/>
              </w:rPr>
              <w:t>Treguesit kryesorë të performancës sipas ministrive të linjës</w:t>
            </w:r>
            <w:r w:rsidR="00365BD3">
              <w:rPr>
                <w:rStyle w:val="Hyperlink"/>
              </w:rPr>
              <w:t xml:space="preserve">                            </w:t>
            </w:r>
            <w:r w:rsidR="00A13597">
              <w:rPr>
                <w:rStyle w:val="Hyperlink"/>
              </w:rPr>
              <w:t xml:space="preserve">                             </w:t>
            </w:r>
            <w:r w:rsidR="00020F57" w:rsidRPr="00020F57">
              <w:rPr>
                <w:webHidden/>
              </w:rPr>
              <w:fldChar w:fldCharType="begin"/>
            </w:r>
            <w:r w:rsidR="00020F57" w:rsidRPr="00020F57">
              <w:rPr>
                <w:webHidden/>
              </w:rPr>
              <w:instrText xml:space="preserve"> PAGEREF _Toc11134224 \h </w:instrText>
            </w:r>
            <w:r w:rsidR="00020F57" w:rsidRPr="00020F57">
              <w:rPr>
                <w:webHidden/>
              </w:rPr>
            </w:r>
            <w:r w:rsidR="00020F57" w:rsidRPr="00020F57">
              <w:rPr>
                <w:webHidden/>
              </w:rPr>
              <w:fldChar w:fldCharType="separate"/>
            </w:r>
            <w:r w:rsidR="006B7599">
              <w:rPr>
                <w:webHidden/>
              </w:rPr>
              <w:t>34</w:t>
            </w:r>
            <w:r w:rsidR="00020F57" w:rsidRPr="00020F57">
              <w:rPr>
                <w:webHidden/>
              </w:rPr>
              <w:fldChar w:fldCharType="end"/>
            </w:r>
          </w:hyperlink>
        </w:p>
        <w:p w14:paraId="2631EEE4"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25" w:history="1">
            <w:r w:rsidR="00020F57" w:rsidRPr="00020F57">
              <w:rPr>
                <w:rStyle w:val="Hyperlink"/>
                <w:rFonts w:asciiTheme="majorHAnsi" w:hAnsiTheme="majorHAnsi"/>
                <w:i/>
                <w:noProof/>
                <w:u w:val="none"/>
                <w:lang w:val="sq-AL"/>
              </w:rPr>
              <w:t>4.4.1</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Shëndetësia dhe Mbrojtja Sociale</w:t>
            </w:r>
            <w:r w:rsidR="00365BD3">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_Toc11134225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36</w:t>
            </w:r>
            <w:r w:rsidR="00020F57" w:rsidRPr="00020F57">
              <w:rPr>
                <w:rFonts w:asciiTheme="majorHAnsi" w:hAnsiTheme="majorHAnsi"/>
                <w:i/>
                <w:noProof/>
                <w:webHidden/>
              </w:rPr>
              <w:fldChar w:fldCharType="end"/>
            </w:r>
          </w:hyperlink>
        </w:p>
        <w:p w14:paraId="64A668C2"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26" w:history="1">
            <w:r w:rsidR="00020F57" w:rsidRPr="00020F57">
              <w:rPr>
                <w:rStyle w:val="Hyperlink"/>
                <w:rFonts w:asciiTheme="majorHAnsi" w:hAnsiTheme="majorHAnsi"/>
                <w:i/>
                <w:noProof/>
                <w:u w:val="none"/>
                <w:lang w:val="sq-AL"/>
              </w:rPr>
              <w:t>4.4.2</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Arsimi</w:t>
            </w:r>
            <w:r w:rsidR="00365BD3">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_Toc11134226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39</w:t>
            </w:r>
            <w:r w:rsidR="00020F57" w:rsidRPr="00020F57">
              <w:rPr>
                <w:rFonts w:asciiTheme="majorHAnsi" w:hAnsiTheme="majorHAnsi"/>
                <w:i/>
                <w:noProof/>
                <w:webHidden/>
              </w:rPr>
              <w:fldChar w:fldCharType="end"/>
            </w:r>
          </w:hyperlink>
        </w:p>
        <w:p w14:paraId="5F0DC2B3"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27" w:history="1">
            <w:r w:rsidR="00020F57" w:rsidRPr="00020F57">
              <w:rPr>
                <w:rStyle w:val="Hyperlink"/>
                <w:rFonts w:asciiTheme="majorHAnsi" w:hAnsiTheme="majorHAnsi"/>
                <w:i/>
                <w:noProof/>
                <w:u w:val="none"/>
                <w:lang w:val="sq-AL"/>
              </w:rPr>
              <w:t>4.4.3</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Bujqësia dhe Zhvillimi Rural</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_Toc11134227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44</w:t>
            </w:r>
            <w:r w:rsidR="00020F57" w:rsidRPr="00020F57">
              <w:rPr>
                <w:rFonts w:asciiTheme="majorHAnsi" w:hAnsiTheme="majorHAnsi"/>
                <w:i/>
                <w:noProof/>
                <w:webHidden/>
              </w:rPr>
              <w:fldChar w:fldCharType="end"/>
            </w:r>
          </w:hyperlink>
        </w:p>
        <w:p w14:paraId="2DF34045"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28" w:history="1">
            <w:r w:rsidR="00020F57" w:rsidRPr="00020F57">
              <w:rPr>
                <w:rStyle w:val="Hyperlink"/>
                <w:rFonts w:asciiTheme="majorHAnsi" w:hAnsiTheme="majorHAnsi"/>
                <w:i/>
                <w:noProof/>
                <w:u w:val="none"/>
                <w:lang w:val="sq-AL"/>
              </w:rPr>
              <w:t>4.4.4</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Infrastruktura dhe Energjia</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_Toc11134228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47</w:t>
            </w:r>
            <w:r w:rsidR="00020F57" w:rsidRPr="00020F57">
              <w:rPr>
                <w:rFonts w:asciiTheme="majorHAnsi" w:hAnsiTheme="majorHAnsi"/>
                <w:i/>
                <w:noProof/>
                <w:webHidden/>
              </w:rPr>
              <w:fldChar w:fldCharType="end"/>
            </w:r>
          </w:hyperlink>
        </w:p>
        <w:p w14:paraId="67F5587A"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29" w:history="1">
            <w:r w:rsidR="00020F57" w:rsidRPr="00020F57">
              <w:rPr>
                <w:rStyle w:val="Hyperlink"/>
                <w:rFonts w:asciiTheme="majorHAnsi" w:hAnsiTheme="majorHAnsi"/>
                <w:i/>
                <w:noProof/>
                <w:u w:val="none"/>
                <w:lang w:val="sq-AL"/>
              </w:rPr>
              <w:t>4.4.5</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Turizmi dhe Mjedisi</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_Toc11134229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49</w:t>
            </w:r>
            <w:r w:rsidR="00020F57" w:rsidRPr="00020F57">
              <w:rPr>
                <w:rFonts w:asciiTheme="majorHAnsi" w:hAnsiTheme="majorHAnsi"/>
                <w:i/>
                <w:noProof/>
                <w:webHidden/>
              </w:rPr>
              <w:fldChar w:fldCharType="end"/>
            </w:r>
          </w:hyperlink>
        </w:p>
        <w:p w14:paraId="4A50301D"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30" w:history="1">
            <w:r w:rsidR="00020F57" w:rsidRPr="00020F57">
              <w:rPr>
                <w:rStyle w:val="Hyperlink"/>
                <w:rFonts w:asciiTheme="majorHAnsi" w:hAnsiTheme="majorHAnsi"/>
                <w:i/>
                <w:noProof/>
                <w:u w:val="none"/>
                <w:lang w:val="sq-AL"/>
              </w:rPr>
              <w:t>4.4.6</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Drejtësia</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_Toc11134230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51</w:t>
            </w:r>
            <w:r w:rsidR="00020F57" w:rsidRPr="00020F57">
              <w:rPr>
                <w:rFonts w:asciiTheme="majorHAnsi" w:hAnsiTheme="majorHAnsi"/>
                <w:i/>
                <w:noProof/>
                <w:webHidden/>
              </w:rPr>
              <w:fldChar w:fldCharType="end"/>
            </w:r>
          </w:hyperlink>
        </w:p>
        <w:p w14:paraId="0152A2AE"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31" w:history="1">
            <w:r w:rsidR="00020F57" w:rsidRPr="00020F57">
              <w:rPr>
                <w:rStyle w:val="Hyperlink"/>
                <w:rFonts w:asciiTheme="majorHAnsi" w:hAnsiTheme="majorHAnsi"/>
                <w:i/>
                <w:noProof/>
                <w:u w:val="none"/>
                <w:lang w:val="sq-AL"/>
              </w:rPr>
              <w:t>4.4.7</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Institucionet e Sistemit të Drejtësisë</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_Toc11134231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52</w:t>
            </w:r>
            <w:r w:rsidR="00020F57" w:rsidRPr="00020F57">
              <w:rPr>
                <w:rFonts w:asciiTheme="majorHAnsi" w:hAnsiTheme="majorHAnsi"/>
                <w:i/>
                <w:noProof/>
                <w:webHidden/>
              </w:rPr>
              <w:fldChar w:fldCharType="end"/>
            </w:r>
          </w:hyperlink>
        </w:p>
        <w:p w14:paraId="5A378E07"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32" w:history="1">
            <w:r w:rsidR="00020F57" w:rsidRPr="00020F57">
              <w:rPr>
                <w:rStyle w:val="Hyperlink"/>
                <w:rFonts w:asciiTheme="majorHAnsi" w:hAnsiTheme="majorHAnsi"/>
                <w:i/>
                <w:noProof/>
                <w:u w:val="none"/>
                <w:lang w:val="sq-AL"/>
              </w:rPr>
              <w:t>4.4.8</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Financat, Ekonomia, Punësimi dhe Arsimi Profesional</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_Toc11134232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53</w:t>
            </w:r>
            <w:r w:rsidR="00020F57" w:rsidRPr="00020F57">
              <w:rPr>
                <w:rFonts w:asciiTheme="majorHAnsi" w:hAnsiTheme="majorHAnsi"/>
                <w:i/>
                <w:noProof/>
                <w:webHidden/>
              </w:rPr>
              <w:fldChar w:fldCharType="end"/>
            </w:r>
          </w:hyperlink>
        </w:p>
        <w:p w14:paraId="205091D1"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33" w:history="1">
            <w:r w:rsidR="00020F57" w:rsidRPr="00020F57">
              <w:rPr>
                <w:rStyle w:val="Hyperlink"/>
                <w:rFonts w:asciiTheme="majorHAnsi" w:hAnsiTheme="majorHAnsi"/>
                <w:i/>
                <w:noProof/>
                <w:u w:val="none"/>
                <w:lang w:val="sq-AL"/>
              </w:rPr>
              <w:t>4.4.9</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Mbrojtja</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_Toc11134233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54</w:t>
            </w:r>
            <w:r w:rsidR="00020F57" w:rsidRPr="00020F57">
              <w:rPr>
                <w:rFonts w:asciiTheme="majorHAnsi" w:hAnsiTheme="majorHAnsi"/>
                <w:i/>
                <w:noProof/>
                <w:webHidden/>
              </w:rPr>
              <w:fldChar w:fldCharType="end"/>
            </w:r>
          </w:hyperlink>
        </w:p>
        <w:p w14:paraId="4DF6B3C0"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34" w:history="1">
            <w:r w:rsidR="00020F57" w:rsidRPr="00020F57">
              <w:rPr>
                <w:rStyle w:val="Hyperlink"/>
                <w:rFonts w:asciiTheme="majorHAnsi" w:hAnsiTheme="majorHAnsi"/>
                <w:i/>
                <w:noProof/>
                <w:u w:val="none"/>
                <w:lang w:val="sq-AL"/>
              </w:rPr>
              <w:t>4.4.10</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Kultura</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_Toc11134234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55</w:t>
            </w:r>
            <w:r w:rsidR="00020F57" w:rsidRPr="00020F57">
              <w:rPr>
                <w:rFonts w:asciiTheme="majorHAnsi" w:hAnsiTheme="majorHAnsi"/>
                <w:i/>
                <w:noProof/>
                <w:webHidden/>
              </w:rPr>
              <w:fldChar w:fldCharType="end"/>
            </w:r>
          </w:hyperlink>
        </w:p>
        <w:p w14:paraId="0C5AA8C4"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35" w:history="1">
            <w:r w:rsidR="00020F57" w:rsidRPr="00020F57">
              <w:rPr>
                <w:rStyle w:val="Hyperlink"/>
                <w:rFonts w:asciiTheme="majorHAnsi" w:hAnsiTheme="majorHAnsi"/>
                <w:i/>
                <w:noProof/>
                <w:u w:val="none"/>
                <w:lang w:val="sq-AL"/>
              </w:rPr>
              <w:t>4.4.11</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Rendi dhe Siguria Publike</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_Toc11134235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58</w:t>
            </w:r>
            <w:r w:rsidR="00020F57" w:rsidRPr="00020F57">
              <w:rPr>
                <w:rFonts w:asciiTheme="majorHAnsi" w:hAnsiTheme="majorHAnsi"/>
                <w:i/>
                <w:noProof/>
                <w:webHidden/>
              </w:rPr>
              <w:fldChar w:fldCharType="end"/>
            </w:r>
          </w:hyperlink>
        </w:p>
        <w:p w14:paraId="0D091CC8" w14:textId="77777777" w:rsidR="00020F57" w:rsidRPr="00020F57" w:rsidRDefault="003D3813" w:rsidP="00543C22">
          <w:pPr>
            <w:pStyle w:val="TOC3"/>
            <w:spacing w:line="276" w:lineRule="auto"/>
            <w:jc w:val="both"/>
            <w:rPr>
              <w:rFonts w:asciiTheme="majorHAnsi" w:eastAsiaTheme="minorEastAsia" w:hAnsiTheme="majorHAnsi" w:cstheme="minorBidi"/>
              <w:i/>
              <w:noProof/>
            </w:rPr>
          </w:pPr>
          <w:hyperlink w:anchor="_Toc11134236" w:history="1">
            <w:r w:rsidR="00020F57" w:rsidRPr="00020F57">
              <w:rPr>
                <w:rStyle w:val="Hyperlink"/>
                <w:rFonts w:asciiTheme="majorHAnsi" w:hAnsiTheme="majorHAnsi"/>
                <w:i/>
                <w:noProof/>
                <w:u w:val="none"/>
                <w:lang w:val="sq-AL"/>
              </w:rPr>
              <w:t>4.4.12</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u w:val="none"/>
                <w:lang w:val="sq-AL"/>
              </w:rPr>
              <w:t>Politika e Jashtme</w:t>
            </w:r>
            <w:r w:rsidR="000A14BC">
              <w:rPr>
                <w:rFonts w:asciiTheme="majorHAnsi" w:hAnsiTheme="majorHAnsi"/>
                <w:i/>
                <w:noProof/>
                <w:webHidden/>
              </w:rPr>
              <w:t xml:space="preserve">                                                                                                                                </w:t>
            </w:r>
            <w:r w:rsidR="00020F57" w:rsidRPr="00020F57">
              <w:rPr>
                <w:rFonts w:asciiTheme="majorHAnsi" w:hAnsiTheme="majorHAnsi"/>
                <w:i/>
                <w:noProof/>
                <w:webHidden/>
              </w:rPr>
              <w:fldChar w:fldCharType="begin"/>
            </w:r>
            <w:r w:rsidR="00020F57" w:rsidRPr="00020F57">
              <w:rPr>
                <w:rFonts w:asciiTheme="majorHAnsi" w:hAnsiTheme="majorHAnsi"/>
                <w:i/>
                <w:noProof/>
                <w:webHidden/>
              </w:rPr>
              <w:instrText xml:space="preserve"> PAGEREF _Toc11134236 \h </w:instrText>
            </w:r>
            <w:r w:rsidR="00020F57" w:rsidRPr="00020F57">
              <w:rPr>
                <w:rFonts w:asciiTheme="majorHAnsi" w:hAnsiTheme="majorHAnsi"/>
                <w:i/>
                <w:noProof/>
                <w:webHidden/>
              </w:rPr>
            </w:r>
            <w:r w:rsidR="00020F57" w:rsidRPr="00020F57">
              <w:rPr>
                <w:rFonts w:asciiTheme="majorHAnsi" w:hAnsiTheme="majorHAnsi"/>
                <w:i/>
                <w:noProof/>
                <w:webHidden/>
              </w:rPr>
              <w:fldChar w:fldCharType="separate"/>
            </w:r>
            <w:r w:rsidR="006B7599">
              <w:rPr>
                <w:rFonts w:asciiTheme="majorHAnsi" w:hAnsiTheme="majorHAnsi"/>
                <w:i/>
                <w:noProof/>
                <w:webHidden/>
              </w:rPr>
              <w:t>59</w:t>
            </w:r>
            <w:r w:rsidR="00020F57" w:rsidRPr="00020F57">
              <w:rPr>
                <w:rFonts w:asciiTheme="majorHAnsi" w:hAnsiTheme="majorHAnsi"/>
                <w:i/>
                <w:noProof/>
                <w:webHidden/>
              </w:rPr>
              <w:fldChar w:fldCharType="end"/>
            </w:r>
          </w:hyperlink>
        </w:p>
        <w:p w14:paraId="31A1D343" w14:textId="77777777" w:rsidR="00020F57" w:rsidRPr="000A14BC" w:rsidRDefault="003D3813" w:rsidP="00543C22">
          <w:pPr>
            <w:pStyle w:val="TOC2"/>
            <w:rPr>
              <w:rFonts w:eastAsiaTheme="minorEastAsia" w:cstheme="minorBidi"/>
              <w:lang w:val="en-US"/>
            </w:rPr>
          </w:pPr>
          <w:hyperlink w:anchor="_Toc11134237" w:history="1">
            <w:r w:rsidR="00020F57" w:rsidRPr="000A14BC">
              <w:rPr>
                <w:rStyle w:val="Hyperlink"/>
              </w:rPr>
              <w:t>4.5</w:t>
            </w:r>
            <w:r w:rsidR="00020F57" w:rsidRPr="000A14BC">
              <w:rPr>
                <w:rFonts w:eastAsiaTheme="minorEastAsia" w:cstheme="minorBidi"/>
                <w:lang w:val="en-US"/>
              </w:rPr>
              <w:tab/>
            </w:r>
            <w:r w:rsidR="00020F57" w:rsidRPr="000A14BC">
              <w:rPr>
                <w:rStyle w:val="Hyperlink"/>
              </w:rPr>
              <w:t>Fondi rezervë dhe Kontigjenca</w:t>
            </w:r>
            <w:r w:rsidR="000A14BC" w:rsidRPr="000A14BC">
              <w:rPr>
                <w:rStyle w:val="Hyperlink"/>
              </w:rPr>
              <w:t xml:space="preserve"> </w:t>
            </w:r>
            <w:r w:rsidR="000A14BC">
              <w:rPr>
                <w:rStyle w:val="Hyperlink"/>
                <w:b w:val="0"/>
              </w:rPr>
              <w:t xml:space="preserve">                                                                                                                </w:t>
            </w:r>
            <w:r w:rsidR="00020F57" w:rsidRPr="000A14BC">
              <w:rPr>
                <w:webHidden/>
              </w:rPr>
              <w:fldChar w:fldCharType="begin"/>
            </w:r>
            <w:r w:rsidR="00020F57" w:rsidRPr="000A14BC">
              <w:rPr>
                <w:webHidden/>
              </w:rPr>
              <w:instrText xml:space="preserve"> PAGEREF _Toc11134237 \h </w:instrText>
            </w:r>
            <w:r w:rsidR="00020F57" w:rsidRPr="000A14BC">
              <w:rPr>
                <w:webHidden/>
              </w:rPr>
            </w:r>
            <w:r w:rsidR="00020F57" w:rsidRPr="000A14BC">
              <w:rPr>
                <w:webHidden/>
              </w:rPr>
              <w:fldChar w:fldCharType="separate"/>
            </w:r>
            <w:r w:rsidR="006B7599">
              <w:rPr>
                <w:webHidden/>
              </w:rPr>
              <w:t>60</w:t>
            </w:r>
            <w:r w:rsidR="00020F57" w:rsidRPr="000A14BC">
              <w:rPr>
                <w:webHidden/>
              </w:rPr>
              <w:fldChar w:fldCharType="end"/>
            </w:r>
          </w:hyperlink>
        </w:p>
        <w:p w14:paraId="28328A6E" w14:textId="77777777" w:rsidR="00020F57" w:rsidRPr="00020F57" w:rsidRDefault="003D3813" w:rsidP="00543C22">
          <w:pPr>
            <w:pStyle w:val="TOC1"/>
            <w:spacing w:before="0" w:line="276" w:lineRule="auto"/>
            <w:jc w:val="both"/>
            <w:rPr>
              <w:rFonts w:eastAsiaTheme="minorEastAsia" w:cstheme="minorBidi"/>
              <w:b w:val="0"/>
              <w:color w:val="auto"/>
              <w:sz w:val="24"/>
              <w:lang w:val="en-US"/>
            </w:rPr>
          </w:pPr>
          <w:hyperlink w:anchor="_Toc11134238" w:history="1">
            <w:r w:rsidR="00C76A56" w:rsidRPr="00020F57">
              <w:rPr>
                <w:rStyle w:val="Hyperlink"/>
                <w:sz w:val="24"/>
              </w:rPr>
              <w:t>5.</w:t>
            </w:r>
            <w:r w:rsidR="00C76A56" w:rsidRPr="00020F57">
              <w:rPr>
                <w:rFonts w:eastAsiaTheme="minorEastAsia" w:cstheme="minorBidi"/>
                <w:b w:val="0"/>
                <w:color w:val="auto"/>
                <w:sz w:val="24"/>
                <w:lang w:val="en-US"/>
              </w:rPr>
              <w:tab/>
            </w:r>
            <w:r w:rsidR="00C76A56" w:rsidRPr="00020F57">
              <w:rPr>
                <w:rStyle w:val="Hyperlink"/>
                <w:sz w:val="24"/>
              </w:rPr>
              <w:t>BUXHETI VENDOR</w:t>
            </w:r>
            <w:r w:rsidR="00C76A56" w:rsidRPr="00020F57">
              <w:rPr>
                <w:webHidden/>
                <w:sz w:val="24"/>
              </w:rPr>
              <w:tab/>
            </w:r>
            <w:r w:rsidR="00C76A56">
              <w:rPr>
                <w:webHidden/>
                <w:sz w:val="24"/>
              </w:rPr>
              <w:t xml:space="preserve">                 </w:t>
            </w:r>
            <w:r w:rsidR="00020F57" w:rsidRPr="00020F57">
              <w:rPr>
                <w:webHidden/>
                <w:sz w:val="24"/>
              </w:rPr>
              <w:fldChar w:fldCharType="begin"/>
            </w:r>
            <w:r w:rsidR="00020F57" w:rsidRPr="00020F57">
              <w:rPr>
                <w:webHidden/>
                <w:sz w:val="24"/>
              </w:rPr>
              <w:instrText xml:space="preserve"> PAGEREF _Toc11134238 \h </w:instrText>
            </w:r>
            <w:r w:rsidR="00020F57" w:rsidRPr="00020F57">
              <w:rPr>
                <w:webHidden/>
                <w:sz w:val="24"/>
              </w:rPr>
            </w:r>
            <w:r w:rsidR="00020F57" w:rsidRPr="00020F57">
              <w:rPr>
                <w:webHidden/>
                <w:sz w:val="24"/>
              </w:rPr>
              <w:fldChar w:fldCharType="separate"/>
            </w:r>
            <w:r w:rsidR="006B7599">
              <w:rPr>
                <w:webHidden/>
                <w:sz w:val="24"/>
              </w:rPr>
              <w:t>61</w:t>
            </w:r>
            <w:r w:rsidR="00020F57" w:rsidRPr="00020F57">
              <w:rPr>
                <w:webHidden/>
                <w:sz w:val="24"/>
              </w:rPr>
              <w:fldChar w:fldCharType="end"/>
            </w:r>
          </w:hyperlink>
        </w:p>
        <w:p w14:paraId="35F576AD" w14:textId="77777777" w:rsidR="00020F57" w:rsidRPr="00020F57" w:rsidRDefault="003D3813" w:rsidP="00543C22">
          <w:pPr>
            <w:pStyle w:val="TOC1"/>
            <w:spacing w:before="0" w:line="276" w:lineRule="auto"/>
            <w:jc w:val="both"/>
            <w:rPr>
              <w:rFonts w:eastAsiaTheme="minorEastAsia" w:cstheme="minorBidi"/>
              <w:b w:val="0"/>
              <w:color w:val="auto"/>
              <w:sz w:val="24"/>
              <w:lang w:val="en-US"/>
            </w:rPr>
          </w:pPr>
          <w:hyperlink w:anchor="_Toc11134239" w:history="1">
            <w:r w:rsidR="00C76A56" w:rsidRPr="00020F57">
              <w:rPr>
                <w:rStyle w:val="Hyperlink"/>
                <w:sz w:val="24"/>
              </w:rPr>
              <w:t>6.</w:t>
            </w:r>
            <w:r w:rsidR="00C76A56" w:rsidRPr="00020F57">
              <w:rPr>
                <w:rFonts w:eastAsiaTheme="minorEastAsia" w:cstheme="minorBidi"/>
                <w:b w:val="0"/>
                <w:color w:val="auto"/>
                <w:sz w:val="24"/>
                <w:lang w:val="en-US"/>
              </w:rPr>
              <w:tab/>
            </w:r>
            <w:r w:rsidR="00C76A56" w:rsidRPr="00020F57">
              <w:rPr>
                <w:rStyle w:val="Hyperlink"/>
                <w:sz w:val="24"/>
              </w:rPr>
              <w:t>MENAXHIMI I BORXHIT PUBLIK</w:t>
            </w:r>
            <w:r w:rsidR="00C76A56" w:rsidRPr="00020F57">
              <w:rPr>
                <w:webHidden/>
                <w:sz w:val="24"/>
              </w:rPr>
              <w:tab/>
            </w:r>
            <w:r w:rsidR="00C76A56">
              <w:rPr>
                <w:webHidden/>
                <w:sz w:val="24"/>
              </w:rPr>
              <w:t xml:space="preserve">                 </w:t>
            </w:r>
            <w:r w:rsidR="00020F57" w:rsidRPr="00020F57">
              <w:rPr>
                <w:webHidden/>
                <w:sz w:val="24"/>
              </w:rPr>
              <w:fldChar w:fldCharType="begin"/>
            </w:r>
            <w:r w:rsidR="00020F57" w:rsidRPr="00020F57">
              <w:rPr>
                <w:webHidden/>
                <w:sz w:val="24"/>
              </w:rPr>
              <w:instrText xml:space="preserve"> PAGEREF _Toc11134239 \h </w:instrText>
            </w:r>
            <w:r w:rsidR="00020F57" w:rsidRPr="00020F57">
              <w:rPr>
                <w:webHidden/>
                <w:sz w:val="24"/>
              </w:rPr>
            </w:r>
            <w:r w:rsidR="00020F57" w:rsidRPr="00020F57">
              <w:rPr>
                <w:webHidden/>
                <w:sz w:val="24"/>
              </w:rPr>
              <w:fldChar w:fldCharType="separate"/>
            </w:r>
            <w:r w:rsidR="006B7599">
              <w:rPr>
                <w:webHidden/>
                <w:sz w:val="24"/>
              </w:rPr>
              <w:t>63</w:t>
            </w:r>
            <w:r w:rsidR="00020F57" w:rsidRPr="00020F57">
              <w:rPr>
                <w:webHidden/>
                <w:sz w:val="24"/>
              </w:rPr>
              <w:fldChar w:fldCharType="end"/>
            </w:r>
          </w:hyperlink>
        </w:p>
        <w:p w14:paraId="24D6A716" w14:textId="77777777" w:rsidR="00020F57" w:rsidRPr="00020F57" w:rsidRDefault="003D3813" w:rsidP="00543C22">
          <w:pPr>
            <w:pStyle w:val="TOC1"/>
            <w:spacing w:before="0" w:line="276" w:lineRule="auto"/>
            <w:jc w:val="both"/>
            <w:rPr>
              <w:rFonts w:eastAsiaTheme="minorEastAsia" w:cstheme="minorBidi"/>
              <w:b w:val="0"/>
              <w:color w:val="auto"/>
              <w:sz w:val="24"/>
              <w:lang w:val="en-US"/>
            </w:rPr>
          </w:pPr>
          <w:hyperlink w:anchor="_Toc11134240" w:history="1">
            <w:r w:rsidR="00C76A56" w:rsidRPr="00020F57">
              <w:rPr>
                <w:rStyle w:val="Hyperlink"/>
                <w:sz w:val="24"/>
              </w:rPr>
              <w:t>7.</w:t>
            </w:r>
            <w:r w:rsidR="00C76A56" w:rsidRPr="00020F57">
              <w:rPr>
                <w:rFonts w:eastAsiaTheme="minorEastAsia" w:cstheme="minorBidi"/>
                <w:b w:val="0"/>
                <w:color w:val="auto"/>
                <w:sz w:val="24"/>
                <w:lang w:val="en-US"/>
              </w:rPr>
              <w:tab/>
            </w:r>
            <w:r w:rsidR="00C76A56" w:rsidRPr="00020F57">
              <w:rPr>
                <w:rStyle w:val="Hyperlink"/>
                <w:sz w:val="24"/>
              </w:rPr>
              <w:t>RREZIQET FISKALE DHE DETYRIMET KONTIGJENTE GJATË 2018</w:t>
            </w:r>
            <w:r w:rsidR="00C76A56" w:rsidRPr="00020F57">
              <w:rPr>
                <w:webHidden/>
                <w:sz w:val="24"/>
              </w:rPr>
              <w:tab/>
            </w:r>
            <w:r w:rsidR="00C76A56">
              <w:rPr>
                <w:webHidden/>
                <w:sz w:val="24"/>
              </w:rPr>
              <w:t xml:space="preserve">                 </w:t>
            </w:r>
            <w:r w:rsidR="00020F57" w:rsidRPr="00020F57">
              <w:rPr>
                <w:webHidden/>
                <w:sz w:val="24"/>
              </w:rPr>
              <w:fldChar w:fldCharType="begin"/>
            </w:r>
            <w:r w:rsidR="00020F57" w:rsidRPr="00020F57">
              <w:rPr>
                <w:webHidden/>
                <w:sz w:val="24"/>
              </w:rPr>
              <w:instrText xml:space="preserve"> PAGEREF _Toc11134240 \h </w:instrText>
            </w:r>
            <w:r w:rsidR="00020F57" w:rsidRPr="00020F57">
              <w:rPr>
                <w:webHidden/>
                <w:sz w:val="24"/>
              </w:rPr>
            </w:r>
            <w:r w:rsidR="00020F57" w:rsidRPr="00020F57">
              <w:rPr>
                <w:webHidden/>
                <w:sz w:val="24"/>
              </w:rPr>
              <w:fldChar w:fldCharType="separate"/>
            </w:r>
            <w:r w:rsidR="006B7599">
              <w:rPr>
                <w:webHidden/>
                <w:sz w:val="24"/>
              </w:rPr>
              <w:t>64</w:t>
            </w:r>
            <w:r w:rsidR="00020F57" w:rsidRPr="00020F57">
              <w:rPr>
                <w:webHidden/>
                <w:sz w:val="24"/>
              </w:rPr>
              <w:fldChar w:fldCharType="end"/>
            </w:r>
          </w:hyperlink>
        </w:p>
        <w:p w14:paraId="59D4C178" w14:textId="77777777" w:rsidR="00020F57" w:rsidRPr="00020F57" w:rsidRDefault="003D3813" w:rsidP="00543C22">
          <w:pPr>
            <w:pStyle w:val="TOC2"/>
            <w:rPr>
              <w:rFonts w:eastAsiaTheme="minorEastAsia" w:cstheme="minorBidi"/>
              <w:lang w:val="en-US"/>
            </w:rPr>
          </w:pPr>
          <w:hyperlink w:anchor="_Toc11134241" w:history="1">
            <w:r w:rsidR="00020F57" w:rsidRPr="00020F57">
              <w:rPr>
                <w:rStyle w:val="Hyperlink"/>
              </w:rPr>
              <w:t>7.1</w:t>
            </w:r>
            <w:r w:rsidR="00020F57" w:rsidRPr="00020F57">
              <w:rPr>
                <w:rFonts w:eastAsiaTheme="minorEastAsia" w:cstheme="minorBidi"/>
                <w:lang w:val="en-US"/>
              </w:rPr>
              <w:tab/>
            </w:r>
            <w:r w:rsidR="00020F57" w:rsidRPr="00020F57">
              <w:rPr>
                <w:rStyle w:val="Hyperlink"/>
              </w:rPr>
              <w:t>Sektori Energjetik</w:t>
            </w:r>
            <w:r w:rsidR="00C76A56">
              <w:rPr>
                <w:rStyle w:val="Hyperlink"/>
              </w:rPr>
              <w:t xml:space="preserve">                                                                                                                                        </w:t>
            </w:r>
            <w:r w:rsidR="00020F57" w:rsidRPr="00020F57">
              <w:rPr>
                <w:webHidden/>
              </w:rPr>
              <w:fldChar w:fldCharType="begin"/>
            </w:r>
            <w:r w:rsidR="00020F57" w:rsidRPr="00020F57">
              <w:rPr>
                <w:webHidden/>
              </w:rPr>
              <w:instrText xml:space="preserve"> PAGEREF _Toc11134241 \h </w:instrText>
            </w:r>
            <w:r w:rsidR="00020F57" w:rsidRPr="00020F57">
              <w:rPr>
                <w:webHidden/>
              </w:rPr>
            </w:r>
            <w:r w:rsidR="00020F57" w:rsidRPr="00020F57">
              <w:rPr>
                <w:webHidden/>
              </w:rPr>
              <w:fldChar w:fldCharType="separate"/>
            </w:r>
            <w:r w:rsidR="006B7599">
              <w:rPr>
                <w:webHidden/>
              </w:rPr>
              <w:t>66</w:t>
            </w:r>
            <w:r w:rsidR="00020F57" w:rsidRPr="00020F57">
              <w:rPr>
                <w:webHidden/>
              </w:rPr>
              <w:fldChar w:fldCharType="end"/>
            </w:r>
          </w:hyperlink>
        </w:p>
        <w:p w14:paraId="520F0790" w14:textId="77777777" w:rsidR="00020F57" w:rsidRPr="00020F57" w:rsidRDefault="003D3813" w:rsidP="00543C22">
          <w:pPr>
            <w:pStyle w:val="TOC2"/>
            <w:rPr>
              <w:rFonts w:eastAsiaTheme="minorEastAsia" w:cstheme="minorBidi"/>
              <w:lang w:val="en-US"/>
            </w:rPr>
          </w:pPr>
          <w:hyperlink w:anchor="_Toc11134242" w:history="1">
            <w:r w:rsidR="00020F57" w:rsidRPr="00020F57">
              <w:rPr>
                <w:rStyle w:val="Hyperlink"/>
              </w:rPr>
              <w:t>7.2</w:t>
            </w:r>
            <w:r w:rsidR="00020F57" w:rsidRPr="00020F57">
              <w:rPr>
                <w:rFonts w:eastAsiaTheme="minorEastAsia" w:cstheme="minorBidi"/>
                <w:lang w:val="en-US"/>
              </w:rPr>
              <w:tab/>
            </w:r>
            <w:r w:rsidR="00020F57" w:rsidRPr="00020F57">
              <w:rPr>
                <w:rStyle w:val="Hyperlink"/>
              </w:rPr>
              <w:t>Detyrimet e prapambetura (qëndrore)</w:t>
            </w:r>
            <w:r w:rsidR="00C76A56">
              <w:rPr>
                <w:rStyle w:val="Hyperlink"/>
              </w:rPr>
              <w:t xml:space="preserve">                                                                                                  </w:t>
            </w:r>
            <w:r w:rsidR="00020F57" w:rsidRPr="00020F57">
              <w:rPr>
                <w:webHidden/>
              </w:rPr>
              <w:fldChar w:fldCharType="begin"/>
            </w:r>
            <w:r w:rsidR="00020F57" w:rsidRPr="00020F57">
              <w:rPr>
                <w:webHidden/>
              </w:rPr>
              <w:instrText xml:space="preserve"> PAGEREF _Toc11134242 \h </w:instrText>
            </w:r>
            <w:r w:rsidR="00020F57" w:rsidRPr="00020F57">
              <w:rPr>
                <w:webHidden/>
              </w:rPr>
            </w:r>
            <w:r w:rsidR="00020F57" w:rsidRPr="00020F57">
              <w:rPr>
                <w:webHidden/>
              </w:rPr>
              <w:fldChar w:fldCharType="separate"/>
            </w:r>
            <w:r w:rsidR="006B7599">
              <w:rPr>
                <w:webHidden/>
              </w:rPr>
              <w:t>66</w:t>
            </w:r>
            <w:r w:rsidR="00020F57" w:rsidRPr="00020F57">
              <w:rPr>
                <w:webHidden/>
              </w:rPr>
              <w:fldChar w:fldCharType="end"/>
            </w:r>
          </w:hyperlink>
        </w:p>
        <w:p w14:paraId="25A1F987" w14:textId="77777777" w:rsidR="00020F57" w:rsidRPr="00020F57" w:rsidRDefault="003D3813" w:rsidP="00543C22">
          <w:pPr>
            <w:pStyle w:val="TOC2"/>
            <w:rPr>
              <w:rFonts w:eastAsiaTheme="minorEastAsia" w:cstheme="minorBidi"/>
              <w:lang w:val="en-US"/>
            </w:rPr>
          </w:pPr>
          <w:hyperlink w:anchor="_Toc11134243" w:history="1">
            <w:r w:rsidR="00020F57" w:rsidRPr="00020F57">
              <w:rPr>
                <w:rStyle w:val="Hyperlink"/>
              </w:rPr>
              <w:t>7.3</w:t>
            </w:r>
            <w:r w:rsidR="00020F57" w:rsidRPr="00020F57">
              <w:rPr>
                <w:rFonts w:eastAsiaTheme="minorEastAsia" w:cstheme="minorBidi"/>
                <w:lang w:val="en-US"/>
              </w:rPr>
              <w:tab/>
            </w:r>
            <w:r w:rsidR="00020F57" w:rsidRPr="00020F57">
              <w:rPr>
                <w:rStyle w:val="Hyperlink"/>
              </w:rPr>
              <w:t>Koncesionet/PPP-të</w:t>
            </w:r>
            <w:r w:rsidR="00C76A56">
              <w:rPr>
                <w:rStyle w:val="Hyperlink"/>
              </w:rPr>
              <w:t xml:space="preserve">                                                                                                                                    </w:t>
            </w:r>
            <w:r w:rsidR="00020F57" w:rsidRPr="00020F57">
              <w:rPr>
                <w:webHidden/>
              </w:rPr>
              <w:fldChar w:fldCharType="begin"/>
            </w:r>
            <w:r w:rsidR="00020F57" w:rsidRPr="00020F57">
              <w:rPr>
                <w:webHidden/>
              </w:rPr>
              <w:instrText xml:space="preserve"> PAGEREF _Toc11134243 \h </w:instrText>
            </w:r>
            <w:r w:rsidR="00020F57" w:rsidRPr="00020F57">
              <w:rPr>
                <w:webHidden/>
              </w:rPr>
            </w:r>
            <w:r w:rsidR="00020F57" w:rsidRPr="00020F57">
              <w:rPr>
                <w:webHidden/>
              </w:rPr>
              <w:fldChar w:fldCharType="separate"/>
            </w:r>
            <w:r w:rsidR="006B7599">
              <w:rPr>
                <w:webHidden/>
              </w:rPr>
              <w:t>68</w:t>
            </w:r>
            <w:r w:rsidR="00020F57" w:rsidRPr="00020F57">
              <w:rPr>
                <w:webHidden/>
              </w:rPr>
              <w:fldChar w:fldCharType="end"/>
            </w:r>
          </w:hyperlink>
        </w:p>
        <w:p w14:paraId="51EE7E31" w14:textId="77777777" w:rsidR="00020F57" w:rsidRPr="00020F57" w:rsidRDefault="003D3813" w:rsidP="00543C22">
          <w:pPr>
            <w:pStyle w:val="TOC2"/>
            <w:rPr>
              <w:rFonts w:eastAsiaTheme="minorEastAsia" w:cstheme="minorBidi"/>
              <w:lang w:val="en-US"/>
            </w:rPr>
          </w:pPr>
          <w:hyperlink w:anchor="_Toc11134244" w:history="1">
            <w:r w:rsidR="00020F57" w:rsidRPr="00020F57">
              <w:rPr>
                <w:rStyle w:val="Hyperlink"/>
              </w:rPr>
              <w:t>7.4</w:t>
            </w:r>
            <w:r w:rsidR="00020F57" w:rsidRPr="00020F57">
              <w:rPr>
                <w:rFonts w:eastAsiaTheme="minorEastAsia" w:cstheme="minorBidi"/>
                <w:lang w:val="en-US"/>
              </w:rPr>
              <w:tab/>
            </w:r>
            <w:r w:rsidR="00C76A56">
              <w:rPr>
                <w:rStyle w:val="Hyperlink"/>
              </w:rPr>
              <w:t xml:space="preserve">Detyrime të tjera Kontigjente                                                                                                                   </w:t>
            </w:r>
            <w:r w:rsidR="00020F57" w:rsidRPr="00020F57">
              <w:rPr>
                <w:webHidden/>
              </w:rPr>
              <w:fldChar w:fldCharType="begin"/>
            </w:r>
            <w:r w:rsidR="00020F57" w:rsidRPr="00020F57">
              <w:rPr>
                <w:webHidden/>
              </w:rPr>
              <w:instrText xml:space="preserve"> PAGEREF _Toc11134244 \h </w:instrText>
            </w:r>
            <w:r w:rsidR="00020F57" w:rsidRPr="00020F57">
              <w:rPr>
                <w:webHidden/>
              </w:rPr>
            </w:r>
            <w:r w:rsidR="00020F57" w:rsidRPr="00020F57">
              <w:rPr>
                <w:webHidden/>
              </w:rPr>
              <w:fldChar w:fldCharType="separate"/>
            </w:r>
            <w:r w:rsidR="006B7599">
              <w:rPr>
                <w:webHidden/>
              </w:rPr>
              <w:t>70</w:t>
            </w:r>
            <w:r w:rsidR="00020F57" w:rsidRPr="00020F57">
              <w:rPr>
                <w:webHidden/>
              </w:rPr>
              <w:fldChar w:fldCharType="end"/>
            </w:r>
          </w:hyperlink>
        </w:p>
        <w:p w14:paraId="456C08F3" w14:textId="77777777" w:rsidR="00020F57" w:rsidRPr="00C76A56" w:rsidRDefault="003D3813" w:rsidP="00543C22">
          <w:pPr>
            <w:pStyle w:val="TOC2"/>
            <w:tabs>
              <w:tab w:val="clear" w:pos="880"/>
              <w:tab w:val="left" w:pos="1350"/>
            </w:tabs>
            <w:ind w:left="540"/>
            <w:rPr>
              <w:rFonts w:eastAsiaTheme="minorEastAsia" w:cstheme="minorBidi"/>
              <w:b w:val="0"/>
              <w:lang w:val="en-US"/>
            </w:rPr>
          </w:pPr>
          <w:hyperlink w:anchor="_Toc11134245" w:history="1">
            <w:r w:rsidR="00020F57" w:rsidRPr="00C76A56">
              <w:rPr>
                <w:rStyle w:val="Hyperlink"/>
                <w:b w:val="0"/>
                <w:i/>
                <w:u w:val="none"/>
              </w:rPr>
              <w:t>7.4.1</w:t>
            </w:r>
            <w:r w:rsidR="00020F57" w:rsidRPr="00C76A56">
              <w:rPr>
                <w:rFonts w:eastAsiaTheme="minorEastAsia" w:cstheme="minorBidi"/>
                <w:b w:val="0"/>
                <w:lang w:val="en-US"/>
              </w:rPr>
              <w:tab/>
            </w:r>
            <w:r w:rsidR="00020F57" w:rsidRPr="00C76A56">
              <w:rPr>
                <w:rStyle w:val="Hyperlink"/>
                <w:b w:val="0"/>
                <w:i/>
                <w:u w:val="none"/>
              </w:rPr>
              <w:t>Vendimet e Gjykatës së të Drejtave të Njeriut në Strasburg (GJEDNJ)</w:t>
            </w:r>
            <w:r w:rsidR="00C76A56" w:rsidRPr="00C76A56">
              <w:rPr>
                <w:rStyle w:val="Hyperlink"/>
                <w:b w:val="0"/>
                <w:i/>
                <w:u w:val="none"/>
              </w:rPr>
              <w:t xml:space="preserve">                                    </w:t>
            </w:r>
            <w:r w:rsidR="00C76A56">
              <w:rPr>
                <w:rStyle w:val="Hyperlink"/>
                <w:b w:val="0"/>
                <w:i/>
                <w:u w:val="none"/>
              </w:rPr>
              <w:t xml:space="preserve">   </w:t>
            </w:r>
            <w:r w:rsidR="00020F57" w:rsidRPr="00C76A56">
              <w:rPr>
                <w:b w:val="0"/>
                <w:webHidden/>
              </w:rPr>
              <w:fldChar w:fldCharType="begin"/>
            </w:r>
            <w:r w:rsidR="00020F57" w:rsidRPr="00C76A56">
              <w:rPr>
                <w:b w:val="0"/>
                <w:webHidden/>
              </w:rPr>
              <w:instrText xml:space="preserve"> PAGEREF _Toc11134245 \h </w:instrText>
            </w:r>
            <w:r w:rsidR="00020F57" w:rsidRPr="00C76A56">
              <w:rPr>
                <w:b w:val="0"/>
                <w:webHidden/>
              </w:rPr>
            </w:r>
            <w:r w:rsidR="00020F57" w:rsidRPr="00C76A56">
              <w:rPr>
                <w:b w:val="0"/>
                <w:webHidden/>
              </w:rPr>
              <w:fldChar w:fldCharType="separate"/>
            </w:r>
            <w:r w:rsidR="006B7599">
              <w:rPr>
                <w:b w:val="0"/>
                <w:webHidden/>
              </w:rPr>
              <w:t>70</w:t>
            </w:r>
            <w:r w:rsidR="00020F57" w:rsidRPr="00C76A56">
              <w:rPr>
                <w:b w:val="0"/>
                <w:webHidden/>
              </w:rPr>
              <w:fldChar w:fldCharType="end"/>
            </w:r>
          </w:hyperlink>
        </w:p>
        <w:p w14:paraId="5CA02260" w14:textId="77777777" w:rsidR="00020F57" w:rsidRPr="00C76A56" w:rsidRDefault="003D3813" w:rsidP="00543C22">
          <w:pPr>
            <w:pStyle w:val="TOC2"/>
            <w:tabs>
              <w:tab w:val="clear" w:pos="880"/>
              <w:tab w:val="left" w:pos="1350"/>
            </w:tabs>
            <w:ind w:left="540"/>
            <w:rPr>
              <w:rFonts w:eastAsiaTheme="minorEastAsia" w:cstheme="minorBidi"/>
              <w:b w:val="0"/>
              <w:lang w:val="en-US"/>
            </w:rPr>
          </w:pPr>
          <w:hyperlink w:anchor="_Toc11134246" w:history="1">
            <w:r w:rsidR="00020F57" w:rsidRPr="00C76A56">
              <w:rPr>
                <w:rStyle w:val="Hyperlink"/>
                <w:b w:val="0"/>
                <w:i/>
                <w:u w:val="none"/>
              </w:rPr>
              <w:t>7.4.2</w:t>
            </w:r>
            <w:r w:rsidR="00020F57" w:rsidRPr="00C76A56">
              <w:rPr>
                <w:rFonts w:eastAsiaTheme="minorEastAsia" w:cstheme="minorBidi"/>
                <w:b w:val="0"/>
                <w:lang w:val="en-US"/>
              </w:rPr>
              <w:tab/>
            </w:r>
            <w:r w:rsidR="00020F57" w:rsidRPr="00C76A56">
              <w:rPr>
                <w:rStyle w:val="Hyperlink"/>
                <w:b w:val="0"/>
                <w:i/>
                <w:u w:val="none"/>
              </w:rPr>
              <w:t>Vendimet e Gjykatës Ndërkombëtare të ARBITRAZHIT</w:t>
            </w:r>
            <w:r w:rsidR="00C76A56">
              <w:rPr>
                <w:rStyle w:val="Hyperlink"/>
                <w:b w:val="0"/>
                <w:i/>
                <w:u w:val="none"/>
              </w:rPr>
              <w:t xml:space="preserve">                                                                 </w:t>
            </w:r>
            <w:r w:rsidR="00020F57" w:rsidRPr="00C76A56">
              <w:rPr>
                <w:b w:val="0"/>
                <w:webHidden/>
              </w:rPr>
              <w:fldChar w:fldCharType="begin"/>
            </w:r>
            <w:r w:rsidR="00020F57" w:rsidRPr="00C76A56">
              <w:rPr>
                <w:b w:val="0"/>
                <w:webHidden/>
              </w:rPr>
              <w:instrText xml:space="preserve"> PAGEREF _Toc11134246 \h </w:instrText>
            </w:r>
            <w:r w:rsidR="00020F57" w:rsidRPr="00C76A56">
              <w:rPr>
                <w:b w:val="0"/>
                <w:webHidden/>
              </w:rPr>
            </w:r>
            <w:r w:rsidR="00020F57" w:rsidRPr="00C76A56">
              <w:rPr>
                <w:b w:val="0"/>
                <w:webHidden/>
              </w:rPr>
              <w:fldChar w:fldCharType="separate"/>
            </w:r>
            <w:r w:rsidR="006B7599">
              <w:rPr>
                <w:b w:val="0"/>
                <w:webHidden/>
              </w:rPr>
              <w:t>71</w:t>
            </w:r>
            <w:r w:rsidR="00020F57" w:rsidRPr="00C76A56">
              <w:rPr>
                <w:b w:val="0"/>
                <w:webHidden/>
              </w:rPr>
              <w:fldChar w:fldCharType="end"/>
            </w:r>
          </w:hyperlink>
        </w:p>
        <w:p w14:paraId="06539D63" w14:textId="77777777" w:rsidR="00020F57" w:rsidRPr="00020F57" w:rsidRDefault="003D3813" w:rsidP="00543C22">
          <w:pPr>
            <w:pStyle w:val="TOC1"/>
            <w:spacing w:before="0" w:line="276" w:lineRule="auto"/>
            <w:jc w:val="both"/>
            <w:rPr>
              <w:rFonts w:eastAsiaTheme="minorEastAsia" w:cstheme="minorBidi"/>
              <w:b w:val="0"/>
              <w:color w:val="auto"/>
              <w:sz w:val="24"/>
              <w:lang w:val="en-US"/>
            </w:rPr>
          </w:pPr>
          <w:hyperlink w:anchor="_Toc11134247" w:history="1">
            <w:r w:rsidR="00C76A56" w:rsidRPr="00020F57">
              <w:rPr>
                <w:rStyle w:val="Hyperlink"/>
                <w:sz w:val="24"/>
              </w:rPr>
              <w:t>8.</w:t>
            </w:r>
            <w:r w:rsidR="00C76A56" w:rsidRPr="00C76A56">
              <w:rPr>
                <w:rStyle w:val="Hyperlink"/>
              </w:rPr>
              <w:tab/>
            </w:r>
            <w:r w:rsidR="00C76A56" w:rsidRPr="00020F57">
              <w:rPr>
                <w:rStyle w:val="Hyperlink"/>
                <w:sz w:val="24"/>
              </w:rPr>
              <w:t>SHTOJCAT</w:t>
            </w:r>
            <w:r w:rsidR="00020F57" w:rsidRPr="00020F57">
              <w:rPr>
                <w:webHidden/>
                <w:sz w:val="24"/>
              </w:rPr>
              <w:tab/>
            </w:r>
            <w:r w:rsidR="00C76A56">
              <w:rPr>
                <w:webHidden/>
                <w:sz w:val="24"/>
              </w:rPr>
              <w:t xml:space="preserve">                 </w:t>
            </w:r>
            <w:r w:rsidR="00020F57" w:rsidRPr="00020F57">
              <w:rPr>
                <w:webHidden/>
                <w:sz w:val="24"/>
              </w:rPr>
              <w:fldChar w:fldCharType="begin"/>
            </w:r>
            <w:r w:rsidR="00020F57" w:rsidRPr="00020F57">
              <w:rPr>
                <w:webHidden/>
                <w:sz w:val="24"/>
              </w:rPr>
              <w:instrText xml:space="preserve"> PAGEREF _Toc11134247 \h </w:instrText>
            </w:r>
            <w:r w:rsidR="00020F57" w:rsidRPr="00020F57">
              <w:rPr>
                <w:webHidden/>
                <w:sz w:val="24"/>
              </w:rPr>
            </w:r>
            <w:r w:rsidR="00020F57" w:rsidRPr="00020F57">
              <w:rPr>
                <w:webHidden/>
                <w:sz w:val="24"/>
              </w:rPr>
              <w:fldChar w:fldCharType="separate"/>
            </w:r>
            <w:r w:rsidR="006B7599">
              <w:rPr>
                <w:webHidden/>
                <w:sz w:val="24"/>
              </w:rPr>
              <w:t>72</w:t>
            </w:r>
            <w:r w:rsidR="00020F57" w:rsidRPr="00020F57">
              <w:rPr>
                <w:webHidden/>
                <w:sz w:val="24"/>
              </w:rPr>
              <w:fldChar w:fldCharType="end"/>
            </w:r>
          </w:hyperlink>
        </w:p>
        <w:p w14:paraId="50C990A4" w14:textId="77777777" w:rsidR="00020F57" w:rsidRPr="00020F57" w:rsidRDefault="003D3813" w:rsidP="00543C22">
          <w:pPr>
            <w:pStyle w:val="TOC2"/>
            <w:rPr>
              <w:rFonts w:eastAsiaTheme="minorEastAsia" w:cstheme="minorBidi"/>
              <w:lang w:val="en-US"/>
            </w:rPr>
          </w:pPr>
          <w:hyperlink w:anchor="_Toc11134248" w:history="1">
            <w:r w:rsidR="00020F57" w:rsidRPr="00020F57">
              <w:rPr>
                <w:rStyle w:val="Hyperlink"/>
              </w:rPr>
              <w:t>8.1</w:t>
            </w:r>
            <w:r w:rsidR="00020F57" w:rsidRPr="00020F57">
              <w:rPr>
                <w:rFonts w:eastAsiaTheme="minorEastAsia" w:cstheme="minorBidi"/>
                <w:lang w:val="en-US"/>
              </w:rPr>
              <w:tab/>
            </w:r>
            <w:r w:rsidR="00020F57" w:rsidRPr="00020F57">
              <w:rPr>
                <w:rStyle w:val="Hyperlink"/>
              </w:rPr>
              <w:t>Shtojca 1 - Zbatimi dhe monitorimi i parimeve dhe rregullave fiskale</w:t>
            </w:r>
            <w:r w:rsidR="00C76A56">
              <w:rPr>
                <w:rStyle w:val="Hyperlink"/>
              </w:rPr>
              <w:t xml:space="preserve">                                            </w:t>
            </w:r>
            <w:r w:rsidR="00020F57" w:rsidRPr="00020F57">
              <w:rPr>
                <w:webHidden/>
              </w:rPr>
              <w:fldChar w:fldCharType="begin"/>
            </w:r>
            <w:r w:rsidR="00020F57" w:rsidRPr="00020F57">
              <w:rPr>
                <w:webHidden/>
              </w:rPr>
              <w:instrText xml:space="preserve"> PAGEREF _Toc11134248 \h </w:instrText>
            </w:r>
            <w:r w:rsidR="00020F57" w:rsidRPr="00020F57">
              <w:rPr>
                <w:webHidden/>
              </w:rPr>
            </w:r>
            <w:r w:rsidR="00020F57" w:rsidRPr="00020F57">
              <w:rPr>
                <w:webHidden/>
              </w:rPr>
              <w:fldChar w:fldCharType="separate"/>
            </w:r>
            <w:r w:rsidR="006B7599">
              <w:rPr>
                <w:webHidden/>
              </w:rPr>
              <w:t>72</w:t>
            </w:r>
            <w:r w:rsidR="00020F57" w:rsidRPr="00020F57">
              <w:rPr>
                <w:webHidden/>
              </w:rPr>
              <w:fldChar w:fldCharType="end"/>
            </w:r>
          </w:hyperlink>
        </w:p>
        <w:p w14:paraId="5FBECDD3" w14:textId="77777777" w:rsidR="00020F57" w:rsidRPr="00020F57" w:rsidRDefault="003D3813" w:rsidP="00543C22">
          <w:pPr>
            <w:pStyle w:val="TOC2"/>
            <w:rPr>
              <w:rFonts w:eastAsiaTheme="minorEastAsia" w:cstheme="minorBidi"/>
              <w:lang w:val="en-US"/>
            </w:rPr>
          </w:pPr>
          <w:hyperlink w:anchor="_Toc11134249" w:history="1">
            <w:r w:rsidR="00020F57" w:rsidRPr="00020F57">
              <w:rPr>
                <w:rStyle w:val="Hyperlink"/>
              </w:rPr>
              <w:t>8.2</w:t>
            </w:r>
            <w:r w:rsidR="00020F57" w:rsidRPr="00020F57">
              <w:rPr>
                <w:rFonts w:eastAsiaTheme="minorEastAsia" w:cstheme="minorBidi"/>
                <w:lang w:val="en-US"/>
              </w:rPr>
              <w:tab/>
            </w:r>
            <w:r w:rsidR="00020F57" w:rsidRPr="00020F57">
              <w:rPr>
                <w:rStyle w:val="Hyperlink"/>
              </w:rPr>
              <w:t>Shtojca 2 – Efektet e paketës fiskale 2018</w:t>
            </w:r>
            <w:r w:rsidR="00C76A56">
              <w:rPr>
                <w:rStyle w:val="Hyperlink"/>
              </w:rPr>
              <w:t xml:space="preserve">                                                                                             </w:t>
            </w:r>
            <w:r w:rsidR="00020F57" w:rsidRPr="00020F57">
              <w:rPr>
                <w:webHidden/>
              </w:rPr>
              <w:fldChar w:fldCharType="begin"/>
            </w:r>
            <w:r w:rsidR="00020F57" w:rsidRPr="00020F57">
              <w:rPr>
                <w:webHidden/>
              </w:rPr>
              <w:instrText xml:space="preserve"> PAGEREF _Toc11134249 \h </w:instrText>
            </w:r>
            <w:r w:rsidR="00020F57" w:rsidRPr="00020F57">
              <w:rPr>
                <w:webHidden/>
              </w:rPr>
            </w:r>
            <w:r w:rsidR="00020F57" w:rsidRPr="00020F57">
              <w:rPr>
                <w:webHidden/>
              </w:rPr>
              <w:fldChar w:fldCharType="separate"/>
            </w:r>
            <w:r w:rsidR="006B7599">
              <w:rPr>
                <w:webHidden/>
              </w:rPr>
              <w:t>78</w:t>
            </w:r>
            <w:r w:rsidR="00020F57" w:rsidRPr="00020F57">
              <w:rPr>
                <w:webHidden/>
              </w:rPr>
              <w:fldChar w:fldCharType="end"/>
            </w:r>
          </w:hyperlink>
        </w:p>
        <w:p w14:paraId="35EB0739" w14:textId="77777777" w:rsidR="00020F57" w:rsidRPr="00020F57" w:rsidRDefault="003D3813" w:rsidP="00543C22">
          <w:pPr>
            <w:pStyle w:val="TOC2"/>
            <w:rPr>
              <w:rFonts w:eastAsiaTheme="minorEastAsia" w:cstheme="minorBidi"/>
              <w:lang w:val="en-US"/>
            </w:rPr>
          </w:pPr>
          <w:hyperlink w:anchor="_Toc11134250" w:history="1">
            <w:r w:rsidR="00020F57" w:rsidRPr="00020F57">
              <w:rPr>
                <w:rStyle w:val="Hyperlink"/>
              </w:rPr>
              <w:t>8.3</w:t>
            </w:r>
            <w:r w:rsidR="00020F57" w:rsidRPr="00020F57">
              <w:rPr>
                <w:rFonts w:eastAsiaTheme="minorEastAsia" w:cstheme="minorBidi"/>
                <w:lang w:val="en-US"/>
              </w:rPr>
              <w:tab/>
            </w:r>
            <w:r w:rsidR="00020F57" w:rsidRPr="00020F57">
              <w:rPr>
                <w:rStyle w:val="Hyperlink"/>
              </w:rPr>
              <w:t>Shtojca 3 - Të ardhurat e pushtetit vendor</w:t>
            </w:r>
            <w:r w:rsidR="00C76A56">
              <w:rPr>
                <w:rStyle w:val="Hyperlink"/>
              </w:rPr>
              <w:t xml:space="preserve">                                                                                            </w:t>
            </w:r>
            <w:r w:rsidR="00020F57" w:rsidRPr="00020F57">
              <w:rPr>
                <w:webHidden/>
              </w:rPr>
              <w:fldChar w:fldCharType="begin"/>
            </w:r>
            <w:r w:rsidR="00020F57" w:rsidRPr="00020F57">
              <w:rPr>
                <w:webHidden/>
              </w:rPr>
              <w:instrText xml:space="preserve"> PAGEREF _Toc11134250 \h </w:instrText>
            </w:r>
            <w:r w:rsidR="00020F57" w:rsidRPr="00020F57">
              <w:rPr>
                <w:webHidden/>
              </w:rPr>
            </w:r>
            <w:r w:rsidR="00020F57" w:rsidRPr="00020F57">
              <w:rPr>
                <w:webHidden/>
              </w:rPr>
              <w:fldChar w:fldCharType="separate"/>
            </w:r>
            <w:r w:rsidR="006B7599">
              <w:rPr>
                <w:webHidden/>
              </w:rPr>
              <w:t>79</w:t>
            </w:r>
            <w:r w:rsidR="00020F57" w:rsidRPr="00020F57">
              <w:rPr>
                <w:webHidden/>
              </w:rPr>
              <w:fldChar w:fldCharType="end"/>
            </w:r>
          </w:hyperlink>
        </w:p>
        <w:p w14:paraId="1480DAF2" w14:textId="77777777" w:rsidR="00020F57" w:rsidRPr="00020F57" w:rsidRDefault="003D3813" w:rsidP="00543C22">
          <w:pPr>
            <w:pStyle w:val="TOC3"/>
            <w:spacing w:line="276" w:lineRule="auto"/>
            <w:jc w:val="both"/>
            <w:rPr>
              <w:rFonts w:asciiTheme="majorHAnsi" w:eastAsiaTheme="minorEastAsia" w:hAnsiTheme="majorHAnsi" w:cstheme="minorBidi"/>
              <w:noProof/>
            </w:rPr>
          </w:pPr>
          <w:hyperlink w:anchor="_Toc11134251" w:history="1">
            <w:r w:rsidR="00020F57" w:rsidRPr="00020F57">
              <w:rPr>
                <w:rStyle w:val="Hyperlink"/>
                <w:rFonts w:asciiTheme="majorHAnsi" w:hAnsiTheme="majorHAnsi"/>
                <w:i/>
                <w:noProof/>
                <w:lang w:val="sq-AL"/>
              </w:rPr>
              <w:t>8.3.1</w:t>
            </w:r>
            <w:r w:rsidR="00020F57" w:rsidRPr="00020F57">
              <w:rPr>
                <w:rFonts w:asciiTheme="majorHAnsi" w:eastAsiaTheme="minorEastAsia" w:hAnsiTheme="majorHAnsi" w:cstheme="minorBidi"/>
                <w:i/>
                <w:noProof/>
              </w:rPr>
              <w:tab/>
            </w:r>
            <w:r w:rsidR="00020F57" w:rsidRPr="00020F57">
              <w:rPr>
                <w:rStyle w:val="Hyperlink"/>
                <w:rFonts w:asciiTheme="majorHAnsi" w:hAnsiTheme="majorHAnsi"/>
                <w:i/>
                <w:noProof/>
                <w:lang w:val="sq-AL"/>
              </w:rPr>
              <w:t>Të ardhurat e Pushtetit Vendor dhe kapaciteti fiskal</w:t>
            </w:r>
            <w:r w:rsidR="00C76A56">
              <w:rPr>
                <w:rFonts w:asciiTheme="majorHAnsi" w:hAnsiTheme="majorHAnsi"/>
                <w:noProof/>
                <w:webHidden/>
              </w:rPr>
              <w:t xml:space="preserve">                                                                     </w:t>
            </w:r>
            <w:r w:rsidR="00020F57" w:rsidRPr="00020F57">
              <w:rPr>
                <w:rFonts w:asciiTheme="majorHAnsi" w:hAnsiTheme="majorHAnsi"/>
                <w:noProof/>
                <w:webHidden/>
              </w:rPr>
              <w:fldChar w:fldCharType="begin"/>
            </w:r>
            <w:r w:rsidR="00020F57" w:rsidRPr="00020F57">
              <w:rPr>
                <w:rFonts w:asciiTheme="majorHAnsi" w:hAnsiTheme="majorHAnsi"/>
                <w:noProof/>
                <w:webHidden/>
              </w:rPr>
              <w:instrText xml:space="preserve"> PAGEREF _Toc11134251 \h </w:instrText>
            </w:r>
            <w:r w:rsidR="00020F57" w:rsidRPr="00020F57">
              <w:rPr>
                <w:rFonts w:asciiTheme="majorHAnsi" w:hAnsiTheme="majorHAnsi"/>
                <w:noProof/>
                <w:webHidden/>
              </w:rPr>
            </w:r>
            <w:r w:rsidR="00020F57" w:rsidRPr="00020F57">
              <w:rPr>
                <w:rFonts w:asciiTheme="majorHAnsi" w:hAnsiTheme="majorHAnsi"/>
                <w:noProof/>
                <w:webHidden/>
              </w:rPr>
              <w:fldChar w:fldCharType="separate"/>
            </w:r>
            <w:r w:rsidR="006B7599">
              <w:rPr>
                <w:rFonts w:asciiTheme="majorHAnsi" w:hAnsiTheme="majorHAnsi"/>
                <w:noProof/>
                <w:webHidden/>
              </w:rPr>
              <w:t>80</w:t>
            </w:r>
            <w:r w:rsidR="00020F57" w:rsidRPr="00020F57">
              <w:rPr>
                <w:rFonts w:asciiTheme="majorHAnsi" w:hAnsiTheme="majorHAnsi"/>
                <w:noProof/>
                <w:webHidden/>
              </w:rPr>
              <w:fldChar w:fldCharType="end"/>
            </w:r>
          </w:hyperlink>
        </w:p>
        <w:p w14:paraId="2E5C2319" w14:textId="77777777" w:rsidR="00140052" w:rsidRDefault="00140052" w:rsidP="00543C22">
          <w:pPr>
            <w:pStyle w:val="TOC3"/>
            <w:spacing w:after="0" w:line="276" w:lineRule="auto"/>
            <w:ind w:left="0"/>
            <w:jc w:val="both"/>
          </w:pPr>
          <w:r w:rsidRPr="00020F57">
            <w:rPr>
              <w:rFonts w:asciiTheme="majorHAnsi" w:hAnsiTheme="majorHAnsi"/>
              <w:b/>
              <w:bCs/>
              <w:noProof/>
            </w:rPr>
            <w:fldChar w:fldCharType="end"/>
          </w:r>
        </w:p>
      </w:sdtContent>
    </w:sdt>
    <w:p w14:paraId="1FBB3DDE" w14:textId="77777777" w:rsidR="007F44B9" w:rsidRPr="002E06C4" w:rsidRDefault="007F44B9" w:rsidP="006E5463">
      <w:pPr>
        <w:snapToGrid w:val="0"/>
        <w:jc w:val="center"/>
        <w:rPr>
          <w:rFonts w:asciiTheme="majorHAnsi" w:hAnsiTheme="majorHAnsi" w:cs="Times New Roman"/>
          <w:lang w:val="sq-AL"/>
        </w:rPr>
      </w:pPr>
    </w:p>
    <w:p w14:paraId="6D412192" w14:textId="77777777" w:rsidR="007F44B9" w:rsidRPr="002E06C4" w:rsidRDefault="007F44B9">
      <w:pPr>
        <w:rPr>
          <w:rFonts w:asciiTheme="majorHAnsi" w:hAnsiTheme="majorHAnsi" w:cs="Times New Roman"/>
          <w:lang w:val="sq-AL"/>
        </w:rPr>
        <w:sectPr w:rsidR="007F44B9" w:rsidRPr="002E06C4" w:rsidSect="00824B19">
          <w:headerReference w:type="even" r:id="rId9"/>
          <w:headerReference w:type="default" r:id="rId10"/>
          <w:footerReference w:type="even" r:id="rId11"/>
          <w:footerReference w:type="default" r:id="rId12"/>
          <w:pgSz w:w="12240" w:h="15840"/>
          <w:pgMar w:top="1440" w:right="900" w:bottom="1440" w:left="810" w:header="720" w:footer="720" w:gutter="0"/>
          <w:cols w:space="720"/>
          <w:docGrid w:linePitch="360"/>
        </w:sectPr>
      </w:pPr>
    </w:p>
    <w:p w14:paraId="76B1D985" w14:textId="4242F828" w:rsidR="009158B4" w:rsidRPr="002E06C4" w:rsidRDefault="009158B4" w:rsidP="00AE0384">
      <w:pPr>
        <w:pStyle w:val="TableofFigures"/>
        <w:tabs>
          <w:tab w:val="right" w:leader="dot" w:pos="10440"/>
        </w:tabs>
        <w:jc w:val="center"/>
        <w:rPr>
          <w:rFonts w:asciiTheme="majorHAnsi" w:hAnsiTheme="majorHAnsi"/>
          <w:b/>
          <w:color w:val="4F81BD" w:themeColor="accent1"/>
          <w:lang w:val="sq-AL"/>
        </w:rPr>
      </w:pPr>
      <w:r w:rsidRPr="002E06C4">
        <w:rPr>
          <w:rFonts w:asciiTheme="majorHAnsi" w:hAnsiTheme="majorHAnsi"/>
          <w:b/>
          <w:color w:val="4F81BD" w:themeColor="accent1"/>
          <w:lang w:val="sq-AL"/>
        </w:rPr>
        <w:lastRenderedPageBreak/>
        <w:t>TABELA DHE GRAFIK</w:t>
      </w:r>
      <w:r w:rsidR="00C33B16" w:rsidRPr="002E06C4">
        <w:rPr>
          <w:rFonts w:asciiTheme="majorHAnsi" w:hAnsiTheme="majorHAnsi"/>
          <w:b/>
          <w:color w:val="4F81BD" w:themeColor="accent1"/>
          <w:lang w:val="sq-AL"/>
        </w:rPr>
        <w:t>Ë</w:t>
      </w:r>
    </w:p>
    <w:p w14:paraId="1FF2AA58" w14:textId="77777777" w:rsidR="009158B4" w:rsidRPr="002E06C4" w:rsidRDefault="009158B4" w:rsidP="009158B4">
      <w:pPr>
        <w:rPr>
          <w:rFonts w:asciiTheme="majorHAnsi" w:hAnsiTheme="majorHAnsi" w:cs="Times New Roman"/>
          <w:sz w:val="20"/>
          <w:szCs w:val="20"/>
          <w:lang w:val="sq-AL"/>
        </w:rPr>
      </w:pPr>
    </w:p>
    <w:p w14:paraId="3B7DC284" w14:textId="77777777" w:rsidR="00502E37" w:rsidRPr="00502E37" w:rsidRDefault="009158B4">
      <w:pPr>
        <w:pStyle w:val="TableofFigures"/>
        <w:tabs>
          <w:tab w:val="right" w:leader="dot" w:pos="10430"/>
        </w:tabs>
        <w:rPr>
          <w:rFonts w:asciiTheme="majorHAnsi" w:eastAsiaTheme="minorEastAsia" w:hAnsiTheme="majorHAnsi" w:cstheme="minorBidi"/>
          <w:noProof/>
          <w:color w:val="0070C0"/>
          <w:sz w:val="20"/>
          <w:szCs w:val="22"/>
        </w:rPr>
      </w:pPr>
      <w:r w:rsidRPr="00502E37">
        <w:rPr>
          <w:rStyle w:val="Hyperlink"/>
          <w:rFonts w:asciiTheme="majorHAnsi" w:hAnsiTheme="majorHAnsi"/>
          <w:noProof/>
          <w:color w:val="0070C0"/>
          <w:sz w:val="20"/>
          <w:lang w:val="sq-AL"/>
        </w:rPr>
        <w:fldChar w:fldCharType="begin"/>
      </w:r>
      <w:r w:rsidRPr="00502E37">
        <w:rPr>
          <w:rStyle w:val="Hyperlink"/>
          <w:rFonts w:asciiTheme="majorHAnsi" w:hAnsiTheme="majorHAnsi"/>
          <w:noProof/>
          <w:color w:val="0070C0"/>
          <w:sz w:val="20"/>
          <w:lang w:val="sq-AL"/>
        </w:rPr>
        <w:instrText xml:space="preserve"> TOC \h \z \c "Tabela" </w:instrText>
      </w:r>
      <w:r w:rsidRPr="00502E37">
        <w:rPr>
          <w:rStyle w:val="Hyperlink"/>
          <w:rFonts w:asciiTheme="majorHAnsi" w:hAnsiTheme="majorHAnsi"/>
          <w:noProof/>
          <w:color w:val="0070C0"/>
          <w:sz w:val="20"/>
          <w:lang w:val="sq-AL"/>
        </w:rPr>
        <w:fldChar w:fldCharType="separate"/>
      </w:r>
      <w:hyperlink w:anchor="_Toc11135115" w:history="1">
        <w:r w:rsidR="00502E37" w:rsidRPr="00502E37">
          <w:rPr>
            <w:rStyle w:val="Hyperlink"/>
            <w:rFonts w:asciiTheme="majorHAnsi" w:hAnsiTheme="majorHAnsi"/>
            <w:noProof/>
            <w:color w:val="0070C0"/>
            <w:sz w:val="22"/>
          </w:rPr>
          <w:t>Tabela 1</w:t>
        </w:r>
        <w:r w:rsidR="00502E37" w:rsidRPr="00502E37">
          <w:rPr>
            <w:rStyle w:val="Hyperlink"/>
            <w:rFonts w:asciiTheme="majorHAnsi" w:hAnsiTheme="majorHAnsi"/>
            <w:noProof/>
            <w:color w:val="0070C0"/>
            <w:sz w:val="22"/>
            <w:lang w:val="sq-AL"/>
          </w:rPr>
          <w:t xml:space="preserve"> Produkti i Brendshëm Bruto</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_Toc11135115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9</w:t>
        </w:r>
        <w:r w:rsidR="00502E37" w:rsidRPr="00502E37">
          <w:rPr>
            <w:rFonts w:asciiTheme="majorHAnsi" w:hAnsiTheme="majorHAnsi"/>
            <w:noProof/>
            <w:webHidden/>
            <w:color w:val="0070C0"/>
            <w:sz w:val="22"/>
          </w:rPr>
          <w:fldChar w:fldCharType="end"/>
        </w:r>
      </w:hyperlink>
    </w:p>
    <w:p w14:paraId="629C25E8"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16" w:history="1">
        <w:r w:rsidR="00502E37" w:rsidRPr="00502E37">
          <w:rPr>
            <w:rStyle w:val="Hyperlink"/>
            <w:rFonts w:asciiTheme="majorHAnsi" w:hAnsiTheme="majorHAnsi"/>
            <w:noProof/>
            <w:color w:val="0070C0"/>
            <w:sz w:val="22"/>
          </w:rPr>
          <w:t>Tabela 2</w:t>
        </w:r>
        <w:r w:rsidR="00502E37" w:rsidRPr="00502E37">
          <w:rPr>
            <w:rStyle w:val="Hyperlink"/>
            <w:rFonts w:asciiTheme="majorHAnsi" w:hAnsiTheme="majorHAnsi"/>
            <w:noProof/>
            <w:color w:val="0070C0"/>
            <w:sz w:val="22"/>
            <w:lang w:val="sq-AL"/>
          </w:rPr>
          <w:t xml:space="preserve"> Norma e papunësisë</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_Toc11135116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9</w:t>
        </w:r>
        <w:r w:rsidR="00502E37" w:rsidRPr="00502E37">
          <w:rPr>
            <w:rFonts w:asciiTheme="majorHAnsi" w:hAnsiTheme="majorHAnsi"/>
            <w:noProof/>
            <w:webHidden/>
            <w:color w:val="0070C0"/>
            <w:sz w:val="22"/>
          </w:rPr>
          <w:fldChar w:fldCharType="end"/>
        </w:r>
      </w:hyperlink>
    </w:p>
    <w:p w14:paraId="1B671AF6"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17" w:history="1">
        <w:r w:rsidR="00502E37" w:rsidRPr="00502E37">
          <w:rPr>
            <w:rStyle w:val="Hyperlink"/>
            <w:rFonts w:asciiTheme="majorHAnsi" w:hAnsiTheme="majorHAnsi"/>
            <w:noProof/>
            <w:color w:val="0070C0"/>
            <w:sz w:val="22"/>
          </w:rPr>
          <w:t>Tabela 3</w:t>
        </w:r>
        <w:r w:rsidR="00502E37" w:rsidRPr="00502E37">
          <w:rPr>
            <w:rStyle w:val="Hyperlink"/>
            <w:rFonts w:asciiTheme="majorHAnsi" w:hAnsiTheme="majorHAnsi"/>
            <w:noProof/>
            <w:color w:val="0070C0"/>
            <w:sz w:val="22"/>
            <w:lang w:val="sq-AL"/>
          </w:rPr>
          <w:t xml:space="preserve"> Bilanci tregtar</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_Toc11135117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10</w:t>
        </w:r>
        <w:r w:rsidR="00502E37" w:rsidRPr="00502E37">
          <w:rPr>
            <w:rFonts w:asciiTheme="majorHAnsi" w:hAnsiTheme="majorHAnsi"/>
            <w:noProof/>
            <w:webHidden/>
            <w:color w:val="0070C0"/>
            <w:sz w:val="22"/>
          </w:rPr>
          <w:fldChar w:fldCharType="end"/>
        </w:r>
      </w:hyperlink>
    </w:p>
    <w:p w14:paraId="5D821580"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18" w:history="1">
        <w:r w:rsidR="00502E37" w:rsidRPr="00502E37">
          <w:rPr>
            <w:rStyle w:val="Hyperlink"/>
            <w:rFonts w:asciiTheme="majorHAnsi" w:hAnsiTheme="majorHAnsi"/>
            <w:noProof/>
            <w:color w:val="0070C0"/>
            <w:sz w:val="22"/>
          </w:rPr>
          <w:t>Tabela 4</w:t>
        </w:r>
        <w:r w:rsidR="00502E37" w:rsidRPr="00502E37">
          <w:rPr>
            <w:rStyle w:val="Hyperlink"/>
            <w:rFonts w:asciiTheme="majorHAnsi" w:hAnsiTheme="majorHAnsi"/>
            <w:noProof/>
            <w:color w:val="0070C0"/>
            <w:sz w:val="22"/>
            <w:lang w:val="sq-AL"/>
          </w:rPr>
          <w:t xml:space="preserve"> Norma e inflacionit</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_Toc11135118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10</w:t>
        </w:r>
        <w:r w:rsidR="00502E37" w:rsidRPr="00502E37">
          <w:rPr>
            <w:rFonts w:asciiTheme="majorHAnsi" w:hAnsiTheme="majorHAnsi"/>
            <w:noProof/>
            <w:webHidden/>
            <w:color w:val="0070C0"/>
            <w:sz w:val="22"/>
          </w:rPr>
          <w:fldChar w:fldCharType="end"/>
        </w:r>
      </w:hyperlink>
    </w:p>
    <w:p w14:paraId="627FA9F0"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19" w:history="1">
        <w:r w:rsidR="00502E37" w:rsidRPr="00502E37">
          <w:rPr>
            <w:rStyle w:val="Hyperlink"/>
            <w:rFonts w:asciiTheme="majorHAnsi" w:hAnsiTheme="majorHAnsi"/>
            <w:noProof/>
            <w:color w:val="0070C0"/>
            <w:sz w:val="22"/>
          </w:rPr>
          <w:t>Tabela 5</w:t>
        </w:r>
        <w:r w:rsidR="00502E37" w:rsidRPr="00502E37">
          <w:rPr>
            <w:rStyle w:val="Hyperlink"/>
            <w:rFonts w:asciiTheme="majorHAnsi" w:hAnsiTheme="majorHAnsi"/>
            <w:noProof/>
            <w:color w:val="0070C0"/>
            <w:sz w:val="22"/>
            <w:lang w:val="sq-AL"/>
          </w:rPr>
          <w:t xml:space="preserve"> Bilanci fiskal</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_Toc11135119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10</w:t>
        </w:r>
        <w:r w:rsidR="00502E37" w:rsidRPr="00502E37">
          <w:rPr>
            <w:rFonts w:asciiTheme="majorHAnsi" w:hAnsiTheme="majorHAnsi"/>
            <w:noProof/>
            <w:webHidden/>
            <w:color w:val="0070C0"/>
            <w:sz w:val="22"/>
          </w:rPr>
          <w:fldChar w:fldCharType="end"/>
        </w:r>
      </w:hyperlink>
    </w:p>
    <w:p w14:paraId="56A73F3E"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0" w:history="1">
        <w:r w:rsidR="00502E37" w:rsidRPr="00502E37">
          <w:rPr>
            <w:rStyle w:val="Hyperlink"/>
            <w:rFonts w:asciiTheme="majorHAnsi" w:hAnsiTheme="majorHAnsi"/>
            <w:noProof/>
            <w:color w:val="0070C0"/>
            <w:sz w:val="22"/>
          </w:rPr>
          <w:t>Tabela 6</w:t>
        </w:r>
        <w:r w:rsidR="00502E37" w:rsidRPr="00502E37">
          <w:rPr>
            <w:rStyle w:val="Hyperlink"/>
            <w:rFonts w:asciiTheme="majorHAnsi" w:hAnsiTheme="majorHAnsi"/>
            <w:noProof/>
            <w:color w:val="0070C0"/>
            <w:sz w:val="22"/>
            <w:lang w:val="sq-AL"/>
          </w:rPr>
          <w:t xml:space="preserve"> Borxhi publik</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_Toc11135120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11</w:t>
        </w:r>
        <w:r w:rsidR="00502E37" w:rsidRPr="00502E37">
          <w:rPr>
            <w:rFonts w:asciiTheme="majorHAnsi" w:hAnsiTheme="majorHAnsi"/>
            <w:noProof/>
            <w:webHidden/>
            <w:color w:val="0070C0"/>
            <w:sz w:val="22"/>
          </w:rPr>
          <w:fldChar w:fldCharType="end"/>
        </w:r>
      </w:hyperlink>
    </w:p>
    <w:p w14:paraId="69320C4E"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1" w:history="1">
        <w:r w:rsidR="00502E37" w:rsidRPr="00502E37">
          <w:rPr>
            <w:rStyle w:val="Hyperlink"/>
            <w:rFonts w:asciiTheme="majorHAnsi" w:hAnsiTheme="majorHAnsi"/>
            <w:noProof/>
            <w:color w:val="0070C0"/>
            <w:sz w:val="22"/>
          </w:rPr>
          <w:t>Tabela 7</w:t>
        </w:r>
        <w:r w:rsidR="00502E37" w:rsidRPr="00502E37">
          <w:rPr>
            <w:rStyle w:val="Hyperlink"/>
            <w:rFonts w:asciiTheme="majorHAnsi" w:hAnsiTheme="majorHAnsi"/>
            <w:noProof/>
            <w:color w:val="0070C0"/>
            <w:sz w:val="22"/>
            <w:lang w:val="sq-AL"/>
          </w:rPr>
          <w:t xml:space="preserve"> Treguesit e të ardhurave kryesore (në miliardë lekë)</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_Toc11135121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13</w:t>
        </w:r>
        <w:r w:rsidR="00502E37" w:rsidRPr="00502E37">
          <w:rPr>
            <w:rFonts w:asciiTheme="majorHAnsi" w:hAnsiTheme="majorHAnsi"/>
            <w:noProof/>
            <w:webHidden/>
            <w:color w:val="0070C0"/>
            <w:sz w:val="22"/>
          </w:rPr>
          <w:fldChar w:fldCharType="end"/>
        </w:r>
      </w:hyperlink>
    </w:p>
    <w:p w14:paraId="400F03EC"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2" w:history="1">
        <w:r w:rsidR="00502E37" w:rsidRPr="00502E37">
          <w:rPr>
            <w:rStyle w:val="Hyperlink"/>
            <w:rFonts w:asciiTheme="majorHAnsi" w:hAnsiTheme="majorHAnsi"/>
            <w:noProof/>
            <w:color w:val="0070C0"/>
            <w:sz w:val="22"/>
          </w:rPr>
          <w:t>Tabela 8</w:t>
        </w:r>
        <w:r w:rsidR="00502E37" w:rsidRPr="00502E37">
          <w:rPr>
            <w:rStyle w:val="Hyperlink"/>
            <w:rFonts w:asciiTheme="majorHAnsi" w:hAnsiTheme="majorHAnsi"/>
            <w:noProof/>
            <w:color w:val="0070C0"/>
            <w:sz w:val="22"/>
            <w:lang w:val="sq-AL"/>
          </w:rPr>
          <w:t xml:space="preserve"> Të ardhurat nga tatimet dhe doganat (në milionë lekë)</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_Toc11135122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18</w:t>
        </w:r>
        <w:r w:rsidR="00502E37" w:rsidRPr="00502E37">
          <w:rPr>
            <w:rFonts w:asciiTheme="majorHAnsi" w:hAnsiTheme="majorHAnsi"/>
            <w:noProof/>
            <w:webHidden/>
            <w:color w:val="0070C0"/>
            <w:sz w:val="22"/>
          </w:rPr>
          <w:fldChar w:fldCharType="end"/>
        </w:r>
      </w:hyperlink>
    </w:p>
    <w:p w14:paraId="1B164AAE"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3" w:history="1">
        <w:r w:rsidR="00502E37" w:rsidRPr="00502E37">
          <w:rPr>
            <w:rStyle w:val="Hyperlink"/>
            <w:rFonts w:asciiTheme="majorHAnsi" w:hAnsiTheme="majorHAnsi"/>
            <w:noProof/>
            <w:color w:val="0070C0"/>
            <w:sz w:val="22"/>
          </w:rPr>
          <w:t>Tabela 9</w:t>
        </w:r>
        <w:r w:rsidR="00502E37" w:rsidRPr="00502E37">
          <w:rPr>
            <w:rStyle w:val="Hyperlink"/>
            <w:rFonts w:asciiTheme="majorHAnsi" w:hAnsiTheme="majorHAnsi"/>
            <w:noProof/>
            <w:color w:val="0070C0"/>
            <w:sz w:val="22"/>
            <w:lang w:val="sq-AL"/>
          </w:rPr>
          <w:t xml:space="preserve"> Performanca e TVSH-së në import: faktorët ndikues 2018 krahasuar me 2017</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_Toc11135123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20</w:t>
        </w:r>
        <w:r w:rsidR="00502E37" w:rsidRPr="00502E37">
          <w:rPr>
            <w:rFonts w:asciiTheme="majorHAnsi" w:hAnsiTheme="majorHAnsi"/>
            <w:noProof/>
            <w:webHidden/>
            <w:color w:val="0070C0"/>
            <w:sz w:val="22"/>
          </w:rPr>
          <w:fldChar w:fldCharType="end"/>
        </w:r>
      </w:hyperlink>
    </w:p>
    <w:p w14:paraId="413BB5CD"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4" w:history="1">
        <w:r w:rsidR="00502E37" w:rsidRPr="00502E37">
          <w:rPr>
            <w:rStyle w:val="Hyperlink"/>
            <w:rFonts w:asciiTheme="majorHAnsi" w:hAnsiTheme="majorHAnsi"/>
            <w:noProof/>
            <w:color w:val="0070C0"/>
            <w:sz w:val="22"/>
          </w:rPr>
          <w:t>Tabela 10</w:t>
        </w:r>
        <w:r w:rsidR="00502E37" w:rsidRPr="00502E37">
          <w:rPr>
            <w:rStyle w:val="Hyperlink"/>
            <w:rFonts w:asciiTheme="majorHAnsi" w:hAnsiTheme="majorHAnsi"/>
            <w:noProof/>
            <w:color w:val="0070C0"/>
            <w:sz w:val="22"/>
            <w:lang w:val="sq-AL"/>
          </w:rPr>
          <w:t xml:space="preserve"> Performanca e të ardhurave nga akciza: mallrat kryesorë 2018 - 2017</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_Toc11135124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21</w:t>
        </w:r>
        <w:r w:rsidR="00502E37" w:rsidRPr="00502E37">
          <w:rPr>
            <w:rFonts w:asciiTheme="majorHAnsi" w:hAnsiTheme="majorHAnsi"/>
            <w:noProof/>
            <w:webHidden/>
            <w:color w:val="0070C0"/>
            <w:sz w:val="22"/>
          </w:rPr>
          <w:fldChar w:fldCharType="end"/>
        </w:r>
      </w:hyperlink>
    </w:p>
    <w:p w14:paraId="2ABA42FB"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5" w:history="1">
        <w:r w:rsidR="00502E37" w:rsidRPr="00502E37">
          <w:rPr>
            <w:rStyle w:val="Hyperlink"/>
            <w:rFonts w:asciiTheme="majorHAnsi" w:hAnsiTheme="majorHAnsi"/>
            <w:noProof/>
            <w:color w:val="0070C0"/>
            <w:sz w:val="22"/>
          </w:rPr>
          <w:t>Tabela 11</w:t>
        </w:r>
        <w:r w:rsidR="00502E37" w:rsidRPr="00502E37">
          <w:rPr>
            <w:rStyle w:val="Hyperlink"/>
            <w:rFonts w:asciiTheme="majorHAnsi" w:hAnsiTheme="majorHAnsi"/>
            <w:noProof/>
            <w:color w:val="0070C0"/>
            <w:sz w:val="22"/>
            <w:lang w:val="sq-AL"/>
          </w:rPr>
          <w:t xml:space="preserve"> Shpenzimet sipas funksionit</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_Toc11135125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33</w:t>
        </w:r>
        <w:r w:rsidR="00502E37" w:rsidRPr="00502E37">
          <w:rPr>
            <w:rFonts w:asciiTheme="majorHAnsi" w:hAnsiTheme="majorHAnsi"/>
            <w:noProof/>
            <w:webHidden/>
            <w:color w:val="0070C0"/>
            <w:sz w:val="22"/>
          </w:rPr>
          <w:fldChar w:fldCharType="end"/>
        </w:r>
      </w:hyperlink>
    </w:p>
    <w:p w14:paraId="46A851ED"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6" w:history="1">
        <w:r w:rsidR="00502E37" w:rsidRPr="00502E37">
          <w:rPr>
            <w:rStyle w:val="Hyperlink"/>
            <w:rFonts w:asciiTheme="majorHAnsi" w:hAnsiTheme="majorHAnsi"/>
            <w:noProof/>
            <w:color w:val="0070C0"/>
            <w:sz w:val="22"/>
          </w:rPr>
          <w:t>Tabela 12</w:t>
        </w:r>
        <w:r w:rsidR="00502E37" w:rsidRPr="00502E37">
          <w:rPr>
            <w:rStyle w:val="Hyperlink"/>
            <w:rFonts w:asciiTheme="majorHAnsi" w:hAnsiTheme="majorHAnsi"/>
            <w:noProof/>
            <w:color w:val="0070C0"/>
            <w:sz w:val="22"/>
            <w:lang w:val="sq-AL"/>
          </w:rPr>
          <w:t xml:space="preserve"> Realizimi i buxhetit 2018 në disa institucione kryesore qendrore</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_Toc11135126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35</w:t>
        </w:r>
        <w:r w:rsidR="00502E37" w:rsidRPr="00502E37">
          <w:rPr>
            <w:rFonts w:asciiTheme="majorHAnsi" w:hAnsiTheme="majorHAnsi"/>
            <w:noProof/>
            <w:webHidden/>
            <w:color w:val="0070C0"/>
            <w:sz w:val="22"/>
          </w:rPr>
          <w:fldChar w:fldCharType="end"/>
        </w:r>
      </w:hyperlink>
    </w:p>
    <w:p w14:paraId="425BDA86"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7" w:history="1">
        <w:r w:rsidR="00502E37" w:rsidRPr="00502E37">
          <w:rPr>
            <w:rStyle w:val="Hyperlink"/>
            <w:rFonts w:asciiTheme="majorHAnsi" w:hAnsiTheme="majorHAnsi"/>
            <w:noProof/>
            <w:color w:val="0070C0"/>
            <w:sz w:val="22"/>
          </w:rPr>
          <w:t>Tabela 13</w:t>
        </w:r>
        <w:r w:rsidR="00502E37" w:rsidRPr="00502E37">
          <w:rPr>
            <w:rStyle w:val="Hyperlink"/>
            <w:rFonts w:asciiTheme="majorHAnsi" w:hAnsiTheme="majorHAnsi"/>
            <w:noProof/>
            <w:color w:val="0070C0"/>
            <w:sz w:val="22"/>
            <w:lang w:val="sq-AL"/>
          </w:rPr>
          <w:t xml:space="preserve"> Realizimi i buxhetit 2018 për Ministrinë e Shëndetësisë dhe Mbrojtjes Sociale</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_Toc11135127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36</w:t>
        </w:r>
        <w:r w:rsidR="00502E37" w:rsidRPr="00502E37">
          <w:rPr>
            <w:rFonts w:asciiTheme="majorHAnsi" w:hAnsiTheme="majorHAnsi"/>
            <w:noProof/>
            <w:webHidden/>
            <w:color w:val="0070C0"/>
            <w:sz w:val="22"/>
          </w:rPr>
          <w:fldChar w:fldCharType="end"/>
        </w:r>
      </w:hyperlink>
    </w:p>
    <w:p w14:paraId="58DB0FF5"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8" w:history="1">
        <w:r w:rsidR="00502E37" w:rsidRPr="00502E37">
          <w:rPr>
            <w:rStyle w:val="Hyperlink"/>
            <w:rFonts w:asciiTheme="majorHAnsi" w:hAnsiTheme="majorHAnsi"/>
            <w:noProof/>
            <w:color w:val="0070C0"/>
            <w:sz w:val="22"/>
          </w:rPr>
          <w:t>Tabela 14</w:t>
        </w:r>
        <w:r w:rsidR="00502E37" w:rsidRPr="00502E37">
          <w:rPr>
            <w:rStyle w:val="Hyperlink"/>
            <w:rFonts w:asciiTheme="majorHAnsi" w:hAnsiTheme="majorHAnsi"/>
            <w:noProof/>
            <w:color w:val="0070C0"/>
            <w:sz w:val="22"/>
            <w:lang w:val="sq-AL"/>
          </w:rPr>
          <w:t xml:space="preserve"> Realizimi i buxhetit 2018 për Ministrinë e Arsimit, Sportit dhe Rinisë</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_Toc11135128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39</w:t>
        </w:r>
        <w:r w:rsidR="00502E37" w:rsidRPr="00502E37">
          <w:rPr>
            <w:rFonts w:asciiTheme="majorHAnsi" w:hAnsiTheme="majorHAnsi"/>
            <w:noProof/>
            <w:webHidden/>
            <w:color w:val="0070C0"/>
            <w:sz w:val="22"/>
          </w:rPr>
          <w:fldChar w:fldCharType="end"/>
        </w:r>
      </w:hyperlink>
    </w:p>
    <w:p w14:paraId="67001C91"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29" w:history="1">
        <w:r w:rsidR="00502E37" w:rsidRPr="00502E37">
          <w:rPr>
            <w:rStyle w:val="Hyperlink"/>
            <w:rFonts w:asciiTheme="majorHAnsi" w:hAnsiTheme="majorHAnsi"/>
            <w:noProof/>
            <w:color w:val="0070C0"/>
            <w:sz w:val="22"/>
          </w:rPr>
          <w:t>Tabela 15</w:t>
        </w:r>
        <w:r w:rsidR="00502E37" w:rsidRPr="00502E37">
          <w:rPr>
            <w:rStyle w:val="Hyperlink"/>
            <w:rFonts w:asciiTheme="majorHAnsi" w:hAnsiTheme="majorHAnsi"/>
            <w:noProof/>
            <w:color w:val="0070C0"/>
            <w:sz w:val="22"/>
            <w:lang w:val="sq-AL"/>
          </w:rPr>
          <w:t xml:space="preserve"> Realizimi i buxhetit 2018 për Ministrinë e Bujqësisë dhe Zhvillimit Rural</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_Toc11135129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44</w:t>
        </w:r>
        <w:r w:rsidR="00502E37" w:rsidRPr="00502E37">
          <w:rPr>
            <w:rFonts w:asciiTheme="majorHAnsi" w:hAnsiTheme="majorHAnsi"/>
            <w:noProof/>
            <w:webHidden/>
            <w:color w:val="0070C0"/>
            <w:sz w:val="22"/>
          </w:rPr>
          <w:fldChar w:fldCharType="end"/>
        </w:r>
      </w:hyperlink>
    </w:p>
    <w:p w14:paraId="0A54DC77"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0" w:history="1">
        <w:r w:rsidR="00502E37" w:rsidRPr="00502E37">
          <w:rPr>
            <w:rStyle w:val="Hyperlink"/>
            <w:rFonts w:asciiTheme="majorHAnsi" w:hAnsiTheme="majorHAnsi"/>
            <w:noProof/>
            <w:color w:val="0070C0"/>
            <w:sz w:val="22"/>
          </w:rPr>
          <w:t>Tabela 16</w:t>
        </w:r>
        <w:r w:rsidR="00502E37" w:rsidRPr="00502E37">
          <w:rPr>
            <w:rStyle w:val="Hyperlink"/>
            <w:rFonts w:asciiTheme="majorHAnsi" w:hAnsiTheme="majorHAnsi"/>
            <w:noProof/>
            <w:color w:val="0070C0"/>
            <w:sz w:val="22"/>
            <w:lang w:val="sq-AL"/>
          </w:rPr>
          <w:t xml:space="preserve"> Realizimi i buxhetit 2018 për Ministrinë e Infrastrukturës dhe Energjisë</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_Toc11135130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47</w:t>
        </w:r>
        <w:r w:rsidR="00502E37" w:rsidRPr="00502E37">
          <w:rPr>
            <w:rFonts w:asciiTheme="majorHAnsi" w:hAnsiTheme="majorHAnsi"/>
            <w:noProof/>
            <w:webHidden/>
            <w:color w:val="0070C0"/>
            <w:sz w:val="22"/>
          </w:rPr>
          <w:fldChar w:fldCharType="end"/>
        </w:r>
      </w:hyperlink>
    </w:p>
    <w:p w14:paraId="749A8962"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1" w:history="1">
        <w:r w:rsidR="00502E37" w:rsidRPr="00502E37">
          <w:rPr>
            <w:rStyle w:val="Hyperlink"/>
            <w:rFonts w:asciiTheme="majorHAnsi" w:hAnsiTheme="majorHAnsi"/>
            <w:noProof/>
            <w:color w:val="0070C0"/>
            <w:sz w:val="22"/>
          </w:rPr>
          <w:t>Tabela 17</w:t>
        </w:r>
        <w:r w:rsidR="00502E37" w:rsidRPr="00502E37">
          <w:rPr>
            <w:rStyle w:val="Hyperlink"/>
            <w:rFonts w:asciiTheme="majorHAnsi" w:hAnsiTheme="majorHAnsi"/>
            <w:noProof/>
            <w:color w:val="0070C0"/>
            <w:sz w:val="22"/>
            <w:lang w:val="sq-AL"/>
          </w:rPr>
          <w:t xml:space="preserve"> Realizimi i buxhetit 2018 për Ministrinë e Turzimit dhe Mjedisit</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_Toc11135131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49</w:t>
        </w:r>
        <w:r w:rsidR="00502E37" w:rsidRPr="00502E37">
          <w:rPr>
            <w:rFonts w:asciiTheme="majorHAnsi" w:hAnsiTheme="majorHAnsi"/>
            <w:noProof/>
            <w:webHidden/>
            <w:color w:val="0070C0"/>
            <w:sz w:val="22"/>
          </w:rPr>
          <w:fldChar w:fldCharType="end"/>
        </w:r>
      </w:hyperlink>
    </w:p>
    <w:p w14:paraId="679571BB"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2" w:history="1">
        <w:r w:rsidR="00502E37" w:rsidRPr="00502E37">
          <w:rPr>
            <w:rStyle w:val="Hyperlink"/>
            <w:rFonts w:asciiTheme="majorHAnsi" w:hAnsiTheme="majorHAnsi"/>
            <w:noProof/>
            <w:color w:val="0070C0"/>
            <w:sz w:val="22"/>
          </w:rPr>
          <w:t>Tabela 18</w:t>
        </w:r>
        <w:r w:rsidR="00502E37" w:rsidRPr="00502E37">
          <w:rPr>
            <w:rStyle w:val="Hyperlink"/>
            <w:rFonts w:asciiTheme="majorHAnsi" w:hAnsiTheme="majorHAnsi"/>
            <w:noProof/>
            <w:color w:val="0070C0"/>
            <w:sz w:val="22"/>
            <w:lang w:val="sq-AL"/>
          </w:rPr>
          <w:t xml:space="preserve"> Realizimi i buxhetit 2018 për Ministrinë e Drejtësisë</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_Toc11135132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51</w:t>
        </w:r>
        <w:r w:rsidR="00502E37" w:rsidRPr="00502E37">
          <w:rPr>
            <w:rFonts w:asciiTheme="majorHAnsi" w:hAnsiTheme="majorHAnsi"/>
            <w:noProof/>
            <w:webHidden/>
            <w:color w:val="0070C0"/>
            <w:sz w:val="22"/>
          </w:rPr>
          <w:fldChar w:fldCharType="end"/>
        </w:r>
      </w:hyperlink>
    </w:p>
    <w:p w14:paraId="6B38F9F5"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3" w:history="1">
        <w:r w:rsidR="00502E37" w:rsidRPr="00502E37">
          <w:rPr>
            <w:rStyle w:val="Hyperlink"/>
            <w:rFonts w:asciiTheme="majorHAnsi" w:hAnsiTheme="majorHAnsi"/>
            <w:noProof/>
            <w:color w:val="0070C0"/>
            <w:sz w:val="22"/>
          </w:rPr>
          <w:t>Tabela 19</w:t>
        </w:r>
        <w:r w:rsidR="00502E37" w:rsidRPr="00502E37">
          <w:rPr>
            <w:rStyle w:val="Hyperlink"/>
            <w:rFonts w:asciiTheme="majorHAnsi" w:hAnsiTheme="majorHAnsi"/>
            <w:noProof/>
            <w:color w:val="0070C0"/>
            <w:sz w:val="22"/>
            <w:lang w:val="sq-AL"/>
          </w:rPr>
          <w:t xml:space="preserve"> Realizimi i buxhetit 2018 për Institucionet e Drejtësisë</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_Toc11135133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52</w:t>
        </w:r>
        <w:r w:rsidR="00502E37" w:rsidRPr="00502E37">
          <w:rPr>
            <w:rFonts w:asciiTheme="majorHAnsi" w:hAnsiTheme="majorHAnsi"/>
            <w:noProof/>
            <w:webHidden/>
            <w:color w:val="0070C0"/>
            <w:sz w:val="22"/>
          </w:rPr>
          <w:fldChar w:fldCharType="end"/>
        </w:r>
      </w:hyperlink>
    </w:p>
    <w:p w14:paraId="03DA22D8"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4" w:history="1">
        <w:r w:rsidR="00502E37" w:rsidRPr="00502E37">
          <w:rPr>
            <w:rStyle w:val="Hyperlink"/>
            <w:rFonts w:asciiTheme="majorHAnsi" w:hAnsiTheme="majorHAnsi"/>
            <w:noProof/>
            <w:color w:val="0070C0"/>
            <w:sz w:val="22"/>
          </w:rPr>
          <w:t>Tabela 20</w:t>
        </w:r>
        <w:r w:rsidR="00502E37" w:rsidRPr="00502E37">
          <w:rPr>
            <w:rStyle w:val="Hyperlink"/>
            <w:rFonts w:asciiTheme="majorHAnsi" w:hAnsiTheme="majorHAnsi"/>
            <w:noProof/>
            <w:color w:val="0070C0"/>
            <w:sz w:val="22"/>
            <w:lang w:val="sq-AL"/>
          </w:rPr>
          <w:t xml:space="preserve"> Realizimi i buxhetit 2018 për Ministrinë e Financave dhe Ekonomisë</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_Toc11135134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53</w:t>
        </w:r>
        <w:r w:rsidR="00502E37" w:rsidRPr="00502E37">
          <w:rPr>
            <w:rFonts w:asciiTheme="majorHAnsi" w:hAnsiTheme="majorHAnsi"/>
            <w:noProof/>
            <w:webHidden/>
            <w:color w:val="0070C0"/>
            <w:sz w:val="22"/>
          </w:rPr>
          <w:fldChar w:fldCharType="end"/>
        </w:r>
      </w:hyperlink>
    </w:p>
    <w:p w14:paraId="62776F3D"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5" w:history="1">
        <w:r w:rsidR="00502E37" w:rsidRPr="00502E37">
          <w:rPr>
            <w:rStyle w:val="Hyperlink"/>
            <w:rFonts w:asciiTheme="majorHAnsi" w:hAnsiTheme="majorHAnsi"/>
            <w:noProof/>
            <w:color w:val="0070C0"/>
            <w:sz w:val="22"/>
          </w:rPr>
          <w:t>Tabela 21</w:t>
        </w:r>
        <w:r w:rsidR="00502E37" w:rsidRPr="00502E37">
          <w:rPr>
            <w:rStyle w:val="Hyperlink"/>
            <w:rFonts w:asciiTheme="majorHAnsi" w:hAnsiTheme="majorHAnsi"/>
            <w:noProof/>
            <w:color w:val="0070C0"/>
            <w:sz w:val="22"/>
            <w:lang w:val="sq-AL"/>
          </w:rPr>
          <w:t xml:space="preserve"> Realizimi i buxhetit 2018 për Ministrinë e Mbrojtjes</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_Toc11135135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54</w:t>
        </w:r>
        <w:r w:rsidR="00502E37" w:rsidRPr="00502E37">
          <w:rPr>
            <w:rFonts w:asciiTheme="majorHAnsi" w:hAnsiTheme="majorHAnsi"/>
            <w:noProof/>
            <w:webHidden/>
            <w:color w:val="0070C0"/>
            <w:sz w:val="22"/>
          </w:rPr>
          <w:fldChar w:fldCharType="end"/>
        </w:r>
      </w:hyperlink>
    </w:p>
    <w:p w14:paraId="1AF36EE6"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6" w:history="1">
        <w:r w:rsidR="00502E37" w:rsidRPr="00502E37">
          <w:rPr>
            <w:rStyle w:val="Hyperlink"/>
            <w:rFonts w:asciiTheme="majorHAnsi" w:hAnsiTheme="majorHAnsi"/>
            <w:noProof/>
            <w:color w:val="0070C0"/>
            <w:sz w:val="22"/>
            <w:lang w:val="sq-AL"/>
          </w:rPr>
          <w:t>Tabela 22 Realizimi i buxhetit 2018 për Ministrinë e Kulturës</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_Toc11135136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55</w:t>
        </w:r>
        <w:r w:rsidR="00502E37" w:rsidRPr="00502E37">
          <w:rPr>
            <w:rFonts w:asciiTheme="majorHAnsi" w:hAnsiTheme="majorHAnsi"/>
            <w:noProof/>
            <w:webHidden/>
            <w:color w:val="0070C0"/>
            <w:sz w:val="22"/>
          </w:rPr>
          <w:fldChar w:fldCharType="end"/>
        </w:r>
      </w:hyperlink>
    </w:p>
    <w:p w14:paraId="07F22B13"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7" w:history="1">
        <w:r w:rsidR="00502E37" w:rsidRPr="00502E37">
          <w:rPr>
            <w:rStyle w:val="Hyperlink"/>
            <w:rFonts w:asciiTheme="majorHAnsi" w:hAnsiTheme="majorHAnsi"/>
            <w:noProof/>
            <w:color w:val="0070C0"/>
            <w:sz w:val="22"/>
            <w:lang w:val="sq-AL"/>
          </w:rPr>
          <w:t>Tabela 23 Realizimi i buxhetit 2018 për Ministrinë e Brendshme</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_Toc11135137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58</w:t>
        </w:r>
        <w:r w:rsidR="00502E37" w:rsidRPr="00502E37">
          <w:rPr>
            <w:rFonts w:asciiTheme="majorHAnsi" w:hAnsiTheme="majorHAnsi"/>
            <w:noProof/>
            <w:webHidden/>
            <w:color w:val="0070C0"/>
            <w:sz w:val="22"/>
          </w:rPr>
          <w:fldChar w:fldCharType="end"/>
        </w:r>
      </w:hyperlink>
    </w:p>
    <w:p w14:paraId="706B303F"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8" w:history="1">
        <w:r w:rsidR="00502E37" w:rsidRPr="00502E37">
          <w:rPr>
            <w:rStyle w:val="Hyperlink"/>
            <w:rFonts w:asciiTheme="majorHAnsi" w:hAnsiTheme="majorHAnsi"/>
            <w:noProof/>
            <w:color w:val="0070C0"/>
            <w:sz w:val="22"/>
            <w:lang w:val="sq-AL"/>
          </w:rPr>
          <w:t>Tabela 24 Realizimi i buxhetit 2018 për Ministrinë për Evropën dhe Punët e Jashtme</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_Toc11135138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59</w:t>
        </w:r>
        <w:r w:rsidR="00502E37" w:rsidRPr="00502E37">
          <w:rPr>
            <w:rFonts w:asciiTheme="majorHAnsi" w:hAnsiTheme="majorHAnsi"/>
            <w:noProof/>
            <w:webHidden/>
            <w:color w:val="0070C0"/>
            <w:sz w:val="22"/>
          </w:rPr>
          <w:fldChar w:fldCharType="end"/>
        </w:r>
      </w:hyperlink>
    </w:p>
    <w:p w14:paraId="5B26D181"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39" w:history="1">
        <w:r w:rsidR="00502E37" w:rsidRPr="00502E37">
          <w:rPr>
            <w:rStyle w:val="Hyperlink"/>
            <w:rFonts w:asciiTheme="majorHAnsi" w:eastAsia="SimSun" w:hAnsiTheme="majorHAnsi"/>
            <w:noProof/>
            <w:color w:val="0070C0"/>
            <w:sz w:val="22"/>
            <w:lang w:val="sq-AL"/>
          </w:rPr>
          <w:t xml:space="preserve">Tabela 25  </w:t>
        </w:r>
        <w:r w:rsidR="00502E37" w:rsidRPr="00502E37">
          <w:rPr>
            <w:rStyle w:val="Hyperlink"/>
            <w:rFonts w:asciiTheme="majorHAnsi" w:hAnsiTheme="majorHAnsi"/>
            <w:iCs/>
            <w:noProof/>
            <w:color w:val="0070C0"/>
            <w:sz w:val="22"/>
            <w:lang w:val="sq-AL"/>
          </w:rPr>
          <w:t>Të ardhurat dhe shpenzimet e pushtetit vendor, sipas natyrës</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_Toc11135139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62</w:t>
        </w:r>
        <w:r w:rsidR="00502E37" w:rsidRPr="00502E37">
          <w:rPr>
            <w:rFonts w:asciiTheme="majorHAnsi" w:hAnsiTheme="majorHAnsi"/>
            <w:noProof/>
            <w:webHidden/>
            <w:color w:val="0070C0"/>
            <w:sz w:val="22"/>
          </w:rPr>
          <w:fldChar w:fldCharType="end"/>
        </w:r>
      </w:hyperlink>
    </w:p>
    <w:p w14:paraId="7B401C00"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40" w:history="1">
        <w:r w:rsidR="00502E37" w:rsidRPr="00502E37">
          <w:rPr>
            <w:rStyle w:val="Hyperlink"/>
            <w:rFonts w:asciiTheme="majorHAnsi" w:hAnsiTheme="majorHAnsi"/>
            <w:noProof/>
            <w:color w:val="0070C0"/>
            <w:sz w:val="22"/>
            <w:lang w:val="sq-AL"/>
          </w:rPr>
          <w:t>Tabela 26 Matrica e riskut</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_Toc11135140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65</w:t>
        </w:r>
        <w:r w:rsidR="00502E37" w:rsidRPr="00502E37">
          <w:rPr>
            <w:rFonts w:asciiTheme="majorHAnsi" w:hAnsiTheme="majorHAnsi"/>
            <w:noProof/>
            <w:webHidden/>
            <w:color w:val="0070C0"/>
            <w:sz w:val="22"/>
          </w:rPr>
          <w:fldChar w:fldCharType="end"/>
        </w:r>
      </w:hyperlink>
    </w:p>
    <w:p w14:paraId="657F198B" w14:textId="77777777" w:rsidR="00502E37" w:rsidRPr="00502E37"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35141" w:history="1">
        <w:r w:rsidR="00502E37" w:rsidRPr="00502E37">
          <w:rPr>
            <w:rStyle w:val="Hyperlink"/>
            <w:rFonts w:asciiTheme="majorHAnsi" w:hAnsiTheme="majorHAnsi"/>
            <w:noProof/>
            <w:color w:val="0070C0"/>
            <w:sz w:val="22"/>
            <w:lang w:val="sq-AL"/>
          </w:rPr>
          <w:t>Tabela 27 Koncesionet/PPT-të aktive me mbështetje nga buxheti i shtetit (në mijë lekë)</w:t>
        </w:r>
        <w:r w:rsidR="00502E37" w:rsidRPr="00502E37">
          <w:rPr>
            <w:rFonts w:asciiTheme="majorHAnsi" w:hAnsiTheme="majorHAnsi"/>
            <w:noProof/>
            <w:webHidden/>
            <w:color w:val="0070C0"/>
            <w:sz w:val="22"/>
          </w:rPr>
          <w:tab/>
        </w:r>
        <w:r w:rsidR="00502E37" w:rsidRPr="00502E37">
          <w:rPr>
            <w:rFonts w:asciiTheme="majorHAnsi" w:hAnsiTheme="majorHAnsi"/>
            <w:noProof/>
            <w:webHidden/>
            <w:color w:val="0070C0"/>
            <w:sz w:val="22"/>
          </w:rPr>
          <w:fldChar w:fldCharType="begin"/>
        </w:r>
        <w:r w:rsidR="00502E37" w:rsidRPr="00502E37">
          <w:rPr>
            <w:rFonts w:asciiTheme="majorHAnsi" w:hAnsiTheme="majorHAnsi"/>
            <w:noProof/>
            <w:webHidden/>
            <w:color w:val="0070C0"/>
            <w:sz w:val="22"/>
          </w:rPr>
          <w:instrText xml:space="preserve"> PAGEREF _Toc11135141 \h </w:instrText>
        </w:r>
        <w:r w:rsidR="00502E37" w:rsidRPr="00502E37">
          <w:rPr>
            <w:rFonts w:asciiTheme="majorHAnsi" w:hAnsiTheme="majorHAnsi"/>
            <w:noProof/>
            <w:webHidden/>
            <w:color w:val="0070C0"/>
            <w:sz w:val="22"/>
          </w:rPr>
        </w:r>
        <w:r w:rsidR="00502E37" w:rsidRPr="00502E37">
          <w:rPr>
            <w:rFonts w:asciiTheme="majorHAnsi" w:hAnsiTheme="majorHAnsi"/>
            <w:noProof/>
            <w:webHidden/>
            <w:color w:val="0070C0"/>
            <w:sz w:val="22"/>
          </w:rPr>
          <w:fldChar w:fldCharType="separate"/>
        </w:r>
        <w:r w:rsidR="002755E8">
          <w:rPr>
            <w:rFonts w:asciiTheme="majorHAnsi" w:hAnsiTheme="majorHAnsi"/>
            <w:noProof/>
            <w:webHidden/>
            <w:color w:val="0070C0"/>
            <w:sz w:val="22"/>
          </w:rPr>
          <w:t>70</w:t>
        </w:r>
        <w:r w:rsidR="00502E37" w:rsidRPr="00502E37">
          <w:rPr>
            <w:rFonts w:asciiTheme="majorHAnsi" w:hAnsiTheme="majorHAnsi"/>
            <w:noProof/>
            <w:webHidden/>
            <w:color w:val="0070C0"/>
            <w:sz w:val="22"/>
          </w:rPr>
          <w:fldChar w:fldCharType="end"/>
        </w:r>
      </w:hyperlink>
    </w:p>
    <w:p w14:paraId="5803D8EA" w14:textId="77777777" w:rsidR="009158B4" w:rsidRPr="00502E37" w:rsidRDefault="009158B4" w:rsidP="008216B6">
      <w:pPr>
        <w:pStyle w:val="TableofFigures"/>
        <w:tabs>
          <w:tab w:val="right" w:leader="dot" w:pos="8630"/>
        </w:tabs>
        <w:jc w:val="center"/>
        <w:rPr>
          <w:rStyle w:val="Hyperlink"/>
          <w:rFonts w:asciiTheme="majorHAnsi" w:hAnsiTheme="majorHAnsi"/>
          <w:noProof/>
          <w:color w:val="0070C0"/>
          <w:sz w:val="20"/>
          <w:lang w:val="sq-AL"/>
        </w:rPr>
      </w:pPr>
      <w:r w:rsidRPr="00502E37">
        <w:rPr>
          <w:rStyle w:val="Hyperlink"/>
          <w:rFonts w:asciiTheme="majorHAnsi" w:hAnsiTheme="majorHAnsi"/>
          <w:noProof/>
          <w:color w:val="0070C0"/>
          <w:sz w:val="20"/>
          <w:lang w:val="sq-AL"/>
        </w:rPr>
        <w:fldChar w:fldCharType="end"/>
      </w:r>
    </w:p>
    <w:p w14:paraId="26A566AC" w14:textId="77777777" w:rsidR="009158B4" w:rsidRPr="002E06C4" w:rsidRDefault="009158B4" w:rsidP="00824B19">
      <w:pPr>
        <w:jc w:val="center"/>
        <w:rPr>
          <w:rFonts w:asciiTheme="majorHAnsi" w:hAnsiTheme="majorHAnsi" w:cs="Times New Roman"/>
          <w:sz w:val="20"/>
          <w:szCs w:val="20"/>
          <w:lang w:val="sq-AL"/>
        </w:rPr>
      </w:pPr>
    </w:p>
    <w:p w14:paraId="50542490" w14:textId="77777777" w:rsidR="002755E8" w:rsidRPr="0076336C" w:rsidRDefault="009158B4">
      <w:pPr>
        <w:pStyle w:val="TableofFigures"/>
        <w:tabs>
          <w:tab w:val="right" w:leader="dot" w:pos="10430"/>
        </w:tabs>
        <w:rPr>
          <w:rFonts w:asciiTheme="majorHAnsi" w:eastAsiaTheme="minorEastAsia" w:hAnsiTheme="majorHAnsi" w:cstheme="minorBidi"/>
          <w:noProof/>
          <w:color w:val="0070C0"/>
          <w:sz w:val="20"/>
          <w:szCs w:val="22"/>
        </w:rPr>
      </w:pPr>
      <w:r w:rsidRPr="0076336C">
        <w:rPr>
          <w:rStyle w:val="Hyperlink"/>
          <w:rFonts w:asciiTheme="majorHAnsi" w:hAnsiTheme="majorHAnsi"/>
          <w:noProof/>
          <w:color w:val="0070C0"/>
          <w:sz w:val="10"/>
          <w:szCs w:val="20"/>
          <w:lang w:val="sq-AL"/>
        </w:rPr>
        <w:fldChar w:fldCharType="begin"/>
      </w:r>
      <w:r w:rsidRPr="0076336C">
        <w:rPr>
          <w:rStyle w:val="Hyperlink"/>
          <w:rFonts w:asciiTheme="majorHAnsi" w:hAnsiTheme="majorHAnsi"/>
          <w:noProof/>
          <w:color w:val="0070C0"/>
          <w:sz w:val="10"/>
          <w:szCs w:val="20"/>
          <w:lang w:val="sq-AL"/>
        </w:rPr>
        <w:instrText xml:space="preserve"> TOC \h \z \c "Grafiku" </w:instrText>
      </w:r>
      <w:r w:rsidRPr="0076336C">
        <w:rPr>
          <w:rStyle w:val="Hyperlink"/>
          <w:rFonts w:asciiTheme="majorHAnsi" w:hAnsiTheme="majorHAnsi"/>
          <w:noProof/>
          <w:color w:val="0070C0"/>
          <w:sz w:val="10"/>
          <w:szCs w:val="20"/>
          <w:lang w:val="sq-AL"/>
        </w:rPr>
        <w:fldChar w:fldCharType="separate"/>
      </w:r>
      <w:hyperlink w:anchor="_Toc11141678" w:history="1">
        <w:r w:rsidR="002755E8" w:rsidRPr="0076336C">
          <w:rPr>
            <w:rStyle w:val="Hyperlink"/>
            <w:rFonts w:asciiTheme="majorHAnsi" w:hAnsiTheme="majorHAnsi"/>
            <w:noProof/>
            <w:color w:val="0070C0"/>
            <w:sz w:val="22"/>
            <w:lang w:val="sq-AL"/>
          </w:rPr>
          <w:t>Grafiku 1 Shpenzimet e përgjithshme publike ndaj PBB-së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_Toc11141678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6</w:t>
        </w:r>
        <w:r w:rsidR="002755E8" w:rsidRPr="0076336C">
          <w:rPr>
            <w:rFonts w:asciiTheme="majorHAnsi" w:hAnsiTheme="majorHAnsi"/>
            <w:noProof/>
            <w:webHidden/>
            <w:color w:val="0070C0"/>
            <w:sz w:val="22"/>
          </w:rPr>
          <w:fldChar w:fldCharType="end"/>
        </w:r>
      </w:hyperlink>
    </w:p>
    <w:p w14:paraId="470B8932" w14:textId="64A14D9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79" w:history="1">
        <w:r w:rsidR="002755E8" w:rsidRPr="0076336C">
          <w:rPr>
            <w:rStyle w:val="Hyperlink"/>
            <w:rFonts w:asciiTheme="majorHAnsi" w:hAnsiTheme="majorHAnsi"/>
            <w:noProof/>
            <w:color w:val="0070C0"/>
            <w:sz w:val="22"/>
            <w:lang w:val="sq-AL"/>
          </w:rPr>
          <w:t xml:space="preserve">Grafiku 2 Të Ardhurat e përgjithshme </w:t>
        </w:r>
        <w:r w:rsidR="009B211D" w:rsidRPr="0076336C">
          <w:rPr>
            <w:rStyle w:val="Hyperlink"/>
            <w:rFonts w:asciiTheme="majorHAnsi" w:hAnsiTheme="majorHAnsi"/>
            <w:noProof/>
            <w:color w:val="0070C0"/>
            <w:sz w:val="22"/>
            <w:lang w:val="sq-AL"/>
          </w:rPr>
          <w:t>ndaj PBB &amp; G</w:t>
        </w:r>
        <w:r w:rsidR="002755E8" w:rsidRPr="0076336C">
          <w:rPr>
            <w:rStyle w:val="Hyperlink"/>
            <w:rFonts w:asciiTheme="majorHAnsi" w:hAnsiTheme="majorHAnsi"/>
            <w:noProof/>
            <w:color w:val="0070C0"/>
            <w:sz w:val="22"/>
            <w:lang w:val="sq-AL"/>
          </w:rPr>
          <w:t>rafiku 3 Ecuria e zërave kryesorë të të ardhurave 2018</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_Toc11141679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13</w:t>
        </w:r>
        <w:r w:rsidR="002755E8" w:rsidRPr="0076336C">
          <w:rPr>
            <w:rFonts w:asciiTheme="majorHAnsi" w:hAnsiTheme="majorHAnsi"/>
            <w:noProof/>
            <w:webHidden/>
            <w:color w:val="0070C0"/>
            <w:sz w:val="22"/>
          </w:rPr>
          <w:fldChar w:fldCharType="end"/>
        </w:r>
      </w:hyperlink>
    </w:p>
    <w:p w14:paraId="209B17AF"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0" w:history="1">
        <w:r w:rsidR="002755E8" w:rsidRPr="0076336C">
          <w:rPr>
            <w:rStyle w:val="Hyperlink"/>
            <w:rFonts w:asciiTheme="majorHAnsi" w:hAnsiTheme="majorHAnsi"/>
            <w:noProof/>
            <w:color w:val="0070C0"/>
            <w:sz w:val="22"/>
            <w:lang w:val="sq-AL"/>
          </w:rPr>
          <w:t>Grafiku 4 Të ardhurat e përgjithshme (në miliardë lekë), sipas kategorive kryesore</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_Toc11141680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14</w:t>
        </w:r>
        <w:r w:rsidR="002755E8" w:rsidRPr="0076336C">
          <w:rPr>
            <w:rFonts w:asciiTheme="majorHAnsi" w:hAnsiTheme="majorHAnsi"/>
            <w:noProof/>
            <w:webHidden/>
            <w:color w:val="0070C0"/>
            <w:sz w:val="22"/>
          </w:rPr>
          <w:fldChar w:fldCharType="end"/>
        </w:r>
      </w:hyperlink>
    </w:p>
    <w:p w14:paraId="78E86A37"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1" w:history="1">
        <w:r w:rsidR="002755E8" w:rsidRPr="0076336C">
          <w:rPr>
            <w:rStyle w:val="Hyperlink"/>
            <w:rFonts w:asciiTheme="majorHAnsi" w:hAnsiTheme="majorHAnsi"/>
            <w:noProof/>
            <w:color w:val="0070C0"/>
            <w:sz w:val="22"/>
            <w:lang w:val="sq-AL"/>
          </w:rPr>
          <w:t>Grafiku 5 Të ardhura nga pushteti vendor në vite (në miliardë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_Toc11141681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15</w:t>
        </w:r>
        <w:r w:rsidR="002755E8" w:rsidRPr="0076336C">
          <w:rPr>
            <w:rFonts w:asciiTheme="majorHAnsi" w:hAnsiTheme="majorHAnsi"/>
            <w:noProof/>
            <w:webHidden/>
            <w:color w:val="0070C0"/>
            <w:sz w:val="22"/>
          </w:rPr>
          <w:fldChar w:fldCharType="end"/>
        </w:r>
      </w:hyperlink>
    </w:p>
    <w:p w14:paraId="073FB16D"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2" w:history="1">
        <w:r w:rsidR="002755E8" w:rsidRPr="0076336C">
          <w:rPr>
            <w:rStyle w:val="Hyperlink"/>
            <w:rFonts w:asciiTheme="majorHAnsi" w:hAnsiTheme="majorHAnsi"/>
            <w:noProof/>
            <w:color w:val="0070C0"/>
            <w:sz w:val="22"/>
            <w:lang w:val="sq-AL"/>
          </w:rPr>
          <w:t>Grafiku 6 Përbërja e të ardhurave nga pushteti vendor sipas zërave kryesorë në 2018 (në %)</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_Toc11141682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15</w:t>
        </w:r>
        <w:r w:rsidR="002755E8" w:rsidRPr="0076336C">
          <w:rPr>
            <w:rFonts w:asciiTheme="majorHAnsi" w:hAnsiTheme="majorHAnsi"/>
            <w:noProof/>
            <w:webHidden/>
            <w:color w:val="0070C0"/>
            <w:sz w:val="22"/>
          </w:rPr>
          <w:fldChar w:fldCharType="end"/>
        </w:r>
      </w:hyperlink>
    </w:p>
    <w:p w14:paraId="31865660"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3" w:history="1">
        <w:r w:rsidR="002755E8" w:rsidRPr="0076336C">
          <w:rPr>
            <w:rStyle w:val="Hyperlink"/>
            <w:rFonts w:asciiTheme="majorHAnsi" w:hAnsiTheme="majorHAnsi"/>
            <w:noProof/>
            <w:color w:val="0070C0"/>
            <w:sz w:val="22"/>
            <w:lang w:val="sq-AL"/>
          </w:rPr>
          <w:t>Grafiku 7 Të ardhurat nga fondet speciale në vite (në miliardë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_Toc11141683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15</w:t>
        </w:r>
        <w:r w:rsidR="002755E8" w:rsidRPr="0076336C">
          <w:rPr>
            <w:rFonts w:asciiTheme="majorHAnsi" w:hAnsiTheme="majorHAnsi"/>
            <w:noProof/>
            <w:webHidden/>
            <w:color w:val="0070C0"/>
            <w:sz w:val="22"/>
          </w:rPr>
          <w:fldChar w:fldCharType="end"/>
        </w:r>
      </w:hyperlink>
    </w:p>
    <w:p w14:paraId="09AC680F"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4" w:history="1">
        <w:r w:rsidR="002755E8" w:rsidRPr="0076336C">
          <w:rPr>
            <w:rStyle w:val="Hyperlink"/>
            <w:rFonts w:asciiTheme="majorHAnsi" w:hAnsiTheme="majorHAnsi"/>
            <w:noProof/>
            <w:color w:val="0070C0"/>
            <w:sz w:val="22"/>
            <w:lang w:val="sq-AL"/>
          </w:rPr>
          <w:t>Grafiku 8 Përbërja e të ardhurave nga fondet speciale në 2018 (në %)</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_Toc11141684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16</w:t>
        </w:r>
        <w:r w:rsidR="002755E8" w:rsidRPr="0076336C">
          <w:rPr>
            <w:rFonts w:asciiTheme="majorHAnsi" w:hAnsiTheme="majorHAnsi"/>
            <w:noProof/>
            <w:webHidden/>
            <w:color w:val="0070C0"/>
            <w:sz w:val="22"/>
          </w:rPr>
          <w:fldChar w:fldCharType="end"/>
        </w:r>
      </w:hyperlink>
    </w:p>
    <w:p w14:paraId="3620D05B"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5" w:history="1">
        <w:r w:rsidR="002755E8" w:rsidRPr="0076336C">
          <w:rPr>
            <w:rStyle w:val="Hyperlink"/>
            <w:rFonts w:asciiTheme="majorHAnsi" w:hAnsiTheme="majorHAnsi"/>
            <w:noProof/>
            <w:color w:val="0070C0"/>
            <w:sz w:val="22"/>
            <w:lang w:val="sq-AL"/>
          </w:rPr>
          <w:t>Grafiku 9 Përbërja e të ardhurave jotatimore në vitin 2018 (miliardë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_Toc11141685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16</w:t>
        </w:r>
        <w:r w:rsidR="002755E8" w:rsidRPr="0076336C">
          <w:rPr>
            <w:rFonts w:asciiTheme="majorHAnsi" w:hAnsiTheme="majorHAnsi"/>
            <w:noProof/>
            <w:webHidden/>
            <w:color w:val="0070C0"/>
            <w:sz w:val="22"/>
          </w:rPr>
          <w:fldChar w:fldCharType="end"/>
        </w:r>
      </w:hyperlink>
    </w:p>
    <w:p w14:paraId="23E602C9"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6" w:history="1">
        <w:r w:rsidR="002755E8" w:rsidRPr="0076336C">
          <w:rPr>
            <w:rStyle w:val="Hyperlink"/>
            <w:rFonts w:asciiTheme="majorHAnsi" w:hAnsiTheme="majorHAnsi"/>
            <w:noProof/>
            <w:color w:val="0070C0"/>
            <w:sz w:val="22"/>
            <w:lang w:val="sq-AL"/>
          </w:rPr>
          <w:t>Grafiku 10 Të ardhura nga tatimet dhe doganat në vite (në miliardë lekë) dhe në % të PBB-së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_Toc11141686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17</w:t>
        </w:r>
        <w:r w:rsidR="002755E8" w:rsidRPr="0076336C">
          <w:rPr>
            <w:rFonts w:asciiTheme="majorHAnsi" w:hAnsiTheme="majorHAnsi"/>
            <w:noProof/>
            <w:webHidden/>
            <w:color w:val="0070C0"/>
            <w:sz w:val="22"/>
          </w:rPr>
          <w:fldChar w:fldCharType="end"/>
        </w:r>
      </w:hyperlink>
    </w:p>
    <w:p w14:paraId="4A0596AF"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7" w:history="1">
        <w:r w:rsidR="002755E8" w:rsidRPr="0076336C">
          <w:rPr>
            <w:rStyle w:val="Hyperlink"/>
            <w:rFonts w:asciiTheme="majorHAnsi" w:hAnsiTheme="majorHAnsi"/>
            <w:noProof/>
            <w:color w:val="0070C0"/>
            <w:sz w:val="22"/>
            <w:lang w:val="sq-AL"/>
          </w:rPr>
          <w:t>Grafiku 11 Të ardhurat nga tatimet dhe doganat sipas llojit</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_Toc11141687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17</w:t>
        </w:r>
        <w:r w:rsidR="002755E8" w:rsidRPr="0076336C">
          <w:rPr>
            <w:rFonts w:asciiTheme="majorHAnsi" w:hAnsiTheme="majorHAnsi"/>
            <w:noProof/>
            <w:webHidden/>
            <w:color w:val="0070C0"/>
            <w:sz w:val="22"/>
          </w:rPr>
          <w:fldChar w:fldCharType="end"/>
        </w:r>
      </w:hyperlink>
    </w:p>
    <w:p w14:paraId="5372A438"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8" w:history="1">
        <w:r w:rsidR="002755E8" w:rsidRPr="0076336C">
          <w:rPr>
            <w:rStyle w:val="Hyperlink"/>
            <w:rFonts w:asciiTheme="majorHAnsi" w:hAnsiTheme="majorHAnsi"/>
            <w:noProof/>
            <w:color w:val="0070C0"/>
            <w:sz w:val="22"/>
            <w:lang w:val="sq-AL"/>
          </w:rPr>
          <w:t>Grafiku 12 Të ardhurat doganore, sipas natyrës (në milionë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_Toc11141688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19</w:t>
        </w:r>
        <w:r w:rsidR="002755E8" w:rsidRPr="0076336C">
          <w:rPr>
            <w:rFonts w:asciiTheme="majorHAnsi" w:hAnsiTheme="majorHAnsi"/>
            <w:noProof/>
            <w:webHidden/>
            <w:color w:val="0070C0"/>
            <w:sz w:val="22"/>
          </w:rPr>
          <w:fldChar w:fldCharType="end"/>
        </w:r>
      </w:hyperlink>
    </w:p>
    <w:p w14:paraId="7012E0B7"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89" w:history="1">
        <w:r w:rsidR="002755E8" w:rsidRPr="0076336C">
          <w:rPr>
            <w:rStyle w:val="Hyperlink"/>
            <w:rFonts w:asciiTheme="majorHAnsi" w:hAnsiTheme="majorHAnsi"/>
            <w:noProof/>
            <w:color w:val="0070C0"/>
            <w:sz w:val="22"/>
            <w:lang w:val="sq-AL"/>
          </w:rPr>
          <w:t>Grafiku 13 Të ardhurat tatimore, sipas natyrës së taksave (në milionë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_Toc11141689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19</w:t>
        </w:r>
        <w:r w:rsidR="002755E8" w:rsidRPr="0076336C">
          <w:rPr>
            <w:rFonts w:asciiTheme="majorHAnsi" w:hAnsiTheme="majorHAnsi"/>
            <w:noProof/>
            <w:webHidden/>
            <w:color w:val="0070C0"/>
            <w:sz w:val="22"/>
          </w:rPr>
          <w:fldChar w:fldCharType="end"/>
        </w:r>
      </w:hyperlink>
    </w:p>
    <w:p w14:paraId="1F43CDA9"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0" w:history="1">
        <w:r w:rsidR="002755E8" w:rsidRPr="0076336C">
          <w:rPr>
            <w:rStyle w:val="Hyperlink"/>
            <w:rFonts w:asciiTheme="majorHAnsi" w:hAnsiTheme="majorHAnsi"/>
            <w:noProof/>
            <w:color w:val="0070C0"/>
            <w:sz w:val="22"/>
            <w:lang w:val="sq-AL"/>
          </w:rPr>
          <w:t>Grafiku 14 Të ardhurat tatimore, sipas sektorëve (në %)</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_Toc11141690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19</w:t>
        </w:r>
        <w:r w:rsidR="002755E8" w:rsidRPr="0076336C">
          <w:rPr>
            <w:rFonts w:asciiTheme="majorHAnsi" w:hAnsiTheme="majorHAnsi"/>
            <w:noProof/>
            <w:webHidden/>
            <w:color w:val="0070C0"/>
            <w:sz w:val="22"/>
          </w:rPr>
          <w:fldChar w:fldCharType="end"/>
        </w:r>
      </w:hyperlink>
    </w:p>
    <w:p w14:paraId="07358592"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1" w:history="1">
        <w:r w:rsidR="002755E8" w:rsidRPr="0076336C">
          <w:rPr>
            <w:rStyle w:val="Hyperlink"/>
            <w:rFonts w:asciiTheme="majorHAnsi" w:hAnsiTheme="majorHAnsi"/>
            <w:noProof/>
            <w:color w:val="0070C0"/>
            <w:sz w:val="22"/>
            <w:lang w:val="sq-AL"/>
          </w:rPr>
          <w:t>Grafiku 15 TVSH-ja Brenda vendit, sipas sektorëve (në %)</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_Toc11141691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20</w:t>
        </w:r>
        <w:r w:rsidR="002755E8" w:rsidRPr="0076336C">
          <w:rPr>
            <w:rFonts w:asciiTheme="majorHAnsi" w:hAnsiTheme="majorHAnsi"/>
            <w:noProof/>
            <w:webHidden/>
            <w:color w:val="0070C0"/>
            <w:sz w:val="22"/>
          </w:rPr>
          <w:fldChar w:fldCharType="end"/>
        </w:r>
      </w:hyperlink>
    </w:p>
    <w:p w14:paraId="2B51D5DB"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2" w:history="1">
        <w:r w:rsidR="002755E8" w:rsidRPr="0076336C">
          <w:rPr>
            <w:rStyle w:val="Hyperlink"/>
            <w:rFonts w:asciiTheme="majorHAnsi" w:hAnsiTheme="majorHAnsi"/>
            <w:noProof/>
            <w:color w:val="0070C0"/>
            <w:sz w:val="22"/>
            <w:lang w:val="sq-AL"/>
          </w:rPr>
          <w:t>Grafiku 16 Rimbursimi i TVSH-së në vite (në milionë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_Toc11141692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21</w:t>
        </w:r>
        <w:r w:rsidR="002755E8" w:rsidRPr="0076336C">
          <w:rPr>
            <w:rFonts w:asciiTheme="majorHAnsi" w:hAnsiTheme="majorHAnsi"/>
            <w:noProof/>
            <w:webHidden/>
            <w:color w:val="0070C0"/>
            <w:sz w:val="22"/>
          </w:rPr>
          <w:fldChar w:fldCharType="end"/>
        </w:r>
      </w:hyperlink>
    </w:p>
    <w:p w14:paraId="7D8605A7"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3" w:history="1">
        <w:r w:rsidR="002755E8" w:rsidRPr="0076336C">
          <w:rPr>
            <w:rStyle w:val="Hyperlink"/>
            <w:rFonts w:asciiTheme="majorHAnsi" w:hAnsiTheme="majorHAnsi"/>
            <w:noProof/>
            <w:color w:val="0070C0"/>
            <w:sz w:val="22"/>
            <w:lang w:val="sq-AL"/>
          </w:rPr>
          <w:t>Grafiku 17 Akciza në vite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_Toc11141693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22</w:t>
        </w:r>
        <w:r w:rsidR="002755E8" w:rsidRPr="0076336C">
          <w:rPr>
            <w:rFonts w:asciiTheme="majorHAnsi" w:hAnsiTheme="majorHAnsi"/>
            <w:noProof/>
            <w:webHidden/>
            <w:color w:val="0070C0"/>
            <w:sz w:val="22"/>
          </w:rPr>
          <w:fldChar w:fldCharType="end"/>
        </w:r>
      </w:hyperlink>
    </w:p>
    <w:p w14:paraId="1993C25E"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4" w:history="1">
        <w:r w:rsidR="002755E8" w:rsidRPr="0076336C">
          <w:rPr>
            <w:rStyle w:val="Hyperlink"/>
            <w:rFonts w:asciiTheme="majorHAnsi" w:hAnsiTheme="majorHAnsi"/>
            <w:noProof/>
            <w:color w:val="0070C0"/>
            <w:sz w:val="22"/>
            <w:lang w:val="sq-AL"/>
          </w:rPr>
          <w:t>Grafiku 18 Akciza sipas natyrës së mallrave (në %)</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_Toc11141694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22</w:t>
        </w:r>
        <w:r w:rsidR="002755E8" w:rsidRPr="0076336C">
          <w:rPr>
            <w:rFonts w:asciiTheme="majorHAnsi" w:hAnsiTheme="majorHAnsi"/>
            <w:noProof/>
            <w:webHidden/>
            <w:color w:val="0070C0"/>
            <w:sz w:val="22"/>
          </w:rPr>
          <w:fldChar w:fldCharType="end"/>
        </w:r>
      </w:hyperlink>
    </w:p>
    <w:p w14:paraId="54945CCD"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5" w:history="1">
        <w:r w:rsidR="002755E8" w:rsidRPr="0076336C">
          <w:rPr>
            <w:rStyle w:val="Hyperlink"/>
            <w:rFonts w:asciiTheme="majorHAnsi" w:hAnsiTheme="majorHAnsi"/>
            <w:noProof/>
            <w:color w:val="0070C0"/>
            <w:sz w:val="22"/>
            <w:lang w:val="sq-AL"/>
          </w:rPr>
          <w:t>Grafiku 19 TAP në vite (në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_Toc11141695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23</w:t>
        </w:r>
        <w:r w:rsidR="002755E8" w:rsidRPr="0076336C">
          <w:rPr>
            <w:rFonts w:asciiTheme="majorHAnsi" w:hAnsiTheme="majorHAnsi"/>
            <w:noProof/>
            <w:webHidden/>
            <w:color w:val="0070C0"/>
            <w:sz w:val="22"/>
          </w:rPr>
          <w:fldChar w:fldCharType="end"/>
        </w:r>
      </w:hyperlink>
    </w:p>
    <w:p w14:paraId="5AB8F758"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6" w:history="1">
        <w:r w:rsidR="002755E8" w:rsidRPr="0076336C">
          <w:rPr>
            <w:rStyle w:val="Hyperlink"/>
            <w:rFonts w:asciiTheme="majorHAnsi" w:hAnsiTheme="majorHAnsi"/>
            <w:noProof/>
            <w:color w:val="0070C0"/>
            <w:sz w:val="22"/>
            <w:lang w:val="sq-AL"/>
          </w:rPr>
          <w:t>Grafiku 20 TAP sipas zërave në vitin 2018 (në %)</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_Toc11141696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23</w:t>
        </w:r>
        <w:r w:rsidR="002755E8" w:rsidRPr="0076336C">
          <w:rPr>
            <w:rFonts w:asciiTheme="majorHAnsi" w:hAnsiTheme="majorHAnsi"/>
            <w:noProof/>
            <w:webHidden/>
            <w:color w:val="0070C0"/>
            <w:sz w:val="22"/>
          </w:rPr>
          <w:fldChar w:fldCharType="end"/>
        </w:r>
      </w:hyperlink>
    </w:p>
    <w:p w14:paraId="04F5C0C4"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7" w:history="1">
        <w:r w:rsidR="002755E8" w:rsidRPr="0076336C">
          <w:rPr>
            <w:rStyle w:val="Hyperlink"/>
            <w:rFonts w:asciiTheme="majorHAnsi" w:hAnsiTheme="majorHAnsi"/>
            <w:noProof/>
            <w:color w:val="0070C0"/>
            <w:sz w:val="22"/>
            <w:lang w:val="sq-AL"/>
          </w:rPr>
          <w:t>Grafiku 21 Tatimi mbi fitimin në vite (në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_Toc11141697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24</w:t>
        </w:r>
        <w:r w:rsidR="002755E8" w:rsidRPr="0076336C">
          <w:rPr>
            <w:rFonts w:asciiTheme="majorHAnsi" w:hAnsiTheme="majorHAnsi"/>
            <w:noProof/>
            <w:webHidden/>
            <w:color w:val="0070C0"/>
            <w:sz w:val="22"/>
          </w:rPr>
          <w:fldChar w:fldCharType="end"/>
        </w:r>
      </w:hyperlink>
    </w:p>
    <w:p w14:paraId="62F0D1DA"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8" w:history="1">
        <w:r w:rsidR="002755E8" w:rsidRPr="0076336C">
          <w:rPr>
            <w:rStyle w:val="Hyperlink"/>
            <w:rFonts w:asciiTheme="majorHAnsi" w:hAnsiTheme="majorHAnsi"/>
            <w:noProof/>
            <w:color w:val="0070C0"/>
            <w:sz w:val="22"/>
            <w:lang w:val="sq-AL"/>
          </w:rPr>
          <w:t>Grafiku 22 Tatimi mbi fitimin sipas sektorëvë në vitin 2018 (në %)</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_Toc11141698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24</w:t>
        </w:r>
        <w:r w:rsidR="002755E8" w:rsidRPr="0076336C">
          <w:rPr>
            <w:rFonts w:asciiTheme="majorHAnsi" w:hAnsiTheme="majorHAnsi"/>
            <w:noProof/>
            <w:webHidden/>
            <w:color w:val="0070C0"/>
            <w:sz w:val="22"/>
          </w:rPr>
          <w:fldChar w:fldCharType="end"/>
        </w:r>
      </w:hyperlink>
    </w:p>
    <w:p w14:paraId="4BAF904E"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699" w:history="1">
        <w:r w:rsidR="002755E8" w:rsidRPr="0076336C">
          <w:rPr>
            <w:rStyle w:val="Hyperlink"/>
            <w:rFonts w:asciiTheme="majorHAnsi" w:hAnsiTheme="majorHAnsi"/>
            <w:noProof/>
            <w:color w:val="0070C0"/>
            <w:sz w:val="22"/>
            <w:lang w:val="sq-AL"/>
          </w:rPr>
          <w:t>Grafiku 23 Kontrbuuesit aktivë për sigurimet shoqërore dhe shëndetësore, sipas llojit të biznesit</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_Toc11141699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25</w:t>
        </w:r>
        <w:r w:rsidR="002755E8" w:rsidRPr="0076336C">
          <w:rPr>
            <w:rFonts w:asciiTheme="majorHAnsi" w:hAnsiTheme="majorHAnsi"/>
            <w:noProof/>
            <w:webHidden/>
            <w:color w:val="0070C0"/>
            <w:sz w:val="22"/>
          </w:rPr>
          <w:fldChar w:fldCharType="end"/>
        </w:r>
      </w:hyperlink>
    </w:p>
    <w:p w14:paraId="293FE0B2"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0" w:history="1">
        <w:r w:rsidR="002755E8" w:rsidRPr="0076336C">
          <w:rPr>
            <w:rStyle w:val="Hyperlink"/>
            <w:rFonts w:asciiTheme="majorHAnsi" w:hAnsiTheme="majorHAnsi"/>
            <w:noProof/>
            <w:color w:val="0070C0"/>
            <w:sz w:val="22"/>
            <w:lang w:val="sq-AL"/>
          </w:rPr>
          <w:t>Grafiku 24 Kontribuuesit aktivë për sigurimet shoqërore dhe shëndetësore, sipas sektorit ekonomik (në %)</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_Toc11141700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25</w:t>
        </w:r>
        <w:r w:rsidR="002755E8" w:rsidRPr="0076336C">
          <w:rPr>
            <w:rFonts w:asciiTheme="majorHAnsi" w:hAnsiTheme="majorHAnsi"/>
            <w:noProof/>
            <w:webHidden/>
            <w:color w:val="0070C0"/>
            <w:sz w:val="22"/>
          </w:rPr>
          <w:fldChar w:fldCharType="end"/>
        </w:r>
      </w:hyperlink>
    </w:p>
    <w:p w14:paraId="129BD6C5"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1" w:history="1">
        <w:r w:rsidR="002755E8" w:rsidRPr="0076336C">
          <w:rPr>
            <w:rStyle w:val="Hyperlink"/>
            <w:rFonts w:asciiTheme="majorHAnsi" w:hAnsiTheme="majorHAnsi"/>
            <w:noProof/>
            <w:color w:val="0070C0"/>
            <w:sz w:val="22"/>
            <w:lang w:val="sq-AL"/>
          </w:rPr>
          <w:t>Grafiku 25 Shpenzimet e përgjithshme korrente dhe kapitale (miliardë lekë) dhe ritmi i rritjes vjetore (në %)</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_Toc11141701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26</w:t>
        </w:r>
        <w:r w:rsidR="002755E8" w:rsidRPr="0076336C">
          <w:rPr>
            <w:rFonts w:asciiTheme="majorHAnsi" w:hAnsiTheme="majorHAnsi"/>
            <w:noProof/>
            <w:webHidden/>
            <w:color w:val="0070C0"/>
            <w:sz w:val="22"/>
          </w:rPr>
          <w:fldChar w:fldCharType="end"/>
        </w:r>
      </w:hyperlink>
    </w:p>
    <w:p w14:paraId="7F8B0FB1"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2" w:history="1">
        <w:r w:rsidR="002755E8" w:rsidRPr="0076336C">
          <w:rPr>
            <w:rStyle w:val="Hyperlink"/>
            <w:rFonts w:asciiTheme="majorHAnsi" w:hAnsiTheme="majorHAnsi"/>
            <w:noProof/>
            <w:color w:val="0070C0"/>
            <w:sz w:val="22"/>
            <w:lang w:val="sq-AL"/>
          </w:rPr>
          <w:t>Grafiku 26 Shpenzimet korrente dhe kapitale fakt dhe plan 2018 (në milionë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_Toc11141702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26</w:t>
        </w:r>
        <w:r w:rsidR="002755E8" w:rsidRPr="0076336C">
          <w:rPr>
            <w:rFonts w:asciiTheme="majorHAnsi" w:hAnsiTheme="majorHAnsi"/>
            <w:noProof/>
            <w:webHidden/>
            <w:color w:val="0070C0"/>
            <w:sz w:val="22"/>
          </w:rPr>
          <w:fldChar w:fldCharType="end"/>
        </w:r>
      </w:hyperlink>
    </w:p>
    <w:p w14:paraId="14E5E81F"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3" w:history="1">
        <w:r w:rsidR="002755E8" w:rsidRPr="0076336C">
          <w:rPr>
            <w:rStyle w:val="Hyperlink"/>
            <w:rFonts w:asciiTheme="majorHAnsi" w:hAnsiTheme="majorHAnsi"/>
            <w:noProof/>
            <w:color w:val="0070C0"/>
            <w:sz w:val="22"/>
            <w:lang w:val="sq-AL"/>
          </w:rPr>
          <w:t>Grafiku 27 Struktura e shpenzimeve të përgjithshme dhe raporti me PBB-në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_Toc11141703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27</w:t>
        </w:r>
        <w:r w:rsidR="002755E8" w:rsidRPr="0076336C">
          <w:rPr>
            <w:rFonts w:asciiTheme="majorHAnsi" w:hAnsiTheme="majorHAnsi"/>
            <w:noProof/>
            <w:webHidden/>
            <w:color w:val="0070C0"/>
            <w:sz w:val="22"/>
          </w:rPr>
          <w:fldChar w:fldCharType="end"/>
        </w:r>
      </w:hyperlink>
    </w:p>
    <w:p w14:paraId="5306B99D"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4" w:history="1">
        <w:r w:rsidR="002755E8" w:rsidRPr="0076336C">
          <w:rPr>
            <w:rStyle w:val="Hyperlink"/>
            <w:rFonts w:asciiTheme="majorHAnsi" w:hAnsiTheme="majorHAnsi"/>
            <w:noProof/>
            <w:color w:val="0070C0"/>
            <w:sz w:val="22"/>
            <w:lang w:val="sq-AL"/>
          </w:rPr>
          <w:t>Grafiku 28 Struktura e shpenzimeve korrente (milionë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_Toc11141704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28</w:t>
        </w:r>
        <w:r w:rsidR="002755E8" w:rsidRPr="0076336C">
          <w:rPr>
            <w:rFonts w:asciiTheme="majorHAnsi" w:hAnsiTheme="majorHAnsi"/>
            <w:noProof/>
            <w:webHidden/>
            <w:color w:val="0070C0"/>
            <w:sz w:val="22"/>
          </w:rPr>
          <w:fldChar w:fldCharType="end"/>
        </w:r>
      </w:hyperlink>
    </w:p>
    <w:p w14:paraId="440B9965"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5" w:history="1">
        <w:r w:rsidR="002755E8" w:rsidRPr="0076336C">
          <w:rPr>
            <w:rStyle w:val="Hyperlink"/>
            <w:rFonts w:asciiTheme="majorHAnsi" w:hAnsiTheme="majorHAnsi"/>
            <w:noProof/>
            <w:color w:val="0070C0"/>
            <w:sz w:val="22"/>
            <w:lang w:val="sq-AL"/>
          </w:rPr>
          <w:t>Grafiku 29 Shpenzimet e personelit në vite dhe ritmi i rritjes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_Toc11141705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28</w:t>
        </w:r>
        <w:r w:rsidR="002755E8" w:rsidRPr="0076336C">
          <w:rPr>
            <w:rFonts w:asciiTheme="majorHAnsi" w:hAnsiTheme="majorHAnsi"/>
            <w:noProof/>
            <w:webHidden/>
            <w:color w:val="0070C0"/>
            <w:sz w:val="22"/>
          </w:rPr>
          <w:fldChar w:fldCharType="end"/>
        </w:r>
      </w:hyperlink>
    </w:p>
    <w:p w14:paraId="0C089DF9"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6" w:history="1">
        <w:r w:rsidR="002755E8" w:rsidRPr="0076336C">
          <w:rPr>
            <w:rStyle w:val="Hyperlink"/>
            <w:rFonts w:asciiTheme="majorHAnsi" w:hAnsiTheme="majorHAnsi"/>
            <w:noProof/>
            <w:color w:val="0070C0"/>
            <w:sz w:val="22"/>
            <w:lang w:val="sq-AL"/>
          </w:rPr>
          <w:t>Grafiku 30 Shpenzimet për interesa në vite dhe ritmi i rritjes (miliardë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_Toc11141706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29</w:t>
        </w:r>
        <w:r w:rsidR="002755E8" w:rsidRPr="0076336C">
          <w:rPr>
            <w:rFonts w:asciiTheme="majorHAnsi" w:hAnsiTheme="majorHAnsi"/>
            <w:noProof/>
            <w:webHidden/>
            <w:color w:val="0070C0"/>
            <w:sz w:val="22"/>
          </w:rPr>
          <w:fldChar w:fldCharType="end"/>
        </w:r>
      </w:hyperlink>
    </w:p>
    <w:p w14:paraId="41A10A9C"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7" w:history="1">
        <w:r w:rsidR="002755E8" w:rsidRPr="0076336C">
          <w:rPr>
            <w:rStyle w:val="Hyperlink"/>
            <w:rFonts w:asciiTheme="majorHAnsi" w:hAnsiTheme="majorHAnsi"/>
            <w:noProof/>
            <w:color w:val="0070C0"/>
            <w:sz w:val="22"/>
            <w:lang w:val="sq-AL"/>
          </w:rPr>
          <w:t>Grafiku 31 Shpenzimet operative e</w:t>
        </w:r>
        <w:bookmarkStart w:id="0" w:name="_GoBack"/>
        <w:bookmarkEnd w:id="0"/>
        <w:r w:rsidR="002755E8" w:rsidRPr="0076336C">
          <w:rPr>
            <w:rStyle w:val="Hyperlink"/>
            <w:rFonts w:asciiTheme="majorHAnsi" w:hAnsiTheme="majorHAnsi"/>
            <w:noProof/>
            <w:color w:val="0070C0"/>
            <w:sz w:val="22"/>
            <w:lang w:val="sq-AL"/>
          </w:rPr>
          <w:t xml:space="preserve"> të mirëmbajtjes dhe ritmi i rritjes vjetore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_Toc11141707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29</w:t>
        </w:r>
        <w:r w:rsidR="002755E8" w:rsidRPr="0076336C">
          <w:rPr>
            <w:rFonts w:asciiTheme="majorHAnsi" w:hAnsiTheme="majorHAnsi"/>
            <w:noProof/>
            <w:webHidden/>
            <w:color w:val="0070C0"/>
            <w:sz w:val="22"/>
          </w:rPr>
          <w:fldChar w:fldCharType="end"/>
        </w:r>
      </w:hyperlink>
    </w:p>
    <w:p w14:paraId="5A20E281"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8" w:history="1">
        <w:r w:rsidR="002755E8" w:rsidRPr="0076336C">
          <w:rPr>
            <w:rStyle w:val="Hyperlink"/>
            <w:rFonts w:asciiTheme="majorHAnsi" w:hAnsiTheme="majorHAnsi"/>
            <w:noProof/>
            <w:color w:val="0070C0"/>
            <w:sz w:val="22"/>
            <w:lang w:val="sq-AL"/>
          </w:rPr>
          <w:t>Grafiku 32 Shpenzimet per subvencione dhe ritmi i rritjes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_Toc11141708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29</w:t>
        </w:r>
        <w:r w:rsidR="002755E8" w:rsidRPr="0076336C">
          <w:rPr>
            <w:rFonts w:asciiTheme="majorHAnsi" w:hAnsiTheme="majorHAnsi"/>
            <w:noProof/>
            <w:webHidden/>
            <w:color w:val="0070C0"/>
            <w:sz w:val="22"/>
          </w:rPr>
          <w:fldChar w:fldCharType="end"/>
        </w:r>
      </w:hyperlink>
    </w:p>
    <w:p w14:paraId="3A9E54EB"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09" w:history="1">
        <w:r w:rsidR="002755E8" w:rsidRPr="0076336C">
          <w:rPr>
            <w:rStyle w:val="Hyperlink"/>
            <w:rFonts w:asciiTheme="majorHAnsi" w:hAnsiTheme="majorHAnsi"/>
            <w:noProof/>
            <w:color w:val="0070C0"/>
            <w:sz w:val="22"/>
            <w:lang w:val="sq-AL"/>
          </w:rPr>
          <w:t>Grafiku 33 Shpenzimet per sigurimet shoqërore dhe shëndetësore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_Toc11141709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30</w:t>
        </w:r>
        <w:r w:rsidR="002755E8" w:rsidRPr="0076336C">
          <w:rPr>
            <w:rFonts w:asciiTheme="majorHAnsi" w:hAnsiTheme="majorHAnsi"/>
            <w:noProof/>
            <w:webHidden/>
            <w:color w:val="0070C0"/>
            <w:sz w:val="22"/>
          </w:rPr>
          <w:fldChar w:fldCharType="end"/>
        </w:r>
      </w:hyperlink>
    </w:p>
    <w:p w14:paraId="672C7DFB"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0" w:history="1">
        <w:r w:rsidR="002755E8" w:rsidRPr="0076336C">
          <w:rPr>
            <w:rStyle w:val="Hyperlink"/>
            <w:rFonts w:asciiTheme="majorHAnsi" w:hAnsiTheme="majorHAnsi"/>
            <w:noProof/>
            <w:color w:val="0070C0"/>
            <w:sz w:val="22"/>
            <w:lang w:val="sq-AL"/>
          </w:rPr>
          <w:t>Grafiku 34 Shpenzimet per ndihmën ekonomike, PAK dhe papunësinë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_Toc11141710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31</w:t>
        </w:r>
        <w:r w:rsidR="002755E8" w:rsidRPr="0076336C">
          <w:rPr>
            <w:rFonts w:asciiTheme="majorHAnsi" w:hAnsiTheme="majorHAnsi"/>
            <w:noProof/>
            <w:webHidden/>
            <w:color w:val="0070C0"/>
            <w:sz w:val="22"/>
          </w:rPr>
          <w:fldChar w:fldCharType="end"/>
        </w:r>
      </w:hyperlink>
    </w:p>
    <w:p w14:paraId="30E9F262"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1" w:history="1">
        <w:r w:rsidR="002755E8" w:rsidRPr="0076336C">
          <w:rPr>
            <w:rStyle w:val="Hyperlink"/>
            <w:rFonts w:asciiTheme="majorHAnsi" w:hAnsiTheme="majorHAnsi"/>
            <w:noProof/>
            <w:color w:val="0070C0"/>
            <w:sz w:val="22"/>
            <w:lang w:val="sq-AL"/>
          </w:rPr>
          <w:t>Grafiku 35 S</w:t>
        </w:r>
        <w:r w:rsidR="002755E8" w:rsidRPr="0076336C">
          <w:rPr>
            <w:rStyle w:val="Hyperlink"/>
            <w:rFonts w:asciiTheme="majorHAnsi" w:eastAsia="SimSun" w:hAnsiTheme="majorHAnsi"/>
            <w:noProof/>
            <w:color w:val="0070C0"/>
            <w:sz w:val="22"/>
            <w:lang w:val="sq-AL"/>
          </w:rPr>
          <w:t>hpenzimet Kapitale dhe burimi i financimit të tyre (në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_Toc11141711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31</w:t>
        </w:r>
        <w:r w:rsidR="002755E8" w:rsidRPr="0076336C">
          <w:rPr>
            <w:rFonts w:asciiTheme="majorHAnsi" w:hAnsiTheme="majorHAnsi"/>
            <w:noProof/>
            <w:webHidden/>
            <w:color w:val="0070C0"/>
            <w:sz w:val="22"/>
          </w:rPr>
          <w:fldChar w:fldCharType="end"/>
        </w:r>
      </w:hyperlink>
    </w:p>
    <w:p w14:paraId="1A04582B"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2" w:history="1">
        <w:r w:rsidR="002755E8" w:rsidRPr="0076336C">
          <w:rPr>
            <w:rStyle w:val="Hyperlink"/>
            <w:rFonts w:asciiTheme="majorHAnsi" w:hAnsiTheme="majorHAnsi"/>
            <w:noProof/>
            <w:color w:val="0070C0"/>
            <w:sz w:val="22"/>
            <w:lang w:val="sq-AL"/>
          </w:rPr>
          <w:t>Grafiku 36 Shpenzimet e pushtetit vendor në rritje dhe ritmi i rritjes së tyre (në miliard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_Toc11141712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61</w:t>
        </w:r>
        <w:r w:rsidR="002755E8" w:rsidRPr="0076336C">
          <w:rPr>
            <w:rFonts w:asciiTheme="majorHAnsi" w:hAnsiTheme="majorHAnsi"/>
            <w:noProof/>
            <w:webHidden/>
            <w:color w:val="0070C0"/>
            <w:sz w:val="22"/>
          </w:rPr>
          <w:fldChar w:fldCharType="end"/>
        </w:r>
      </w:hyperlink>
    </w:p>
    <w:p w14:paraId="33B736CC"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3" w:history="1">
        <w:r w:rsidR="002755E8" w:rsidRPr="0076336C">
          <w:rPr>
            <w:rStyle w:val="Hyperlink"/>
            <w:rFonts w:asciiTheme="majorHAnsi" w:hAnsiTheme="majorHAnsi"/>
            <w:noProof/>
            <w:color w:val="0070C0"/>
            <w:sz w:val="22"/>
            <w:lang w:val="sq-AL"/>
          </w:rPr>
          <w:t>Grafiku 37 Shpenzimet e pushtetit vendor sipas klasifikimit ekonomik (në milionë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_Toc11141713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61</w:t>
        </w:r>
        <w:r w:rsidR="002755E8" w:rsidRPr="0076336C">
          <w:rPr>
            <w:rFonts w:asciiTheme="majorHAnsi" w:hAnsiTheme="majorHAnsi"/>
            <w:noProof/>
            <w:webHidden/>
            <w:color w:val="0070C0"/>
            <w:sz w:val="22"/>
          </w:rPr>
          <w:fldChar w:fldCharType="end"/>
        </w:r>
      </w:hyperlink>
    </w:p>
    <w:p w14:paraId="16BE0D66"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4" w:history="1">
        <w:r w:rsidR="002755E8" w:rsidRPr="0076336C">
          <w:rPr>
            <w:rStyle w:val="Hyperlink"/>
            <w:rFonts w:asciiTheme="majorHAnsi" w:hAnsiTheme="majorHAnsi"/>
            <w:noProof/>
            <w:color w:val="0070C0"/>
            <w:sz w:val="22"/>
            <w:lang w:val="sq-AL"/>
          </w:rPr>
          <w:t>Grafiku 38 Stoku i detyrimeve të prapambetura qendrore gjatë vitit 2018 (MEI dhe ministri të tjera), në milion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_Toc11141714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67</w:t>
        </w:r>
        <w:r w:rsidR="002755E8" w:rsidRPr="0076336C">
          <w:rPr>
            <w:rFonts w:asciiTheme="majorHAnsi" w:hAnsiTheme="majorHAnsi"/>
            <w:noProof/>
            <w:webHidden/>
            <w:color w:val="0070C0"/>
            <w:sz w:val="22"/>
          </w:rPr>
          <w:fldChar w:fldCharType="end"/>
        </w:r>
      </w:hyperlink>
    </w:p>
    <w:p w14:paraId="1414BB01"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5" w:history="1">
        <w:r w:rsidR="002755E8" w:rsidRPr="0076336C">
          <w:rPr>
            <w:rStyle w:val="Hyperlink"/>
            <w:rFonts w:asciiTheme="majorHAnsi" w:hAnsiTheme="majorHAnsi"/>
            <w:noProof/>
            <w:color w:val="0070C0"/>
            <w:sz w:val="22"/>
            <w:lang w:val="sq-AL"/>
          </w:rPr>
          <w:t>Grafiku 39 Ecuria e detyrimeve të prapambetura për vendime gjyqësore gjatë vitit 2018 (në milionë lekë)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_Toc11141715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68</w:t>
        </w:r>
        <w:r w:rsidR="002755E8" w:rsidRPr="0076336C">
          <w:rPr>
            <w:rFonts w:asciiTheme="majorHAnsi" w:hAnsiTheme="majorHAnsi"/>
            <w:noProof/>
            <w:webHidden/>
            <w:color w:val="0070C0"/>
            <w:sz w:val="22"/>
          </w:rPr>
          <w:fldChar w:fldCharType="end"/>
        </w:r>
      </w:hyperlink>
    </w:p>
    <w:p w14:paraId="7A56CAA2"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6" w:history="1">
        <w:r w:rsidR="002755E8" w:rsidRPr="0076336C">
          <w:rPr>
            <w:rStyle w:val="Hyperlink"/>
            <w:rFonts w:asciiTheme="majorHAnsi" w:hAnsiTheme="majorHAnsi"/>
            <w:noProof/>
            <w:color w:val="0070C0"/>
            <w:sz w:val="22"/>
            <w:lang w:val="sq-AL"/>
          </w:rPr>
          <w:t>Grafiku 40 Të ardhurat vendore për periudhën 2017 - 2018</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_Toc11141716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80</w:t>
        </w:r>
        <w:r w:rsidR="002755E8" w:rsidRPr="0076336C">
          <w:rPr>
            <w:rFonts w:asciiTheme="majorHAnsi" w:hAnsiTheme="majorHAnsi"/>
            <w:noProof/>
            <w:webHidden/>
            <w:color w:val="0070C0"/>
            <w:sz w:val="22"/>
          </w:rPr>
          <w:fldChar w:fldCharType="end"/>
        </w:r>
      </w:hyperlink>
    </w:p>
    <w:p w14:paraId="6EA8AEAC"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7" w:history="1">
        <w:r w:rsidR="002755E8" w:rsidRPr="0076336C">
          <w:rPr>
            <w:rStyle w:val="Hyperlink"/>
            <w:rFonts w:asciiTheme="majorHAnsi" w:hAnsiTheme="majorHAnsi"/>
            <w:noProof/>
            <w:color w:val="0070C0"/>
            <w:sz w:val="22"/>
            <w:lang w:val="sq-AL"/>
          </w:rPr>
          <w:t>Grafiku 41 Të ardhurat sipas burimit, për njësitë e qeverisjes vendore</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_Toc11141717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81</w:t>
        </w:r>
        <w:r w:rsidR="002755E8" w:rsidRPr="0076336C">
          <w:rPr>
            <w:rFonts w:asciiTheme="majorHAnsi" w:hAnsiTheme="majorHAnsi"/>
            <w:noProof/>
            <w:webHidden/>
            <w:color w:val="0070C0"/>
            <w:sz w:val="22"/>
          </w:rPr>
          <w:fldChar w:fldCharType="end"/>
        </w:r>
      </w:hyperlink>
    </w:p>
    <w:p w14:paraId="5841E635"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8" w:history="1">
        <w:r w:rsidR="002755E8" w:rsidRPr="0076336C">
          <w:rPr>
            <w:rStyle w:val="Hyperlink"/>
            <w:rFonts w:asciiTheme="majorHAnsi" w:hAnsiTheme="majorHAnsi"/>
            <w:noProof/>
            <w:color w:val="0070C0"/>
            <w:sz w:val="22"/>
            <w:lang w:val="sq-AL"/>
          </w:rPr>
          <w:t>Grafiku 42 Të ardhurat e përgjithshme të pushtetit vendor</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_Toc11141718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81</w:t>
        </w:r>
        <w:r w:rsidR="002755E8" w:rsidRPr="0076336C">
          <w:rPr>
            <w:rFonts w:asciiTheme="majorHAnsi" w:hAnsiTheme="majorHAnsi"/>
            <w:noProof/>
            <w:webHidden/>
            <w:color w:val="0070C0"/>
            <w:sz w:val="22"/>
          </w:rPr>
          <w:fldChar w:fldCharType="end"/>
        </w:r>
      </w:hyperlink>
    </w:p>
    <w:p w14:paraId="7329647B"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19" w:history="1">
        <w:r w:rsidR="002755E8" w:rsidRPr="0076336C">
          <w:rPr>
            <w:rStyle w:val="Hyperlink"/>
            <w:rFonts w:asciiTheme="majorHAnsi" w:hAnsiTheme="majorHAnsi"/>
            <w:noProof/>
            <w:color w:val="0070C0"/>
            <w:sz w:val="22"/>
            <w:lang w:val="sq-AL"/>
          </w:rPr>
          <w:t>Grafiku 43 të ardhurat nga taksa mbi pasurinë</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_Toc11141719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82</w:t>
        </w:r>
        <w:r w:rsidR="002755E8" w:rsidRPr="0076336C">
          <w:rPr>
            <w:rFonts w:asciiTheme="majorHAnsi" w:hAnsiTheme="majorHAnsi"/>
            <w:noProof/>
            <w:webHidden/>
            <w:color w:val="0070C0"/>
            <w:sz w:val="22"/>
          </w:rPr>
          <w:fldChar w:fldCharType="end"/>
        </w:r>
      </w:hyperlink>
    </w:p>
    <w:p w14:paraId="1600ABBC"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20" w:history="1">
        <w:r w:rsidR="002755E8" w:rsidRPr="0076336C">
          <w:rPr>
            <w:rStyle w:val="Hyperlink"/>
            <w:rFonts w:asciiTheme="majorHAnsi" w:hAnsiTheme="majorHAnsi"/>
            <w:noProof/>
            <w:color w:val="0070C0"/>
            <w:sz w:val="22"/>
            <w:lang w:val="sq-AL"/>
          </w:rPr>
          <w:t>Grafiku 44 të ardhurat nga taksa e biznesit të vogël</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_Toc11141720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82</w:t>
        </w:r>
        <w:r w:rsidR="002755E8" w:rsidRPr="0076336C">
          <w:rPr>
            <w:rFonts w:asciiTheme="majorHAnsi" w:hAnsiTheme="majorHAnsi"/>
            <w:noProof/>
            <w:webHidden/>
            <w:color w:val="0070C0"/>
            <w:sz w:val="22"/>
          </w:rPr>
          <w:fldChar w:fldCharType="end"/>
        </w:r>
      </w:hyperlink>
    </w:p>
    <w:p w14:paraId="32C91840" w14:textId="77777777" w:rsidR="002755E8" w:rsidRPr="0076336C" w:rsidRDefault="003D3813">
      <w:pPr>
        <w:pStyle w:val="TableofFigures"/>
        <w:tabs>
          <w:tab w:val="right" w:leader="dot" w:pos="10430"/>
        </w:tabs>
        <w:rPr>
          <w:rFonts w:asciiTheme="majorHAnsi" w:eastAsiaTheme="minorEastAsia" w:hAnsiTheme="majorHAnsi" w:cstheme="minorBidi"/>
          <w:noProof/>
          <w:color w:val="0070C0"/>
          <w:sz w:val="20"/>
          <w:szCs w:val="22"/>
        </w:rPr>
      </w:pPr>
      <w:hyperlink w:anchor="_Toc11141721" w:history="1">
        <w:r w:rsidR="002755E8" w:rsidRPr="0076336C">
          <w:rPr>
            <w:rStyle w:val="Hyperlink"/>
            <w:rFonts w:asciiTheme="majorHAnsi" w:hAnsiTheme="majorHAnsi"/>
            <w:noProof/>
            <w:color w:val="0070C0"/>
            <w:sz w:val="22"/>
            <w:lang w:val="sq-AL"/>
          </w:rPr>
          <w:t>Grafiku 45 Të ardhurat nga taksat lokale</w:t>
        </w:r>
        <w:r w:rsidR="002755E8" w:rsidRPr="0076336C">
          <w:rPr>
            <w:rFonts w:asciiTheme="majorHAnsi" w:hAnsiTheme="majorHAnsi"/>
            <w:noProof/>
            <w:webHidden/>
            <w:color w:val="0070C0"/>
            <w:sz w:val="22"/>
          </w:rPr>
          <w:tab/>
        </w:r>
        <w:r w:rsidR="002755E8" w:rsidRPr="0076336C">
          <w:rPr>
            <w:rFonts w:asciiTheme="majorHAnsi" w:hAnsiTheme="majorHAnsi"/>
            <w:noProof/>
            <w:webHidden/>
            <w:color w:val="0070C0"/>
            <w:sz w:val="22"/>
          </w:rPr>
          <w:fldChar w:fldCharType="begin"/>
        </w:r>
        <w:r w:rsidR="002755E8" w:rsidRPr="0076336C">
          <w:rPr>
            <w:rFonts w:asciiTheme="majorHAnsi" w:hAnsiTheme="majorHAnsi"/>
            <w:noProof/>
            <w:webHidden/>
            <w:color w:val="0070C0"/>
            <w:sz w:val="22"/>
          </w:rPr>
          <w:instrText xml:space="preserve"> PAGEREF _Toc11141721 \h </w:instrText>
        </w:r>
        <w:r w:rsidR="002755E8" w:rsidRPr="0076336C">
          <w:rPr>
            <w:rFonts w:asciiTheme="majorHAnsi" w:hAnsiTheme="majorHAnsi"/>
            <w:noProof/>
            <w:webHidden/>
            <w:color w:val="0070C0"/>
            <w:sz w:val="22"/>
          </w:rPr>
        </w:r>
        <w:r w:rsidR="002755E8" w:rsidRPr="0076336C">
          <w:rPr>
            <w:rFonts w:asciiTheme="majorHAnsi" w:hAnsiTheme="majorHAnsi"/>
            <w:noProof/>
            <w:webHidden/>
            <w:color w:val="0070C0"/>
            <w:sz w:val="22"/>
          </w:rPr>
          <w:fldChar w:fldCharType="separate"/>
        </w:r>
        <w:r w:rsidR="00112782" w:rsidRPr="0076336C">
          <w:rPr>
            <w:rFonts w:asciiTheme="majorHAnsi" w:hAnsiTheme="majorHAnsi"/>
            <w:noProof/>
            <w:webHidden/>
            <w:color w:val="0070C0"/>
            <w:sz w:val="22"/>
          </w:rPr>
          <w:t>83</w:t>
        </w:r>
        <w:r w:rsidR="002755E8" w:rsidRPr="0076336C">
          <w:rPr>
            <w:rFonts w:asciiTheme="majorHAnsi" w:hAnsiTheme="majorHAnsi"/>
            <w:noProof/>
            <w:webHidden/>
            <w:color w:val="0070C0"/>
            <w:sz w:val="22"/>
          </w:rPr>
          <w:fldChar w:fldCharType="end"/>
        </w:r>
      </w:hyperlink>
    </w:p>
    <w:p w14:paraId="1D17AAB5" w14:textId="77777777" w:rsidR="009158B4" w:rsidRPr="0076336C" w:rsidRDefault="009158B4" w:rsidP="00043D27">
      <w:pPr>
        <w:pStyle w:val="TableofFigures"/>
        <w:tabs>
          <w:tab w:val="right" w:leader="dot" w:pos="8630"/>
        </w:tabs>
        <w:jc w:val="center"/>
        <w:rPr>
          <w:rStyle w:val="Hyperlink"/>
          <w:rFonts w:asciiTheme="majorHAnsi" w:hAnsiTheme="majorHAnsi"/>
          <w:noProof/>
          <w:color w:val="0070C0"/>
          <w:sz w:val="14"/>
          <w:szCs w:val="20"/>
          <w:lang w:val="sq-AL"/>
        </w:rPr>
      </w:pPr>
      <w:r w:rsidRPr="0076336C">
        <w:rPr>
          <w:rStyle w:val="Hyperlink"/>
          <w:rFonts w:asciiTheme="majorHAnsi" w:hAnsiTheme="majorHAnsi"/>
          <w:noProof/>
          <w:color w:val="0070C0"/>
          <w:sz w:val="10"/>
          <w:szCs w:val="20"/>
          <w:lang w:val="sq-AL"/>
        </w:rPr>
        <w:fldChar w:fldCharType="end"/>
      </w:r>
    </w:p>
    <w:p w14:paraId="2FFC9FA5" w14:textId="77777777" w:rsidR="009158B4" w:rsidRPr="0076336C" w:rsidRDefault="009158B4" w:rsidP="00043D27">
      <w:pPr>
        <w:pStyle w:val="TableofFigures"/>
        <w:tabs>
          <w:tab w:val="right" w:leader="dot" w:pos="8630"/>
        </w:tabs>
        <w:jc w:val="center"/>
        <w:rPr>
          <w:rStyle w:val="Hyperlink"/>
          <w:rFonts w:asciiTheme="majorHAnsi" w:hAnsiTheme="majorHAnsi"/>
          <w:noProof/>
          <w:color w:val="0070C0"/>
          <w:sz w:val="16"/>
          <w:szCs w:val="20"/>
          <w:lang w:val="sq-AL"/>
        </w:rPr>
      </w:pPr>
    </w:p>
    <w:p w14:paraId="09855822" w14:textId="77777777" w:rsidR="009158B4" w:rsidRPr="0076336C" w:rsidRDefault="009158B4">
      <w:pPr>
        <w:rPr>
          <w:rFonts w:asciiTheme="majorHAnsi" w:hAnsiTheme="majorHAnsi" w:cs="Times New Roman"/>
          <w:color w:val="0070C0"/>
          <w:sz w:val="20"/>
          <w:lang w:val="sq-AL"/>
        </w:rPr>
        <w:sectPr w:rsidR="009158B4" w:rsidRPr="0076336C" w:rsidSect="00824B19">
          <w:pgSz w:w="12240" w:h="15840"/>
          <w:pgMar w:top="1440" w:right="900" w:bottom="1440" w:left="900" w:header="720" w:footer="720" w:gutter="0"/>
          <w:cols w:space="720"/>
          <w:docGrid w:linePitch="360"/>
        </w:sectPr>
      </w:pPr>
    </w:p>
    <w:p w14:paraId="5B92C600" w14:textId="77777777" w:rsidR="00A94670" w:rsidRPr="00502E37" w:rsidRDefault="008B6B58" w:rsidP="00A2716B">
      <w:pPr>
        <w:pStyle w:val="Heading1"/>
        <w:numPr>
          <w:ilvl w:val="0"/>
          <w:numId w:val="4"/>
        </w:numPr>
        <w:rPr>
          <w:rFonts w:cs="Times New Roman"/>
          <w:b/>
          <w:lang w:val="sq-AL"/>
        </w:rPr>
      </w:pPr>
      <w:bookmarkStart w:id="1" w:name="_Toc10033256"/>
      <w:bookmarkStart w:id="2" w:name="_Toc10721393"/>
      <w:bookmarkStart w:id="3" w:name="_Toc11134199"/>
      <w:r w:rsidRPr="00502E37">
        <w:rPr>
          <w:rFonts w:cs="Times New Roman"/>
          <w:b/>
          <w:lang w:val="sq-AL"/>
        </w:rPr>
        <w:lastRenderedPageBreak/>
        <w:t>REZULTATI I BUXHETIT TË KONSOLIDUAR</w:t>
      </w:r>
      <w:bookmarkEnd w:id="1"/>
      <w:bookmarkEnd w:id="2"/>
      <w:bookmarkEnd w:id="3"/>
    </w:p>
    <w:p w14:paraId="53C9D128" w14:textId="2373A6F9" w:rsidR="00E0091E" w:rsidRPr="0048642D" w:rsidRDefault="00E0091E" w:rsidP="00E0091E">
      <w:pPr>
        <w:spacing w:before="240" w:line="276" w:lineRule="auto"/>
        <w:jc w:val="both"/>
        <w:rPr>
          <w:rFonts w:asciiTheme="majorHAnsi" w:hAnsiTheme="majorHAnsi" w:cs="Times New Roman"/>
          <w:lang w:val="sq-AL"/>
        </w:rPr>
      </w:pPr>
      <w:r w:rsidRPr="0048642D">
        <w:rPr>
          <w:rFonts w:asciiTheme="majorHAnsi" w:hAnsiTheme="majorHAnsi" w:cs="Times New Roman"/>
          <w:lang w:val="sq-AL"/>
        </w:rPr>
        <w:t>PBB-ja nominale u rrit me 4,1% në vitin 2018, duke arritur në 1,648 miliardë lekë. Tregu i punës reflektoi zgjerimin e vazhdueshëm ekonomik, me rritje të punësimit  prej 1,4% ose 16 mijë të punësuar më shumë se një vit më parë. Nё fund të vitit 2018 numri i tё punёsuarve nё Shqipёri ishte 1,184,413 persona</w:t>
      </w:r>
      <w:r w:rsidR="008868EB">
        <w:rPr>
          <w:rFonts w:asciiTheme="majorHAnsi" w:hAnsiTheme="majorHAnsi" w:cs="Times New Roman"/>
          <w:lang w:val="sq-AL"/>
        </w:rPr>
        <w:t>.</w:t>
      </w:r>
      <w:r w:rsidRPr="0048642D">
        <w:rPr>
          <w:rFonts w:asciiTheme="majorHAnsi" w:hAnsiTheme="majorHAnsi" w:cs="Times New Roman"/>
          <w:lang w:val="sq-AL"/>
        </w:rPr>
        <w:t xml:space="preserve"> </w:t>
      </w:r>
      <w:r w:rsidR="008868EB" w:rsidRPr="008868EB">
        <w:rPr>
          <w:rFonts w:asciiTheme="majorHAnsi" w:hAnsiTheme="majorHAnsi" w:cs="Times New Roman"/>
          <w:lang w:val="sq-AL"/>
        </w:rPr>
        <w:t xml:space="preserve">Rritja e PBB-së u reflektua edhe në rritjen e konsumit privat me mbi 3% në terma realë; ndërsa formimi i kapitalit fiks bruto (investimet totale) u rrit me 2,7%, duke kontribuar </w:t>
      </w:r>
      <w:r w:rsidR="008868EB">
        <w:rPr>
          <w:rFonts w:asciiTheme="majorHAnsi" w:hAnsiTheme="majorHAnsi" w:cs="Times New Roman"/>
          <w:lang w:val="sq-AL"/>
        </w:rPr>
        <w:t xml:space="preserve">me </w:t>
      </w:r>
      <w:r w:rsidR="008868EB" w:rsidRPr="008868EB">
        <w:rPr>
          <w:rFonts w:asciiTheme="majorHAnsi" w:hAnsiTheme="majorHAnsi" w:cs="Times New Roman"/>
          <w:lang w:val="sq-AL"/>
        </w:rPr>
        <w:t>1,5 pikë përqindje në rritjen ekonomike për vitin 2018. Eksportet e mallrave ne Shqiperi u rriten me rreth 20% , ndersa IHD u rriten me rreth 13% kundrejt vitit 2017.</w:t>
      </w:r>
      <w:r w:rsidRPr="0048642D">
        <w:rPr>
          <w:rFonts w:asciiTheme="majorHAnsi" w:hAnsiTheme="majorHAnsi" w:cs="Times New Roman"/>
          <w:lang w:val="sq-AL"/>
        </w:rPr>
        <w:t xml:space="preserve">  Kontributin kryesor në rritjen e ekonomisë e dhanë industria me +1.64 pikё pёrqindje; tregtia me shumicë dhe pakicë etj. me +0.82 pikë përqindje; aktivitete shkencore, profesionale dhe teknike +0.46 pikë përqindje; si dhe Bujqësia, pyjet dhe peshkimi dhe Ndërtimi, secila me +0.26 pikë përqindje.</w:t>
      </w:r>
    </w:p>
    <w:p w14:paraId="0069C4A0" w14:textId="77777777" w:rsidR="00E0091E" w:rsidRPr="0048642D" w:rsidRDefault="00E0091E" w:rsidP="00E0091E">
      <w:pPr>
        <w:spacing w:before="240" w:line="276" w:lineRule="auto"/>
        <w:jc w:val="both"/>
        <w:rPr>
          <w:rFonts w:asciiTheme="majorHAnsi" w:hAnsiTheme="majorHAnsi" w:cs="Times New Roman"/>
          <w:lang w:val="sq-AL"/>
        </w:rPr>
      </w:pPr>
      <w:r w:rsidRPr="0048642D">
        <w:rPr>
          <w:rFonts w:asciiTheme="majorHAnsi" w:hAnsiTheme="majorHAnsi" w:cs="Times New Roman"/>
          <w:lang w:val="sq-AL"/>
        </w:rPr>
        <w:t>Të ardhurat totale të buxhetit të konsoliduar për vitin 2018 ishin 449,5 miliardë lekë, ose 19,1 miliardë lekë më shumë se një vit më parë. Rritja e të ardhurave të buxhetit të shtetit për vitin 2018, krahasuar me vitin paraardhës ishte rezultat i rritjes së punësëimit dhe aktivitetit të biznesit privat dhe rritjes së konsumit të brendshëm; si edhe si rezultat i përmirësimit të përformancës së mbledhjes së të ardhurave në kuadër të reformës së konsolidimit të financave publike. Realizimi ishte 9% më i ulët se buxheti fillestar i vitit 2019.</w:t>
      </w:r>
      <w:r w:rsidRPr="0048642D">
        <w:rPr>
          <w:rStyle w:val="FootnoteReference"/>
          <w:rFonts w:asciiTheme="majorHAnsi" w:hAnsiTheme="majorHAnsi" w:cs="Times New Roman"/>
          <w:lang w:val="sq-AL"/>
        </w:rPr>
        <w:footnoteReference w:id="1"/>
      </w:r>
      <w:r w:rsidRPr="0048642D">
        <w:rPr>
          <w:rFonts w:asciiTheme="majorHAnsi" w:hAnsiTheme="majorHAnsi" w:cs="Times New Roman"/>
          <w:lang w:val="sq-AL"/>
        </w:rPr>
        <w:t xml:space="preserve">, kryesisht prej efektit i ndryshimit të kursit të këmbimit të monedhave USD dhe EURO kundrejt monedhës vendase, si edhe uljes së importeve në disa sektorë kyç të ekonomisë si energjia dhe projekti TAP. Të ardhurat u rritën me ritëm më të shpejtë se shpenzimet. Si peshë ndaj ekonomisë, shpenzimet e përgjithshme publike arritën në 28,9% të PBB-së (nga 29,7% në 2017). Në terma nominalë, shpenzimet e përgjithshme publike gjatë vitit 2018 ishin 476,1 miliardë lekë, ose 14,7 miliardë lekë (3,2%) më shumë se në vitin 2017. </w:t>
      </w:r>
    </w:p>
    <w:p w14:paraId="74A8E079" w14:textId="4719E70F" w:rsidR="00E0091E" w:rsidRPr="0048642D" w:rsidRDefault="00E0091E" w:rsidP="00E0091E">
      <w:pPr>
        <w:spacing w:before="240" w:line="276" w:lineRule="auto"/>
        <w:jc w:val="both"/>
        <w:rPr>
          <w:rFonts w:asciiTheme="majorHAnsi" w:hAnsiTheme="majorHAnsi" w:cs="Times New Roman"/>
          <w:lang w:val="sq-AL"/>
        </w:rPr>
      </w:pPr>
      <w:r w:rsidRPr="0048642D">
        <w:rPr>
          <w:rFonts w:asciiTheme="majorHAnsi" w:hAnsiTheme="majorHAnsi" w:cs="Times New Roman"/>
          <w:lang w:val="sq-AL"/>
        </w:rPr>
        <w:t>Zërat kryesorë që ndikuan në rritjen e shpenzimeve në vitin 2018 ishin rritja e shpenzimeve kapitale për investime</w:t>
      </w:r>
      <w:r w:rsidR="009B211D">
        <w:rPr>
          <w:rFonts w:asciiTheme="majorHAnsi" w:hAnsiTheme="majorHAnsi" w:cs="Times New Roman"/>
          <w:lang w:val="sq-AL"/>
        </w:rPr>
        <w:t>,</w:t>
      </w:r>
      <w:r w:rsidRPr="0048642D">
        <w:rPr>
          <w:rFonts w:asciiTheme="majorHAnsi" w:hAnsiTheme="majorHAnsi" w:cs="Times New Roman"/>
          <w:lang w:val="sq-AL"/>
        </w:rPr>
        <w:t xml:space="preserve"> rritja e shpenzimeve për fondet speciale si rezultat i reformës së pensioneve dhe </w:t>
      </w:r>
      <w:r w:rsidR="009B211D">
        <w:rPr>
          <w:rFonts w:asciiTheme="majorHAnsi" w:hAnsiTheme="majorHAnsi" w:cs="Times New Roman"/>
          <w:lang w:val="sq-AL"/>
        </w:rPr>
        <w:t>r</w:t>
      </w:r>
      <w:r w:rsidRPr="0048642D">
        <w:rPr>
          <w:rFonts w:asciiTheme="majorHAnsi" w:hAnsiTheme="majorHAnsi" w:cs="Times New Roman"/>
          <w:lang w:val="sq-AL"/>
        </w:rPr>
        <w:t>ritja e shpenzimeve për buxhetin vendor.</w:t>
      </w:r>
    </w:p>
    <w:p w14:paraId="0DB88490" w14:textId="77777777" w:rsidR="00E0091E" w:rsidRDefault="00E0091E" w:rsidP="00E0091E">
      <w:pPr>
        <w:pStyle w:val="Caption"/>
        <w:keepNext/>
        <w:spacing w:after="0"/>
        <w:jc w:val="both"/>
        <w:rPr>
          <w:rFonts w:asciiTheme="majorHAnsi" w:hAnsiTheme="majorHAnsi" w:cs="Times New Roman"/>
          <w:lang w:val="sq-AL"/>
        </w:rPr>
      </w:pPr>
    </w:p>
    <w:p w14:paraId="7AC23AE3" w14:textId="77777777" w:rsidR="00E0091E" w:rsidRPr="002E06C4" w:rsidRDefault="00E0091E" w:rsidP="00E0091E">
      <w:pPr>
        <w:pStyle w:val="Caption"/>
        <w:keepNext/>
        <w:spacing w:after="0"/>
        <w:jc w:val="both"/>
        <w:rPr>
          <w:rFonts w:asciiTheme="majorHAnsi" w:hAnsiTheme="majorHAnsi" w:cs="Times New Roman"/>
          <w:lang w:val="sq-AL"/>
        </w:rPr>
      </w:pPr>
      <w:bookmarkStart w:id="4" w:name="_Toc11141678"/>
      <w:r w:rsidRPr="002E06C4">
        <w:rPr>
          <w:rFonts w:asciiTheme="majorHAnsi" w:hAnsiTheme="majorHAnsi" w:cs="Times New Roman"/>
          <w:lang w:val="sq-AL"/>
        </w:rPr>
        <w:t xml:space="preserve">Grafiku </w:t>
      </w:r>
      <w:r w:rsidRPr="002E06C4">
        <w:rPr>
          <w:rFonts w:asciiTheme="majorHAnsi" w:hAnsiTheme="majorHAnsi" w:cs="Times New Roman"/>
          <w:noProof/>
          <w:lang w:val="sq-AL"/>
        </w:rPr>
        <w:fldChar w:fldCharType="begin"/>
      </w:r>
      <w:r w:rsidRPr="002E06C4">
        <w:rPr>
          <w:rFonts w:asciiTheme="majorHAnsi" w:hAnsiTheme="majorHAnsi" w:cs="Times New Roman"/>
          <w:noProof/>
          <w:lang w:val="sq-AL"/>
        </w:rPr>
        <w:instrText xml:space="preserve"> SEQ Grafiku \* ARABIC </w:instrText>
      </w:r>
      <w:r w:rsidRPr="002E06C4">
        <w:rPr>
          <w:rFonts w:asciiTheme="majorHAnsi" w:hAnsiTheme="majorHAnsi" w:cs="Times New Roman"/>
          <w:noProof/>
          <w:lang w:val="sq-AL"/>
        </w:rPr>
        <w:fldChar w:fldCharType="separate"/>
      </w:r>
      <w:r>
        <w:rPr>
          <w:rFonts w:asciiTheme="majorHAnsi" w:hAnsiTheme="majorHAnsi" w:cs="Times New Roman"/>
          <w:noProof/>
          <w:lang w:val="sq-AL"/>
        </w:rPr>
        <w:t>1</w:t>
      </w:r>
      <w:r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Shpenzimet e përgjithshme publike ndaj PBB-së</w:t>
      </w:r>
      <w:bookmarkEnd w:id="4"/>
    </w:p>
    <w:p w14:paraId="085A079C" w14:textId="77777777" w:rsidR="006739B9" w:rsidRPr="002E06C4" w:rsidRDefault="00AD14BF" w:rsidP="00E0091E">
      <w:pPr>
        <w:spacing w:line="276" w:lineRule="auto"/>
        <w:jc w:val="center"/>
        <w:rPr>
          <w:rFonts w:asciiTheme="majorHAnsi" w:hAnsiTheme="majorHAnsi" w:cs="Times New Roman"/>
          <w:lang w:val="sq-AL"/>
        </w:rPr>
      </w:pPr>
      <w:r w:rsidRPr="002E06C4">
        <w:rPr>
          <w:rFonts w:asciiTheme="majorHAnsi" w:hAnsiTheme="majorHAnsi"/>
          <w:noProof/>
        </w:rPr>
        <w:drawing>
          <wp:inline distT="0" distB="0" distL="0" distR="0" wp14:anchorId="2D85C9C1" wp14:editId="0099AB7D">
            <wp:extent cx="5966460" cy="2156460"/>
            <wp:effectExtent l="0" t="0" r="15240" b="1524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C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C680F8" w14:textId="77777777" w:rsidR="0048642D" w:rsidRPr="0048642D" w:rsidRDefault="0048642D" w:rsidP="0048642D">
      <w:pPr>
        <w:spacing w:before="240" w:line="276" w:lineRule="auto"/>
        <w:jc w:val="both"/>
        <w:rPr>
          <w:rFonts w:asciiTheme="majorHAnsi" w:hAnsiTheme="majorHAnsi" w:cs="Times New Roman"/>
          <w:lang w:val="sq-AL"/>
        </w:rPr>
      </w:pPr>
      <w:bookmarkStart w:id="5" w:name="_Toc10033257"/>
      <w:bookmarkStart w:id="6" w:name="_Toc10721394"/>
      <w:bookmarkStart w:id="7" w:name="_Toc11134200"/>
      <w:r w:rsidRPr="0048642D">
        <w:rPr>
          <w:rFonts w:asciiTheme="majorHAnsi" w:hAnsiTheme="majorHAnsi" w:cs="Times New Roman"/>
          <w:lang w:val="sq-AL"/>
        </w:rPr>
        <w:lastRenderedPageBreak/>
        <w:t xml:space="preserve">Borxhi Publik gjatë vitit 2018 përgjithësisht u karakterizua nga një ecuri pozitive, duke qenë në përputhje me buxhetin e planifikuar për vitin 2018 dhe objektivat e Strategjisë Afatmesme të Menaxhimit të Borxhit (SAMB). </w:t>
      </w:r>
    </w:p>
    <w:p w14:paraId="7A4E6F19" w14:textId="28DC4846" w:rsidR="0048642D" w:rsidRPr="0048642D" w:rsidRDefault="0048642D" w:rsidP="0048642D">
      <w:pPr>
        <w:spacing w:before="240" w:line="276" w:lineRule="auto"/>
        <w:jc w:val="both"/>
        <w:rPr>
          <w:rFonts w:asciiTheme="majorHAnsi" w:hAnsiTheme="majorHAnsi" w:cs="Times New Roman"/>
          <w:lang w:val="sq-AL"/>
        </w:rPr>
      </w:pPr>
      <w:r w:rsidRPr="0048642D">
        <w:rPr>
          <w:rFonts w:asciiTheme="majorHAnsi" w:hAnsiTheme="majorHAnsi" w:cs="Times New Roman"/>
          <w:lang w:val="sq-AL"/>
        </w:rPr>
        <w:t>Në përputhje me objektivat e përgjithshme të qeverisë për konsolidimin e financave publike, niveli i borxhit publik në raport me PBB</w:t>
      </w:r>
      <w:r w:rsidR="00F25A6D">
        <w:rPr>
          <w:rStyle w:val="FootnoteReference"/>
          <w:rFonts w:asciiTheme="majorHAnsi" w:hAnsiTheme="majorHAnsi" w:cs="Times New Roman"/>
          <w:lang w:val="sq-AL"/>
        </w:rPr>
        <w:footnoteReference w:id="2"/>
      </w:r>
      <w:r w:rsidRPr="0048642D">
        <w:rPr>
          <w:rFonts w:asciiTheme="majorHAnsi" w:hAnsiTheme="majorHAnsi" w:cs="Times New Roman"/>
          <w:lang w:val="sq-AL"/>
        </w:rPr>
        <w:t xml:space="preserve">  për të tretin vit radhazi shënoi rënie. Në raport me PBB borxhi publik u reduktua me rreth 2.9 pikë përqindje. U realizua me sukses huamarrja, e cila mundësoi rifinancimin e borxhit ekzistues dhe financimin e deficitit vjetor të planifikuar. Borxhi publik neto për vitin 2018 ishte 1,097 miliardë lekë, ose 66,6% e PBB-së, në ulje nga 68,7% e PBB-së në vitin 2017. Stoku bruto i borxhit që përfshin dhe likuiditetin për financimin e borxhit për 2019 ndaj PBB-së gjithashtu ra, duke arritur 69,1% në vitin 2018 nga 70,1% në vitin 2017.  </w:t>
      </w:r>
    </w:p>
    <w:p w14:paraId="5087A883" w14:textId="77777777" w:rsidR="0048642D" w:rsidRDefault="0048642D" w:rsidP="0048642D">
      <w:pPr>
        <w:rPr>
          <w:lang w:val="sq-AL"/>
        </w:rPr>
      </w:pPr>
    </w:p>
    <w:p w14:paraId="7F5895B5" w14:textId="77777777" w:rsidR="0048642D" w:rsidRDefault="0048642D" w:rsidP="0048642D">
      <w:pPr>
        <w:rPr>
          <w:lang w:val="sq-AL"/>
        </w:rPr>
      </w:pPr>
    </w:p>
    <w:p w14:paraId="04744515" w14:textId="77777777" w:rsidR="0048642D" w:rsidRPr="0048642D" w:rsidRDefault="0048642D" w:rsidP="0048642D">
      <w:pPr>
        <w:rPr>
          <w:lang w:val="sq-AL"/>
        </w:rPr>
      </w:pPr>
    </w:p>
    <w:p w14:paraId="362F300B" w14:textId="2E091D73" w:rsidR="007F44B9" w:rsidRPr="002E06C4" w:rsidRDefault="0048642D" w:rsidP="0048642D">
      <w:pPr>
        <w:pStyle w:val="Heading1"/>
        <w:numPr>
          <w:ilvl w:val="0"/>
          <w:numId w:val="4"/>
        </w:numPr>
        <w:spacing w:before="0"/>
        <w:rPr>
          <w:rFonts w:cs="Times New Roman"/>
          <w:b/>
          <w:lang w:val="sq-AL"/>
        </w:rPr>
      </w:pPr>
      <w:r w:rsidRPr="0048642D">
        <w:rPr>
          <w:rFonts w:eastAsiaTheme="minorEastAsia" w:cs="Times New Roman"/>
          <w:color w:val="auto"/>
          <w:sz w:val="24"/>
          <w:szCs w:val="22"/>
          <w:lang w:val="sq-AL"/>
        </w:rPr>
        <w:t xml:space="preserve"> </w:t>
      </w:r>
      <w:r w:rsidR="008B6B58" w:rsidRPr="002E06C4">
        <w:rPr>
          <w:rFonts w:cs="Times New Roman"/>
          <w:b/>
          <w:lang w:val="sq-AL"/>
        </w:rPr>
        <w:t>PASQYRË E ZHVILLIMEVE MAKROEKONOMIKE</w:t>
      </w:r>
      <w:bookmarkEnd w:id="5"/>
      <w:bookmarkEnd w:id="6"/>
      <w:bookmarkEnd w:id="7"/>
    </w:p>
    <w:p w14:paraId="4B52E7F8" w14:textId="77777777" w:rsidR="007F44B9" w:rsidRPr="002E06C4" w:rsidRDefault="007F44B9" w:rsidP="007F44B9">
      <w:pPr>
        <w:rPr>
          <w:rFonts w:asciiTheme="majorHAnsi" w:hAnsiTheme="majorHAnsi" w:cs="Times New Roman"/>
          <w:lang w:val="sq-AL"/>
        </w:rPr>
      </w:pPr>
    </w:p>
    <w:p w14:paraId="4699E3FE" w14:textId="77777777" w:rsidR="007F44B9" w:rsidRPr="002E06C4" w:rsidRDefault="007F44B9" w:rsidP="00C10558">
      <w:pPr>
        <w:pStyle w:val="Heading2"/>
        <w:numPr>
          <w:ilvl w:val="1"/>
          <w:numId w:val="4"/>
        </w:numPr>
        <w:spacing w:before="0"/>
        <w:rPr>
          <w:rFonts w:cs="Times New Roman"/>
          <w:noProof/>
          <w:color w:val="4F81BD" w:themeColor="accent1"/>
          <w:lang w:val="sq-AL"/>
        </w:rPr>
      </w:pPr>
      <w:bookmarkStart w:id="8" w:name="_Toc515271224"/>
      <w:bookmarkStart w:id="9" w:name="_Toc10033258"/>
      <w:bookmarkStart w:id="10" w:name="_Toc10721395"/>
      <w:bookmarkStart w:id="11" w:name="_Toc11134201"/>
      <w:r w:rsidRPr="002E06C4">
        <w:rPr>
          <w:rFonts w:cs="Times New Roman"/>
          <w:noProof/>
          <w:color w:val="4F81BD" w:themeColor="accent1"/>
          <w:lang w:val="sq-AL"/>
        </w:rPr>
        <w:t xml:space="preserve">Zhvillimet e </w:t>
      </w:r>
      <w:r w:rsidRPr="002E06C4">
        <w:rPr>
          <w:rFonts w:cs="Times New Roman"/>
          <w:color w:val="4F81BD" w:themeColor="accent1"/>
          <w:lang w:val="sq-AL"/>
        </w:rPr>
        <w:t>fundit</w:t>
      </w:r>
      <w:r w:rsidRPr="002E06C4">
        <w:rPr>
          <w:rFonts w:cs="Times New Roman"/>
          <w:noProof/>
          <w:color w:val="4F81BD" w:themeColor="accent1"/>
          <w:lang w:val="sq-AL"/>
        </w:rPr>
        <w:t xml:space="preserve"> ekonomike</w:t>
      </w:r>
      <w:bookmarkEnd w:id="8"/>
      <w:bookmarkEnd w:id="9"/>
      <w:bookmarkEnd w:id="10"/>
      <w:bookmarkEnd w:id="11"/>
      <w:r w:rsidRPr="002E06C4">
        <w:rPr>
          <w:rFonts w:cs="Times New Roman"/>
          <w:noProof/>
          <w:color w:val="4F81BD" w:themeColor="accent1"/>
          <w:lang w:val="sq-AL"/>
        </w:rPr>
        <w:t xml:space="preserve"> </w:t>
      </w:r>
    </w:p>
    <w:p w14:paraId="18CC6B61" w14:textId="77777777" w:rsidR="007F44B9" w:rsidRPr="002E06C4" w:rsidRDefault="007F44B9" w:rsidP="007F44B9">
      <w:pPr>
        <w:autoSpaceDE w:val="0"/>
        <w:autoSpaceDN w:val="0"/>
        <w:adjustRightInd w:val="0"/>
        <w:spacing w:line="276" w:lineRule="auto"/>
        <w:contextualSpacing/>
        <w:jc w:val="both"/>
        <w:rPr>
          <w:rFonts w:asciiTheme="majorHAnsi" w:hAnsiTheme="majorHAnsi" w:cs="Times New Roman"/>
          <w:b/>
          <w:i/>
          <w:noProof/>
          <w:sz w:val="20"/>
          <w:lang w:val="sq-AL"/>
        </w:rPr>
      </w:pPr>
    </w:p>
    <w:p w14:paraId="7540357D" w14:textId="77777777" w:rsidR="007F44B9" w:rsidRPr="002E06C4" w:rsidRDefault="007F44B9" w:rsidP="007F44B9">
      <w:pPr>
        <w:autoSpaceDE w:val="0"/>
        <w:autoSpaceDN w:val="0"/>
        <w:adjustRightInd w:val="0"/>
        <w:spacing w:line="276" w:lineRule="auto"/>
        <w:contextualSpacing/>
        <w:jc w:val="both"/>
        <w:rPr>
          <w:rFonts w:asciiTheme="majorHAnsi" w:hAnsiTheme="majorHAnsi" w:cs="Times New Roman"/>
          <w:b/>
          <w:i/>
          <w:noProof/>
          <w:lang w:val="sq-AL"/>
        </w:rPr>
      </w:pPr>
      <w:r w:rsidRPr="002E06C4">
        <w:rPr>
          <w:rFonts w:asciiTheme="majorHAnsi" w:hAnsiTheme="majorHAnsi" w:cs="Times New Roman"/>
          <w:b/>
          <w:i/>
          <w:noProof/>
          <w:lang w:val="sq-AL"/>
        </w:rPr>
        <w:t>Sektori real</w:t>
      </w:r>
    </w:p>
    <w:p w14:paraId="55DB8521" w14:textId="77777777" w:rsidR="00D66723" w:rsidRPr="005B3E6B" w:rsidRDefault="00D66723" w:rsidP="00D66723">
      <w:pPr>
        <w:spacing w:line="276" w:lineRule="auto"/>
        <w:jc w:val="both"/>
        <w:rPr>
          <w:rFonts w:asciiTheme="majorHAnsi" w:hAnsiTheme="majorHAnsi" w:cs="Times New Roman"/>
          <w:lang w:val="sq-AL"/>
        </w:rPr>
      </w:pPr>
      <w:r w:rsidRPr="005B3E6B">
        <w:rPr>
          <w:rFonts w:asciiTheme="majorHAnsi" w:hAnsiTheme="majorHAnsi" w:cs="Times New Roman"/>
          <w:i/>
          <w:lang w:val="sq-AL"/>
        </w:rPr>
        <w:t>Viti 2018 tregoi ritme pozitive dhe përshpejtuese të rritjes ekonomike</w:t>
      </w:r>
      <w:r w:rsidRPr="005B3E6B">
        <w:rPr>
          <w:rFonts w:asciiTheme="majorHAnsi" w:hAnsiTheme="majorHAnsi" w:cs="Times New Roman"/>
          <w:lang w:val="sq-AL"/>
        </w:rPr>
        <w:t>. Rritja vjetore e PBB-së arriti në 4.1% , rritja më e lartë vjetore që nga viti 2008. Kontributin kryesor në këtë rritje e dhanë: Industria me +1.64 pikё pёrqindje; Tregtia me shumicë dhe pakicë etj. me +0.82 pikë përqindje; Aktivitete shkencore, profesionale dhe teknike +0.46 pikë përqindje; si dhe Bujqësia, pyjet dhe peshkimi dhe Ndërtimi, secila me +0.26 pikë përqindje.</w:t>
      </w:r>
    </w:p>
    <w:p w14:paraId="618F3481" w14:textId="77777777" w:rsidR="00D66723" w:rsidRPr="005B3E6B" w:rsidRDefault="00D66723" w:rsidP="00D66723">
      <w:pPr>
        <w:spacing w:before="240" w:line="276" w:lineRule="auto"/>
        <w:jc w:val="both"/>
        <w:rPr>
          <w:rFonts w:asciiTheme="majorHAnsi" w:hAnsiTheme="majorHAnsi" w:cs="Times New Roman"/>
          <w:lang w:val="sq-AL"/>
        </w:rPr>
      </w:pPr>
      <w:r w:rsidRPr="005B3E6B">
        <w:rPr>
          <w:rFonts w:asciiTheme="majorHAnsi" w:hAnsiTheme="majorHAnsi" w:cs="Times New Roman"/>
          <w:i/>
          <w:lang w:val="sq-AL"/>
        </w:rPr>
        <w:t>Sipas shpenzimeve</w:t>
      </w:r>
      <w:r w:rsidRPr="005B3E6B">
        <w:rPr>
          <w:rFonts w:asciiTheme="majorHAnsi" w:hAnsiTheme="majorHAnsi" w:cs="Times New Roman"/>
          <w:lang w:val="sq-AL"/>
        </w:rPr>
        <w:t>, rritja ekonomike u gjenerua nga kërkesa e brendshme, si konsumi ashtu edhe investimet. Konsumi total u rrit me rreth 2.4% në terma real me një kontribut prej rreth 4.4 pikë përqindje në rritjen ekonomike, ndërsa konsumi privat u rrit me rreth 3.04% në terma real, duke kontribuar me 4.8 pikë përqindje. Gjithashtu, formimi i kapitalit fiks bruto (investimet totale) gjatë vitit 2018 u rrit me rreth 2.7% duke dhënë një kontribut prej rreth 1.5 pikë përqindje në rritjen ekonomike të PBB për vitin 2018. Ndërkohë qё kёrkesa e huaj neto kishte një kontribut negativ në rritjen totale të vitit 2018 prej rreth 1.8 pikë përqindje.</w:t>
      </w:r>
    </w:p>
    <w:p w14:paraId="4DDE19D2" w14:textId="77777777" w:rsidR="00D66723" w:rsidRPr="005B3E6B" w:rsidRDefault="00D66723" w:rsidP="00D66723">
      <w:pPr>
        <w:spacing w:before="240" w:line="276" w:lineRule="auto"/>
        <w:jc w:val="both"/>
        <w:rPr>
          <w:rFonts w:asciiTheme="majorHAnsi" w:hAnsiTheme="majorHAnsi" w:cs="Times New Roman"/>
          <w:lang w:val="sq-AL"/>
        </w:rPr>
      </w:pPr>
      <w:r w:rsidRPr="005B3E6B">
        <w:rPr>
          <w:rFonts w:asciiTheme="majorHAnsi" w:hAnsiTheme="majorHAnsi" w:cs="Times New Roman"/>
          <w:i/>
          <w:lang w:val="sq-AL"/>
        </w:rPr>
        <w:t>Tregu i punës</w:t>
      </w:r>
      <w:r w:rsidRPr="005B3E6B">
        <w:rPr>
          <w:rFonts w:asciiTheme="majorHAnsi" w:hAnsiTheme="majorHAnsi" w:cs="Times New Roman"/>
          <w:lang w:val="sq-AL"/>
        </w:rPr>
        <w:t xml:space="preserve"> reflektoi zgjerimin e vazhdueshëm ekonomik. Nё fund tё vitit 2018, shkalla e papunësisë ra në 12.3%  pёr popullsinё 15 vjeç e lart, ndёrsa pёr grup-moshёn 15-64 vjec, shkalla e papunёsisё ra në nivelin 12.8%  niveli mё i ulët që nga tremujori i parë i vitit 2012. Ritmi vjetor i rritjes së punësimit për popullsinë 15-64 vjeç, nga tremujori i katërt i vitit 2017 në tremujorin e katërt të vitit 2018 ishte 1.4% ose me rreth 16 mijë të punësuar. Shkalla e pjesëmarrjes së fuqisë punëtore vazhdoi të rritet, duke arritur në 68.7% krahasuar me 67.4%  që ishte në tremujorin e katërt të vitit 2017. Nё fund të vitit 2018 numri i tё punёsuarve nё Shqipёri ishte 1,184,413 persona.</w:t>
      </w:r>
    </w:p>
    <w:p w14:paraId="63DFCAD0" w14:textId="77777777" w:rsidR="007F44B9" w:rsidRDefault="007F44B9" w:rsidP="007F44B9">
      <w:pPr>
        <w:autoSpaceDE w:val="0"/>
        <w:autoSpaceDN w:val="0"/>
        <w:adjustRightInd w:val="0"/>
        <w:spacing w:line="276" w:lineRule="auto"/>
        <w:contextualSpacing/>
        <w:jc w:val="both"/>
        <w:rPr>
          <w:rFonts w:asciiTheme="majorHAnsi" w:hAnsiTheme="majorHAnsi" w:cs="Times New Roman"/>
          <w:b/>
          <w:i/>
          <w:noProof/>
          <w:lang w:val="sq-AL"/>
        </w:rPr>
      </w:pPr>
    </w:p>
    <w:p w14:paraId="1B7489A5" w14:textId="77777777" w:rsidR="007F44B9" w:rsidRPr="002E06C4" w:rsidRDefault="007F44B9" w:rsidP="007F44B9">
      <w:pPr>
        <w:autoSpaceDE w:val="0"/>
        <w:autoSpaceDN w:val="0"/>
        <w:adjustRightInd w:val="0"/>
        <w:spacing w:line="276" w:lineRule="auto"/>
        <w:contextualSpacing/>
        <w:jc w:val="both"/>
        <w:rPr>
          <w:rFonts w:asciiTheme="majorHAnsi" w:hAnsiTheme="majorHAnsi" w:cs="Times New Roman"/>
          <w:b/>
          <w:i/>
          <w:noProof/>
          <w:lang w:val="sq-AL"/>
        </w:rPr>
      </w:pPr>
      <w:r w:rsidRPr="002E06C4">
        <w:rPr>
          <w:rFonts w:asciiTheme="majorHAnsi" w:hAnsiTheme="majorHAnsi" w:cs="Times New Roman"/>
          <w:b/>
          <w:i/>
          <w:noProof/>
          <w:lang w:val="sq-AL"/>
        </w:rPr>
        <w:lastRenderedPageBreak/>
        <w:t>Sektori monetar</w:t>
      </w:r>
    </w:p>
    <w:p w14:paraId="02D1466F" w14:textId="77777777" w:rsidR="00D66723" w:rsidRPr="005B3E6B" w:rsidRDefault="00D66723" w:rsidP="001779A0">
      <w:pPr>
        <w:spacing w:line="276" w:lineRule="auto"/>
        <w:jc w:val="both"/>
        <w:rPr>
          <w:rFonts w:asciiTheme="majorHAnsi" w:hAnsiTheme="majorHAnsi" w:cs="Times New Roman"/>
          <w:lang w:val="sq-AL"/>
        </w:rPr>
      </w:pPr>
      <w:r w:rsidRPr="005B3E6B">
        <w:rPr>
          <w:rFonts w:asciiTheme="majorHAnsi" w:hAnsiTheme="majorHAnsi" w:cs="Times New Roman"/>
          <w:lang w:val="sq-AL"/>
        </w:rPr>
        <w:t xml:space="preserve">Gjatë vitit 2018, </w:t>
      </w:r>
      <w:r w:rsidRPr="005B3E6B">
        <w:rPr>
          <w:rFonts w:asciiTheme="majorHAnsi" w:hAnsiTheme="majorHAnsi" w:cs="Times New Roman"/>
          <w:i/>
          <w:lang w:val="sq-AL"/>
        </w:rPr>
        <w:t>inflacioni mesatar</w:t>
      </w:r>
      <w:r w:rsidRPr="005B3E6B">
        <w:rPr>
          <w:rFonts w:asciiTheme="majorHAnsi" w:hAnsiTheme="majorHAnsi" w:cs="Times New Roman"/>
          <w:lang w:val="sq-AL"/>
        </w:rPr>
        <w:t xml:space="preserve"> rezultoi 2.0%, ndërkohë inflacioni i fund-vitit rezultoi 1.8%. Kontributin më të lartë në inflacionin e kishin: </w:t>
      </w:r>
    </w:p>
    <w:p w14:paraId="3187C78C" w14:textId="77777777" w:rsidR="00D66723" w:rsidRPr="005B3E6B" w:rsidRDefault="00D66723" w:rsidP="00D66723">
      <w:pPr>
        <w:numPr>
          <w:ilvl w:val="0"/>
          <w:numId w:val="1"/>
        </w:numPr>
        <w:autoSpaceDE w:val="0"/>
        <w:autoSpaceDN w:val="0"/>
        <w:adjustRightInd w:val="0"/>
        <w:spacing w:line="276" w:lineRule="auto"/>
        <w:contextualSpacing/>
        <w:jc w:val="both"/>
        <w:rPr>
          <w:rFonts w:asciiTheme="majorHAnsi" w:hAnsiTheme="majorHAnsi" w:cs="Times New Roman"/>
          <w:i/>
          <w:noProof/>
          <w:lang w:val="sq-AL"/>
        </w:rPr>
      </w:pPr>
      <w:r w:rsidRPr="005B3E6B">
        <w:rPr>
          <w:rFonts w:asciiTheme="majorHAnsi" w:hAnsiTheme="majorHAnsi" w:cs="Times New Roman"/>
          <w:i/>
          <w:noProof/>
          <w:lang w:val="sq-AL"/>
        </w:rPr>
        <w:t xml:space="preserve">“Ushqime dhe pije jo alkoolike” me një rritje vjetore të çmimit prej </w:t>
      </w:r>
      <w:r w:rsidRPr="005B3E6B">
        <w:rPr>
          <w:rFonts w:asciiTheme="majorHAnsi" w:hAnsiTheme="majorHAnsi" w:cs="Times New Roman"/>
          <w:b/>
          <w:i/>
          <w:noProof/>
          <w:lang w:val="sq-AL"/>
        </w:rPr>
        <w:t>+2.8%</w:t>
      </w:r>
      <w:r w:rsidRPr="005B3E6B">
        <w:rPr>
          <w:rFonts w:asciiTheme="majorHAnsi" w:hAnsiTheme="majorHAnsi" w:cs="Times New Roman"/>
          <w:i/>
          <w:noProof/>
          <w:lang w:val="sq-AL"/>
        </w:rPr>
        <w:t xml:space="preserve"> </w:t>
      </w:r>
    </w:p>
    <w:p w14:paraId="40FF1AAE" w14:textId="77777777" w:rsidR="00D66723" w:rsidRPr="005B3E6B" w:rsidRDefault="00D66723" w:rsidP="00D66723">
      <w:pPr>
        <w:numPr>
          <w:ilvl w:val="0"/>
          <w:numId w:val="1"/>
        </w:numPr>
        <w:autoSpaceDE w:val="0"/>
        <w:autoSpaceDN w:val="0"/>
        <w:adjustRightInd w:val="0"/>
        <w:spacing w:line="276" w:lineRule="auto"/>
        <w:contextualSpacing/>
        <w:jc w:val="both"/>
        <w:rPr>
          <w:rFonts w:asciiTheme="majorHAnsi" w:hAnsiTheme="majorHAnsi" w:cs="Times New Roman"/>
          <w:i/>
          <w:noProof/>
          <w:lang w:val="sq-AL"/>
        </w:rPr>
      </w:pPr>
      <w:r w:rsidRPr="005B3E6B">
        <w:rPr>
          <w:rFonts w:asciiTheme="majorHAnsi" w:hAnsiTheme="majorHAnsi" w:cs="Times New Roman"/>
          <w:i/>
          <w:noProof/>
          <w:lang w:val="da-DK"/>
        </w:rPr>
        <w:t xml:space="preserve">”Argёtim dhe kulture” </w:t>
      </w:r>
      <w:r w:rsidRPr="005B3E6B">
        <w:rPr>
          <w:rFonts w:asciiTheme="majorHAnsi" w:hAnsiTheme="majorHAnsi" w:cs="Times New Roman"/>
          <w:noProof/>
          <w:lang w:val="da-DK"/>
        </w:rPr>
        <w:t xml:space="preserve">me rritje vjetore të çmimit prej </w:t>
      </w:r>
      <w:r w:rsidRPr="005B3E6B">
        <w:rPr>
          <w:rFonts w:asciiTheme="majorHAnsi" w:hAnsiTheme="majorHAnsi" w:cs="Times New Roman"/>
          <w:b/>
          <w:noProof/>
          <w:lang w:val="da-DK"/>
        </w:rPr>
        <w:t>+2.7%</w:t>
      </w:r>
    </w:p>
    <w:p w14:paraId="15AF675F" w14:textId="77777777" w:rsidR="00D66723" w:rsidRPr="005B3E6B" w:rsidRDefault="00D66723" w:rsidP="00D66723">
      <w:pPr>
        <w:numPr>
          <w:ilvl w:val="0"/>
          <w:numId w:val="1"/>
        </w:numPr>
        <w:autoSpaceDE w:val="0"/>
        <w:autoSpaceDN w:val="0"/>
        <w:adjustRightInd w:val="0"/>
        <w:spacing w:line="276" w:lineRule="auto"/>
        <w:contextualSpacing/>
        <w:jc w:val="both"/>
        <w:rPr>
          <w:rFonts w:asciiTheme="majorHAnsi" w:hAnsiTheme="majorHAnsi" w:cs="Times New Roman"/>
          <w:i/>
          <w:noProof/>
          <w:lang w:val="sq-AL"/>
        </w:rPr>
      </w:pPr>
      <w:r w:rsidRPr="005B3E6B">
        <w:rPr>
          <w:rFonts w:asciiTheme="majorHAnsi" w:hAnsiTheme="majorHAnsi" w:cs="Times New Roman"/>
          <w:i/>
          <w:noProof/>
          <w:lang w:val="da-DK"/>
        </w:rPr>
        <w:t>“Pije alkolike dhe duhan”</w:t>
      </w:r>
      <w:r w:rsidRPr="005B3E6B">
        <w:rPr>
          <w:rFonts w:asciiTheme="majorHAnsi" w:hAnsiTheme="majorHAnsi" w:cs="Times New Roman"/>
          <w:noProof/>
          <w:lang w:val="da-DK"/>
        </w:rPr>
        <w:t xml:space="preserve"> me rritje vjetore të çmimit prej </w:t>
      </w:r>
      <w:r w:rsidRPr="005B3E6B">
        <w:rPr>
          <w:rFonts w:asciiTheme="majorHAnsi" w:hAnsiTheme="majorHAnsi" w:cs="Times New Roman"/>
          <w:b/>
          <w:noProof/>
          <w:lang w:val="da-DK"/>
        </w:rPr>
        <w:t>+2.5%</w:t>
      </w:r>
    </w:p>
    <w:p w14:paraId="051D590B" w14:textId="77777777" w:rsidR="00D66723" w:rsidRPr="005B3E6B" w:rsidRDefault="00D66723" w:rsidP="00D66723">
      <w:pPr>
        <w:numPr>
          <w:ilvl w:val="0"/>
          <w:numId w:val="1"/>
        </w:numPr>
        <w:autoSpaceDE w:val="0"/>
        <w:autoSpaceDN w:val="0"/>
        <w:adjustRightInd w:val="0"/>
        <w:spacing w:line="276" w:lineRule="auto"/>
        <w:contextualSpacing/>
        <w:jc w:val="both"/>
        <w:rPr>
          <w:rFonts w:asciiTheme="majorHAnsi" w:hAnsiTheme="majorHAnsi" w:cs="Times New Roman"/>
          <w:i/>
          <w:noProof/>
          <w:lang w:val="sq-AL"/>
        </w:rPr>
      </w:pPr>
      <w:r w:rsidRPr="005B3E6B">
        <w:rPr>
          <w:rFonts w:asciiTheme="majorHAnsi" w:hAnsiTheme="majorHAnsi" w:cs="Times New Roman"/>
          <w:i/>
          <w:noProof/>
          <w:lang w:val="sq-AL"/>
        </w:rPr>
        <w:t xml:space="preserve">“Qera, ujë, lëndë djegëse dhe energji” me një rritje vjetore të çmimit prej </w:t>
      </w:r>
      <w:r w:rsidRPr="005B3E6B">
        <w:rPr>
          <w:rFonts w:asciiTheme="majorHAnsi" w:hAnsiTheme="majorHAnsi" w:cs="Times New Roman"/>
          <w:b/>
          <w:i/>
          <w:noProof/>
          <w:lang w:val="sq-AL"/>
        </w:rPr>
        <w:t>+2.2%</w:t>
      </w:r>
    </w:p>
    <w:p w14:paraId="51EDB0F2" w14:textId="77777777" w:rsidR="00D66723" w:rsidRPr="005B3E6B" w:rsidRDefault="00D66723" w:rsidP="00D66723">
      <w:pPr>
        <w:numPr>
          <w:ilvl w:val="0"/>
          <w:numId w:val="1"/>
        </w:numPr>
        <w:autoSpaceDE w:val="0"/>
        <w:autoSpaceDN w:val="0"/>
        <w:adjustRightInd w:val="0"/>
        <w:spacing w:line="276" w:lineRule="auto"/>
        <w:contextualSpacing/>
        <w:jc w:val="both"/>
        <w:rPr>
          <w:rFonts w:asciiTheme="majorHAnsi" w:hAnsiTheme="majorHAnsi" w:cs="Times New Roman"/>
          <w:i/>
          <w:noProof/>
          <w:lang w:val="sq-AL"/>
        </w:rPr>
      </w:pPr>
      <w:r w:rsidRPr="005B3E6B">
        <w:rPr>
          <w:rFonts w:asciiTheme="majorHAnsi" w:hAnsiTheme="majorHAnsi" w:cs="Times New Roman"/>
          <w:i/>
          <w:noProof/>
          <w:lang w:val="sq-AL"/>
        </w:rPr>
        <w:t xml:space="preserve">”Transport” me një rritje vjetore të çmimit prej </w:t>
      </w:r>
      <w:r w:rsidRPr="005B3E6B">
        <w:rPr>
          <w:rFonts w:asciiTheme="majorHAnsi" w:hAnsiTheme="majorHAnsi" w:cs="Times New Roman"/>
          <w:b/>
          <w:i/>
          <w:noProof/>
          <w:lang w:val="sq-AL"/>
        </w:rPr>
        <w:t>+1.4%</w:t>
      </w:r>
    </w:p>
    <w:p w14:paraId="26AA055D" w14:textId="77777777" w:rsidR="00D66723" w:rsidRPr="005B3E6B" w:rsidRDefault="00D66723" w:rsidP="00D66723">
      <w:pPr>
        <w:spacing w:before="240" w:line="276" w:lineRule="auto"/>
        <w:jc w:val="both"/>
        <w:rPr>
          <w:rFonts w:asciiTheme="majorHAnsi" w:hAnsiTheme="majorHAnsi" w:cs="Times New Roman"/>
          <w:lang w:val="sq-AL"/>
        </w:rPr>
      </w:pPr>
      <w:r w:rsidRPr="005B3E6B">
        <w:rPr>
          <w:rFonts w:asciiTheme="majorHAnsi" w:hAnsiTheme="majorHAnsi" w:cs="Times New Roman"/>
          <w:lang w:val="sq-AL"/>
        </w:rPr>
        <w:t xml:space="preserve">Në vitin 2018, </w:t>
      </w:r>
      <w:r w:rsidRPr="005B3E6B">
        <w:rPr>
          <w:rFonts w:asciiTheme="majorHAnsi" w:hAnsiTheme="majorHAnsi" w:cs="Times New Roman"/>
          <w:i/>
          <w:lang w:val="sq-AL"/>
        </w:rPr>
        <w:t>stoku total i kredive bankare</w:t>
      </w:r>
      <w:r w:rsidRPr="005B3E6B">
        <w:rPr>
          <w:rFonts w:asciiTheme="majorHAnsi" w:hAnsiTheme="majorHAnsi" w:cs="Times New Roman"/>
          <w:lang w:val="sq-AL"/>
        </w:rPr>
        <w:t xml:space="preserve"> pati një rënie me x.x% krahasuar me vitin 2017. Stoku i kredive në lekë shënoi rënie prej 1.7%, ndërsa ai në valutë rënie prej 4.7%, krahasuar me muajin dhjetor të vitit të kaluar. Pjesa më e madhe e kontributit në rënien e stokut total të kredisë gjatë kësaj periudhe ka ardhur prej kredive akorduar bizneseve. </w:t>
      </w:r>
    </w:p>
    <w:p w14:paraId="06B182A9" w14:textId="36112511" w:rsidR="00D66723" w:rsidRPr="005B3E6B" w:rsidRDefault="00D66723" w:rsidP="00D66723">
      <w:pPr>
        <w:spacing w:before="240" w:line="276" w:lineRule="auto"/>
        <w:jc w:val="both"/>
        <w:rPr>
          <w:rFonts w:asciiTheme="majorHAnsi" w:hAnsiTheme="majorHAnsi" w:cs="Times New Roman"/>
          <w:lang w:val="sq-AL"/>
        </w:rPr>
      </w:pPr>
      <w:r w:rsidRPr="005B3E6B">
        <w:rPr>
          <w:rFonts w:asciiTheme="majorHAnsi" w:hAnsiTheme="majorHAnsi" w:cs="Times New Roman"/>
          <w:i/>
          <w:lang w:val="sq-AL"/>
        </w:rPr>
        <w:t>Stoku i kredive akorduar bizneseve</w:t>
      </w:r>
      <w:r w:rsidRPr="005B3E6B">
        <w:rPr>
          <w:rFonts w:asciiTheme="majorHAnsi" w:hAnsiTheme="majorHAnsi" w:cs="Times New Roman"/>
          <w:lang w:val="sq-AL"/>
        </w:rPr>
        <w:t xml:space="preserve"> deri në muajin dhjetor të vitit 2018 shënoi rënie prej 5.1% krahasuar me dhjetorin e vitit 2017, duke kontribuar negativisht me 3.1 pikë përqindje në ndryshimin e stokut total të kredisë. Stoku i kredive akorduar korporatave jofinanciare publike për muajin dhjetor të vitit 2018 ka shënuar rënie me 31.3% krahasuar me dhjetorin e vitit 2017, me kontribut negativ prej 1.7 pikë përqindje. Ndërkohë</w:t>
      </w:r>
      <w:r w:rsidR="008868EB">
        <w:rPr>
          <w:rFonts w:asciiTheme="majorHAnsi" w:hAnsiTheme="majorHAnsi" w:cs="Times New Roman"/>
          <w:lang w:val="sq-AL"/>
        </w:rPr>
        <w:t>,</w:t>
      </w:r>
      <w:r w:rsidRPr="005B3E6B">
        <w:rPr>
          <w:rFonts w:asciiTheme="majorHAnsi" w:hAnsiTheme="majorHAnsi" w:cs="Times New Roman"/>
          <w:lang w:val="sq-AL"/>
        </w:rPr>
        <w:t xml:space="preserve"> zhveshur nga efekti e fshirjes nga bilancet të kredive me probleme si dhe efektit të kursit të këmbimit, kredia për ekonominë u rrit me mbi 5% gjatë 2018.</w:t>
      </w:r>
      <w:r>
        <w:rPr>
          <w:rFonts w:asciiTheme="majorHAnsi" w:hAnsiTheme="majorHAnsi" w:cs="Times New Roman"/>
          <w:lang w:val="sq-AL"/>
        </w:rPr>
        <w:t xml:space="preserve"> </w:t>
      </w:r>
      <w:r w:rsidRPr="005B3E6B">
        <w:rPr>
          <w:rFonts w:asciiTheme="majorHAnsi" w:hAnsiTheme="majorHAnsi" w:cs="Times New Roman"/>
          <w:i/>
          <w:lang w:val="sq-AL"/>
        </w:rPr>
        <w:t>Monedha shqiptare</w:t>
      </w:r>
      <w:r w:rsidRPr="005B3E6B">
        <w:rPr>
          <w:rFonts w:asciiTheme="majorHAnsi" w:hAnsiTheme="majorHAnsi" w:cs="Times New Roman"/>
          <w:lang w:val="sq-AL"/>
        </w:rPr>
        <w:t xml:space="preserve"> është forcuar kundrejt euros në tregun e brendshëm financiar. Kryesisht kjo është rrjedhojë e përmirësimit të fondamenteve të ekonomisë, vecanërisht pozicionit të jashtëm të saj. Pёrgjatё vitit 2018, kursi i këmbimit Lek/Euro arriti mesatarisht në nivelin e 127.59, ndërsa kursi ndaj dollarit Lek/Dollar arriti në 107.99. </w:t>
      </w:r>
    </w:p>
    <w:p w14:paraId="168DEE5B" w14:textId="77777777" w:rsidR="007F44B9" w:rsidRPr="002E06C4" w:rsidRDefault="007F44B9" w:rsidP="007F44B9">
      <w:pPr>
        <w:autoSpaceDE w:val="0"/>
        <w:autoSpaceDN w:val="0"/>
        <w:adjustRightInd w:val="0"/>
        <w:spacing w:line="276" w:lineRule="auto"/>
        <w:contextualSpacing/>
        <w:jc w:val="both"/>
        <w:rPr>
          <w:rFonts w:asciiTheme="majorHAnsi" w:hAnsiTheme="majorHAnsi" w:cs="Times New Roman"/>
          <w:noProof/>
          <w:lang w:val="sq-AL"/>
        </w:rPr>
      </w:pPr>
    </w:p>
    <w:p w14:paraId="5DFDCEB5" w14:textId="77777777" w:rsidR="007F44B9" w:rsidRPr="002E06C4" w:rsidRDefault="007F44B9" w:rsidP="007F44B9">
      <w:pPr>
        <w:autoSpaceDE w:val="0"/>
        <w:autoSpaceDN w:val="0"/>
        <w:adjustRightInd w:val="0"/>
        <w:spacing w:line="276" w:lineRule="auto"/>
        <w:contextualSpacing/>
        <w:jc w:val="both"/>
        <w:rPr>
          <w:rFonts w:asciiTheme="majorHAnsi" w:hAnsiTheme="majorHAnsi" w:cs="Times New Roman"/>
          <w:b/>
          <w:i/>
          <w:noProof/>
          <w:lang w:val="sq-AL"/>
        </w:rPr>
      </w:pPr>
      <w:r w:rsidRPr="002E06C4">
        <w:rPr>
          <w:rFonts w:asciiTheme="majorHAnsi" w:hAnsiTheme="majorHAnsi" w:cs="Times New Roman"/>
          <w:b/>
          <w:i/>
          <w:noProof/>
          <w:lang w:val="sq-AL"/>
        </w:rPr>
        <w:t>Sektori i jashtëm</w:t>
      </w:r>
    </w:p>
    <w:p w14:paraId="306ED815" w14:textId="5F8B373F" w:rsidR="00D66723" w:rsidRPr="00D66723" w:rsidRDefault="00D66723" w:rsidP="00D66723">
      <w:pPr>
        <w:spacing w:before="240" w:line="276" w:lineRule="auto"/>
        <w:jc w:val="both"/>
        <w:rPr>
          <w:rFonts w:asciiTheme="majorHAnsi" w:hAnsiTheme="majorHAnsi" w:cs="Times New Roman"/>
          <w:lang w:val="sq-AL"/>
        </w:rPr>
      </w:pPr>
      <w:bookmarkStart w:id="12" w:name="_Toc515271225"/>
      <w:bookmarkStart w:id="13" w:name="_Toc10033259"/>
      <w:bookmarkStart w:id="14" w:name="_Toc10721396"/>
      <w:bookmarkStart w:id="15" w:name="_Toc11134202"/>
      <w:r w:rsidRPr="00D66723">
        <w:rPr>
          <w:rFonts w:asciiTheme="majorHAnsi" w:hAnsiTheme="majorHAnsi" w:cs="Times New Roman"/>
          <w:i/>
          <w:lang w:val="sq-AL"/>
        </w:rPr>
        <w:t>Eksportet e mallrave</w:t>
      </w:r>
      <w:r w:rsidRPr="00D66723">
        <w:rPr>
          <w:rFonts w:asciiTheme="majorHAnsi" w:hAnsiTheme="majorHAnsi" w:cs="Times New Roman"/>
          <w:lang w:val="sq-AL"/>
        </w:rPr>
        <w:t xml:space="preserve"> për periudhën janar-dhjetor 2018 shënuan një rritje prej 13.7% krahasuar me të njëjtën periudhë të një viti më parë. Kontributi pozitiv në rritjen e eksporteve totale ka ardhur kryesisht nga kategoritë “Minerale, lëndë djegëse, energji elektrike” dhe “Materiale ndërtimi dhe metale” me respektivisht 4.9 dhe 3.4 pikë përqindje, si dhe kategoria “Teksitle dhe këpucë” e cila pati një rritje prej 5.4% me një kontribut prej 2.3 pikë përqindje në rritjen totale të eksporteve. </w:t>
      </w:r>
    </w:p>
    <w:p w14:paraId="2764785E" w14:textId="77777777" w:rsidR="00D66723" w:rsidRPr="00D66723" w:rsidRDefault="00D66723" w:rsidP="00D66723">
      <w:pPr>
        <w:spacing w:before="240" w:line="276" w:lineRule="auto"/>
        <w:jc w:val="both"/>
        <w:rPr>
          <w:rFonts w:asciiTheme="majorHAnsi" w:hAnsiTheme="majorHAnsi" w:cs="Times New Roman"/>
          <w:lang w:val="sq-AL"/>
        </w:rPr>
      </w:pPr>
      <w:r w:rsidRPr="00D66723">
        <w:rPr>
          <w:rFonts w:asciiTheme="majorHAnsi" w:hAnsiTheme="majorHAnsi" w:cs="Times New Roman"/>
          <w:i/>
          <w:lang w:val="sq-AL"/>
        </w:rPr>
        <w:t>Importet e mallrave</w:t>
      </w:r>
      <w:r w:rsidRPr="00D66723">
        <w:rPr>
          <w:rFonts w:asciiTheme="majorHAnsi" w:hAnsiTheme="majorHAnsi" w:cs="Times New Roman"/>
          <w:lang w:val="sq-AL"/>
        </w:rPr>
        <w:t xml:space="preserve"> për vitin 2018 u rritën me 2.4% krahasuar me vitin 2017. Kategoritë që kanë ndikuar më shumë në rritjen e importeve totale janë: “Makineri, pajisje dhe pjesë këmbimi” me 1.3 pikë përqindje, “Minerale, lëndë djegëse, energji elektrike” me 0.4 pikë përqindje, “Materiale ndërtimi dhe metale” me 0.3 pikë përqindje. Rrjedhimisht, gjatë periudhës janar-dhjetor 2018, defiçiti i bilancit tregtar është përmirësuar me 6.3% krahasuar me të njëjtën periudhë të një viti më parë. Shkёmbimet tregtare për vitin 2018 me vendet e BE zёnё 65.9% tё gjithё tregtisё. Nё periudhën janar-dhjetor 2018, eksportet drejt vendeve tё BE-sё zënë 76.3% tё eksporteve gjithsej dhe importet nga vendet e BE-së zënë 60.8% tё importeve gjithsej. Partnerёt kryesorё tregtarё janё Italia (34.1%), Greqia (6.9%), Gjermania (6,6%) dhe Kina (6.3%).</w:t>
      </w:r>
    </w:p>
    <w:p w14:paraId="546A86B6" w14:textId="77777777" w:rsidR="00D66723" w:rsidRDefault="00D66723" w:rsidP="00D66723">
      <w:pPr>
        <w:spacing w:before="240" w:line="276" w:lineRule="auto"/>
        <w:jc w:val="both"/>
        <w:rPr>
          <w:rFonts w:asciiTheme="majorHAnsi" w:hAnsiTheme="majorHAnsi" w:cs="Times New Roman"/>
          <w:lang w:val="sq-AL"/>
        </w:rPr>
      </w:pPr>
      <w:r w:rsidRPr="00D66723">
        <w:rPr>
          <w:rFonts w:asciiTheme="majorHAnsi" w:hAnsiTheme="majorHAnsi" w:cs="Times New Roman"/>
          <w:lang w:val="sq-AL"/>
        </w:rPr>
        <w:lastRenderedPageBreak/>
        <w:t>Për vitin 2018, Bilanci i Pagesave shënoi rritje, duke arritur vlerën +371.8 milion euro, nga +185.3 milion euro që ishte në të njëjtën periudhë të vitit 2017. Ndërsa vetëm për tremujorin e katërt të 2018, BP arriti vlerën +274.0 milion euro, krahasuar me tremujorin e katërt të 2017 që shënoi vlerën +215.4 milion euro. Për periudhën janar-dhjetor të vitit 2018, defiçiti i llogarisë korente u ngushtua konsiderueshëm në rreth 6.7% të PBB. Llogaria financiare dhe kapitale u zgjerua në vlerën +1249.3 milion euro krahasuar me +1237.7 milion euro që ishte në të njëjtën periudhë të një viti më parë, ku vlen të përmendet rritja e fluksit hyrës të investimeve të huaja direkte, të cilat u rritën me rreth 13%, ndërsa në vlerë absolute kapërcyen nivelin e 1 miliard Euro.</w:t>
      </w:r>
    </w:p>
    <w:p w14:paraId="4E442060" w14:textId="77777777" w:rsidR="00D66723" w:rsidRPr="00D66723" w:rsidRDefault="00D66723" w:rsidP="00D66723">
      <w:pPr>
        <w:spacing w:line="276" w:lineRule="auto"/>
        <w:jc w:val="both"/>
        <w:rPr>
          <w:rFonts w:asciiTheme="majorHAnsi" w:hAnsiTheme="majorHAnsi" w:cs="Times New Roman"/>
          <w:lang w:val="sq-AL"/>
        </w:rPr>
      </w:pPr>
    </w:p>
    <w:p w14:paraId="67B18EFC" w14:textId="77777777" w:rsidR="007F44B9" w:rsidRPr="002E06C4" w:rsidRDefault="007F44B9" w:rsidP="00C10558">
      <w:pPr>
        <w:pStyle w:val="Heading2"/>
        <w:numPr>
          <w:ilvl w:val="1"/>
          <w:numId w:val="4"/>
        </w:numPr>
        <w:spacing w:before="0"/>
        <w:rPr>
          <w:rFonts w:cs="Times New Roman"/>
          <w:noProof/>
          <w:color w:val="4F81BD" w:themeColor="accent1"/>
          <w:lang w:val="sq-AL"/>
        </w:rPr>
      </w:pPr>
      <w:r w:rsidRPr="002E06C4">
        <w:rPr>
          <w:rFonts w:cs="Times New Roman"/>
          <w:noProof/>
          <w:color w:val="4F81BD" w:themeColor="accent1"/>
          <w:lang w:val="sq-AL"/>
        </w:rPr>
        <w:t>Krahasimi me vendet e rajonit</w:t>
      </w:r>
      <w:bookmarkEnd w:id="12"/>
      <w:bookmarkEnd w:id="13"/>
      <w:bookmarkEnd w:id="14"/>
      <w:bookmarkEnd w:id="15"/>
    </w:p>
    <w:p w14:paraId="21C753E8" w14:textId="49727658" w:rsidR="007F44B9" w:rsidRPr="002E06C4" w:rsidRDefault="00102D8C" w:rsidP="007F44B9">
      <w:pPr>
        <w:spacing w:before="240" w:line="276" w:lineRule="auto"/>
        <w:jc w:val="both"/>
        <w:rPr>
          <w:rStyle w:val="tlid-translation"/>
          <w:rFonts w:asciiTheme="majorHAnsi" w:eastAsiaTheme="majorEastAsia" w:hAnsiTheme="majorHAnsi" w:cs="Times New Roman"/>
          <w:lang w:val="sq-AL"/>
        </w:rPr>
      </w:pPr>
      <w:bookmarkStart w:id="16" w:name="_Toc515446547"/>
      <w:r w:rsidRPr="005B3E6B">
        <w:rPr>
          <w:rFonts w:asciiTheme="majorHAnsi" w:hAnsiTheme="majorHAnsi" w:cs="Times New Roman"/>
          <w:i/>
          <w:lang w:val="sq-AL"/>
        </w:rPr>
        <w:t>Rimëkëmbja ekonomike</w:t>
      </w:r>
      <w:r w:rsidRPr="005B3E6B">
        <w:rPr>
          <w:rFonts w:asciiTheme="majorHAnsi" w:hAnsiTheme="majorHAnsi" w:cs="Times New Roman"/>
          <w:lang w:val="sq-AL"/>
        </w:rPr>
        <w:t xml:space="preserve"> në Ballkanin Perëndimor</w:t>
      </w:r>
      <w:r w:rsidRPr="005B3E6B">
        <w:rPr>
          <w:rStyle w:val="tlid-translation"/>
          <w:rFonts w:asciiTheme="majorHAnsi" w:eastAsiaTheme="majorEastAsia" w:hAnsiTheme="majorHAnsi" w:cs="Times New Roman"/>
          <w:lang w:val="sq-AL"/>
        </w:rPr>
        <w:t xml:space="preserve"> u përshpejtua më tej gjatë vitit 2018, me një normë rritje 3.8%, më e larta në një dekadë. Konsumi privat dhe investimet publike vazhduan të mbështesin rritjen ekonomike, ndërkohë që deficiti i llogarisë korrente mbeti pothuajse i pandryshuar, në 5.4% të PBB-së. Rritja ekonomike çoi në krijimin e mëtejshëm të vendeve të reja të punës, por me një ritëm më të ngadaltë në krahasim me vitin e kaluar. Në përgjithësi, ekuilibrat fiskalë në rajon i përmbushën objektivat apo dhe i tejkaluan ato. Megjithatë, nivelet e borxhit publik mbeten ende të larta në shumë vende të rajonit.</w:t>
      </w:r>
    </w:p>
    <w:p w14:paraId="76EAB682" w14:textId="77777777" w:rsidR="007F44B9" w:rsidRPr="002E06C4" w:rsidRDefault="007F44B9" w:rsidP="007F44B9">
      <w:pPr>
        <w:spacing w:line="276" w:lineRule="auto"/>
        <w:rPr>
          <w:rFonts w:asciiTheme="majorHAnsi" w:hAnsiTheme="majorHAnsi" w:cs="Times New Roman"/>
          <w:i/>
          <w:sz w:val="8"/>
          <w:szCs w:val="8"/>
          <w:lang w:val="sq-AL"/>
        </w:rPr>
      </w:pPr>
    </w:p>
    <w:p w14:paraId="25688127" w14:textId="77777777" w:rsidR="00140052" w:rsidRPr="002E06C4" w:rsidRDefault="00140052" w:rsidP="00140052">
      <w:pPr>
        <w:pStyle w:val="Caption"/>
        <w:keepNext/>
        <w:rPr>
          <w:rFonts w:asciiTheme="majorHAnsi" w:hAnsiTheme="majorHAnsi" w:cs="Times New Roman"/>
          <w:lang w:val="sq-AL"/>
        </w:rPr>
      </w:pPr>
      <w:bookmarkStart w:id="17" w:name="_Toc11135115"/>
      <w:bookmarkEnd w:id="16"/>
      <w:r>
        <w:t xml:space="preserve">Tabela </w:t>
      </w:r>
      <w:r w:rsidR="003D3813">
        <w:fldChar w:fldCharType="begin"/>
      </w:r>
      <w:r w:rsidR="003D3813">
        <w:instrText xml:space="preserve"> SEQ Tabela \* ARABIC </w:instrText>
      </w:r>
      <w:r w:rsidR="003D3813">
        <w:fldChar w:fldCharType="separate"/>
      </w:r>
      <w:r w:rsidR="006A57F3">
        <w:rPr>
          <w:noProof/>
        </w:rPr>
        <w:t>1</w:t>
      </w:r>
      <w:r w:rsidR="003D3813">
        <w:rPr>
          <w:noProof/>
        </w:rPr>
        <w:fldChar w:fldCharType="end"/>
      </w:r>
      <w:r w:rsidRPr="00140052">
        <w:rPr>
          <w:rFonts w:asciiTheme="majorHAnsi" w:hAnsiTheme="majorHAnsi" w:cs="Times New Roman"/>
          <w:lang w:val="sq-AL"/>
        </w:rPr>
        <w:t xml:space="preserve"> </w:t>
      </w:r>
      <w:r w:rsidRPr="002E06C4">
        <w:rPr>
          <w:rFonts w:asciiTheme="majorHAnsi" w:hAnsiTheme="majorHAnsi" w:cs="Times New Roman"/>
          <w:lang w:val="sq-AL"/>
        </w:rPr>
        <w:t>Produkti i Brendshëm Bruto</w:t>
      </w:r>
      <w:bookmarkEnd w:id="17"/>
    </w:p>
    <w:tbl>
      <w:tblPr>
        <w:tblStyle w:val="GridTable4-Accent11"/>
        <w:tblW w:w="5000" w:type="pct"/>
        <w:tblLook w:val="04A0" w:firstRow="1" w:lastRow="0" w:firstColumn="1" w:lastColumn="0" w:noHBand="0" w:noVBand="1"/>
      </w:tblPr>
      <w:tblGrid>
        <w:gridCol w:w="6654"/>
        <w:gridCol w:w="1911"/>
        <w:gridCol w:w="1911"/>
      </w:tblGrid>
      <w:tr w:rsidR="007F44B9" w:rsidRPr="002E06C4" w14:paraId="14F0903B" w14:textId="77777777" w:rsidTr="00C51102">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176" w:type="pct"/>
            <w:hideMark/>
          </w:tcPr>
          <w:p w14:paraId="352F8C9C" w14:textId="77777777" w:rsidR="007F44B9" w:rsidRPr="002E06C4" w:rsidRDefault="007F44B9" w:rsidP="00C51102">
            <w:pPr>
              <w:jc w:val="center"/>
              <w:rPr>
                <w:rFonts w:asciiTheme="majorHAnsi" w:hAnsiTheme="majorHAnsi" w:cs="Times New Roman"/>
                <w:b w:val="0"/>
                <w:bCs w:val="0"/>
                <w:sz w:val="20"/>
                <w:szCs w:val="20"/>
                <w:lang w:val="sq-AL"/>
              </w:rPr>
            </w:pPr>
            <w:r w:rsidRPr="002E06C4">
              <w:rPr>
                <w:rFonts w:asciiTheme="majorHAnsi" w:hAnsiTheme="majorHAnsi" w:cs="Times New Roman"/>
                <w:b w:val="0"/>
                <w:bCs w:val="0"/>
                <w:sz w:val="20"/>
                <w:szCs w:val="20"/>
                <w:lang w:val="sq-AL"/>
              </w:rPr>
              <w:t xml:space="preserve">Produkti i Brendshëm Bruto </w:t>
            </w:r>
            <w:r w:rsidRPr="002E06C4">
              <w:rPr>
                <w:rFonts w:asciiTheme="majorHAnsi" w:hAnsiTheme="majorHAnsi" w:cs="Times New Roman"/>
                <w:i/>
                <w:iCs/>
                <w:sz w:val="20"/>
                <w:szCs w:val="20"/>
                <w:lang w:val="sq-AL"/>
              </w:rPr>
              <w:t>(rritja vjetore ne %, ne terma reale)</w:t>
            </w:r>
          </w:p>
        </w:tc>
        <w:tc>
          <w:tcPr>
            <w:tcW w:w="912" w:type="pct"/>
            <w:hideMark/>
          </w:tcPr>
          <w:p w14:paraId="7C321589"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 </w:t>
            </w:r>
            <w:r w:rsidRPr="002E06C4">
              <w:rPr>
                <w:rFonts w:asciiTheme="majorHAnsi" w:hAnsiTheme="majorHAnsi" w:cs="Times New Roman"/>
                <w:b w:val="0"/>
                <w:sz w:val="20"/>
                <w:szCs w:val="20"/>
                <w:lang w:val="sq-AL"/>
              </w:rPr>
              <w:t>2017</w:t>
            </w:r>
          </w:p>
        </w:tc>
        <w:tc>
          <w:tcPr>
            <w:tcW w:w="912" w:type="pct"/>
            <w:hideMark/>
          </w:tcPr>
          <w:p w14:paraId="287112F2"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 </w:t>
            </w:r>
            <w:r w:rsidRPr="002E06C4">
              <w:rPr>
                <w:rFonts w:asciiTheme="majorHAnsi" w:hAnsiTheme="majorHAnsi" w:cs="Times New Roman"/>
                <w:b w:val="0"/>
                <w:sz w:val="20"/>
                <w:szCs w:val="20"/>
                <w:lang w:val="sq-AL"/>
              </w:rPr>
              <w:t>2018</w:t>
            </w:r>
          </w:p>
        </w:tc>
      </w:tr>
      <w:tr w:rsidR="007F44B9" w:rsidRPr="002E06C4" w14:paraId="5BA6A045" w14:textId="77777777" w:rsidTr="00C5110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76" w:type="pct"/>
            <w:noWrap/>
            <w:hideMark/>
          </w:tcPr>
          <w:p w14:paraId="6BD9D164"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Maqedonia</w:t>
            </w:r>
          </w:p>
        </w:tc>
        <w:tc>
          <w:tcPr>
            <w:tcW w:w="912" w:type="pct"/>
            <w:noWrap/>
            <w:hideMark/>
          </w:tcPr>
          <w:p w14:paraId="1E42DEBE"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0.2</w:t>
            </w:r>
          </w:p>
        </w:tc>
        <w:tc>
          <w:tcPr>
            <w:tcW w:w="912" w:type="pct"/>
            <w:noWrap/>
            <w:hideMark/>
          </w:tcPr>
          <w:p w14:paraId="0667EAC8"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2.7</w:t>
            </w:r>
          </w:p>
        </w:tc>
      </w:tr>
      <w:tr w:rsidR="007F44B9" w:rsidRPr="002E06C4" w14:paraId="3E7C8331" w14:textId="77777777" w:rsidTr="00C51102">
        <w:trPr>
          <w:trHeight w:val="58"/>
        </w:trPr>
        <w:tc>
          <w:tcPr>
            <w:cnfStyle w:val="001000000000" w:firstRow="0" w:lastRow="0" w:firstColumn="1" w:lastColumn="0" w:oddVBand="0" w:evenVBand="0" w:oddHBand="0" w:evenHBand="0" w:firstRowFirstColumn="0" w:firstRowLastColumn="0" w:lastRowFirstColumn="0" w:lastRowLastColumn="0"/>
            <w:tcW w:w="3176" w:type="pct"/>
            <w:noWrap/>
            <w:hideMark/>
          </w:tcPr>
          <w:p w14:paraId="225F57F3"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Mali i ZI</w:t>
            </w:r>
          </w:p>
        </w:tc>
        <w:tc>
          <w:tcPr>
            <w:tcW w:w="912" w:type="pct"/>
            <w:noWrap/>
            <w:hideMark/>
          </w:tcPr>
          <w:p w14:paraId="3EBDD9CC"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4.7</w:t>
            </w:r>
          </w:p>
        </w:tc>
        <w:tc>
          <w:tcPr>
            <w:tcW w:w="912" w:type="pct"/>
            <w:noWrap/>
            <w:hideMark/>
          </w:tcPr>
          <w:p w14:paraId="14593CC1"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4.9</w:t>
            </w:r>
          </w:p>
        </w:tc>
      </w:tr>
      <w:tr w:rsidR="007F44B9" w:rsidRPr="002E06C4" w14:paraId="417AE736" w14:textId="77777777" w:rsidTr="00C5110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176" w:type="pct"/>
            <w:noWrap/>
            <w:hideMark/>
          </w:tcPr>
          <w:p w14:paraId="49C1C8CA"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Serbia</w:t>
            </w:r>
          </w:p>
        </w:tc>
        <w:tc>
          <w:tcPr>
            <w:tcW w:w="912" w:type="pct"/>
            <w:noWrap/>
            <w:hideMark/>
          </w:tcPr>
          <w:p w14:paraId="2A40CCFE"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2.0</w:t>
            </w:r>
          </w:p>
        </w:tc>
        <w:tc>
          <w:tcPr>
            <w:tcW w:w="912" w:type="pct"/>
            <w:noWrap/>
            <w:hideMark/>
          </w:tcPr>
          <w:p w14:paraId="1304FD6D"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4.3</w:t>
            </w:r>
          </w:p>
        </w:tc>
      </w:tr>
      <w:tr w:rsidR="007F44B9" w:rsidRPr="002E06C4" w14:paraId="5FDF98B4" w14:textId="77777777" w:rsidTr="00C51102">
        <w:trPr>
          <w:trHeight w:val="58"/>
        </w:trPr>
        <w:tc>
          <w:tcPr>
            <w:cnfStyle w:val="001000000000" w:firstRow="0" w:lastRow="0" w:firstColumn="1" w:lastColumn="0" w:oddVBand="0" w:evenVBand="0" w:oddHBand="0" w:evenHBand="0" w:firstRowFirstColumn="0" w:firstRowLastColumn="0" w:lastRowFirstColumn="0" w:lastRowLastColumn="0"/>
            <w:tcW w:w="3176" w:type="pct"/>
            <w:noWrap/>
            <w:hideMark/>
          </w:tcPr>
          <w:p w14:paraId="2304C754"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Turqia</w:t>
            </w:r>
          </w:p>
        </w:tc>
        <w:tc>
          <w:tcPr>
            <w:tcW w:w="912" w:type="pct"/>
            <w:noWrap/>
            <w:hideMark/>
          </w:tcPr>
          <w:p w14:paraId="095FAAA6"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7.4</w:t>
            </w:r>
          </w:p>
        </w:tc>
        <w:tc>
          <w:tcPr>
            <w:tcW w:w="912" w:type="pct"/>
            <w:noWrap/>
            <w:hideMark/>
          </w:tcPr>
          <w:p w14:paraId="36226092"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2.6</w:t>
            </w:r>
          </w:p>
        </w:tc>
      </w:tr>
      <w:tr w:rsidR="007F44B9" w:rsidRPr="002E06C4" w14:paraId="0199E1B1" w14:textId="77777777" w:rsidTr="00C5110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176" w:type="pct"/>
            <w:noWrap/>
            <w:hideMark/>
          </w:tcPr>
          <w:p w14:paraId="1FF21F2A"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Shqipëria</w:t>
            </w:r>
          </w:p>
        </w:tc>
        <w:tc>
          <w:tcPr>
            <w:tcW w:w="912" w:type="pct"/>
            <w:noWrap/>
            <w:hideMark/>
          </w:tcPr>
          <w:p w14:paraId="26A245B5"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3.8</w:t>
            </w:r>
          </w:p>
        </w:tc>
        <w:tc>
          <w:tcPr>
            <w:tcW w:w="912" w:type="pct"/>
            <w:noWrap/>
            <w:hideMark/>
          </w:tcPr>
          <w:p w14:paraId="3A58F41D"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4.1</w:t>
            </w:r>
          </w:p>
        </w:tc>
      </w:tr>
      <w:tr w:rsidR="007F44B9" w:rsidRPr="002E06C4" w14:paraId="3AC537F1" w14:textId="77777777" w:rsidTr="00C51102">
        <w:trPr>
          <w:trHeight w:val="58"/>
        </w:trPr>
        <w:tc>
          <w:tcPr>
            <w:cnfStyle w:val="001000000000" w:firstRow="0" w:lastRow="0" w:firstColumn="1" w:lastColumn="0" w:oddVBand="0" w:evenVBand="0" w:oddHBand="0" w:evenHBand="0" w:firstRowFirstColumn="0" w:firstRowLastColumn="0" w:lastRowFirstColumn="0" w:lastRowLastColumn="0"/>
            <w:tcW w:w="3176" w:type="pct"/>
            <w:noWrap/>
            <w:hideMark/>
          </w:tcPr>
          <w:p w14:paraId="0773FF06"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Bosnja dhe Hercegovina</w:t>
            </w:r>
          </w:p>
        </w:tc>
        <w:tc>
          <w:tcPr>
            <w:tcW w:w="912" w:type="pct"/>
            <w:noWrap/>
            <w:hideMark/>
          </w:tcPr>
          <w:p w14:paraId="080B33BE"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3.4</w:t>
            </w:r>
          </w:p>
        </w:tc>
        <w:tc>
          <w:tcPr>
            <w:tcW w:w="912" w:type="pct"/>
            <w:noWrap/>
            <w:hideMark/>
          </w:tcPr>
          <w:p w14:paraId="30CCC598"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3.1</w:t>
            </w:r>
          </w:p>
        </w:tc>
      </w:tr>
      <w:tr w:rsidR="007F44B9" w:rsidRPr="002E06C4" w14:paraId="634B755B" w14:textId="77777777" w:rsidTr="00C5110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176" w:type="pct"/>
            <w:noWrap/>
            <w:hideMark/>
          </w:tcPr>
          <w:p w14:paraId="3AFFE0F8"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Kosova</w:t>
            </w:r>
          </w:p>
        </w:tc>
        <w:tc>
          <w:tcPr>
            <w:tcW w:w="912" w:type="pct"/>
            <w:noWrap/>
            <w:hideMark/>
          </w:tcPr>
          <w:p w14:paraId="0566661C"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4.2</w:t>
            </w:r>
          </w:p>
        </w:tc>
        <w:tc>
          <w:tcPr>
            <w:tcW w:w="912" w:type="pct"/>
            <w:noWrap/>
            <w:hideMark/>
          </w:tcPr>
          <w:p w14:paraId="4467F5BF"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3.9</w:t>
            </w:r>
          </w:p>
        </w:tc>
      </w:tr>
    </w:tbl>
    <w:p w14:paraId="60E1FD26" w14:textId="77777777" w:rsidR="007F44B9" w:rsidRPr="002E06C4" w:rsidRDefault="007F44B9" w:rsidP="007F44B9">
      <w:pPr>
        <w:spacing w:line="276" w:lineRule="auto"/>
        <w:ind w:firstLine="720"/>
        <w:rPr>
          <w:rFonts w:asciiTheme="majorHAnsi" w:hAnsiTheme="majorHAnsi" w:cs="Times New Roman"/>
          <w:i/>
          <w:sz w:val="20"/>
          <w:szCs w:val="18"/>
          <w:lang w:val="sq-AL"/>
        </w:rPr>
      </w:pPr>
      <w:r w:rsidRPr="002E06C4">
        <w:rPr>
          <w:rFonts w:asciiTheme="majorHAnsi" w:hAnsiTheme="majorHAnsi" w:cs="Times New Roman"/>
          <w:i/>
          <w:sz w:val="20"/>
          <w:szCs w:val="18"/>
          <w:lang w:val="sq-AL"/>
        </w:rPr>
        <w:t>Burimi: Directorate-General for Economic and Financial Affairs (DG-ECFIN)</w:t>
      </w:r>
    </w:p>
    <w:p w14:paraId="58B97385" w14:textId="77777777" w:rsidR="007F44B9" w:rsidRPr="002E06C4" w:rsidRDefault="007F44B9" w:rsidP="007F44B9">
      <w:pPr>
        <w:spacing w:line="276" w:lineRule="auto"/>
        <w:jc w:val="both"/>
        <w:rPr>
          <w:rFonts w:asciiTheme="majorHAnsi" w:hAnsiTheme="majorHAnsi" w:cs="Times New Roman"/>
          <w:sz w:val="12"/>
          <w:szCs w:val="12"/>
          <w:lang w:val="sq-AL"/>
        </w:rPr>
      </w:pPr>
    </w:p>
    <w:p w14:paraId="5D91918D" w14:textId="7934F3D9" w:rsidR="007F44B9" w:rsidRPr="009C466A" w:rsidRDefault="009C466A" w:rsidP="007F44B9">
      <w:pPr>
        <w:spacing w:line="276" w:lineRule="auto"/>
        <w:jc w:val="both"/>
        <w:rPr>
          <w:rFonts w:asciiTheme="majorHAnsi" w:hAnsiTheme="majorHAnsi" w:cs="Times New Roman"/>
          <w:lang w:val="sq-AL"/>
        </w:rPr>
      </w:pPr>
      <w:bookmarkStart w:id="18" w:name="_Toc515446548"/>
      <w:r w:rsidRPr="009C466A">
        <w:rPr>
          <w:rFonts w:asciiTheme="majorHAnsi" w:hAnsiTheme="majorHAnsi" w:cs="Times New Roman"/>
          <w:lang w:val="sq-AL"/>
        </w:rPr>
        <w:t xml:space="preserve">Situata e tregut të punës në Ballkanin Perëndimor mbetet sfiduese. Pavarësisht rimëkëmbjes ekonomike,  ritmi i krijimit të vendeve të reja të punës u ngadalësua në shumicën e vendeve të rajonit. Rritja e niveleve të punësimit kontribuan në një rënie të normave të papunësisë në shumicën e vendeve të rajonit gjatë vitit 2018. </w:t>
      </w:r>
      <w:r w:rsidR="007F44B9" w:rsidRPr="009C466A">
        <w:rPr>
          <w:rFonts w:asciiTheme="majorHAnsi" w:hAnsiTheme="majorHAnsi" w:cs="Times New Roman"/>
          <w:lang w:val="sq-AL"/>
        </w:rPr>
        <w:t xml:space="preserve"> </w:t>
      </w:r>
    </w:p>
    <w:p w14:paraId="3489BF11" w14:textId="77777777" w:rsidR="007F44B9" w:rsidRPr="002E06C4" w:rsidRDefault="007F44B9" w:rsidP="007F44B9">
      <w:pPr>
        <w:spacing w:line="276" w:lineRule="auto"/>
        <w:rPr>
          <w:rFonts w:asciiTheme="majorHAnsi" w:hAnsiTheme="majorHAnsi" w:cs="Times New Roman"/>
          <w:i/>
          <w:sz w:val="8"/>
          <w:szCs w:val="8"/>
          <w:lang w:val="sq-AL"/>
        </w:rPr>
      </w:pPr>
    </w:p>
    <w:p w14:paraId="2373B7C9" w14:textId="77777777" w:rsidR="00140052" w:rsidRPr="002E06C4" w:rsidRDefault="00140052" w:rsidP="00140052">
      <w:pPr>
        <w:pStyle w:val="Caption"/>
        <w:keepNext/>
        <w:rPr>
          <w:rFonts w:asciiTheme="majorHAnsi" w:hAnsiTheme="majorHAnsi" w:cs="Times New Roman"/>
          <w:lang w:val="sq-AL"/>
        </w:rPr>
      </w:pPr>
      <w:bookmarkStart w:id="19" w:name="_Toc11135116"/>
      <w:bookmarkEnd w:id="18"/>
      <w:r>
        <w:t xml:space="preserve">Tabela </w:t>
      </w:r>
      <w:r w:rsidR="003D3813">
        <w:fldChar w:fldCharType="begin"/>
      </w:r>
      <w:r w:rsidR="003D3813">
        <w:instrText xml:space="preserve"> SEQ Tabela \* ARABIC </w:instrText>
      </w:r>
      <w:r w:rsidR="003D3813">
        <w:fldChar w:fldCharType="separate"/>
      </w:r>
      <w:r w:rsidR="006A57F3">
        <w:rPr>
          <w:noProof/>
        </w:rPr>
        <w:t>2</w:t>
      </w:r>
      <w:r w:rsidR="003D3813">
        <w:rPr>
          <w:noProof/>
        </w:rPr>
        <w:fldChar w:fldCharType="end"/>
      </w:r>
      <w:r w:rsidRPr="00140052">
        <w:rPr>
          <w:rFonts w:asciiTheme="majorHAnsi" w:hAnsiTheme="majorHAnsi" w:cs="Times New Roman"/>
          <w:lang w:val="sq-AL"/>
        </w:rPr>
        <w:t xml:space="preserve"> </w:t>
      </w:r>
      <w:r w:rsidRPr="002E06C4">
        <w:rPr>
          <w:rFonts w:asciiTheme="majorHAnsi" w:hAnsiTheme="majorHAnsi" w:cs="Times New Roman"/>
          <w:lang w:val="sq-AL"/>
        </w:rPr>
        <w:t>Norma e papunësisë</w:t>
      </w:r>
      <w:bookmarkEnd w:id="19"/>
    </w:p>
    <w:tbl>
      <w:tblPr>
        <w:tblStyle w:val="GridTable4-Accent11"/>
        <w:tblW w:w="5000" w:type="pct"/>
        <w:tblLook w:val="04A0" w:firstRow="1" w:lastRow="0" w:firstColumn="1" w:lastColumn="0" w:noHBand="0" w:noVBand="1"/>
      </w:tblPr>
      <w:tblGrid>
        <w:gridCol w:w="6658"/>
        <w:gridCol w:w="1909"/>
        <w:gridCol w:w="1909"/>
      </w:tblGrid>
      <w:tr w:rsidR="007F44B9" w:rsidRPr="002E06C4" w14:paraId="35BA8818" w14:textId="77777777" w:rsidTr="00C5110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178" w:type="pct"/>
            <w:hideMark/>
          </w:tcPr>
          <w:p w14:paraId="295E4DDF" w14:textId="77777777" w:rsidR="007F44B9" w:rsidRPr="002E06C4" w:rsidRDefault="007F44B9" w:rsidP="00C51102">
            <w:pPr>
              <w:jc w:val="center"/>
              <w:rPr>
                <w:rFonts w:asciiTheme="majorHAnsi" w:hAnsiTheme="majorHAnsi" w:cs="Times New Roman"/>
                <w:b w:val="0"/>
                <w:bCs w:val="0"/>
                <w:sz w:val="20"/>
                <w:szCs w:val="20"/>
                <w:lang w:val="sq-AL"/>
              </w:rPr>
            </w:pPr>
            <w:r w:rsidRPr="002E06C4">
              <w:rPr>
                <w:rFonts w:asciiTheme="majorHAnsi" w:hAnsiTheme="majorHAnsi" w:cs="Times New Roman"/>
                <w:b w:val="0"/>
                <w:bCs w:val="0"/>
                <w:sz w:val="20"/>
                <w:szCs w:val="20"/>
                <w:lang w:val="sq-AL"/>
              </w:rPr>
              <w:t xml:space="preserve">Norma e Papunësisë </w:t>
            </w:r>
            <w:r w:rsidRPr="002E06C4">
              <w:rPr>
                <w:rFonts w:asciiTheme="majorHAnsi" w:hAnsiTheme="majorHAnsi" w:cs="Times New Roman"/>
                <w:bCs w:val="0"/>
                <w:i/>
                <w:iCs/>
                <w:sz w:val="20"/>
                <w:szCs w:val="20"/>
                <w:lang w:val="sq-AL"/>
              </w:rPr>
              <w:t>(mesatare vjetore, nё %)</w:t>
            </w:r>
          </w:p>
        </w:tc>
        <w:tc>
          <w:tcPr>
            <w:tcW w:w="911" w:type="pct"/>
            <w:hideMark/>
          </w:tcPr>
          <w:p w14:paraId="21DE322A"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b w:val="0"/>
                <w:sz w:val="20"/>
                <w:szCs w:val="20"/>
                <w:lang w:val="sq-AL"/>
              </w:rPr>
              <w:t>2017</w:t>
            </w:r>
          </w:p>
        </w:tc>
        <w:tc>
          <w:tcPr>
            <w:tcW w:w="911" w:type="pct"/>
            <w:hideMark/>
          </w:tcPr>
          <w:p w14:paraId="64373A0A"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b w:val="0"/>
                <w:sz w:val="20"/>
                <w:szCs w:val="20"/>
                <w:lang w:val="sq-AL"/>
              </w:rPr>
              <w:t>2018</w:t>
            </w:r>
          </w:p>
        </w:tc>
      </w:tr>
      <w:tr w:rsidR="007F44B9" w:rsidRPr="002E06C4" w14:paraId="66651A70" w14:textId="77777777" w:rsidTr="00C51102">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78" w:type="pct"/>
            <w:noWrap/>
            <w:hideMark/>
          </w:tcPr>
          <w:p w14:paraId="5003E13A"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Maqedonia</w:t>
            </w:r>
          </w:p>
        </w:tc>
        <w:tc>
          <w:tcPr>
            <w:tcW w:w="911" w:type="pct"/>
            <w:noWrap/>
            <w:hideMark/>
          </w:tcPr>
          <w:p w14:paraId="3FE4461D"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22.4</w:t>
            </w:r>
          </w:p>
        </w:tc>
        <w:tc>
          <w:tcPr>
            <w:tcW w:w="911" w:type="pct"/>
            <w:noWrap/>
            <w:hideMark/>
          </w:tcPr>
          <w:p w14:paraId="33628A6C"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20.7</w:t>
            </w:r>
          </w:p>
        </w:tc>
      </w:tr>
      <w:tr w:rsidR="007F44B9" w:rsidRPr="002E06C4" w14:paraId="61A65A4A" w14:textId="77777777" w:rsidTr="00C51102">
        <w:trPr>
          <w:trHeight w:val="266"/>
        </w:trPr>
        <w:tc>
          <w:tcPr>
            <w:cnfStyle w:val="001000000000" w:firstRow="0" w:lastRow="0" w:firstColumn="1" w:lastColumn="0" w:oddVBand="0" w:evenVBand="0" w:oddHBand="0" w:evenHBand="0" w:firstRowFirstColumn="0" w:firstRowLastColumn="0" w:lastRowFirstColumn="0" w:lastRowLastColumn="0"/>
            <w:tcW w:w="3178" w:type="pct"/>
            <w:noWrap/>
            <w:hideMark/>
          </w:tcPr>
          <w:p w14:paraId="4FB42649"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Mali i ZI</w:t>
            </w:r>
          </w:p>
        </w:tc>
        <w:tc>
          <w:tcPr>
            <w:tcW w:w="911" w:type="pct"/>
            <w:noWrap/>
            <w:hideMark/>
          </w:tcPr>
          <w:p w14:paraId="4D2D9210"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16.4</w:t>
            </w:r>
          </w:p>
        </w:tc>
        <w:tc>
          <w:tcPr>
            <w:tcW w:w="911" w:type="pct"/>
            <w:noWrap/>
            <w:hideMark/>
          </w:tcPr>
          <w:p w14:paraId="68495DF4"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15.5</w:t>
            </w:r>
          </w:p>
        </w:tc>
      </w:tr>
      <w:tr w:rsidR="007F44B9" w:rsidRPr="002E06C4" w14:paraId="560E9C41" w14:textId="77777777" w:rsidTr="00C5110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178" w:type="pct"/>
            <w:noWrap/>
            <w:hideMark/>
          </w:tcPr>
          <w:p w14:paraId="45E2C45D"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Serbia</w:t>
            </w:r>
          </w:p>
        </w:tc>
        <w:tc>
          <w:tcPr>
            <w:tcW w:w="911" w:type="pct"/>
            <w:noWrap/>
            <w:hideMark/>
          </w:tcPr>
          <w:p w14:paraId="27940AD0"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13.5</w:t>
            </w:r>
          </w:p>
        </w:tc>
        <w:tc>
          <w:tcPr>
            <w:tcW w:w="911" w:type="pct"/>
            <w:noWrap/>
            <w:hideMark/>
          </w:tcPr>
          <w:p w14:paraId="756F9E08"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12.7</w:t>
            </w:r>
          </w:p>
        </w:tc>
      </w:tr>
      <w:tr w:rsidR="007F44B9" w:rsidRPr="002E06C4" w14:paraId="2D093842" w14:textId="77777777" w:rsidTr="00C51102">
        <w:trPr>
          <w:trHeight w:val="58"/>
        </w:trPr>
        <w:tc>
          <w:tcPr>
            <w:cnfStyle w:val="001000000000" w:firstRow="0" w:lastRow="0" w:firstColumn="1" w:lastColumn="0" w:oddVBand="0" w:evenVBand="0" w:oddHBand="0" w:evenHBand="0" w:firstRowFirstColumn="0" w:firstRowLastColumn="0" w:lastRowFirstColumn="0" w:lastRowLastColumn="0"/>
            <w:tcW w:w="3178" w:type="pct"/>
            <w:noWrap/>
            <w:hideMark/>
          </w:tcPr>
          <w:p w14:paraId="098D537E"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Turqia</w:t>
            </w:r>
          </w:p>
        </w:tc>
        <w:tc>
          <w:tcPr>
            <w:tcW w:w="911" w:type="pct"/>
            <w:noWrap/>
            <w:hideMark/>
          </w:tcPr>
          <w:p w14:paraId="0DC8AF24"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11.1</w:t>
            </w:r>
          </w:p>
        </w:tc>
        <w:tc>
          <w:tcPr>
            <w:tcW w:w="911" w:type="pct"/>
            <w:noWrap/>
            <w:hideMark/>
          </w:tcPr>
          <w:p w14:paraId="66F3AB8D"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11.2</w:t>
            </w:r>
          </w:p>
        </w:tc>
      </w:tr>
      <w:tr w:rsidR="007F44B9" w:rsidRPr="002E06C4" w14:paraId="47720F77" w14:textId="77777777" w:rsidTr="00C5110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178" w:type="pct"/>
            <w:noWrap/>
            <w:hideMark/>
          </w:tcPr>
          <w:p w14:paraId="55C0155D"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Shqipëria</w:t>
            </w:r>
          </w:p>
        </w:tc>
        <w:tc>
          <w:tcPr>
            <w:tcW w:w="911" w:type="pct"/>
            <w:noWrap/>
            <w:hideMark/>
          </w:tcPr>
          <w:p w14:paraId="45008560"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14.1</w:t>
            </w:r>
          </w:p>
        </w:tc>
        <w:tc>
          <w:tcPr>
            <w:tcW w:w="911" w:type="pct"/>
            <w:noWrap/>
            <w:hideMark/>
          </w:tcPr>
          <w:p w14:paraId="40097FA1"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12.8</w:t>
            </w:r>
          </w:p>
        </w:tc>
      </w:tr>
      <w:tr w:rsidR="007F44B9" w:rsidRPr="002E06C4" w14:paraId="488F6904" w14:textId="77777777" w:rsidTr="00C51102">
        <w:trPr>
          <w:trHeight w:val="89"/>
        </w:trPr>
        <w:tc>
          <w:tcPr>
            <w:cnfStyle w:val="001000000000" w:firstRow="0" w:lastRow="0" w:firstColumn="1" w:lastColumn="0" w:oddVBand="0" w:evenVBand="0" w:oddHBand="0" w:evenHBand="0" w:firstRowFirstColumn="0" w:firstRowLastColumn="0" w:lastRowFirstColumn="0" w:lastRowLastColumn="0"/>
            <w:tcW w:w="3178" w:type="pct"/>
            <w:noWrap/>
            <w:hideMark/>
          </w:tcPr>
          <w:p w14:paraId="7DC8291C"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Bosnja dhe Hercegovina</w:t>
            </w:r>
          </w:p>
        </w:tc>
        <w:tc>
          <w:tcPr>
            <w:tcW w:w="911" w:type="pct"/>
            <w:noWrap/>
            <w:hideMark/>
          </w:tcPr>
          <w:p w14:paraId="02DE120F"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20.5</w:t>
            </w:r>
          </w:p>
        </w:tc>
        <w:tc>
          <w:tcPr>
            <w:tcW w:w="911" w:type="pct"/>
            <w:noWrap/>
            <w:hideMark/>
          </w:tcPr>
          <w:p w14:paraId="1C6778BB"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18.4</w:t>
            </w:r>
          </w:p>
        </w:tc>
      </w:tr>
      <w:tr w:rsidR="007F44B9" w:rsidRPr="002E06C4" w14:paraId="5D2433E7" w14:textId="77777777" w:rsidTr="00C5110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178" w:type="pct"/>
            <w:noWrap/>
            <w:hideMark/>
          </w:tcPr>
          <w:p w14:paraId="40BC8915"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Kosova</w:t>
            </w:r>
          </w:p>
        </w:tc>
        <w:tc>
          <w:tcPr>
            <w:tcW w:w="911" w:type="pct"/>
            <w:noWrap/>
            <w:hideMark/>
          </w:tcPr>
          <w:p w14:paraId="1BE3C12C"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30.5</w:t>
            </w:r>
          </w:p>
        </w:tc>
        <w:tc>
          <w:tcPr>
            <w:tcW w:w="911" w:type="pct"/>
            <w:noWrap/>
            <w:hideMark/>
          </w:tcPr>
          <w:p w14:paraId="0B7686F6"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29.6</w:t>
            </w:r>
          </w:p>
        </w:tc>
      </w:tr>
    </w:tbl>
    <w:p w14:paraId="50E80905" w14:textId="77777777" w:rsidR="007F44B9" w:rsidRPr="002E06C4" w:rsidRDefault="007F44B9" w:rsidP="007F44B9">
      <w:pPr>
        <w:spacing w:line="276" w:lineRule="auto"/>
        <w:ind w:firstLine="720"/>
        <w:jc w:val="both"/>
        <w:rPr>
          <w:rFonts w:asciiTheme="majorHAnsi" w:hAnsiTheme="majorHAnsi" w:cs="Times New Roman"/>
          <w:i/>
          <w:sz w:val="20"/>
          <w:szCs w:val="18"/>
          <w:lang w:val="sq-AL"/>
        </w:rPr>
      </w:pPr>
      <w:r w:rsidRPr="002E06C4">
        <w:rPr>
          <w:rFonts w:asciiTheme="majorHAnsi" w:hAnsiTheme="majorHAnsi" w:cs="Times New Roman"/>
          <w:i/>
          <w:sz w:val="20"/>
          <w:szCs w:val="18"/>
          <w:lang w:val="sq-AL"/>
        </w:rPr>
        <w:t>Burimi: Directorate-General for Economic and Financial Affairs (DG-ECFIN)</w:t>
      </w:r>
    </w:p>
    <w:p w14:paraId="70AEF86E" w14:textId="77777777" w:rsidR="007F44B9" w:rsidRPr="002E06C4" w:rsidRDefault="007F44B9" w:rsidP="007F44B9">
      <w:pPr>
        <w:spacing w:line="276" w:lineRule="auto"/>
        <w:jc w:val="both"/>
        <w:rPr>
          <w:rFonts w:asciiTheme="majorHAnsi" w:hAnsiTheme="majorHAnsi" w:cs="Times New Roman"/>
          <w:sz w:val="12"/>
          <w:szCs w:val="12"/>
          <w:lang w:val="sq-AL"/>
        </w:rPr>
      </w:pPr>
    </w:p>
    <w:p w14:paraId="037D7838" w14:textId="36AB6E3D" w:rsidR="007F44B9" w:rsidRDefault="009C466A" w:rsidP="00366E32">
      <w:pPr>
        <w:spacing w:line="276" w:lineRule="auto"/>
        <w:jc w:val="both"/>
        <w:rPr>
          <w:rFonts w:asciiTheme="majorHAnsi" w:hAnsiTheme="majorHAnsi" w:cs="Times New Roman"/>
          <w:lang w:val="sq-AL"/>
        </w:rPr>
      </w:pPr>
      <w:bookmarkStart w:id="20" w:name="_Toc515446549"/>
      <w:r w:rsidRPr="005B3E6B">
        <w:rPr>
          <w:rFonts w:asciiTheme="majorHAnsi" w:hAnsiTheme="majorHAnsi" w:cs="Times New Roman"/>
          <w:lang w:val="sq-AL"/>
        </w:rPr>
        <w:lastRenderedPageBreak/>
        <w:t>Si rezultat i bazës të kufizuar të prodhimit dhe  konkurrueshmërisë, deficitet e tregtisë së mallrave mbeten shumë të larta në të gjithë Ballkanin Perëndimor. Deficitet tregtare janë kompensuar pjesërisht nga tepricat në llogarinë e shërbimeve dhe në transfertat korrente, duke rezultuar në nevoja të mëdha të financimit të huaj. Zhvillimet e llogarive të jashtme në rajon gjatë vitit 2018 tregojnë një pamje mjaft të ndryshme. Krahasuar me një vit më parë, deficiti i llogarisë korrente u zgjerua në Mal të Zi dhe Kosovë, ndërsa u ngushtua në Maqedoni, Shqipëri dhe Bosnje e Hercegovine. Në total, deficiti i llogarisë korrente në rajon arriti në 5.4% të PBB-së, pothuajse i pandryshuar me atë të vitit paraardhës. Deficitet e jashtme në Ballkanin Perëndimor vazhdojnë të financohen kryesisht nga hyrjet neto të IHD-ve.</w:t>
      </w:r>
    </w:p>
    <w:p w14:paraId="42082D3B" w14:textId="77777777" w:rsidR="009C466A" w:rsidRPr="009C466A" w:rsidRDefault="009C466A" w:rsidP="009C466A">
      <w:pPr>
        <w:jc w:val="both"/>
        <w:rPr>
          <w:rFonts w:asciiTheme="majorHAnsi" w:hAnsiTheme="majorHAnsi" w:cs="Times New Roman"/>
          <w:sz w:val="8"/>
          <w:lang w:val="sq-AL"/>
        </w:rPr>
      </w:pPr>
    </w:p>
    <w:p w14:paraId="7F79B151" w14:textId="77777777" w:rsidR="00140052" w:rsidRDefault="00140052" w:rsidP="00140052">
      <w:pPr>
        <w:pStyle w:val="Caption"/>
        <w:keepNext/>
        <w:spacing w:after="0"/>
      </w:pPr>
      <w:bookmarkStart w:id="21" w:name="_Toc11135117"/>
      <w:bookmarkEnd w:id="20"/>
      <w:r>
        <w:t xml:space="preserve">Tabela </w:t>
      </w:r>
      <w:r w:rsidR="003D3813">
        <w:fldChar w:fldCharType="begin"/>
      </w:r>
      <w:r w:rsidR="003D3813">
        <w:instrText xml:space="preserve"> SEQ Tabela \* ARABIC </w:instrText>
      </w:r>
      <w:r w:rsidR="003D3813">
        <w:fldChar w:fldCharType="separate"/>
      </w:r>
      <w:r w:rsidR="006A57F3">
        <w:rPr>
          <w:noProof/>
        </w:rPr>
        <w:t>3</w:t>
      </w:r>
      <w:r w:rsidR="003D3813">
        <w:rPr>
          <w:noProof/>
        </w:rPr>
        <w:fldChar w:fldCharType="end"/>
      </w:r>
      <w:r w:rsidRPr="00140052">
        <w:rPr>
          <w:rFonts w:asciiTheme="majorHAnsi" w:hAnsiTheme="majorHAnsi" w:cs="Times New Roman"/>
          <w:lang w:val="sq-AL"/>
        </w:rPr>
        <w:t xml:space="preserve"> </w:t>
      </w:r>
      <w:r w:rsidRPr="002E06C4">
        <w:rPr>
          <w:rFonts w:asciiTheme="majorHAnsi" w:hAnsiTheme="majorHAnsi" w:cs="Times New Roman"/>
          <w:lang w:val="sq-AL"/>
        </w:rPr>
        <w:t>Bilanci tregtar</w:t>
      </w:r>
      <w:bookmarkEnd w:id="21"/>
    </w:p>
    <w:tbl>
      <w:tblPr>
        <w:tblStyle w:val="GridTable4-Accent11"/>
        <w:tblW w:w="5000" w:type="pct"/>
        <w:tblLook w:val="04A0" w:firstRow="1" w:lastRow="0" w:firstColumn="1" w:lastColumn="0" w:noHBand="0" w:noVBand="1"/>
      </w:tblPr>
      <w:tblGrid>
        <w:gridCol w:w="6654"/>
        <w:gridCol w:w="1911"/>
        <w:gridCol w:w="1911"/>
      </w:tblGrid>
      <w:tr w:rsidR="007F44B9" w:rsidRPr="002E06C4" w14:paraId="1CCADE2D" w14:textId="77777777" w:rsidTr="0014005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76" w:type="pct"/>
            <w:hideMark/>
          </w:tcPr>
          <w:p w14:paraId="7A945A5F" w14:textId="77777777" w:rsidR="007F44B9" w:rsidRPr="002E06C4" w:rsidRDefault="007F44B9" w:rsidP="00C51102">
            <w:pPr>
              <w:jc w:val="center"/>
              <w:rPr>
                <w:rFonts w:asciiTheme="majorHAnsi" w:hAnsiTheme="majorHAnsi" w:cs="Times New Roman"/>
                <w:b w:val="0"/>
                <w:bCs w:val="0"/>
                <w:sz w:val="20"/>
                <w:szCs w:val="20"/>
                <w:lang w:val="sq-AL"/>
              </w:rPr>
            </w:pPr>
            <w:r w:rsidRPr="002E06C4">
              <w:rPr>
                <w:rFonts w:asciiTheme="majorHAnsi" w:hAnsiTheme="majorHAnsi" w:cs="Times New Roman"/>
                <w:b w:val="0"/>
                <w:bCs w:val="0"/>
                <w:sz w:val="20"/>
                <w:szCs w:val="20"/>
                <w:lang w:val="sq-AL"/>
              </w:rPr>
              <w:t xml:space="preserve">Bilanci tregtar (i mallrave) </w:t>
            </w:r>
            <w:r w:rsidRPr="002E06C4">
              <w:rPr>
                <w:rFonts w:asciiTheme="majorHAnsi" w:hAnsiTheme="majorHAnsi" w:cs="Times New Roman"/>
                <w:bCs w:val="0"/>
                <w:sz w:val="20"/>
                <w:szCs w:val="20"/>
                <w:lang w:val="sq-AL"/>
              </w:rPr>
              <w:t>(ne % te PBB)</w:t>
            </w:r>
          </w:p>
        </w:tc>
        <w:tc>
          <w:tcPr>
            <w:tcW w:w="912" w:type="pct"/>
            <w:hideMark/>
          </w:tcPr>
          <w:p w14:paraId="285BE8B9"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b w:val="0"/>
                <w:sz w:val="20"/>
                <w:szCs w:val="20"/>
                <w:lang w:val="sq-AL"/>
              </w:rPr>
              <w:t>2017</w:t>
            </w:r>
          </w:p>
        </w:tc>
        <w:tc>
          <w:tcPr>
            <w:tcW w:w="912" w:type="pct"/>
            <w:hideMark/>
          </w:tcPr>
          <w:p w14:paraId="68FBBE92"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b w:val="0"/>
                <w:sz w:val="20"/>
                <w:szCs w:val="20"/>
                <w:lang w:val="sq-AL"/>
              </w:rPr>
              <w:t>2018</w:t>
            </w:r>
          </w:p>
        </w:tc>
      </w:tr>
      <w:tr w:rsidR="007F44B9" w:rsidRPr="002E06C4" w14:paraId="79BF3EAA" w14:textId="77777777" w:rsidTr="00140052">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3176" w:type="pct"/>
            <w:noWrap/>
            <w:hideMark/>
          </w:tcPr>
          <w:p w14:paraId="2DBA36D8" w14:textId="77777777" w:rsidR="007F44B9" w:rsidRPr="002E06C4" w:rsidRDefault="007F44B9" w:rsidP="00C5110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Maqedonia</w:t>
            </w:r>
          </w:p>
        </w:tc>
        <w:tc>
          <w:tcPr>
            <w:tcW w:w="912" w:type="pct"/>
            <w:noWrap/>
            <w:hideMark/>
          </w:tcPr>
          <w:p w14:paraId="5BD6D5C8"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-17.9</w:t>
            </w:r>
          </w:p>
        </w:tc>
        <w:tc>
          <w:tcPr>
            <w:tcW w:w="912" w:type="pct"/>
            <w:noWrap/>
            <w:hideMark/>
          </w:tcPr>
          <w:p w14:paraId="5BD44746"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-16.2</w:t>
            </w:r>
          </w:p>
        </w:tc>
      </w:tr>
      <w:tr w:rsidR="007F44B9" w:rsidRPr="002E06C4" w14:paraId="0DAE4EC6" w14:textId="77777777" w:rsidTr="00140052">
        <w:trPr>
          <w:trHeight w:val="58"/>
        </w:trPr>
        <w:tc>
          <w:tcPr>
            <w:cnfStyle w:val="001000000000" w:firstRow="0" w:lastRow="0" w:firstColumn="1" w:lastColumn="0" w:oddVBand="0" w:evenVBand="0" w:oddHBand="0" w:evenHBand="0" w:firstRowFirstColumn="0" w:firstRowLastColumn="0" w:lastRowFirstColumn="0" w:lastRowLastColumn="0"/>
            <w:tcW w:w="3176" w:type="pct"/>
            <w:noWrap/>
            <w:hideMark/>
          </w:tcPr>
          <w:p w14:paraId="38D3F1B9" w14:textId="77777777" w:rsidR="007F44B9" w:rsidRPr="002E06C4" w:rsidRDefault="007F44B9" w:rsidP="00C5110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Mali i Z</w:t>
            </w:r>
            <w:r w:rsidR="00651DF4" w:rsidRPr="002E06C4">
              <w:rPr>
                <w:rFonts w:asciiTheme="majorHAnsi" w:hAnsiTheme="majorHAnsi" w:cs="Times New Roman"/>
                <w:sz w:val="20"/>
                <w:szCs w:val="20"/>
                <w:lang w:val="sq-AL"/>
              </w:rPr>
              <w:t>i</w:t>
            </w:r>
          </w:p>
        </w:tc>
        <w:tc>
          <w:tcPr>
            <w:tcW w:w="912" w:type="pct"/>
            <w:noWrap/>
            <w:hideMark/>
          </w:tcPr>
          <w:p w14:paraId="35ED2AB0"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-43.3</w:t>
            </w:r>
          </w:p>
        </w:tc>
        <w:tc>
          <w:tcPr>
            <w:tcW w:w="912" w:type="pct"/>
            <w:noWrap/>
            <w:hideMark/>
          </w:tcPr>
          <w:p w14:paraId="668B6BAA"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-44.4</w:t>
            </w:r>
          </w:p>
        </w:tc>
      </w:tr>
      <w:tr w:rsidR="007F44B9" w:rsidRPr="002E06C4" w14:paraId="15C65F39" w14:textId="77777777" w:rsidTr="0014005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176" w:type="pct"/>
            <w:noWrap/>
            <w:hideMark/>
          </w:tcPr>
          <w:p w14:paraId="7310B8A0" w14:textId="77777777" w:rsidR="007F44B9" w:rsidRPr="002E06C4" w:rsidRDefault="007F44B9" w:rsidP="00C5110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Serbia</w:t>
            </w:r>
          </w:p>
        </w:tc>
        <w:tc>
          <w:tcPr>
            <w:tcW w:w="912" w:type="pct"/>
            <w:noWrap/>
            <w:hideMark/>
          </w:tcPr>
          <w:p w14:paraId="6387C2E4"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-11.1</w:t>
            </w:r>
          </w:p>
        </w:tc>
        <w:tc>
          <w:tcPr>
            <w:tcW w:w="912" w:type="pct"/>
            <w:noWrap/>
            <w:hideMark/>
          </w:tcPr>
          <w:p w14:paraId="6A4C8CE7"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-13.2</w:t>
            </w:r>
          </w:p>
        </w:tc>
      </w:tr>
      <w:tr w:rsidR="007F44B9" w:rsidRPr="002E06C4" w14:paraId="32583548" w14:textId="77777777" w:rsidTr="00140052">
        <w:trPr>
          <w:trHeight w:val="62"/>
        </w:trPr>
        <w:tc>
          <w:tcPr>
            <w:cnfStyle w:val="001000000000" w:firstRow="0" w:lastRow="0" w:firstColumn="1" w:lastColumn="0" w:oddVBand="0" w:evenVBand="0" w:oddHBand="0" w:evenHBand="0" w:firstRowFirstColumn="0" w:firstRowLastColumn="0" w:lastRowFirstColumn="0" w:lastRowLastColumn="0"/>
            <w:tcW w:w="3176" w:type="pct"/>
            <w:noWrap/>
            <w:hideMark/>
          </w:tcPr>
          <w:p w14:paraId="763FD75C" w14:textId="77777777" w:rsidR="007F44B9" w:rsidRPr="002E06C4" w:rsidRDefault="007F44B9" w:rsidP="00C5110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Turqia</w:t>
            </w:r>
          </w:p>
        </w:tc>
        <w:tc>
          <w:tcPr>
            <w:tcW w:w="912" w:type="pct"/>
            <w:noWrap/>
            <w:hideMark/>
          </w:tcPr>
          <w:p w14:paraId="0A35D378"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-6.9</w:t>
            </w:r>
          </w:p>
        </w:tc>
        <w:tc>
          <w:tcPr>
            <w:tcW w:w="912" w:type="pct"/>
            <w:noWrap/>
            <w:hideMark/>
          </w:tcPr>
          <w:p w14:paraId="4DFE5D90"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-5.4</w:t>
            </w:r>
          </w:p>
        </w:tc>
      </w:tr>
      <w:tr w:rsidR="007F44B9" w:rsidRPr="002E06C4" w14:paraId="3334FE50" w14:textId="77777777" w:rsidTr="00140052">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176" w:type="pct"/>
            <w:noWrap/>
            <w:hideMark/>
          </w:tcPr>
          <w:p w14:paraId="7D00C812" w14:textId="77777777" w:rsidR="007F44B9" w:rsidRPr="002E06C4" w:rsidRDefault="007F44B9" w:rsidP="00C5110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Shqipëria</w:t>
            </w:r>
          </w:p>
        </w:tc>
        <w:tc>
          <w:tcPr>
            <w:tcW w:w="912" w:type="pct"/>
            <w:noWrap/>
            <w:hideMark/>
          </w:tcPr>
          <w:p w14:paraId="22084E3B"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-24.3</w:t>
            </w:r>
          </w:p>
        </w:tc>
        <w:tc>
          <w:tcPr>
            <w:tcW w:w="912" w:type="pct"/>
            <w:noWrap/>
            <w:hideMark/>
          </w:tcPr>
          <w:p w14:paraId="33ADF24B"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-22.3</w:t>
            </w:r>
          </w:p>
        </w:tc>
      </w:tr>
      <w:tr w:rsidR="007F44B9" w:rsidRPr="002E06C4" w14:paraId="0A8AEB16" w14:textId="77777777" w:rsidTr="00140052">
        <w:trPr>
          <w:trHeight w:val="89"/>
        </w:trPr>
        <w:tc>
          <w:tcPr>
            <w:cnfStyle w:val="001000000000" w:firstRow="0" w:lastRow="0" w:firstColumn="1" w:lastColumn="0" w:oddVBand="0" w:evenVBand="0" w:oddHBand="0" w:evenHBand="0" w:firstRowFirstColumn="0" w:firstRowLastColumn="0" w:lastRowFirstColumn="0" w:lastRowLastColumn="0"/>
            <w:tcW w:w="3176" w:type="pct"/>
            <w:noWrap/>
            <w:hideMark/>
          </w:tcPr>
          <w:p w14:paraId="130D1F74" w14:textId="77777777" w:rsidR="007F44B9" w:rsidRPr="002E06C4" w:rsidRDefault="007F44B9" w:rsidP="00C5110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Bosnja dhe Hercegovina</w:t>
            </w:r>
          </w:p>
        </w:tc>
        <w:tc>
          <w:tcPr>
            <w:tcW w:w="912" w:type="pct"/>
            <w:noWrap/>
            <w:hideMark/>
          </w:tcPr>
          <w:p w14:paraId="797C5731"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-22.7</w:t>
            </w:r>
          </w:p>
        </w:tc>
        <w:tc>
          <w:tcPr>
            <w:tcW w:w="912" w:type="pct"/>
            <w:noWrap/>
            <w:hideMark/>
          </w:tcPr>
          <w:p w14:paraId="3229D987"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-22.2</w:t>
            </w:r>
          </w:p>
        </w:tc>
      </w:tr>
      <w:tr w:rsidR="007F44B9" w:rsidRPr="002E06C4" w14:paraId="6724A41C" w14:textId="77777777" w:rsidTr="0014005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76" w:type="pct"/>
            <w:noWrap/>
            <w:hideMark/>
          </w:tcPr>
          <w:p w14:paraId="0E6952B5" w14:textId="77777777" w:rsidR="007F44B9" w:rsidRPr="002E06C4" w:rsidRDefault="007F44B9" w:rsidP="00C5110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Kosova</w:t>
            </w:r>
          </w:p>
        </w:tc>
        <w:tc>
          <w:tcPr>
            <w:tcW w:w="912" w:type="pct"/>
            <w:noWrap/>
            <w:hideMark/>
          </w:tcPr>
          <w:p w14:paraId="7996A791"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-42.5</w:t>
            </w:r>
          </w:p>
        </w:tc>
        <w:tc>
          <w:tcPr>
            <w:tcW w:w="912" w:type="pct"/>
            <w:noWrap/>
            <w:hideMark/>
          </w:tcPr>
          <w:p w14:paraId="23A76043"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-45.5</w:t>
            </w:r>
          </w:p>
        </w:tc>
      </w:tr>
    </w:tbl>
    <w:p w14:paraId="03B8A1BD" w14:textId="77777777" w:rsidR="007F44B9" w:rsidRPr="002E06C4" w:rsidRDefault="007F44B9" w:rsidP="007F44B9">
      <w:pPr>
        <w:spacing w:line="276" w:lineRule="auto"/>
        <w:ind w:firstLine="720"/>
        <w:jc w:val="both"/>
        <w:rPr>
          <w:rFonts w:asciiTheme="majorHAnsi" w:hAnsiTheme="majorHAnsi" w:cs="Times New Roman"/>
          <w:i/>
          <w:sz w:val="20"/>
          <w:szCs w:val="18"/>
          <w:lang w:val="sq-AL"/>
        </w:rPr>
      </w:pPr>
      <w:r w:rsidRPr="002E06C4">
        <w:rPr>
          <w:rFonts w:asciiTheme="majorHAnsi" w:hAnsiTheme="majorHAnsi" w:cs="Times New Roman"/>
          <w:i/>
          <w:sz w:val="20"/>
          <w:szCs w:val="18"/>
          <w:lang w:val="sq-AL"/>
        </w:rPr>
        <w:t>Burimi: Directorate-General for Economic and Financial Affairs (DG-ECFIN)</w:t>
      </w:r>
    </w:p>
    <w:p w14:paraId="1DA8F434" w14:textId="77777777" w:rsidR="00366E32" w:rsidRPr="00366E32" w:rsidRDefault="00366E32" w:rsidP="00366E32">
      <w:pPr>
        <w:jc w:val="both"/>
        <w:rPr>
          <w:rFonts w:asciiTheme="majorHAnsi" w:hAnsiTheme="majorHAnsi" w:cs="Times New Roman"/>
          <w:sz w:val="4"/>
          <w:szCs w:val="4"/>
          <w:lang w:val="sq-AL"/>
        </w:rPr>
      </w:pPr>
      <w:bookmarkStart w:id="22" w:name="_Toc515446550"/>
    </w:p>
    <w:p w14:paraId="5D2181C9" w14:textId="294527F1" w:rsidR="00140052" w:rsidRDefault="009C466A" w:rsidP="00366E32">
      <w:pPr>
        <w:spacing w:line="276" w:lineRule="auto"/>
        <w:jc w:val="both"/>
        <w:rPr>
          <w:rFonts w:asciiTheme="majorHAnsi" w:hAnsiTheme="majorHAnsi" w:cs="Times New Roman"/>
          <w:lang w:val="sq-AL"/>
        </w:rPr>
      </w:pPr>
      <w:r w:rsidRPr="005B3E6B">
        <w:rPr>
          <w:rFonts w:asciiTheme="majorHAnsi" w:hAnsiTheme="majorHAnsi" w:cs="Times New Roman"/>
          <w:lang w:val="sq-AL"/>
        </w:rPr>
        <w:t>Gjatë vitit 2018, inflacioni mbeti i moderuar pavarësisht kërkesës së brendshme më të madhe dhe çmimeve më të larta të ushqimeve, duke lejuar një vazhdim të politikës monetare lehtësuese për vendet me politika monetare të pavarur.</w:t>
      </w:r>
      <w:bookmarkEnd w:id="22"/>
    </w:p>
    <w:p w14:paraId="697CE9B6" w14:textId="77777777" w:rsidR="00140052" w:rsidRPr="00140052" w:rsidRDefault="00140052" w:rsidP="007F44B9">
      <w:pPr>
        <w:spacing w:line="276" w:lineRule="auto"/>
        <w:jc w:val="both"/>
        <w:rPr>
          <w:rFonts w:asciiTheme="majorHAnsi" w:hAnsiTheme="majorHAnsi" w:cs="Times New Roman"/>
          <w:sz w:val="12"/>
          <w:lang w:val="sq-AL"/>
        </w:rPr>
      </w:pPr>
    </w:p>
    <w:p w14:paraId="781EE852" w14:textId="77777777" w:rsidR="00140052" w:rsidRPr="002E06C4" w:rsidRDefault="00140052" w:rsidP="00140052">
      <w:pPr>
        <w:pStyle w:val="Caption"/>
        <w:keepNext/>
        <w:spacing w:after="0"/>
        <w:rPr>
          <w:rFonts w:asciiTheme="majorHAnsi" w:hAnsiTheme="majorHAnsi" w:cs="Times New Roman"/>
          <w:lang w:val="sq-AL"/>
        </w:rPr>
      </w:pPr>
      <w:bookmarkStart w:id="23" w:name="_Toc11135118"/>
      <w:r>
        <w:t xml:space="preserve">Tabela </w:t>
      </w:r>
      <w:r w:rsidR="003D3813">
        <w:fldChar w:fldCharType="begin"/>
      </w:r>
      <w:r w:rsidR="003D3813">
        <w:instrText xml:space="preserve"> SEQ Tabela \* ARABIC </w:instrText>
      </w:r>
      <w:r w:rsidR="003D3813">
        <w:fldChar w:fldCharType="separate"/>
      </w:r>
      <w:r w:rsidR="006A57F3">
        <w:rPr>
          <w:noProof/>
        </w:rPr>
        <w:t>4</w:t>
      </w:r>
      <w:r w:rsidR="003D3813">
        <w:rPr>
          <w:noProof/>
        </w:rPr>
        <w:fldChar w:fldCharType="end"/>
      </w:r>
      <w:r w:rsidRPr="00140052">
        <w:rPr>
          <w:rFonts w:asciiTheme="majorHAnsi" w:hAnsiTheme="majorHAnsi" w:cs="Times New Roman"/>
          <w:lang w:val="sq-AL"/>
        </w:rPr>
        <w:t xml:space="preserve"> </w:t>
      </w:r>
      <w:r w:rsidRPr="002E06C4">
        <w:rPr>
          <w:rFonts w:asciiTheme="majorHAnsi" w:hAnsiTheme="majorHAnsi" w:cs="Times New Roman"/>
          <w:lang w:val="sq-AL"/>
        </w:rPr>
        <w:t>Norma e inflacionit</w:t>
      </w:r>
      <w:bookmarkEnd w:id="23"/>
    </w:p>
    <w:tbl>
      <w:tblPr>
        <w:tblStyle w:val="GridTable4-Accent11"/>
        <w:tblW w:w="5000" w:type="pct"/>
        <w:tblLook w:val="04A0" w:firstRow="1" w:lastRow="0" w:firstColumn="1" w:lastColumn="0" w:noHBand="0" w:noVBand="1"/>
      </w:tblPr>
      <w:tblGrid>
        <w:gridCol w:w="7620"/>
        <w:gridCol w:w="1381"/>
        <w:gridCol w:w="1475"/>
      </w:tblGrid>
      <w:tr w:rsidR="007F44B9" w:rsidRPr="002E06C4" w14:paraId="38EB97D1" w14:textId="77777777" w:rsidTr="0014005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637" w:type="pct"/>
            <w:hideMark/>
          </w:tcPr>
          <w:p w14:paraId="54C37FA2" w14:textId="77777777" w:rsidR="007F44B9" w:rsidRPr="002E06C4" w:rsidRDefault="007F44B9" w:rsidP="00C51102">
            <w:pPr>
              <w:jc w:val="center"/>
              <w:rPr>
                <w:rFonts w:asciiTheme="majorHAnsi" w:hAnsiTheme="majorHAnsi" w:cs="Times New Roman"/>
                <w:b w:val="0"/>
                <w:bCs w:val="0"/>
                <w:sz w:val="20"/>
                <w:szCs w:val="20"/>
                <w:lang w:val="sq-AL"/>
              </w:rPr>
            </w:pPr>
            <w:r w:rsidRPr="002E06C4">
              <w:rPr>
                <w:rFonts w:asciiTheme="majorHAnsi" w:hAnsiTheme="majorHAnsi" w:cs="Times New Roman"/>
                <w:b w:val="0"/>
                <w:bCs w:val="0"/>
                <w:sz w:val="20"/>
                <w:szCs w:val="20"/>
                <w:lang w:val="sq-AL"/>
              </w:rPr>
              <w:t xml:space="preserve">Indeksi i Çmimeve të Konsumatorit (Inflacioni) </w:t>
            </w:r>
            <w:r w:rsidRPr="002E06C4">
              <w:rPr>
                <w:rFonts w:asciiTheme="majorHAnsi" w:hAnsiTheme="majorHAnsi" w:cs="Times New Roman"/>
                <w:i/>
                <w:iCs/>
                <w:sz w:val="20"/>
                <w:szCs w:val="20"/>
                <w:lang w:val="sq-AL"/>
              </w:rPr>
              <w:t>(ndryshimi vjetor në %)</w:t>
            </w:r>
          </w:p>
        </w:tc>
        <w:tc>
          <w:tcPr>
            <w:tcW w:w="659" w:type="pct"/>
            <w:hideMark/>
          </w:tcPr>
          <w:p w14:paraId="6B044EC7"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b w:val="0"/>
                <w:sz w:val="20"/>
                <w:szCs w:val="20"/>
                <w:lang w:val="sq-AL"/>
              </w:rPr>
              <w:t>2017</w:t>
            </w:r>
          </w:p>
        </w:tc>
        <w:tc>
          <w:tcPr>
            <w:tcW w:w="704" w:type="pct"/>
            <w:hideMark/>
          </w:tcPr>
          <w:p w14:paraId="1F4F1BD6"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 </w:t>
            </w:r>
            <w:r w:rsidRPr="002E06C4">
              <w:rPr>
                <w:rFonts w:asciiTheme="majorHAnsi" w:hAnsiTheme="majorHAnsi" w:cs="Times New Roman"/>
                <w:b w:val="0"/>
                <w:sz w:val="20"/>
                <w:szCs w:val="20"/>
                <w:lang w:val="sq-AL"/>
              </w:rPr>
              <w:t>2018</w:t>
            </w:r>
          </w:p>
        </w:tc>
      </w:tr>
      <w:tr w:rsidR="007F44B9" w:rsidRPr="002E06C4" w14:paraId="02733A22" w14:textId="77777777" w:rsidTr="0014005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37" w:type="pct"/>
            <w:noWrap/>
            <w:hideMark/>
          </w:tcPr>
          <w:p w14:paraId="412BF3CF"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Maqedonia</w:t>
            </w:r>
          </w:p>
        </w:tc>
        <w:tc>
          <w:tcPr>
            <w:tcW w:w="659" w:type="pct"/>
            <w:noWrap/>
            <w:hideMark/>
          </w:tcPr>
          <w:p w14:paraId="4E351F98"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1.4</w:t>
            </w:r>
          </w:p>
        </w:tc>
        <w:tc>
          <w:tcPr>
            <w:tcW w:w="704" w:type="pct"/>
            <w:noWrap/>
            <w:hideMark/>
          </w:tcPr>
          <w:p w14:paraId="6709EA6D"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1.5</w:t>
            </w:r>
          </w:p>
        </w:tc>
      </w:tr>
      <w:tr w:rsidR="007F44B9" w:rsidRPr="002E06C4" w14:paraId="6397CA3C" w14:textId="77777777" w:rsidTr="00140052">
        <w:trPr>
          <w:trHeight w:val="276"/>
        </w:trPr>
        <w:tc>
          <w:tcPr>
            <w:cnfStyle w:val="001000000000" w:firstRow="0" w:lastRow="0" w:firstColumn="1" w:lastColumn="0" w:oddVBand="0" w:evenVBand="0" w:oddHBand="0" w:evenHBand="0" w:firstRowFirstColumn="0" w:firstRowLastColumn="0" w:lastRowFirstColumn="0" w:lastRowLastColumn="0"/>
            <w:tcW w:w="3637" w:type="pct"/>
            <w:noWrap/>
            <w:hideMark/>
          </w:tcPr>
          <w:p w14:paraId="1989D85C"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Mali i ZI</w:t>
            </w:r>
          </w:p>
        </w:tc>
        <w:tc>
          <w:tcPr>
            <w:tcW w:w="659" w:type="pct"/>
            <w:noWrap/>
            <w:hideMark/>
          </w:tcPr>
          <w:p w14:paraId="583E0921"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2.8</w:t>
            </w:r>
          </w:p>
        </w:tc>
        <w:tc>
          <w:tcPr>
            <w:tcW w:w="704" w:type="pct"/>
            <w:noWrap/>
            <w:hideMark/>
          </w:tcPr>
          <w:p w14:paraId="5EF1214F"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2.9</w:t>
            </w:r>
          </w:p>
        </w:tc>
      </w:tr>
      <w:tr w:rsidR="007F44B9" w:rsidRPr="002E06C4" w14:paraId="46DDB8B0" w14:textId="77777777" w:rsidTr="0014005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37" w:type="pct"/>
            <w:noWrap/>
            <w:hideMark/>
          </w:tcPr>
          <w:p w14:paraId="51364746"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Serbia</w:t>
            </w:r>
          </w:p>
        </w:tc>
        <w:tc>
          <w:tcPr>
            <w:tcW w:w="659" w:type="pct"/>
            <w:noWrap/>
            <w:hideMark/>
          </w:tcPr>
          <w:p w14:paraId="2A591C5A"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3.1</w:t>
            </w:r>
          </w:p>
        </w:tc>
        <w:tc>
          <w:tcPr>
            <w:tcW w:w="704" w:type="pct"/>
            <w:noWrap/>
            <w:hideMark/>
          </w:tcPr>
          <w:p w14:paraId="37A16CF5"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2.4</w:t>
            </w:r>
          </w:p>
        </w:tc>
      </w:tr>
      <w:tr w:rsidR="007F44B9" w:rsidRPr="002E06C4" w14:paraId="08D124C9" w14:textId="77777777" w:rsidTr="00140052">
        <w:trPr>
          <w:trHeight w:val="276"/>
        </w:trPr>
        <w:tc>
          <w:tcPr>
            <w:cnfStyle w:val="001000000000" w:firstRow="0" w:lastRow="0" w:firstColumn="1" w:lastColumn="0" w:oddVBand="0" w:evenVBand="0" w:oddHBand="0" w:evenHBand="0" w:firstRowFirstColumn="0" w:firstRowLastColumn="0" w:lastRowFirstColumn="0" w:lastRowLastColumn="0"/>
            <w:tcW w:w="3637" w:type="pct"/>
            <w:tcBorders>
              <w:bottom w:val="single" w:sz="4" w:space="0" w:color="95B3D7" w:themeColor="accent1" w:themeTint="99"/>
            </w:tcBorders>
            <w:noWrap/>
            <w:hideMark/>
          </w:tcPr>
          <w:p w14:paraId="43030EEE"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Turqia</w:t>
            </w:r>
          </w:p>
        </w:tc>
        <w:tc>
          <w:tcPr>
            <w:tcW w:w="659" w:type="pct"/>
            <w:tcBorders>
              <w:bottom w:val="single" w:sz="4" w:space="0" w:color="95B3D7" w:themeColor="accent1" w:themeTint="99"/>
            </w:tcBorders>
            <w:noWrap/>
            <w:hideMark/>
          </w:tcPr>
          <w:p w14:paraId="676095E1"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11.1</w:t>
            </w:r>
          </w:p>
        </w:tc>
        <w:tc>
          <w:tcPr>
            <w:tcW w:w="704" w:type="pct"/>
            <w:tcBorders>
              <w:bottom w:val="single" w:sz="4" w:space="0" w:color="95B3D7" w:themeColor="accent1" w:themeTint="99"/>
            </w:tcBorders>
            <w:noWrap/>
            <w:hideMark/>
          </w:tcPr>
          <w:p w14:paraId="7F62B545"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16.3</w:t>
            </w:r>
          </w:p>
        </w:tc>
      </w:tr>
      <w:tr w:rsidR="007F44B9" w:rsidRPr="002E06C4" w14:paraId="7072010E" w14:textId="77777777" w:rsidTr="0014005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37" w:type="pct"/>
            <w:shd w:val="clear" w:color="auto" w:fill="548DD4" w:themeFill="text2" w:themeFillTint="99"/>
            <w:noWrap/>
            <w:hideMark/>
          </w:tcPr>
          <w:p w14:paraId="5A7CEB4A"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Shqipëria</w:t>
            </w:r>
          </w:p>
        </w:tc>
        <w:tc>
          <w:tcPr>
            <w:tcW w:w="659" w:type="pct"/>
            <w:shd w:val="clear" w:color="auto" w:fill="548DD4" w:themeFill="text2" w:themeFillTint="99"/>
            <w:noWrap/>
            <w:hideMark/>
          </w:tcPr>
          <w:p w14:paraId="055B5F89"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2.0</w:t>
            </w:r>
          </w:p>
        </w:tc>
        <w:tc>
          <w:tcPr>
            <w:tcW w:w="704" w:type="pct"/>
            <w:shd w:val="clear" w:color="auto" w:fill="548DD4" w:themeFill="text2" w:themeFillTint="99"/>
            <w:noWrap/>
            <w:hideMark/>
          </w:tcPr>
          <w:p w14:paraId="1D6CC298"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2.0</w:t>
            </w:r>
          </w:p>
        </w:tc>
      </w:tr>
      <w:tr w:rsidR="007F44B9" w:rsidRPr="002E06C4" w14:paraId="1A01EBCC" w14:textId="77777777" w:rsidTr="00140052">
        <w:trPr>
          <w:trHeight w:val="288"/>
        </w:trPr>
        <w:tc>
          <w:tcPr>
            <w:cnfStyle w:val="001000000000" w:firstRow="0" w:lastRow="0" w:firstColumn="1" w:lastColumn="0" w:oddVBand="0" w:evenVBand="0" w:oddHBand="0" w:evenHBand="0" w:firstRowFirstColumn="0" w:firstRowLastColumn="0" w:lastRowFirstColumn="0" w:lastRowLastColumn="0"/>
            <w:tcW w:w="3637" w:type="pct"/>
            <w:noWrap/>
            <w:hideMark/>
          </w:tcPr>
          <w:p w14:paraId="609F6CFF"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Bosnja dhe Hercegovina</w:t>
            </w:r>
          </w:p>
        </w:tc>
        <w:tc>
          <w:tcPr>
            <w:tcW w:w="659" w:type="pct"/>
            <w:noWrap/>
            <w:hideMark/>
          </w:tcPr>
          <w:p w14:paraId="5F2556AA"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0.8</w:t>
            </w:r>
          </w:p>
        </w:tc>
        <w:tc>
          <w:tcPr>
            <w:tcW w:w="704" w:type="pct"/>
            <w:noWrap/>
            <w:hideMark/>
          </w:tcPr>
          <w:p w14:paraId="367AA468"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1.4</w:t>
            </w:r>
          </w:p>
        </w:tc>
      </w:tr>
      <w:tr w:rsidR="007F44B9" w:rsidRPr="002E06C4" w14:paraId="1B02B52B" w14:textId="77777777" w:rsidTr="0014005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637" w:type="pct"/>
            <w:noWrap/>
            <w:hideMark/>
          </w:tcPr>
          <w:p w14:paraId="56BFA58F"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Kosova*</w:t>
            </w:r>
          </w:p>
        </w:tc>
        <w:tc>
          <w:tcPr>
            <w:tcW w:w="659" w:type="pct"/>
            <w:noWrap/>
            <w:hideMark/>
          </w:tcPr>
          <w:p w14:paraId="113F3E7C"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1.5</w:t>
            </w:r>
          </w:p>
        </w:tc>
        <w:tc>
          <w:tcPr>
            <w:tcW w:w="704" w:type="pct"/>
            <w:noWrap/>
            <w:hideMark/>
          </w:tcPr>
          <w:p w14:paraId="424CE53A"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1.1</w:t>
            </w:r>
          </w:p>
        </w:tc>
      </w:tr>
    </w:tbl>
    <w:p w14:paraId="51ECF6F4" w14:textId="77777777" w:rsidR="007F44B9" w:rsidRPr="002E06C4" w:rsidRDefault="007F44B9" w:rsidP="007F44B9">
      <w:pPr>
        <w:spacing w:line="276" w:lineRule="auto"/>
        <w:ind w:firstLine="720"/>
        <w:rPr>
          <w:rFonts w:asciiTheme="majorHAnsi" w:hAnsiTheme="majorHAnsi" w:cs="Times New Roman"/>
          <w:i/>
          <w:sz w:val="20"/>
          <w:szCs w:val="18"/>
          <w:lang w:val="sq-AL"/>
        </w:rPr>
      </w:pPr>
      <w:r w:rsidRPr="002E06C4">
        <w:rPr>
          <w:rFonts w:asciiTheme="majorHAnsi" w:hAnsiTheme="majorHAnsi" w:cs="Times New Roman"/>
          <w:i/>
          <w:sz w:val="20"/>
          <w:szCs w:val="18"/>
          <w:lang w:val="sq-AL"/>
        </w:rPr>
        <w:t>Burimi: Directorate-General for Economic and Financial Affairs (DG-ECFIN)</w:t>
      </w:r>
    </w:p>
    <w:p w14:paraId="41E02A17" w14:textId="5BB83FFF" w:rsidR="009C466A" w:rsidRPr="004F78E1" w:rsidRDefault="004F78E1" w:rsidP="009C466A">
      <w:pPr>
        <w:spacing w:before="240" w:line="276" w:lineRule="auto"/>
        <w:jc w:val="both"/>
        <w:rPr>
          <w:rFonts w:ascii="Calibri Light" w:hAnsi="Calibri Light"/>
          <w:lang w:val="sq-AL"/>
        </w:rPr>
      </w:pPr>
      <w:r>
        <w:rPr>
          <w:rFonts w:ascii="Calibri Light" w:hAnsi="Calibri Light"/>
          <w:lang w:val="sq-AL"/>
        </w:rPr>
        <w:t xml:space="preserve">Në vitin 2018, balancat fiskale në pjesën më të madhe të vendeve të Ballkanit Perëndimor arritën ose tejkaluan, objektivat e buxhetit. Deficiti mesatar ra nga -2.8 në -2.5 perqind te PBB, ndërkohë që niveli mesatar i borxhit publik mbeti rreth te njejtave nivele. </w:t>
      </w:r>
      <w:r>
        <w:rPr>
          <w:rFonts w:asciiTheme="majorHAnsi" w:hAnsiTheme="majorHAnsi" w:cs="Times New Roman"/>
          <w:lang w:val="sq-AL"/>
        </w:rPr>
        <w:t xml:space="preserve"> </w:t>
      </w:r>
      <w:r w:rsidR="009C466A" w:rsidRPr="009C466A">
        <w:rPr>
          <w:rFonts w:asciiTheme="majorHAnsi" w:hAnsiTheme="majorHAnsi" w:cs="Times New Roman"/>
          <w:lang w:val="sq-AL"/>
        </w:rPr>
        <w:t xml:space="preserve"> </w:t>
      </w:r>
    </w:p>
    <w:p w14:paraId="243FBCE7" w14:textId="77777777" w:rsidR="00140052" w:rsidRPr="00140052" w:rsidRDefault="00140052" w:rsidP="00140052">
      <w:pPr>
        <w:pStyle w:val="Caption"/>
        <w:keepNext/>
        <w:spacing w:after="0"/>
        <w:rPr>
          <w:rFonts w:asciiTheme="majorHAnsi" w:hAnsiTheme="majorHAnsi" w:cs="Times New Roman"/>
          <w:sz w:val="12"/>
          <w:lang w:val="sq-AL"/>
        </w:rPr>
      </w:pPr>
    </w:p>
    <w:p w14:paraId="3C3EBFB6" w14:textId="77777777" w:rsidR="00140052" w:rsidRDefault="00140052" w:rsidP="00140052">
      <w:pPr>
        <w:pStyle w:val="Caption"/>
        <w:keepNext/>
        <w:spacing w:after="0"/>
      </w:pPr>
      <w:bookmarkStart w:id="24" w:name="_Toc11135119"/>
      <w:r>
        <w:t xml:space="preserve">Tabela </w:t>
      </w:r>
      <w:r w:rsidR="003D3813">
        <w:fldChar w:fldCharType="begin"/>
      </w:r>
      <w:r w:rsidR="003D3813">
        <w:instrText xml:space="preserve"> SEQ Tabela \* ARABIC </w:instrText>
      </w:r>
      <w:r w:rsidR="003D3813">
        <w:fldChar w:fldCharType="separate"/>
      </w:r>
      <w:r w:rsidR="006A57F3">
        <w:rPr>
          <w:noProof/>
        </w:rPr>
        <w:t>5</w:t>
      </w:r>
      <w:r w:rsidR="003D3813">
        <w:rPr>
          <w:noProof/>
        </w:rPr>
        <w:fldChar w:fldCharType="end"/>
      </w:r>
      <w:r w:rsidRPr="00140052">
        <w:rPr>
          <w:rFonts w:asciiTheme="majorHAnsi" w:hAnsiTheme="majorHAnsi" w:cs="Times New Roman"/>
          <w:lang w:val="sq-AL"/>
        </w:rPr>
        <w:t xml:space="preserve"> </w:t>
      </w:r>
      <w:r w:rsidRPr="002E06C4">
        <w:rPr>
          <w:rFonts w:asciiTheme="majorHAnsi" w:hAnsiTheme="majorHAnsi" w:cs="Times New Roman"/>
          <w:lang w:val="sq-AL"/>
        </w:rPr>
        <w:t>Bilanci fiskal</w:t>
      </w:r>
      <w:bookmarkEnd w:id="24"/>
    </w:p>
    <w:tbl>
      <w:tblPr>
        <w:tblStyle w:val="GridTable4-Accent11"/>
        <w:tblW w:w="4959" w:type="pct"/>
        <w:tblLook w:val="04A0" w:firstRow="1" w:lastRow="0" w:firstColumn="1" w:lastColumn="0" w:noHBand="0" w:noVBand="1"/>
      </w:tblPr>
      <w:tblGrid>
        <w:gridCol w:w="6573"/>
        <w:gridCol w:w="1920"/>
        <w:gridCol w:w="1897"/>
      </w:tblGrid>
      <w:tr w:rsidR="007F44B9" w:rsidRPr="002E06C4" w14:paraId="33A7C028" w14:textId="77777777" w:rsidTr="00366E32">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63" w:type="pct"/>
            <w:hideMark/>
          </w:tcPr>
          <w:p w14:paraId="4E4D8222" w14:textId="77777777" w:rsidR="007F44B9" w:rsidRPr="002E06C4" w:rsidRDefault="007F44B9" w:rsidP="00140052">
            <w:pPr>
              <w:jc w:val="center"/>
              <w:rPr>
                <w:rFonts w:asciiTheme="majorHAnsi" w:hAnsiTheme="majorHAnsi" w:cs="Times New Roman"/>
                <w:b w:val="0"/>
                <w:bCs w:val="0"/>
                <w:sz w:val="20"/>
                <w:szCs w:val="20"/>
                <w:lang w:val="sq-AL"/>
              </w:rPr>
            </w:pPr>
            <w:r w:rsidRPr="002E06C4">
              <w:rPr>
                <w:rFonts w:asciiTheme="majorHAnsi" w:hAnsiTheme="majorHAnsi" w:cs="Times New Roman"/>
                <w:b w:val="0"/>
                <w:bCs w:val="0"/>
                <w:sz w:val="20"/>
                <w:szCs w:val="20"/>
                <w:lang w:val="sq-AL"/>
              </w:rPr>
              <w:t xml:space="preserve">Balanca e pergjithshme e qeverise (Deficiti fiskal) </w:t>
            </w:r>
            <w:r w:rsidRPr="002E06C4">
              <w:rPr>
                <w:rFonts w:asciiTheme="majorHAnsi" w:hAnsiTheme="majorHAnsi" w:cs="Times New Roman"/>
                <w:i/>
                <w:iCs/>
                <w:sz w:val="20"/>
                <w:szCs w:val="20"/>
                <w:lang w:val="sq-AL"/>
              </w:rPr>
              <w:t>(ne % te PBB)</w:t>
            </w:r>
          </w:p>
        </w:tc>
        <w:tc>
          <w:tcPr>
            <w:tcW w:w="924" w:type="pct"/>
            <w:hideMark/>
          </w:tcPr>
          <w:p w14:paraId="0E86241A" w14:textId="77777777" w:rsidR="007F44B9" w:rsidRPr="002E06C4" w:rsidRDefault="007F44B9" w:rsidP="0014005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 </w:t>
            </w:r>
            <w:r w:rsidRPr="002E06C4">
              <w:rPr>
                <w:rFonts w:asciiTheme="majorHAnsi" w:hAnsiTheme="majorHAnsi" w:cs="Times New Roman"/>
                <w:b w:val="0"/>
                <w:sz w:val="20"/>
                <w:szCs w:val="20"/>
                <w:lang w:val="sq-AL"/>
              </w:rPr>
              <w:t>2017</w:t>
            </w:r>
          </w:p>
        </w:tc>
        <w:tc>
          <w:tcPr>
            <w:tcW w:w="913" w:type="pct"/>
            <w:hideMark/>
          </w:tcPr>
          <w:p w14:paraId="4B23B371" w14:textId="77777777" w:rsidR="007F44B9" w:rsidRPr="002E06C4" w:rsidRDefault="007F44B9" w:rsidP="0014005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b w:val="0"/>
                <w:sz w:val="20"/>
                <w:szCs w:val="20"/>
                <w:lang w:val="sq-AL"/>
              </w:rPr>
              <w:t>2018</w:t>
            </w:r>
          </w:p>
        </w:tc>
      </w:tr>
      <w:tr w:rsidR="007F44B9" w:rsidRPr="002E06C4" w14:paraId="2F89185A" w14:textId="77777777" w:rsidTr="00366E3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63" w:type="pct"/>
            <w:noWrap/>
            <w:hideMark/>
          </w:tcPr>
          <w:p w14:paraId="45838AA9" w14:textId="77777777" w:rsidR="007F44B9" w:rsidRPr="002E06C4" w:rsidRDefault="007F44B9" w:rsidP="00140052">
            <w:pPr>
              <w:rPr>
                <w:rFonts w:asciiTheme="majorHAnsi" w:hAnsiTheme="majorHAnsi" w:cs="Times New Roman"/>
                <w:sz w:val="20"/>
                <w:szCs w:val="20"/>
                <w:lang w:val="sq-AL"/>
              </w:rPr>
            </w:pPr>
            <w:r w:rsidRPr="002E06C4">
              <w:rPr>
                <w:rFonts w:asciiTheme="majorHAnsi" w:hAnsiTheme="majorHAnsi" w:cs="Times New Roman"/>
                <w:sz w:val="20"/>
                <w:szCs w:val="20"/>
                <w:lang w:val="sq-AL"/>
              </w:rPr>
              <w:t>Maqedonia</w:t>
            </w:r>
          </w:p>
        </w:tc>
        <w:tc>
          <w:tcPr>
            <w:tcW w:w="924" w:type="pct"/>
            <w:noWrap/>
            <w:hideMark/>
          </w:tcPr>
          <w:p w14:paraId="626B3DD9" w14:textId="77777777" w:rsidR="007F44B9" w:rsidRPr="002E06C4" w:rsidRDefault="007F44B9" w:rsidP="001400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-2.7</w:t>
            </w:r>
          </w:p>
        </w:tc>
        <w:tc>
          <w:tcPr>
            <w:tcW w:w="913" w:type="pct"/>
            <w:noWrap/>
            <w:hideMark/>
          </w:tcPr>
          <w:p w14:paraId="4730A079" w14:textId="77777777" w:rsidR="007F44B9" w:rsidRPr="002E06C4" w:rsidRDefault="007F44B9" w:rsidP="001400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-1.8</w:t>
            </w:r>
          </w:p>
        </w:tc>
      </w:tr>
      <w:tr w:rsidR="007F44B9" w:rsidRPr="002E06C4" w14:paraId="680C6145" w14:textId="77777777" w:rsidTr="00366E32">
        <w:trPr>
          <w:trHeight w:val="241"/>
        </w:trPr>
        <w:tc>
          <w:tcPr>
            <w:cnfStyle w:val="001000000000" w:firstRow="0" w:lastRow="0" w:firstColumn="1" w:lastColumn="0" w:oddVBand="0" w:evenVBand="0" w:oddHBand="0" w:evenHBand="0" w:firstRowFirstColumn="0" w:firstRowLastColumn="0" w:lastRowFirstColumn="0" w:lastRowLastColumn="0"/>
            <w:tcW w:w="3163" w:type="pct"/>
            <w:noWrap/>
            <w:hideMark/>
          </w:tcPr>
          <w:p w14:paraId="3977F8BB" w14:textId="77777777" w:rsidR="007F44B9" w:rsidRPr="002E06C4" w:rsidRDefault="007F44B9" w:rsidP="00140052">
            <w:pPr>
              <w:rPr>
                <w:rFonts w:asciiTheme="majorHAnsi" w:hAnsiTheme="majorHAnsi" w:cs="Times New Roman"/>
                <w:sz w:val="20"/>
                <w:szCs w:val="20"/>
                <w:lang w:val="sq-AL"/>
              </w:rPr>
            </w:pPr>
            <w:r w:rsidRPr="002E06C4">
              <w:rPr>
                <w:rFonts w:asciiTheme="majorHAnsi" w:hAnsiTheme="majorHAnsi" w:cs="Times New Roman"/>
                <w:sz w:val="20"/>
                <w:szCs w:val="20"/>
                <w:lang w:val="sq-AL"/>
              </w:rPr>
              <w:t>Mali i ZI</w:t>
            </w:r>
          </w:p>
        </w:tc>
        <w:tc>
          <w:tcPr>
            <w:tcW w:w="924" w:type="pct"/>
            <w:noWrap/>
            <w:hideMark/>
          </w:tcPr>
          <w:p w14:paraId="4A8DF513" w14:textId="77777777" w:rsidR="007F44B9" w:rsidRPr="002E06C4" w:rsidRDefault="007F44B9" w:rsidP="001400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-5.3</w:t>
            </w:r>
          </w:p>
        </w:tc>
        <w:tc>
          <w:tcPr>
            <w:tcW w:w="913" w:type="pct"/>
            <w:noWrap/>
            <w:hideMark/>
          </w:tcPr>
          <w:p w14:paraId="42FFBD42" w14:textId="77777777" w:rsidR="007F44B9" w:rsidRPr="002E06C4" w:rsidRDefault="007F44B9" w:rsidP="001400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-3.8</w:t>
            </w:r>
          </w:p>
        </w:tc>
      </w:tr>
      <w:tr w:rsidR="007F44B9" w:rsidRPr="002E06C4" w14:paraId="7FF41504" w14:textId="77777777" w:rsidTr="00366E3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63" w:type="pct"/>
            <w:noWrap/>
            <w:hideMark/>
          </w:tcPr>
          <w:p w14:paraId="3DFC7B2B" w14:textId="77777777" w:rsidR="007F44B9" w:rsidRPr="002E06C4" w:rsidRDefault="007F44B9" w:rsidP="00140052">
            <w:pPr>
              <w:rPr>
                <w:rFonts w:asciiTheme="majorHAnsi" w:hAnsiTheme="majorHAnsi" w:cs="Times New Roman"/>
                <w:sz w:val="20"/>
                <w:szCs w:val="20"/>
                <w:lang w:val="sq-AL"/>
              </w:rPr>
            </w:pPr>
            <w:r w:rsidRPr="002E06C4">
              <w:rPr>
                <w:rFonts w:asciiTheme="majorHAnsi" w:hAnsiTheme="majorHAnsi" w:cs="Times New Roman"/>
                <w:sz w:val="20"/>
                <w:szCs w:val="20"/>
                <w:lang w:val="sq-AL"/>
              </w:rPr>
              <w:t>Serbia</w:t>
            </w:r>
          </w:p>
        </w:tc>
        <w:tc>
          <w:tcPr>
            <w:tcW w:w="924" w:type="pct"/>
            <w:noWrap/>
            <w:hideMark/>
          </w:tcPr>
          <w:p w14:paraId="1A0DF811" w14:textId="77777777" w:rsidR="007F44B9" w:rsidRPr="002E06C4" w:rsidRDefault="007F44B9" w:rsidP="001400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1.1</w:t>
            </w:r>
          </w:p>
        </w:tc>
        <w:tc>
          <w:tcPr>
            <w:tcW w:w="913" w:type="pct"/>
            <w:noWrap/>
            <w:hideMark/>
          </w:tcPr>
          <w:p w14:paraId="24F256AE" w14:textId="77777777" w:rsidR="007F44B9" w:rsidRPr="002E06C4" w:rsidRDefault="007F44B9" w:rsidP="001400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0.6</w:t>
            </w:r>
          </w:p>
        </w:tc>
      </w:tr>
      <w:tr w:rsidR="007F44B9" w:rsidRPr="002E06C4" w14:paraId="576658D3" w14:textId="77777777" w:rsidTr="00366E32">
        <w:trPr>
          <w:trHeight w:val="241"/>
        </w:trPr>
        <w:tc>
          <w:tcPr>
            <w:cnfStyle w:val="001000000000" w:firstRow="0" w:lastRow="0" w:firstColumn="1" w:lastColumn="0" w:oddVBand="0" w:evenVBand="0" w:oddHBand="0" w:evenHBand="0" w:firstRowFirstColumn="0" w:firstRowLastColumn="0" w:lastRowFirstColumn="0" w:lastRowLastColumn="0"/>
            <w:tcW w:w="3163" w:type="pct"/>
            <w:noWrap/>
            <w:hideMark/>
          </w:tcPr>
          <w:p w14:paraId="51D7496A" w14:textId="77777777" w:rsidR="007F44B9" w:rsidRPr="002E06C4" w:rsidRDefault="007F44B9" w:rsidP="0014005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Turqia</w:t>
            </w:r>
          </w:p>
        </w:tc>
        <w:tc>
          <w:tcPr>
            <w:tcW w:w="924" w:type="pct"/>
            <w:noWrap/>
            <w:hideMark/>
          </w:tcPr>
          <w:p w14:paraId="4B28573A" w14:textId="77777777" w:rsidR="007F44B9" w:rsidRPr="002E06C4" w:rsidRDefault="007F44B9" w:rsidP="001400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-2.8</w:t>
            </w:r>
          </w:p>
        </w:tc>
        <w:tc>
          <w:tcPr>
            <w:tcW w:w="913" w:type="pct"/>
            <w:noWrap/>
            <w:hideMark/>
          </w:tcPr>
          <w:p w14:paraId="65A71F3D" w14:textId="77777777" w:rsidR="007F44B9" w:rsidRPr="002E06C4" w:rsidRDefault="007F44B9" w:rsidP="001400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-3.8</w:t>
            </w:r>
          </w:p>
        </w:tc>
      </w:tr>
      <w:tr w:rsidR="007F44B9" w:rsidRPr="002E06C4" w14:paraId="7AC1E72F" w14:textId="77777777" w:rsidTr="00366E3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63" w:type="pct"/>
            <w:noWrap/>
            <w:hideMark/>
          </w:tcPr>
          <w:p w14:paraId="0C6A858D" w14:textId="77777777" w:rsidR="007F44B9" w:rsidRPr="002E06C4" w:rsidRDefault="007F44B9" w:rsidP="0014005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Shqipëria</w:t>
            </w:r>
          </w:p>
        </w:tc>
        <w:tc>
          <w:tcPr>
            <w:tcW w:w="924" w:type="pct"/>
            <w:noWrap/>
            <w:hideMark/>
          </w:tcPr>
          <w:p w14:paraId="6D921F1A" w14:textId="77777777" w:rsidR="007F44B9" w:rsidRPr="002E06C4" w:rsidRDefault="007F44B9" w:rsidP="001400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-2.0</w:t>
            </w:r>
          </w:p>
        </w:tc>
        <w:tc>
          <w:tcPr>
            <w:tcW w:w="913" w:type="pct"/>
            <w:noWrap/>
            <w:hideMark/>
          </w:tcPr>
          <w:p w14:paraId="19C02115" w14:textId="77777777" w:rsidR="007F44B9" w:rsidRPr="002E06C4" w:rsidRDefault="007F44B9" w:rsidP="001400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-1.6</w:t>
            </w:r>
          </w:p>
        </w:tc>
      </w:tr>
      <w:tr w:rsidR="007F44B9" w:rsidRPr="002E06C4" w14:paraId="72687B85" w14:textId="77777777" w:rsidTr="00366E32">
        <w:trPr>
          <w:trHeight w:val="252"/>
        </w:trPr>
        <w:tc>
          <w:tcPr>
            <w:cnfStyle w:val="001000000000" w:firstRow="0" w:lastRow="0" w:firstColumn="1" w:lastColumn="0" w:oddVBand="0" w:evenVBand="0" w:oddHBand="0" w:evenHBand="0" w:firstRowFirstColumn="0" w:firstRowLastColumn="0" w:lastRowFirstColumn="0" w:lastRowLastColumn="0"/>
            <w:tcW w:w="3163" w:type="pct"/>
            <w:noWrap/>
            <w:hideMark/>
          </w:tcPr>
          <w:p w14:paraId="7BCEFDFE" w14:textId="77777777" w:rsidR="007F44B9" w:rsidRPr="002E06C4" w:rsidRDefault="007F44B9" w:rsidP="0014005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Bosnja dhe Hercegovina</w:t>
            </w:r>
          </w:p>
        </w:tc>
        <w:tc>
          <w:tcPr>
            <w:tcW w:w="924" w:type="pct"/>
            <w:noWrap/>
            <w:hideMark/>
          </w:tcPr>
          <w:p w14:paraId="4EF2E64B" w14:textId="77777777" w:rsidR="007F44B9" w:rsidRPr="002E06C4" w:rsidRDefault="007F44B9" w:rsidP="001400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2.6</w:t>
            </w:r>
          </w:p>
        </w:tc>
        <w:tc>
          <w:tcPr>
            <w:tcW w:w="913" w:type="pct"/>
            <w:noWrap/>
            <w:hideMark/>
          </w:tcPr>
          <w:p w14:paraId="5779B02C" w14:textId="77777777" w:rsidR="007F44B9" w:rsidRPr="002E06C4" w:rsidRDefault="007F44B9" w:rsidP="001400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w:t>
            </w:r>
          </w:p>
        </w:tc>
      </w:tr>
      <w:tr w:rsidR="007F44B9" w:rsidRPr="002E06C4" w14:paraId="428F0A6A" w14:textId="77777777" w:rsidTr="00366E3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63" w:type="pct"/>
            <w:noWrap/>
            <w:hideMark/>
          </w:tcPr>
          <w:p w14:paraId="2D57A0F8" w14:textId="77777777" w:rsidR="007F44B9" w:rsidRPr="002E06C4" w:rsidRDefault="007F44B9" w:rsidP="00140052">
            <w:pPr>
              <w:jc w:val="both"/>
              <w:rPr>
                <w:rFonts w:asciiTheme="majorHAnsi" w:hAnsiTheme="majorHAnsi" w:cs="Times New Roman"/>
                <w:sz w:val="20"/>
                <w:szCs w:val="20"/>
                <w:lang w:val="sq-AL"/>
              </w:rPr>
            </w:pPr>
            <w:r w:rsidRPr="002E06C4">
              <w:rPr>
                <w:rFonts w:asciiTheme="majorHAnsi" w:hAnsiTheme="majorHAnsi" w:cs="Times New Roman"/>
                <w:sz w:val="20"/>
                <w:szCs w:val="20"/>
                <w:lang w:val="sq-AL"/>
              </w:rPr>
              <w:t>Kosova</w:t>
            </w:r>
          </w:p>
        </w:tc>
        <w:tc>
          <w:tcPr>
            <w:tcW w:w="924" w:type="pct"/>
            <w:noWrap/>
            <w:hideMark/>
          </w:tcPr>
          <w:p w14:paraId="15C7031E" w14:textId="77777777" w:rsidR="007F44B9" w:rsidRPr="002E06C4" w:rsidRDefault="007F44B9" w:rsidP="001400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-1.3</w:t>
            </w:r>
          </w:p>
        </w:tc>
        <w:tc>
          <w:tcPr>
            <w:tcW w:w="913" w:type="pct"/>
            <w:noWrap/>
            <w:hideMark/>
          </w:tcPr>
          <w:p w14:paraId="0ECF5225" w14:textId="77777777" w:rsidR="007F44B9" w:rsidRPr="002E06C4" w:rsidRDefault="007F44B9" w:rsidP="001400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-2.8</w:t>
            </w:r>
          </w:p>
        </w:tc>
      </w:tr>
    </w:tbl>
    <w:p w14:paraId="048F6E76" w14:textId="77777777" w:rsidR="007F44B9" w:rsidRPr="002E06C4" w:rsidRDefault="007F44B9" w:rsidP="007F44B9">
      <w:pPr>
        <w:spacing w:line="276" w:lineRule="auto"/>
        <w:ind w:firstLine="720"/>
        <w:jc w:val="both"/>
        <w:rPr>
          <w:rFonts w:asciiTheme="majorHAnsi" w:hAnsiTheme="majorHAnsi" w:cs="Times New Roman"/>
          <w:i/>
          <w:sz w:val="20"/>
          <w:szCs w:val="18"/>
          <w:lang w:val="sq-AL"/>
        </w:rPr>
      </w:pPr>
      <w:r w:rsidRPr="002E06C4">
        <w:rPr>
          <w:rFonts w:asciiTheme="majorHAnsi" w:hAnsiTheme="majorHAnsi" w:cs="Times New Roman"/>
          <w:i/>
          <w:sz w:val="20"/>
          <w:szCs w:val="18"/>
          <w:lang w:val="sq-AL"/>
        </w:rPr>
        <w:t>Burimi: Directorate-General for Economic and Financial Affairs (DG-ECFIN)</w:t>
      </w:r>
    </w:p>
    <w:p w14:paraId="5974D1E5" w14:textId="77777777" w:rsidR="001779A0" w:rsidRDefault="001779A0" w:rsidP="00140052">
      <w:pPr>
        <w:pStyle w:val="Caption"/>
        <w:spacing w:after="0"/>
      </w:pPr>
      <w:bookmarkStart w:id="25" w:name="_Toc11135120"/>
    </w:p>
    <w:p w14:paraId="01974440" w14:textId="77777777" w:rsidR="007F44B9" w:rsidRPr="002E06C4" w:rsidRDefault="00140052" w:rsidP="00140052">
      <w:pPr>
        <w:pStyle w:val="Caption"/>
        <w:spacing w:after="0"/>
        <w:rPr>
          <w:rFonts w:asciiTheme="majorHAnsi" w:hAnsiTheme="majorHAnsi" w:cs="Times New Roman"/>
          <w:lang w:val="sq-AL"/>
        </w:rPr>
      </w:pPr>
      <w:r>
        <w:lastRenderedPageBreak/>
        <w:t xml:space="preserve">Tabela </w:t>
      </w:r>
      <w:r w:rsidR="003D3813">
        <w:fldChar w:fldCharType="begin"/>
      </w:r>
      <w:r w:rsidR="003D3813">
        <w:instrText xml:space="preserve"> SEQ Tabela \* ARABIC </w:instrText>
      </w:r>
      <w:r w:rsidR="003D3813">
        <w:fldChar w:fldCharType="separate"/>
      </w:r>
      <w:r w:rsidR="006A57F3">
        <w:rPr>
          <w:noProof/>
        </w:rPr>
        <w:t>6</w:t>
      </w:r>
      <w:r w:rsidR="003D3813">
        <w:rPr>
          <w:noProof/>
        </w:rPr>
        <w:fldChar w:fldCharType="end"/>
      </w:r>
      <w:r w:rsidRPr="00140052">
        <w:rPr>
          <w:rFonts w:asciiTheme="majorHAnsi" w:hAnsiTheme="majorHAnsi" w:cs="Times New Roman"/>
          <w:lang w:val="sq-AL"/>
        </w:rPr>
        <w:t xml:space="preserve"> </w:t>
      </w:r>
      <w:r w:rsidRPr="002E06C4">
        <w:rPr>
          <w:rFonts w:asciiTheme="majorHAnsi" w:hAnsiTheme="majorHAnsi" w:cs="Times New Roman"/>
          <w:lang w:val="sq-AL"/>
        </w:rPr>
        <w:t>Borxhi publik</w:t>
      </w:r>
      <w:bookmarkEnd w:id="25"/>
    </w:p>
    <w:tbl>
      <w:tblPr>
        <w:tblStyle w:val="GridTable4-Accent11"/>
        <w:tblW w:w="5000" w:type="pct"/>
        <w:tblLook w:val="04A0" w:firstRow="1" w:lastRow="0" w:firstColumn="1" w:lastColumn="0" w:noHBand="0" w:noVBand="1"/>
      </w:tblPr>
      <w:tblGrid>
        <w:gridCol w:w="7052"/>
        <w:gridCol w:w="1712"/>
        <w:gridCol w:w="1712"/>
      </w:tblGrid>
      <w:tr w:rsidR="007F44B9" w:rsidRPr="002E06C4" w14:paraId="6ADF2C54" w14:textId="77777777" w:rsidTr="00C5110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365" w:type="pct"/>
            <w:hideMark/>
          </w:tcPr>
          <w:p w14:paraId="2321F6EF" w14:textId="77777777" w:rsidR="007F44B9" w:rsidRPr="002E06C4" w:rsidRDefault="007F44B9" w:rsidP="00C51102">
            <w:pPr>
              <w:jc w:val="center"/>
              <w:rPr>
                <w:rFonts w:asciiTheme="majorHAnsi" w:hAnsiTheme="majorHAnsi" w:cs="Times New Roman"/>
                <w:b w:val="0"/>
                <w:bCs w:val="0"/>
                <w:sz w:val="20"/>
                <w:szCs w:val="20"/>
                <w:lang w:val="sq-AL"/>
              </w:rPr>
            </w:pPr>
            <w:r w:rsidRPr="002E06C4">
              <w:rPr>
                <w:rFonts w:asciiTheme="majorHAnsi" w:hAnsiTheme="majorHAnsi" w:cs="Times New Roman"/>
                <w:b w:val="0"/>
                <w:bCs w:val="0"/>
                <w:sz w:val="20"/>
                <w:szCs w:val="20"/>
                <w:lang w:val="sq-AL"/>
              </w:rPr>
              <w:t xml:space="preserve">Borxhi publik total </w:t>
            </w:r>
            <w:r w:rsidRPr="002E06C4">
              <w:rPr>
                <w:rFonts w:asciiTheme="majorHAnsi" w:hAnsiTheme="majorHAnsi" w:cs="Times New Roman"/>
                <w:i/>
                <w:iCs/>
                <w:sz w:val="20"/>
                <w:szCs w:val="20"/>
                <w:lang w:val="sq-AL"/>
              </w:rPr>
              <w:t>(ne % te PBB)</w:t>
            </w:r>
          </w:p>
        </w:tc>
        <w:tc>
          <w:tcPr>
            <w:tcW w:w="817" w:type="pct"/>
            <w:hideMark/>
          </w:tcPr>
          <w:p w14:paraId="690B04B1"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b w:val="0"/>
                <w:sz w:val="20"/>
                <w:szCs w:val="20"/>
                <w:lang w:val="sq-AL"/>
              </w:rPr>
              <w:t>2017</w:t>
            </w:r>
          </w:p>
        </w:tc>
        <w:tc>
          <w:tcPr>
            <w:tcW w:w="817" w:type="pct"/>
            <w:hideMark/>
          </w:tcPr>
          <w:p w14:paraId="66BFE5C9" w14:textId="77777777" w:rsidR="007F44B9" w:rsidRPr="002E06C4" w:rsidRDefault="007F44B9" w:rsidP="00C5110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b w:val="0"/>
                <w:sz w:val="20"/>
                <w:szCs w:val="20"/>
                <w:lang w:val="sq-AL"/>
              </w:rPr>
              <w:t>2018</w:t>
            </w:r>
          </w:p>
        </w:tc>
      </w:tr>
      <w:tr w:rsidR="007F44B9" w:rsidRPr="002E06C4" w14:paraId="3CDF2C60" w14:textId="77777777" w:rsidTr="00C511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5" w:type="pct"/>
            <w:noWrap/>
            <w:hideMark/>
          </w:tcPr>
          <w:p w14:paraId="0EB48A54"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Maqedonia</w:t>
            </w:r>
          </w:p>
        </w:tc>
        <w:tc>
          <w:tcPr>
            <w:tcW w:w="817" w:type="pct"/>
            <w:noWrap/>
            <w:hideMark/>
          </w:tcPr>
          <w:p w14:paraId="3F2B7D13"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39.3</w:t>
            </w:r>
          </w:p>
        </w:tc>
        <w:tc>
          <w:tcPr>
            <w:tcW w:w="817" w:type="pct"/>
            <w:noWrap/>
            <w:hideMark/>
          </w:tcPr>
          <w:p w14:paraId="026A2377"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40.5</w:t>
            </w:r>
          </w:p>
        </w:tc>
      </w:tr>
      <w:tr w:rsidR="007F44B9" w:rsidRPr="002E06C4" w14:paraId="7EB113B2" w14:textId="77777777" w:rsidTr="00C51102">
        <w:trPr>
          <w:trHeight w:val="285"/>
        </w:trPr>
        <w:tc>
          <w:tcPr>
            <w:cnfStyle w:val="001000000000" w:firstRow="0" w:lastRow="0" w:firstColumn="1" w:lastColumn="0" w:oddVBand="0" w:evenVBand="0" w:oddHBand="0" w:evenHBand="0" w:firstRowFirstColumn="0" w:firstRowLastColumn="0" w:lastRowFirstColumn="0" w:lastRowLastColumn="0"/>
            <w:tcW w:w="3365" w:type="pct"/>
            <w:noWrap/>
            <w:hideMark/>
          </w:tcPr>
          <w:p w14:paraId="58B635CB"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Mali i ZI</w:t>
            </w:r>
          </w:p>
        </w:tc>
        <w:tc>
          <w:tcPr>
            <w:tcW w:w="817" w:type="pct"/>
            <w:noWrap/>
            <w:hideMark/>
          </w:tcPr>
          <w:p w14:paraId="613A9233"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64.2</w:t>
            </w:r>
          </w:p>
        </w:tc>
        <w:tc>
          <w:tcPr>
            <w:tcW w:w="817" w:type="pct"/>
            <w:noWrap/>
            <w:hideMark/>
          </w:tcPr>
          <w:p w14:paraId="1F07861F"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70.8</w:t>
            </w:r>
          </w:p>
        </w:tc>
      </w:tr>
      <w:tr w:rsidR="007F44B9" w:rsidRPr="002E06C4" w14:paraId="1FA8CEBA" w14:textId="77777777" w:rsidTr="00C511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5" w:type="pct"/>
            <w:noWrap/>
            <w:hideMark/>
          </w:tcPr>
          <w:p w14:paraId="6A4D9BF5"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Serbia</w:t>
            </w:r>
          </w:p>
        </w:tc>
        <w:tc>
          <w:tcPr>
            <w:tcW w:w="817" w:type="pct"/>
            <w:noWrap/>
            <w:hideMark/>
          </w:tcPr>
          <w:p w14:paraId="3E64EF6E"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57.9</w:t>
            </w:r>
          </w:p>
        </w:tc>
        <w:tc>
          <w:tcPr>
            <w:tcW w:w="817" w:type="pct"/>
            <w:noWrap/>
            <w:hideMark/>
          </w:tcPr>
          <w:p w14:paraId="4142183E"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53.8</w:t>
            </w:r>
          </w:p>
        </w:tc>
      </w:tr>
      <w:tr w:rsidR="007F44B9" w:rsidRPr="002E06C4" w14:paraId="25A08478" w14:textId="77777777" w:rsidTr="00C51102">
        <w:trPr>
          <w:trHeight w:val="285"/>
        </w:trPr>
        <w:tc>
          <w:tcPr>
            <w:cnfStyle w:val="001000000000" w:firstRow="0" w:lastRow="0" w:firstColumn="1" w:lastColumn="0" w:oddVBand="0" w:evenVBand="0" w:oddHBand="0" w:evenHBand="0" w:firstRowFirstColumn="0" w:firstRowLastColumn="0" w:lastRowFirstColumn="0" w:lastRowLastColumn="0"/>
            <w:tcW w:w="3365" w:type="pct"/>
            <w:noWrap/>
            <w:hideMark/>
          </w:tcPr>
          <w:p w14:paraId="2A0F84FF"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Turqia</w:t>
            </w:r>
          </w:p>
        </w:tc>
        <w:tc>
          <w:tcPr>
            <w:tcW w:w="817" w:type="pct"/>
            <w:noWrap/>
            <w:hideMark/>
          </w:tcPr>
          <w:p w14:paraId="306DF2CB"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28.3</w:t>
            </w:r>
          </w:p>
        </w:tc>
        <w:tc>
          <w:tcPr>
            <w:tcW w:w="817" w:type="pct"/>
            <w:noWrap/>
            <w:hideMark/>
          </w:tcPr>
          <w:p w14:paraId="05082C84"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34.1</w:t>
            </w:r>
          </w:p>
        </w:tc>
      </w:tr>
      <w:tr w:rsidR="007F44B9" w:rsidRPr="002E06C4" w14:paraId="5E7573B5" w14:textId="77777777" w:rsidTr="00C511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65" w:type="pct"/>
            <w:noWrap/>
            <w:hideMark/>
          </w:tcPr>
          <w:p w14:paraId="1A06B222"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Shqipëria</w:t>
            </w:r>
          </w:p>
        </w:tc>
        <w:tc>
          <w:tcPr>
            <w:tcW w:w="817" w:type="pct"/>
            <w:noWrap/>
            <w:hideMark/>
          </w:tcPr>
          <w:p w14:paraId="0DEC8138"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70.1</w:t>
            </w:r>
          </w:p>
        </w:tc>
        <w:tc>
          <w:tcPr>
            <w:tcW w:w="817" w:type="pct"/>
            <w:noWrap/>
            <w:hideMark/>
          </w:tcPr>
          <w:p w14:paraId="45260408"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67.1</w:t>
            </w:r>
          </w:p>
        </w:tc>
      </w:tr>
      <w:tr w:rsidR="007F44B9" w:rsidRPr="002E06C4" w14:paraId="631CE16D" w14:textId="77777777" w:rsidTr="00C51102">
        <w:trPr>
          <w:trHeight w:val="298"/>
        </w:trPr>
        <w:tc>
          <w:tcPr>
            <w:cnfStyle w:val="001000000000" w:firstRow="0" w:lastRow="0" w:firstColumn="1" w:lastColumn="0" w:oddVBand="0" w:evenVBand="0" w:oddHBand="0" w:evenHBand="0" w:firstRowFirstColumn="0" w:firstRowLastColumn="0" w:lastRowFirstColumn="0" w:lastRowLastColumn="0"/>
            <w:tcW w:w="3365" w:type="pct"/>
            <w:noWrap/>
            <w:hideMark/>
          </w:tcPr>
          <w:p w14:paraId="5AE4C78F"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Bosnja dhe Hercegovina</w:t>
            </w:r>
          </w:p>
        </w:tc>
        <w:tc>
          <w:tcPr>
            <w:tcW w:w="817" w:type="pct"/>
            <w:noWrap/>
            <w:hideMark/>
          </w:tcPr>
          <w:p w14:paraId="15C8ACDE"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35.9</w:t>
            </w:r>
          </w:p>
        </w:tc>
        <w:tc>
          <w:tcPr>
            <w:tcW w:w="817" w:type="pct"/>
            <w:noWrap/>
            <w:hideMark/>
          </w:tcPr>
          <w:p w14:paraId="4E9C740C" w14:textId="77777777" w:rsidR="007F44B9" w:rsidRPr="002E06C4" w:rsidRDefault="007F44B9" w:rsidP="00C511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35.5</w:t>
            </w:r>
          </w:p>
        </w:tc>
      </w:tr>
      <w:tr w:rsidR="007F44B9" w:rsidRPr="002E06C4" w14:paraId="4ED4B3B9" w14:textId="77777777" w:rsidTr="00C5110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365" w:type="pct"/>
            <w:noWrap/>
            <w:hideMark/>
          </w:tcPr>
          <w:p w14:paraId="6600F01B" w14:textId="77777777" w:rsidR="007F44B9" w:rsidRPr="002E06C4" w:rsidRDefault="007F44B9" w:rsidP="00C51102">
            <w:pPr>
              <w:rPr>
                <w:rFonts w:asciiTheme="majorHAnsi" w:hAnsiTheme="majorHAnsi" w:cs="Times New Roman"/>
                <w:sz w:val="20"/>
                <w:szCs w:val="20"/>
                <w:lang w:val="sq-AL"/>
              </w:rPr>
            </w:pPr>
            <w:r w:rsidRPr="002E06C4">
              <w:rPr>
                <w:rFonts w:asciiTheme="majorHAnsi" w:hAnsiTheme="majorHAnsi" w:cs="Times New Roman"/>
                <w:sz w:val="20"/>
                <w:szCs w:val="20"/>
                <w:lang w:val="sq-AL"/>
              </w:rPr>
              <w:t>Kosova</w:t>
            </w:r>
          </w:p>
        </w:tc>
        <w:tc>
          <w:tcPr>
            <w:tcW w:w="817" w:type="pct"/>
            <w:noWrap/>
            <w:hideMark/>
          </w:tcPr>
          <w:p w14:paraId="4D083006"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15.5</w:t>
            </w:r>
          </w:p>
        </w:tc>
        <w:tc>
          <w:tcPr>
            <w:tcW w:w="817" w:type="pct"/>
            <w:noWrap/>
            <w:hideMark/>
          </w:tcPr>
          <w:p w14:paraId="4E272574" w14:textId="77777777" w:rsidR="007F44B9" w:rsidRPr="002E06C4" w:rsidRDefault="007F44B9" w:rsidP="00C511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16.2</w:t>
            </w:r>
          </w:p>
        </w:tc>
      </w:tr>
    </w:tbl>
    <w:p w14:paraId="50FF9F37" w14:textId="77777777" w:rsidR="007F44B9" w:rsidRPr="002E06C4" w:rsidRDefault="007F44B9" w:rsidP="007F44B9">
      <w:pPr>
        <w:rPr>
          <w:rFonts w:asciiTheme="majorHAnsi" w:hAnsiTheme="majorHAnsi" w:cs="Times New Roman"/>
          <w:i/>
          <w:sz w:val="18"/>
          <w:lang w:val="sq-AL"/>
        </w:rPr>
      </w:pPr>
    </w:p>
    <w:p w14:paraId="798BE71B" w14:textId="77777777" w:rsidR="00C33B16" w:rsidRDefault="00C33B16" w:rsidP="00A94670">
      <w:pPr>
        <w:rPr>
          <w:rFonts w:asciiTheme="majorHAnsi" w:hAnsiTheme="majorHAnsi" w:cs="Times New Roman"/>
          <w:i/>
          <w:sz w:val="18"/>
          <w:lang w:val="sq-AL"/>
        </w:rPr>
      </w:pPr>
    </w:p>
    <w:p w14:paraId="3A1D0E6B" w14:textId="77777777" w:rsidR="00366E32" w:rsidRDefault="00366E32" w:rsidP="00A94670">
      <w:pPr>
        <w:rPr>
          <w:rFonts w:asciiTheme="majorHAnsi" w:hAnsiTheme="majorHAnsi" w:cs="Times New Roman"/>
          <w:i/>
          <w:sz w:val="18"/>
          <w:lang w:val="sq-AL"/>
        </w:rPr>
      </w:pPr>
    </w:p>
    <w:p w14:paraId="7D1454AD" w14:textId="77777777" w:rsidR="00366E32" w:rsidRDefault="00366E32" w:rsidP="00A94670">
      <w:pPr>
        <w:rPr>
          <w:rFonts w:asciiTheme="majorHAnsi" w:hAnsiTheme="majorHAnsi" w:cs="Times New Roman"/>
          <w:i/>
          <w:sz w:val="18"/>
          <w:lang w:val="sq-AL"/>
        </w:rPr>
      </w:pPr>
    </w:p>
    <w:p w14:paraId="072DE6C1" w14:textId="77777777" w:rsidR="00A94670" w:rsidRDefault="008B6B58" w:rsidP="005B52B4">
      <w:pPr>
        <w:pStyle w:val="Heading1"/>
        <w:numPr>
          <w:ilvl w:val="0"/>
          <w:numId w:val="4"/>
        </w:numPr>
        <w:spacing w:before="0"/>
        <w:rPr>
          <w:rFonts w:cs="Times New Roman"/>
          <w:b/>
          <w:lang w:val="sq-AL"/>
        </w:rPr>
      </w:pPr>
      <w:bookmarkStart w:id="26" w:name="_Toc10033260"/>
      <w:bookmarkStart w:id="27" w:name="_Toc10721397"/>
      <w:bookmarkStart w:id="28" w:name="_Toc11134203"/>
      <w:r w:rsidRPr="002E06C4">
        <w:rPr>
          <w:rFonts w:cs="Times New Roman"/>
          <w:b/>
          <w:lang w:val="sq-AL"/>
        </w:rPr>
        <w:t>POLITIKAT FISKALE DHE REZULTATI I MBLEDHJES SË TË ARDHURAVE</w:t>
      </w:r>
      <w:bookmarkEnd w:id="26"/>
      <w:bookmarkEnd w:id="27"/>
      <w:bookmarkEnd w:id="28"/>
    </w:p>
    <w:p w14:paraId="1F1D0253" w14:textId="77777777" w:rsidR="001779A0" w:rsidRPr="001779A0" w:rsidRDefault="001779A0" w:rsidP="001779A0">
      <w:pPr>
        <w:rPr>
          <w:lang w:val="sq-AL"/>
        </w:rPr>
      </w:pPr>
    </w:p>
    <w:p w14:paraId="06FA3BFB" w14:textId="77777777" w:rsidR="00453DA8" w:rsidRPr="002E06C4" w:rsidRDefault="00636D95" w:rsidP="005B52B4">
      <w:pPr>
        <w:pStyle w:val="Heading2"/>
        <w:numPr>
          <w:ilvl w:val="1"/>
          <w:numId w:val="4"/>
        </w:numPr>
        <w:ind w:left="540" w:hanging="540"/>
        <w:rPr>
          <w:rFonts w:cs="Times New Roman"/>
          <w:noProof/>
          <w:color w:val="4F81BD" w:themeColor="accent1"/>
          <w:lang w:val="sq-AL"/>
        </w:rPr>
      </w:pPr>
      <w:bookmarkStart w:id="29" w:name="_Toc515271227"/>
      <w:bookmarkStart w:id="30" w:name="_Toc10033261"/>
      <w:bookmarkStart w:id="31" w:name="_Toc10721398"/>
      <w:bookmarkStart w:id="32" w:name="_Toc11134204"/>
      <w:r w:rsidRPr="002E06C4">
        <w:rPr>
          <w:rFonts w:cs="Times New Roman"/>
          <w:noProof/>
          <w:color w:val="4F81BD" w:themeColor="accent1"/>
          <w:lang w:val="sq-AL"/>
        </w:rPr>
        <w:t xml:space="preserve">Politika </w:t>
      </w:r>
      <w:r w:rsidR="00453DA8" w:rsidRPr="002E06C4">
        <w:rPr>
          <w:rFonts w:cs="Times New Roman"/>
          <w:noProof/>
          <w:color w:val="4F81BD" w:themeColor="accent1"/>
          <w:lang w:val="sq-AL"/>
        </w:rPr>
        <w:t>fiskale në vitin 2018 dhe efektet në buxhet dhe në ekonomi</w:t>
      </w:r>
      <w:bookmarkEnd w:id="29"/>
      <w:bookmarkEnd w:id="30"/>
      <w:bookmarkEnd w:id="31"/>
      <w:bookmarkEnd w:id="32"/>
    </w:p>
    <w:p w14:paraId="17BF542A" w14:textId="77777777" w:rsidR="00366E32" w:rsidRDefault="00366E32" w:rsidP="00453DA8">
      <w:pPr>
        <w:spacing w:before="240" w:line="276" w:lineRule="auto"/>
        <w:jc w:val="both"/>
        <w:rPr>
          <w:rFonts w:asciiTheme="majorHAnsi" w:hAnsiTheme="majorHAnsi" w:cs="Times New Roman"/>
          <w:lang w:val="sq-AL" w:eastAsia="x-none"/>
        </w:rPr>
      </w:pPr>
      <w:r w:rsidRPr="00366E32">
        <w:rPr>
          <w:rFonts w:asciiTheme="majorHAnsi" w:hAnsiTheme="majorHAnsi" w:cs="Times New Roman"/>
          <w:lang w:val="sq-AL" w:eastAsia="x-none"/>
        </w:rPr>
        <w:t>Politika fiskale në vitin 2018 ka vijuar të synojë sigurimin e një sistemi taksimi të drejtë, të balancuar dhe që nxit produktivitetin dhe qëndrueshmërinë afatgjatë të ekonomisë. Ndryshimet në paketën fiskale 2018, synuan përgjithësisht korrektime në elementë të veçantë tatimesh dhe taksash si tatimi mbi vlerën e shtuar, tatimi mbi të ardhurat, akcizat dhe taksat vendore. Qëllimi i paketës fiskale lidhet me thjeshtimin e procedurave dhe mbështetjen e biznesit dhe sektorëve të ndryshëm të ekonomisë, në veçanti sektorin e turizmit dhe të teknologjisë së informacionit, duke synuar rritjen e konkurrueshmërisë dhe rritjes ekonomike</w:t>
      </w:r>
      <w:r w:rsidR="00453DA8" w:rsidRPr="002E06C4">
        <w:rPr>
          <w:rFonts w:asciiTheme="majorHAnsi" w:hAnsiTheme="majorHAnsi" w:cs="Times New Roman"/>
          <w:lang w:val="sq-AL" w:eastAsia="x-none"/>
        </w:rPr>
        <w:t>.</w:t>
      </w:r>
      <w:r w:rsidR="007F44B9" w:rsidRPr="002E06C4">
        <w:rPr>
          <w:rStyle w:val="FootnoteReference"/>
          <w:rFonts w:asciiTheme="majorHAnsi" w:hAnsiTheme="majorHAnsi" w:cs="Times New Roman"/>
          <w:lang w:val="sq-AL" w:eastAsia="x-none"/>
        </w:rPr>
        <w:footnoteReference w:id="3"/>
      </w:r>
      <w:r w:rsidR="00453DA8" w:rsidRPr="002E06C4">
        <w:rPr>
          <w:rFonts w:asciiTheme="majorHAnsi" w:hAnsiTheme="majorHAnsi" w:cs="Times New Roman"/>
          <w:lang w:val="sq-AL" w:eastAsia="x-none"/>
        </w:rPr>
        <w:t xml:space="preserve"> </w:t>
      </w:r>
    </w:p>
    <w:p w14:paraId="48DBB2B2" w14:textId="66D09B90" w:rsidR="00453DA8" w:rsidRPr="002E06C4" w:rsidRDefault="00453DA8" w:rsidP="00453DA8">
      <w:pPr>
        <w:spacing w:before="240" w:line="276" w:lineRule="auto"/>
        <w:jc w:val="both"/>
        <w:rPr>
          <w:rFonts w:asciiTheme="majorHAnsi" w:hAnsiTheme="majorHAnsi" w:cs="Times New Roman"/>
          <w:lang w:val="sq-AL" w:eastAsia="x-none"/>
        </w:rPr>
      </w:pPr>
      <w:r w:rsidRPr="002E06C4">
        <w:rPr>
          <w:rFonts w:asciiTheme="majorHAnsi" w:hAnsiTheme="majorHAnsi" w:cs="Times New Roman"/>
          <w:lang w:val="sq-AL" w:eastAsia="x-none"/>
        </w:rPr>
        <w:t>Ndryshim</w:t>
      </w:r>
      <w:r w:rsidR="00366E32">
        <w:rPr>
          <w:rFonts w:asciiTheme="majorHAnsi" w:hAnsiTheme="majorHAnsi" w:cs="Times New Roman"/>
          <w:lang w:val="sq-AL" w:eastAsia="x-none"/>
        </w:rPr>
        <w:t>et kryesore paraqiten si më</w:t>
      </w:r>
      <w:r w:rsidRPr="002E06C4">
        <w:rPr>
          <w:rFonts w:asciiTheme="majorHAnsi" w:hAnsiTheme="majorHAnsi" w:cs="Times New Roman"/>
          <w:lang w:val="sq-AL" w:eastAsia="x-none"/>
        </w:rPr>
        <w:t>poshtë:</w:t>
      </w:r>
    </w:p>
    <w:p w14:paraId="2F633E71" w14:textId="77777777" w:rsidR="00AD14BF" w:rsidRPr="002E06C4" w:rsidRDefault="00AD14BF" w:rsidP="00AD14BF">
      <w:pPr>
        <w:spacing w:line="276" w:lineRule="auto"/>
        <w:jc w:val="both"/>
        <w:rPr>
          <w:rFonts w:asciiTheme="majorHAnsi" w:hAnsiTheme="majorHAnsi" w:cs="Times New Roman"/>
          <w:sz w:val="12"/>
          <w:szCs w:val="12"/>
          <w:lang w:val="sq-AL" w:eastAsia="x-none"/>
        </w:rPr>
      </w:pPr>
    </w:p>
    <w:p w14:paraId="0D5F3E7C" w14:textId="77777777" w:rsidR="00453DA8" w:rsidRPr="002E06C4" w:rsidRDefault="00453DA8" w:rsidP="00A2716B">
      <w:pPr>
        <w:pStyle w:val="Heading3"/>
        <w:numPr>
          <w:ilvl w:val="2"/>
          <w:numId w:val="4"/>
        </w:numPr>
        <w:rPr>
          <w:rFonts w:cs="Times New Roman"/>
          <w:i/>
          <w:lang w:val="sq-AL"/>
        </w:rPr>
      </w:pPr>
      <w:bookmarkStart w:id="33" w:name="_Toc10033262"/>
      <w:bookmarkStart w:id="34" w:name="_Toc10721399"/>
      <w:bookmarkStart w:id="35" w:name="_Toc11134205"/>
      <w:r w:rsidRPr="002E06C4">
        <w:rPr>
          <w:rFonts w:cs="Times New Roman"/>
          <w:i/>
          <w:lang w:val="sq-AL"/>
        </w:rPr>
        <w:t>Tatimi mbi Vlerën e Shtuar</w:t>
      </w:r>
      <w:bookmarkEnd w:id="33"/>
      <w:bookmarkEnd w:id="34"/>
      <w:bookmarkEnd w:id="35"/>
    </w:p>
    <w:p w14:paraId="19ECCED3" w14:textId="77777777" w:rsidR="00DA6046" w:rsidRPr="002E06C4" w:rsidRDefault="006B3031" w:rsidP="00453DA8">
      <w:pPr>
        <w:spacing w:before="240" w:line="276" w:lineRule="auto"/>
        <w:jc w:val="both"/>
        <w:rPr>
          <w:rFonts w:asciiTheme="majorHAnsi" w:hAnsiTheme="majorHAnsi" w:cs="Times New Roman"/>
          <w:lang w:val="sq-AL" w:eastAsia="x-none"/>
        </w:rPr>
      </w:pPr>
      <w:r w:rsidRPr="002E06C4">
        <w:rPr>
          <w:rFonts w:asciiTheme="majorHAnsi" w:hAnsiTheme="majorHAnsi" w:cs="Times New Roman"/>
          <w:i/>
          <w:lang w:val="sq-AL" w:eastAsia="x-none"/>
        </w:rPr>
        <w:t>Ulja e pragut t</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 xml:space="preserve"> regjistrimit p</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r TVSH</w:t>
      </w:r>
      <w:r w:rsidRPr="002E06C4">
        <w:rPr>
          <w:rFonts w:asciiTheme="majorHAnsi" w:hAnsiTheme="majorHAnsi" w:cs="Times New Roman"/>
          <w:lang w:val="sq-AL" w:eastAsia="x-none"/>
        </w:rPr>
        <w:t>:  Pragu i regjistrimit në skemën e TVSH-së u ul nga 5 milionë lekë në 2 milionë lekë, m</w:t>
      </w:r>
      <w:r w:rsidR="00453DA8" w:rsidRPr="002E06C4">
        <w:rPr>
          <w:rFonts w:asciiTheme="majorHAnsi" w:hAnsiTheme="majorHAnsi" w:cs="Times New Roman"/>
          <w:lang w:val="sq-AL" w:eastAsia="x-none"/>
        </w:rPr>
        <w:t>e qëllim formalizimin dhe kontrollin e zinxhirit të transaksioneve nga kompanitë e mëdha tek biznesi i vogël, duke synuar formalizim</w:t>
      </w:r>
      <w:r w:rsidRPr="002E06C4">
        <w:rPr>
          <w:rFonts w:asciiTheme="majorHAnsi" w:hAnsiTheme="majorHAnsi" w:cs="Times New Roman"/>
          <w:lang w:val="sq-AL" w:eastAsia="x-none"/>
        </w:rPr>
        <w:t>in</w:t>
      </w:r>
      <w:r w:rsidR="00453DA8" w:rsidRPr="002E06C4">
        <w:rPr>
          <w:rFonts w:asciiTheme="majorHAnsi" w:hAnsiTheme="majorHAnsi" w:cs="Times New Roman"/>
          <w:lang w:val="sq-AL" w:eastAsia="x-none"/>
        </w:rPr>
        <w:t xml:space="preserve"> </w:t>
      </w:r>
      <w:r w:rsidRPr="002E06C4">
        <w:rPr>
          <w:rFonts w:asciiTheme="majorHAnsi" w:hAnsiTheme="majorHAnsi" w:cs="Times New Roman"/>
          <w:lang w:val="sq-AL" w:eastAsia="x-none"/>
        </w:rPr>
        <w:t>e</w:t>
      </w:r>
      <w:r w:rsidR="00453DA8" w:rsidRPr="002E06C4">
        <w:rPr>
          <w:rFonts w:asciiTheme="majorHAnsi" w:hAnsiTheme="majorHAnsi" w:cs="Times New Roman"/>
          <w:lang w:val="sq-AL" w:eastAsia="x-none"/>
        </w:rPr>
        <w:t xml:space="preserve"> qarkullimit të mallrave dhe shërbimeve dhe një mbulim tërësor të TVSH-së</w:t>
      </w:r>
      <w:r w:rsidRPr="002E06C4">
        <w:rPr>
          <w:rFonts w:asciiTheme="majorHAnsi" w:hAnsiTheme="majorHAnsi" w:cs="Times New Roman"/>
          <w:lang w:val="sq-AL" w:eastAsia="x-none"/>
        </w:rPr>
        <w:t>.</w:t>
      </w:r>
      <w:r w:rsidR="00453DA8" w:rsidRPr="002E06C4">
        <w:rPr>
          <w:rFonts w:asciiTheme="majorHAnsi" w:hAnsiTheme="majorHAnsi" w:cs="Times New Roman"/>
          <w:lang w:val="sq-AL" w:eastAsia="x-none"/>
        </w:rPr>
        <w:t xml:space="preserve"> Efekti në të ardhura </w:t>
      </w:r>
      <w:r w:rsidRPr="002E06C4">
        <w:rPr>
          <w:rFonts w:asciiTheme="majorHAnsi" w:hAnsiTheme="majorHAnsi" w:cs="Times New Roman"/>
          <w:lang w:val="sq-AL" w:eastAsia="x-none"/>
        </w:rPr>
        <w:t xml:space="preserve">i </w:t>
      </w:r>
      <w:r w:rsidR="00453DA8" w:rsidRPr="002E06C4">
        <w:rPr>
          <w:rFonts w:asciiTheme="majorHAnsi" w:hAnsiTheme="majorHAnsi" w:cs="Times New Roman"/>
          <w:lang w:val="sq-AL" w:eastAsia="x-none"/>
        </w:rPr>
        <w:t>parashik</w:t>
      </w:r>
      <w:r w:rsidRPr="002E06C4">
        <w:rPr>
          <w:rFonts w:asciiTheme="majorHAnsi" w:hAnsiTheme="majorHAnsi" w:cs="Times New Roman"/>
          <w:lang w:val="sq-AL" w:eastAsia="x-none"/>
        </w:rPr>
        <w:t>uar ishte</w:t>
      </w:r>
      <w:r w:rsidR="00453DA8" w:rsidRPr="002E06C4">
        <w:rPr>
          <w:rFonts w:asciiTheme="majorHAnsi" w:hAnsiTheme="majorHAnsi" w:cs="Times New Roman"/>
          <w:lang w:val="sq-AL" w:eastAsia="x-none"/>
        </w:rPr>
        <w:t xml:space="preserve"> +1 miliardë lekë për vitin 2018</w:t>
      </w:r>
      <w:r w:rsidR="0062455C" w:rsidRPr="002E06C4">
        <w:rPr>
          <w:rFonts w:asciiTheme="majorHAnsi" w:hAnsiTheme="majorHAnsi" w:cs="Times New Roman"/>
          <w:lang w:val="sq-AL" w:eastAsia="x-none"/>
        </w:rPr>
        <w:t xml:space="preserve">, </w:t>
      </w:r>
      <w:r w:rsidR="00DA6046" w:rsidRPr="002E06C4">
        <w:rPr>
          <w:rFonts w:asciiTheme="majorHAnsi" w:hAnsiTheme="majorHAnsi" w:cs="Times New Roman"/>
          <w:lang w:val="sq-AL" w:eastAsia="x-none"/>
        </w:rPr>
        <w:t>nga t</w:t>
      </w:r>
      <w:r w:rsidR="00824B19" w:rsidRPr="002E06C4">
        <w:rPr>
          <w:rFonts w:asciiTheme="majorHAnsi" w:hAnsiTheme="majorHAnsi" w:cs="Times New Roman"/>
          <w:lang w:val="sq-AL" w:eastAsia="x-none"/>
        </w:rPr>
        <w:t>ë</w:t>
      </w:r>
      <w:r w:rsidR="00DA6046" w:rsidRPr="002E06C4">
        <w:rPr>
          <w:rFonts w:asciiTheme="majorHAnsi" w:hAnsiTheme="majorHAnsi" w:cs="Times New Roman"/>
          <w:lang w:val="sq-AL" w:eastAsia="x-none"/>
        </w:rPr>
        <w:t xml:space="preserve"> cilat u realizuan 0.8 miliard</w:t>
      </w:r>
      <w:r w:rsidR="00824B19" w:rsidRPr="002E06C4">
        <w:rPr>
          <w:rFonts w:asciiTheme="majorHAnsi" w:hAnsiTheme="majorHAnsi" w:cs="Times New Roman"/>
          <w:lang w:val="sq-AL" w:eastAsia="x-none"/>
        </w:rPr>
        <w:t>ë</w:t>
      </w:r>
      <w:r w:rsidR="00DA6046" w:rsidRPr="002E06C4">
        <w:rPr>
          <w:rFonts w:asciiTheme="majorHAnsi" w:hAnsiTheme="majorHAnsi" w:cs="Times New Roman"/>
          <w:lang w:val="sq-AL" w:eastAsia="x-none"/>
        </w:rPr>
        <w:t xml:space="preserve"> lek</w:t>
      </w:r>
      <w:r w:rsidR="00824B19" w:rsidRPr="002E06C4">
        <w:rPr>
          <w:rFonts w:asciiTheme="majorHAnsi" w:hAnsiTheme="majorHAnsi" w:cs="Times New Roman"/>
          <w:lang w:val="sq-AL" w:eastAsia="x-none"/>
        </w:rPr>
        <w:t>ë</w:t>
      </w:r>
      <w:r w:rsidR="00DA6046" w:rsidRPr="002E06C4">
        <w:rPr>
          <w:rFonts w:asciiTheme="majorHAnsi" w:hAnsiTheme="majorHAnsi" w:cs="Times New Roman"/>
          <w:lang w:val="sq-AL" w:eastAsia="x-none"/>
        </w:rPr>
        <w:t>.</w:t>
      </w:r>
    </w:p>
    <w:p w14:paraId="2CC73BD6" w14:textId="77777777" w:rsidR="00453DA8" w:rsidRDefault="006B3031" w:rsidP="00453DA8">
      <w:pPr>
        <w:spacing w:before="240" w:line="276" w:lineRule="auto"/>
        <w:jc w:val="both"/>
        <w:rPr>
          <w:rFonts w:asciiTheme="majorHAnsi" w:hAnsiTheme="majorHAnsi" w:cs="Times New Roman"/>
          <w:lang w:val="sq-AL" w:eastAsia="x-none"/>
        </w:rPr>
      </w:pPr>
      <w:r w:rsidRPr="002E06C4">
        <w:rPr>
          <w:rFonts w:asciiTheme="majorHAnsi" w:hAnsiTheme="majorHAnsi" w:cs="Times New Roman"/>
          <w:i/>
          <w:lang w:val="sq-AL" w:eastAsia="x-none"/>
        </w:rPr>
        <w:t>Shkall</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 xml:space="preserve"> e reduktuar e TVSH-s</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 xml:space="preserve"> n</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 xml:space="preserve"> turiz</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m</w:t>
      </w:r>
      <w:r w:rsidRPr="002E06C4">
        <w:rPr>
          <w:rFonts w:asciiTheme="majorHAnsi" w:hAnsiTheme="majorHAnsi" w:cs="Times New Roman"/>
          <w:lang w:val="sq-AL" w:eastAsia="x-none"/>
        </w:rPr>
        <w:t>: S</w:t>
      </w:r>
      <w:r w:rsidR="00453DA8" w:rsidRPr="002E06C4">
        <w:rPr>
          <w:rFonts w:asciiTheme="majorHAnsi" w:hAnsiTheme="majorHAnsi" w:cs="Times New Roman"/>
          <w:lang w:val="sq-AL" w:eastAsia="x-none"/>
        </w:rPr>
        <w:t xml:space="preserve">hërbimet e ofruara në strukturat akomoduese hotel/resort me pesë yje, status special, sipas përcaktimeve të ligjit të fushës së turizmit dhe mbajtës i markës tregtare të regjistruar ndërkombëtarisht “brand name”, </w:t>
      </w:r>
      <w:r w:rsidRPr="002E06C4">
        <w:rPr>
          <w:rFonts w:asciiTheme="majorHAnsi" w:hAnsiTheme="majorHAnsi" w:cs="Times New Roman"/>
          <w:lang w:val="sq-AL" w:eastAsia="x-none"/>
        </w:rPr>
        <w:t>jan</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subjekt i</w:t>
      </w:r>
      <w:r w:rsidR="00453DA8" w:rsidRPr="002E06C4">
        <w:rPr>
          <w:rFonts w:asciiTheme="majorHAnsi" w:hAnsiTheme="majorHAnsi" w:cs="Times New Roman"/>
          <w:lang w:val="sq-AL" w:eastAsia="x-none"/>
        </w:rPr>
        <w:t xml:space="preserve"> </w:t>
      </w:r>
      <w:r w:rsidRPr="002E06C4">
        <w:rPr>
          <w:rFonts w:asciiTheme="majorHAnsi" w:hAnsiTheme="majorHAnsi" w:cs="Times New Roman"/>
          <w:lang w:val="sq-AL" w:eastAsia="x-none"/>
        </w:rPr>
        <w:t>nj</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w:t>
      </w:r>
      <w:r w:rsidR="00453DA8" w:rsidRPr="002E06C4">
        <w:rPr>
          <w:rFonts w:asciiTheme="majorHAnsi" w:hAnsiTheme="majorHAnsi" w:cs="Times New Roman"/>
          <w:lang w:val="sq-AL" w:eastAsia="x-none"/>
        </w:rPr>
        <w:t>shkall</w:t>
      </w:r>
      <w:r w:rsidRPr="002E06C4">
        <w:rPr>
          <w:rFonts w:asciiTheme="majorHAnsi" w:hAnsiTheme="majorHAnsi" w:cs="Times New Roman"/>
          <w:lang w:val="sq-AL" w:eastAsia="x-none"/>
        </w:rPr>
        <w:t>e</w:t>
      </w:r>
      <w:r w:rsidR="00453DA8" w:rsidRPr="002E06C4">
        <w:rPr>
          <w:rFonts w:asciiTheme="majorHAnsi" w:hAnsiTheme="majorHAnsi" w:cs="Times New Roman"/>
          <w:lang w:val="sq-AL" w:eastAsia="x-none"/>
        </w:rPr>
        <w:t xml:space="preserve"> </w:t>
      </w:r>
      <w:r w:rsidRPr="002E06C4">
        <w:rPr>
          <w:rFonts w:asciiTheme="majorHAnsi" w:hAnsiTheme="majorHAnsi" w:cs="Times New Roman"/>
          <w:lang w:val="sq-AL" w:eastAsia="x-none"/>
        </w:rPr>
        <w:t>t</w:t>
      </w:r>
      <w:r w:rsidR="00C33B16" w:rsidRPr="002E06C4">
        <w:rPr>
          <w:rFonts w:asciiTheme="majorHAnsi" w:hAnsiTheme="majorHAnsi" w:cs="Times New Roman"/>
          <w:lang w:val="sq-AL" w:eastAsia="x-none"/>
        </w:rPr>
        <w:t>ë</w:t>
      </w:r>
      <w:r w:rsidR="00453DA8" w:rsidRPr="002E06C4">
        <w:rPr>
          <w:rFonts w:asciiTheme="majorHAnsi" w:hAnsiTheme="majorHAnsi" w:cs="Times New Roman"/>
          <w:lang w:val="sq-AL" w:eastAsia="x-none"/>
        </w:rPr>
        <w:t xml:space="preserve"> reduktuar </w:t>
      </w:r>
      <w:r w:rsidRPr="002E06C4">
        <w:rPr>
          <w:rFonts w:asciiTheme="majorHAnsi" w:hAnsiTheme="majorHAnsi" w:cs="Times New Roman"/>
          <w:lang w:val="sq-AL" w:eastAsia="x-none"/>
        </w:rPr>
        <w:t>t</w:t>
      </w:r>
      <w:r w:rsidR="00C33B16" w:rsidRPr="002E06C4">
        <w:rPr>
          <w:rFonts w:asciiTheme="majorHAnsi" w:hAnsiTheme="majorHAnsi" w:cs="Times New Roman"/>
          <w:lang w:val="sq-AL" w:eastAsia="x-none"/>
        </w:rPr>
        <w:t>ë</w:t>
      </w:r>
      <w:r w:rsidR="00453DA8" w:rsidRPr="002E06C4">
        <w:rPr>
          <w:rFonts w:asciiTheme="majorHAnsi" w:hAnsiTheme="majorHAnsi" w:cs="Times New Roman"/>
          <w:lang w:val="sq-AL" w:eastAsia="x-none"/>
        </w:rPr>
        <w:t xml:space="preserve"> TVSH-së në masën 6 për qind. Kjo politikë fiskale synon</w:t>
      </w:r>
      <w:r w:rsidRPr="002E06C4">
        <w:rPr>
          <w:rFonts w:asciiTheme="majorHAnsi" w:hAnsiTheme="majorHAnsi" w:cs="Times New Roman"/>
          <w:lang w:val="sq-AL" w:eastAsia="x-none"/>
        </w:rPr>
        <w:t>te</w:t>
      </w:r>
      <w:r w:rsidR="00453DA8" w:rsidRPr="002E06C4">
        <w:rPr>
          <w:rFonts w:asciiTheme="majorHAnsi" w:hAnsiTheme="majorHAnsi" w:cs="Times New Roman"/>
          <w:lang w:val="sq-AL" w:eastAsia="x-none"/>
        </w:rPr>
        <w:t xml:space="preserve"> nxitjen e zhvillimit të sektorit të turizmit si dhe rritjen e konkurrencës dhe zhvillimin ekonomik.</w:t>
      </w:r>
      <w:r w:rsidRPr="002E06C4">
        <w:rPr>
          <w:rFonts w:asciiTheme="majorHAnsi" w:hAnsiTheme="majorHAnsi" w:cs="Times New Roman"/>
          <w:lang w:val="sq-AL" w:eastAsia="x-none"/>
        </w:rPr>
        <w:t xml:space="preserve"> </w:t>
      </w:r>
    </w:p>
    <w:p w14:paraId="36EEFCA6" w14:textId="77777777" w:rsidR="001779A0" w:rsidRPr="002E06C4" w:rsidRDefault="001779A0" w:rsidP="00453DA8">
      <w:pPr>
        <w:spacing w:before="240" w:line="276" w:lineRule="auto"/>
        <w:jc w:val="both"/>
        <w:rPr>
          <w:rFonts w:asciiTheme="majorHAnsi" w:hAnsiTheme="majorHAnsi" w:cs="Times New Roman"/>
          <w:lang w:val="sq-AL" w:eastAsia="x-none"/>
        </w:rPr>
      </w:pPr>
    </w:p>
    <w:p w14:paraId="724F49A5" w14:textId="77777777" w:rsidR="00AD14BF" w:rsidRPr="002E06C4" w:rsidRDefault="00AD14BF" w:rsidP="00AD14BF">
      <w:pPr>
        <w:spacing w:line="276" w:lineRule="auto"/>
        <w:jc w:val="both"/>
        <w:rPr>
          <w:rFonts w:asciiTheme="majorHAnsi" w:hAnsiTheme="majorHAnsi" w:cs="Times New Roman"/>
          <w:sz w:val="12"/>
          <w:lang w:val="sq-AL" w:eastAsia="x-none"/>
        </w:rPr>
      </w:pPr>
    </w:p>
    <w:p w14:paraId="66C93507" w14:textId="77777777" w:rsidR="00453DA8" w:rsidRPr="002E06C4" w:rsidRDefault="00453DA8" w:rsidP="00A2716B">
      <w:pPr>
        <w:pStyle w:val="Heading3"/>
        <w:numPr>
          <w:ilvl w:val="2"/>
          <w:numId w:val="4"/>
        </w:numPr>
        <w:rPr>
          <w:rFonts w:cs="Times New Roman"/>
          <w:i/>
          <w:lang w:val="sq-AL"/>
        </w:rPr>
      </w:pPr>
      <w:bookmarkStart w:id="36" w:name="_Toc10033263"/>
      <w:bookmarkStart w:id="37" w:name="_Toc10721400"/>
      <w:bookmarkStart w:id="38" w:name="_Toc11134206"/>
      <w:r w:rsidRPr="002E06C4">
        <w:rPr>
          <w:rFonts w:cs="Times New Roman"/>
          <w:i/>
          <w:lang w:val="sq-AL"/>
        </w:rPr>
        <w:lastRenderedPageBreak/>
        <w:t>Tatimi mbi të Ardhurat</w:t>
      </w:r>
      <w:bookmarkEnd w:id="36"/>
      <w:bookmarkEnd w:id="37"/>
      <w:bookmarkEnd w:id="38"/>
    </w:p>
    <w:p w14:paraId="50043192" w14:textId="77777777" w:rsidR="006B3031" w:rsidRPr="002E06C4" w:rsidRDefault="006B3031" w:rsidP="00453DA8">
      <w:pPr>
        <w:spacing w:before="240" w:line="276" w:lineRule="auto"/>
        <w:jc w:val="both"/>
        <w:rPr>
          <w:rFonts w:asciiTheme="majorHAnsi" w:hAnsiTheme="majorHAnsi" w:cs="Times New Roman"/>
          <w:lang w:val="sq-AL" w:eastAsia="x-none"/>
        </w:rPr>
      </w:pPr>
      <w:r w:rsidRPr="002E06C4">
        <w:rPr>
          <w:rFonts w:asciiTheme="majorHAnsi" w:hAnsiTheme="majorHAnsi" w:cs="Times New Roman"/>
          <w:i/>
          <w:lang w:val="sq-AL" w:eastAsia="x-none"/>
        </w:rPr>
        <w:t>Nxit</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s tatimor</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 xml:space="preserve"> p</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r sektor</w:t>
      </w:r>
      <w:r w:rsidR="00C33B16" w:rsidRPr="002E06C4">
        <w:rPr>
          <w:rFonts w:asciiTheme="majorHAnsi" w:hAnsiTheme="majorHAnsi" w:cs="Times New Roman"/>
          <w:i/>
          <w:lang w:val="sq-AL" w:eastAsia="x-none"/>
        </w:rPr>
        <w:t>ë</w:t>
      </w:r>
      <w:r w:rsidRPr="002E06C4">
        <w:rPr>
          <w:rFonts w:asciiTheme="majorHAnsi" w:hAnsiTheme="majorHAnsi" w:cs="Times New Roman"/>
          <w:i/>
          <w:lang w:val="sq-AL" w:eastAsia="x-none"/>
        </w:rPr>
        <w:t xml:space="preserve"> prioritar</w:t>
      </w:r>
      <w:r w:rsidR="00C33B16" w:rsidRPr="002E06C4">
        <w:rPr>
          <w:rFonts w:asciiTheme="majorHAnsi" w:hAnsiTheme="majorHAnsi" w:cs="Times New Roman"/>
          <w:i/>
          <w:lang w:val="sq-AL" w:eastAsia="x-none"/>
        </w:rPr>
        <w:t>ë</w:t>
      </w:r>
      <w:r w:rsidRPr="002E06C4">
        <w:rPr>
          <w:rFonts w:asciiTheme="majorHAnsi" w:hAnsiTheme="majorHAnsi" w:cs="Times New Roman"/>
          <w:lang w:val="sq-AL" w:eastAsia="x-none"/>
        </w:rPr>
        <w:t xml:space="preserve">: </w:t>
      </w:r>
    </w:p>
    <w:p w14:paraId="4BEE9AAF" w14:textId="77777777" w:rsidR="00453DA8" w:rsidRPr="002E06C4" w:rsidRDefault="00453DA8" w:rsidP="00453DA8">
      <w:pPr>
        <w:spacing w:before="240" w:line="276" w:lineRule="auto"/>
        <w:jc w:val="both"/>
        <w:rPr>
          <w:rFonts w:asciiTheme="majorHAnsi" w:hAnsiTheme="majorHAnsi" w:cs="Times New Roman"/>
          <w:lang w:val="sq-AL" w:eastAsia="x-none"/>
        </w:rPr>
      </w:pPr>
      <w:r w:rsidRPr="002E06C4">
        <w:rPr>
          <w:rFonts w:asciiTheme="majorHAnsi" w:hAnsiTheme="majorHAnsi" w:cs="Times New Roman"/>
          <w:lang w:val="sq-AL" w:eastAsia="x-none"/>
        </w:rPr>
        <w:t xml:space="preserve">Incentivimin për sektorin e turizmit elitar duke ulur normën tatimore në 0 për qind për 10 vitet e para fiskale, për strukturat akomoduese “Hotel/resort me 4&amp;5 yje, status special dhe mbajtës i markës tregtare të regjistruar ndërkombëtarisht “brand name”, sipas përcaktimeve të ligjit të fushës së turizmit. </w:t>
      </w:r>
    </w:p>
    <w:p w14:paraId="1BB113F4" w14:textId="730D33CA" w:rsidR="00453DA8" w:rsidRPr="002E06C4" w:rsidRDefault="001779A0" w:rsidP="00453DA8">
      <w:pPr>
        <w:spacing w:before="240" w:line="276" w:lineRule="auto"/>
        <w:jc w:val="both"/>
        <w:rPr>
          <w:rFonts w:asciiTheme="majorHAnsi" w:hAnsiTheme="majorHAnsi" w:cs="Times New Roman"/>
          <w:lang w:val="sq-AL" w:eastAsia="x-none"/>
        </w:rPr>
      </w:pPr>
      <w:r w:rsidRPr="005B3E6B">
        <w:rPr>
          <w:rFonts w:asciiTheme="majorHAnsi" w:hAnsiTheme="majorHAnsi" w:cs="Times New Roman"/>
          <w:lang w:val="sq-AL" w:eastAsia="x-none"/>
        </w:rPr>
        <w:t>Incentivimin në fushën e prodhimit të soft</w:t>
      </w:r>
      <w:r w:rsidR="002755E8">
        <w:rPr>
          <w:rFonts w:asciiTheme="majorHAnsi" w:hAnsiTheme="majorHAnsi" w:cs="Times New Roman"/>
          <w:lang w:val="sq-AL" w:eastAsia="x-none"/>
        </w:rPr>
        <w:t>ë</w:t>
      </w:r>
      <w:r w:rsidRPr="005B3E6B">
        <w:rPr>
          <w:rFonts w:asciiTheme="majorHAnsi" w:hAnsiTheme="majorHAnsi" w:cs="Times New Roman"/>
          <w:lang w:val="sq-AL" w:eastAsia="x-none"/>
        </w:rPr>
        <w:t>are-ve duke reduktuar normën tatimore nga 15 përqind në 5 përqind, si një instrument i rëndësishëm për të incentivuar mbajtjen e kapaciteteve intelektuale brenda vendit si një faktor kyç për zhvillimin teknologjik dhe atë ekonomik</w:t>
      </w:r>
      <w:r w:rsidR="00453DA8" w:rsidRPr="002E06C4">
        <w:rPr>
          <w:rFonts w:asciiTheme="majorHAnsi" w:hAnsiTheme="majorHAnsi" w:cs="Times New Roman"/>
          <w:lang w:val="sq-AL" w:eastAsia="x-none"/>
        </w:rPr>
        <w:t>.</w:t>
      </w:r>
    </w:p>
    <w:p w14:paraId="73572C16" w14:textId="77777777" w:rsidR="00D5285F" w:rsidRPr="002E06C4" w:rsidRDefault="00D5285F" w:rsidP="00D5285F">
      <w:pPr>
        <w:spacing w:line="276" w:lineRule="auto"/>
        <w:jc w:val="both"/>
        <w:rPr>
          <w:rFonts w:asciiTheme="majorHAnsi" w:hAnsiTheme="majorHAnsi" w:cs="Times New Roman"/>
          <w:sz w:val="12"/>
          <w:szCs w:val="12"/>
          <w:lang w:val="sq-AL" w:eastAsia="x-none"/>
        </w:rPr>
      </w:pPr>
    </w:p>
    <w:p w14:paraId="72434DE3" w14:textId="77777777" w:rsidR="00453DA8" w:rsidRPr="002E06C4" w:rsidRDefault="00453DA8" w:rsidP="00A2716B">
      <w:pPr>
        <w:pStyle w:val="Heading3"/>
        <w:numPr>
          <w:ilvl w:val="2"/>
          <w:numId w:val="4"/>
        </w:numPr>
        <w:rPr>
          <w:rFonts w:cs="Times New Roman"/>
          <w:lang w:val="sq-AL"/>
        </w:rPr>
      </w:pPr>
      <w:bookmarkStart w:id="39" w:name="_Toc10033264"/>
      <w:bookmarkStart w:id="40" w:name="_Toc10721401"/>
      <w:bookmarkStart w:id="41" w:name="_Toc11134207"/>
      <w:r w:rsidRPr="002E06C4">
        <w:rPr>
          <w:rFonts w:cs="Times New Roman"/>
          <w:lang w:val="sq-AL"/>
        </w:rPr>
        <w:t>Akciza</w:t>
      </w:r>
      <w:bookmarkEnd w:id="39"/>
      <w:bookmarkEnd w:id="40"/>
      <w:bookmarkEnd w:id="41"/>
    </w:p>
    <w:p w14:paraId="1B0FEE16" w14:textId="77777777" w:rsidR="00453DA8" w:rsidRDefault="00453DA8" w:rsidP="00453DA8">
      <w:pPr>
        <w:spacing w:before="240" w:line="276" w:lineRule="auto"/>
        <w:jc w:val="both"/>
        <w:rPr>
          <w:rFonts w:asciiTheme="majorHAnsi" w:hAnsiTheme="majorHAnsi" w:cs="Times New Roman"/>
          <w:lang w:val="sq-AL" w:eastAsia="x-none"/>
        </w:rPr>
      </w:pPr>
      <w:r w:rsidRPr="002E06C4">
        <w:rPr>
          <w:rFonts w:asciiTheme="majorHAnsi" w:hAnsiTheme="majorHAnsi" w:cs="Times New Roman"/>
          <w:i/>
          <w:lang w:val="sq-AL" w:eastAsia="x-none"/>
        </w:rPr>
        <w:t>Rishikim i nivelit të akcizës së cigareve për vitin 2018</w:t>
      </w:r>
      <w:r w:rsidRPr="002E06C4">
        <w:rPr>
          <w:rFonts w:asciiTheme="majorHAnsi" w:hAnsiTheme="majorHAnsi" w:cs="Times New Roman"/>
          <w:lang w:val="sq-AL" w:eastAsia="x-none"/>
        </w:rPr>
        <w:t>, nga 5750 lekë/1000 fije që ishte parashikuar në kalendar, në 5850 lekë/1000 fije. Ky ndryshim parashikon</w:t>
      </w:r>
      <w:r w:rsidR="006B3031" w:rsidRPr="002E06C4">
        <w:rPr>
          <w:rFonts w:asciiTheme="majorHAnsi" w:hAnsiTheme="majorHAnsi" w:cs="Times New Roman"/>
          <w:lang w:val="sq-AL" w:eastAsia="x-none"/>
        </w:rPr>
        <w:t>te</w:t>
      </w:r>
      <w:r w:rsidRPr="002E06C4">
        <w:rPr>
          <w:rFonts w:asciiTheme="majorHAnsi" w:hAnsiTheme="majorHAnsi" w:cs="Times New Roman"/>
          <w:lang w:val="sq-AL" w:eastAsia="x-none"/>
        </w:rPr>
        <w:t xml:space="preserve"> një efekt pozitiv në të ardhurat e buxhetit të shtetit +1 miliardë lekë</w:t>
      </w:r>
      <w:r w:rsidR="0062455C" w:rsidRPr="002E06C4">
        <w:rPr>
          <w:rFonts w:asciiTheme="majorHAnsi" w:hAnsiTheme="majorHAnsi" w:cs="Times New Roman"/>
          <w:lang w:val="sq-AL" w:eastAsia="x-none"/>
        </w:rPr>
        <w:t>, nga t</w:t>
      </w:r>
      <w:r w:rsidR="00824B19" w:rsidRPr="002E06C4">
        <w:rPr>
          <w:rFonts w:asciiTheme="majorHAnsi" w:hAnsiTheme="majorHAnsi" w:cs="Times New Roman"/>
          <w:lang w:val="sq-AL" w:eastAsia="x-none"/>
        </w:rPr>
        <w:t>ë</w:t>
      </w:r>
      <w:r w:rsidR="0062455C" w:rsidRPr="002E06C4">
        <w:rPr>
          <w:rFonts w:asciiTheme="majorHAnsi" w:hAnsiTheme="majorHAnsi" w:cs="Times New Roman"/>
          <w:lang w:val="sq-AL" w:eastAsia="x-none"/>
        </w:rPr>
        <w:t xml:space="preserve"> cilat u realizuan 0.8 miliard</w:t>
      </w:r>
      <w:r w:rsidR="00824B19" w:rsidRPr="002E06C4">
        <w:rPr>
          <w:rFonts w:asciiTheme="majorHAnsi" w:hAnsiTheme="majorHAnsi" w:cs="Times New Roman"/>
          <w:lang w:val="sq-AL" w:eastAsia="x-none"/>
        </w:rPr>
        <w:t>ë</w:t>
      </w:r>
      <w:r w:rsidR="0062455C" w:rsidRPr="002E06C4">
        <w:rPr>
          <w:rFonts w:asciiTheme="majorHAnsi" w:hAnsiTheme="majorHAnsi" w:cs="Times New Roman"/>
          <w:lang w:val="sq-AL" w:eastAsia="x-none"/>
        </w:rPr>
        <w:t xml:space="preserve"> lek</w:t>
      </w:r>
      <w:r w:rsidR="00824B19"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w:t>
      </w:r>
    </w:p>
    <w:p w14:paraId="22819763" w14:textId="77777777" w:rsidR="00C64C48" w:rsidRPr="00C64C48" w:rsidRDefault="00C64C48" w:rsidP="00C64C48">
      <w:pPr>
        <w:jc w:val="both"/>
        <w:rPr>
          <w:rFonts w:asciiTheme="majorHAnsi" w:hAnsiTheme="majorHAnsi" w:cs="Times New Roman"/>
          <w:sz w:val="12"/>
          <w:szCs w:val="12"/>
          <w:lang w:val="sq-AL" w:eastAsia="x-none"/>
        </w:rPr>
      </w:pPr>
    </w:p>
    <w:p w14:paraId="4D2D75C4" w14:textId="77777777" w:rsidR="00453DA8" w:rsidRPr="002E06C4" w:rsidRDefault="00453DA8" w:rsidP="00A2716B">
      <w:pPr>
        <w:pStyle w:val="Heading3"/>
        <w:numPr>
          <w:ilvl w:val="2"/>
          <w:numId w:val="4"/>
        </w:numPr>
        <w:rPr>
          <w:rFonts w:cs="Times New Roman"/>
          <w:lang w:val="sq-AL"/>
        </w:rPr>
      </w:pPr>
      <w:bookmarkStart w:id="42" w:name="_Toc10033265"/>
      <w:bookmarkStart w:id="43" w:name="_Toc10721402"/>
      <w:bookmarkStart w:id="44" w:name="_Toc11134208"/>
      <w:r w:rsidRPr="002E06C4">
        <w:rPr>
          <w:rFonts w:cs="Times New Roman"/>
          <w:lang w:val="sq-AL"/>
        </w:rPr>
        <w:t>Tarifat Doganore</w:t>
      </w:r>
      <w:bookmarkEnd w:id="42"/>
      <w:bookmarkEnd w:id="43"/>
      <w:bookmarkEnd w:id="44"/>
    </w:p>
    <w:p w14:paraId="640BCDBF" w14:textId="77777777" w:rsidR="00453DA8" w:rsidRPr="002E06C4" w:rsidRDefault="00453DA8" w:rsidP="00453DA8">
      <w:pPr>
        <w:spacing w:before="240" w:line="276" w:lineRule="auto"/>
        <w:jc w:val="both"/>
        <w:rPr>
          <w:rFonts w:asciiTheme="majorHAnsi" w:hAnsiTheme="majorHAnsi" w:cs="Times New Roman"/>
          <w:lang w:val="sq-AL" w:eastAsia="x-none"/>
        </w:rPr>
      </w:pPr>
      <w:r w:rsidRPr="002E06C4">
        <w:rPr>
          <w:rFonts w:asciiTheme="majorHAnsi" w:hAnsiTheme="majorHAnsi" w:cs="Times New Roman"/>
          <w:lang w:val="sq-AL" w:eastAsia="x-none"/>
        </w:rPr>
        <w:t>Reduktimi i disa tarifave doganore të aplikuara në import të cilat kanë të bëjnë me produktet që përdoren në fushën e teknologjisë së informacionit, me efekte financiare negative në buxhetin e shtetit në masën  rreth 59 milionë lekë.</w:t>
      </w:r>
    </w:p>
    <w:p w14:paraId="33E107A8" w14:textId="77777777" w:rsidR="00AD14BF" w:rsidRPr="002E06C4" w:rsidRDefault="00AD14BF" w:rsidP="00AD14BF">
      <w:pPr>
        <w:spacing w:line="276" w:lineRule="auto"/>
        <w:jc w:val="both"/>
        <w:rPr>
          <w:rFonts w:asciiTheme="majorHAnsi" w:hAnsiTheme="majorHAnsi" w:cs="Times New Roman"/>
          <w:sz w:val="12"/>
          <w:szCs w:val="12"/>
          <w:lang w:val="sq-AL" w:eastAsia="x-none"/>
        </w:rPr>
      </w:pPr>
    </w:p>
    <w:p w14:paraId="5AEF87C1" w14:textId="77777777" w:rsidR="00453DA8" w:rsidRPr="002E06C4" w:rsidRDefault="00453DA8" w:rsidP="00A2716B">
      <w:pPr>
        <w:pStyle w:val="Heading3"/>
        <w:numPr>
          <w:ilvl w:val="2"/>
          <w:numId w:val="4"/>
        </w:numPr>
        <w:rPr>
          <w:rFonts w:cs="Times New Roman"/>
          <w:iCs/>
          <w:lang w:val="sq-AL"/>
        </w:rPr>
      </w:pPr>
      <w:bookmarkStart w:id="45" w:name="_Toc10033266"/>
      <w:bookmarkStart w:id="46" w:name="_Toc10721403"/>
      <w:bookmarkStart w:id="47" w:name="_Toc11134209"/>
      <w:r w:rsidRPr="002E06C4">
        <w:rPr>
          <w:rFonts w:cs="Times New Roman"/>
          <w:lang w:val="sq-AL"/>
        </w:rPr>
        <w:t>Taksat Vendore</w:t>
      </w:r>
      <w:bookmarkEnd w:id="45"/>
      <w:bookmarkEnd w:id="46"/>
      <w:bookmarkEnd w:id="47"/>
    </w:p>
    <w:p w14:paraId="3237DB25" w14:textId="77777777" w:rsidR="00453DA8" w:rsidRPr="002E06C4" w:rsidRDefault="006D2CC4" w:rsidP="00453DA8">
      <w:pPr>
        <w:spacing w:before="240" w:line="276" w:lineRule="auto"/>
        <w:jc w:val="both"/>
        <w:rPr>
          <w:rFonts w:asciiTheme="majorHAnsi" w:hAnsiTheme="majorHAnsi" w:cs="Times New Roman"/>
          <w:lang w:val="sq-AL" w:eastAsia="x-none"/>
        </w:rPr>
      </w:pPr>
      <w:r w:rsidRPr="002E06C4">
        <w:rPr>
          <w:rFonts w:asciiTheme="majorHAnsi" w:hAnsiTheme="majorHAnsi" w:cs="Times New Roman"/>
          <w:lang w:val="sq-AL" w:eastAsia="x-none"/>
        </w:rPr>
        <w:t>Ndryshimi i baz</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s 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taks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s 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pasuris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nd</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rtes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Nga viti 2018 baza e taks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s 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nd</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rtes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s </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sht</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vlera e tregut e nd</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rtes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s; n</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ndryshim nga baza e taks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s deri n</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vitin 2017 e cila aplikohej si nj</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taks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 fikse mbi sip</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rfaqen e nd</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rtes</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s. </w:t>
      </w:r>
      <w:r w:rsidR="00453DA8" w:rsidRPr="002E06C4">
        <w:rPr>
          <w:rFonts w:asciiTheme="majorHAnsi" w:hAnsiTheme="majorHAnsi" w:cs="Times New Roman"/>
          <w:lang w:val="sq-AL" w:eastAsia="x-none"/>
        </w:rPr>
        <w:t xml:space="preserve">Efekt pozitiv në të ardhurat e buxhetit të shtetit </w:t>
      </w:r>
      <w:r w:rsidR="00651DF4" w:rsidRPr="002E06C4">
        <w:rPr>
          <w:rFonts w:asciiTheme="majorHAnsi" w:hAnsiTheme="majorHAnsi" w:cs="Times New Roman"/>
          <w:lang w:val="sq-AL" w:eastAsia="x-none"/>
        </w:rPr>
        <w:t xml:space="preserve">parashikohej rreth </w:t>
      </w:r>
      <w:r w:rsidR="00453DA8" w:rsidRPr="002E06C4">
        <w:rPr>
          <w:rFonts w:asciiTheme="majorHAnsi" w:hAnsiTheme="majorHAnsi" w:cs="Times New Roman"/>
          <w:lang w:val="sq-AL" w:eastAsia="x-none"/>
        </w:rPr>
        <w:t>+2.4 miliardë lekë</w:t>
      </w:r>
      <w:r w:rsidRPr="002E06C4">
        <w:rPr>
          <w:rFonts w:asciiTheme="majorHAnsi" w:hAnsiTheme="majorHAnsi" w:cs="Times New Roman"/>
          <w:lang w:val="sq-AL" w:eastAsia="x-none"/>
        </w:rPr>
        <w:t xml:space="preserve">. </w:t>
      </w:r>
      <w:r w:rsidR="00651DF4" w:rsidRPr="002E06C4">
        <w:rPr>
          <w:rFonts w:asciiTheme="majorHAnsi" w:hAnsiTheme="majorHAnsi" w:cs="Times New Roman"/>
          <w:lang w:val="sq-AL" w:eastAsia="x-none"/>
        </w:rPr>
        <w:t>Pavar</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sisht rezultateve pozitive n</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 xml:space="preserve"> mbledhjen e taks</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s s</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 xml:space="preserve"> pasuris</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 xml:space="preserve"> krahasuar me vitin e m</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prash</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m, efekti i pritsh</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m nuk u arrit plot</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sisht gjat</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 xml:space="preserve"> vitit 2018, p</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r shkak t</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 xml:space="preserve"> vonesave dhe shtyrjeve n</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 xml:space="preserve"> zbatimin e plot</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 xml:space="preserve"> t</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 xml:space="preserve"> sistemit t</w:t>
      </w:r>
      <w:r w:rsidR="00824B19" w:rsidRPr="002E06C4">
        <w:rPr>
          <w:rFonts w:asciiTheme="majorHAnsi" w:hAnsiTheme="majorHAnsi" w:cs="Times New Roman"/>
          <w:lang w:val="sq-AL" w:eastAsia="x-none"/>
        </w:rPr>
        <w:t>ë</w:t>
      </w:r>
      <w:r w:rsidR="00651DF4" w:rsidRPr="002E06C4">
        <w:rPr>
          <w:rFonts w:asciiTheme="majorHAnsi" w:hAnsiTheme="majorHAnsi" w:cs="Times New Roman"/>
          <w:lang w:val="sq-AL" w:eastAsia="x-none"/>
        </w:rPr>
        <w:t xml:space="preserve"> ri. </w:t>
      </w:r>
      <w:r w:rsidRPr="002E06C4">
        <w:rPr>
          <w:rFonts w:asciiTheme="majorHAnsi" w:hAnsiTheme="majorHAnsi" w:cs="Times New Roman"/>
          <w:lang w:val="sq-AL" w:eastAsia="x-none"/>
        </w:rPr>
        <w:t>Nxit</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s p</w:t>
      </w:r>
      <w:r w:rsidR="00C33B16" w:rsidRPr="002E06C4">
        <w:rPr>
          <w:rFonts w:asciiTheme="majorHAnsi" w:hAnsiTheme="majorHAnsi" w:cs="Times New Roman"/>
          <w:lang w:val="sq-AL" w:eastAsia="x-none"/>
        </w:rPr>
        <w:t>ë</w:t>
      </w:r>
      <w:r w:rsidRPr="002E06C4">
        <w:rPr>
          <w:rFonts w:asciiTheme="majorHAnsi" w:hAnsiTheme="majorHAnsi" w:cs="Times New Roman"/>
          <w:lang w:val="sq-AL" w:eastAsia="x-none"/>
        </w:rPr>
        <w:t xml:space="preserve">r sektorin e turizmit: </w:t>
      </w:r>
      <w:r w:rsidR="00453DA8" w:rsidRPr="002E06C4">
        <w:rPr>
          <w:rFonts w:asciiTheme="majorHAnsi" w:hAnsiTheme="majorHAnsi" w:cs="Times New Roman"/>
          <w:lang w:val="sq-AL" w:eastAsia="x-none"/>
        </w:rPr>
        <w:t xml:space="preserve">Përjashtimi nga taksa e ndikimit në infrastrukturë e investimeve të kryera për ndërtimin e strukturave akomoduese “Hotel/resort me 4&amp;5 yje, status special sipas përcaktimit në legjislacionin përkatës për fushën e turizmit dhe mbajtës i markës tregtare të regjistruar ndërkombëtarisht “brand name”. </w:t>
      </w:r>
    </w:p>
    <w:p w14:paraId="23DEE0BA" w14:textId="77777777" w:rsidR="005A3996" w:rsidRPr="002E06C4" w:rsidRDefault="005A3996" w:rsidP="00502E37">
      <w:pPr>
        <w:spacing w:line="276" w:lineRule="auto"/>
        <w:jc w:val="both"/>
        <w:rPr>
          <w:rFonts w:asciiTheme="majorHAnsi" w:hAnsiTheme="majorHAnsi" w:cs="Times New Roman"/>
          <w:lang w:val="sq-AL" w:eastAsia="x-none"/>
        </w:rPr>
      </w:pPr>
    </w:p>
    <w:p w14:paraId="38600195" w14:textId="77777777" w:rsidR="006D2CC4" w:rsidRPr="002E06C4" w:rsidRDefault="006D2CC4" w:rsidP="005B52B4">
      <w:pPr>
        <w:pStyle w:val="Heading2"/>
        <w:numPr>
          <w:ilvl w:val="1"/>
          <w:numId w:val="4"/>
        </w:numPr>
        <w:ind w:left="540" w:hanging="540"/>
        <w:rPr>
          <w:rFonts w:cs="Times New Roman"/>
          <w:noProof/>
          <w:color w:val="4F81BD" w:themeColor="accent1"/>
          <w:lang w:val="sq-AL"/>
        </w:rPr>
      </w:pPr>
      <w:bookmarkStart w:id="48" w:name="_Toc515271236"/>
      <w:bookmarkStart w:id="49" w:name="_Toc10033267"/>
      <w:bookmarkStart w:id="50" w:name="_Toc10721404"/>
      <w:bookmarkStart w:id="51" w:name="_Toc11134210"/>
      <w:r w:rsidRPr="002E06C4">
        <w:rPr>
          <w:rFonts w:cs="Times New Roman"/>
          <w:noProof/>
          <w:color w:val="4F81BD" w:themeColor="accent1"/>
          <w:lang w:val="sq-AL"/>
        </w:rPr>
        <w:t>Të Ardhurat e Përgjithshme</w:t>
      </w:r>
      <w:bookmarkEnd w:id="48"/>
      <w:bookmarkEnd w:id="49"/>
      <w:bookmarkEnd w:id="50"/>
      <w:bookmarkEnd w:id="51"/>
    </w:p>
    <w:p w14:paraId="56298BF1" w14:textId="77777777" w:rsidR="0033539C" w:rsidRDefault="006D2CC4" w:rsidP="006D2CC4">
      <w:pPr>
        <w:spacing w:before="240" w:line="276" w:lineRule="auto"/>
        <w:jc w:val="both"/>
        <w:rPr>
          <w:rFonts w:asciiTheme="majorHAnsi" w:hAnsiTheme="majorHAnsi" w:cs="Times New Roman"/>
          <w:lang w:val="sq-AL"/>
        </w:rPr>
      </w:pPr>
      <w:r w:rsidRPr="002E06C4">
        <w:rPr>
          <w:rFonts w:asciiTheme="majorHAnsi" w:hAnsiTheme="majorHAnsi" w:cs="Times New Roman"/>
          <w:b/>
          <w:lang w:val="sq-AL"/>
        </w:rPr>
        <w:t>Të ardhurat totale</w:t>
      </w:r>
      <w:r w:rsidRPr="002E06C4">
        <w:rPr>
          <w:rFonts w:asciiTheme="majorHAnsi" w:hAnsiTheme="majorHAnsi" w:cs="Times New Roman"/>
          <w:lang w:val="sq-AL"/>
        </w:rPr>
        <w:t xml:space="preserve"> të buxhetit të konsoliduar për periudhën 12-mujore 2018, arritën në 449.5 miliardë lekë, me një realizim në masën 97.3 për qind të planit vjetor sipas Aktit Normativ nr. 2, datë 19.12.2018 (të rishikuar). Krahasuar me të njëjtën periudhë të vitit 2017 ky zë ka rezultuar 4.4 për qind ose 19.1 miliardë lekë më shumë. Rritja e kontributit të të ardhurave të buxhetit të shtetit për vitin 2018, krahasuar me vitin paraardhës është tregues i rëndësishëm i përmirësimit të përformancës së mbledhjes së të ardhurave në kuadër të reformës së konsolidimit të financave publike. Kjo rritje vjen kryesisht nga  </w:t>
      </w:r>
      <w:r w:rsidRPr="002E06C4">
        <w:rPr>
          <w:rFonts w:asciiTheme="majorHAnsi" w:hAnsiTheme="majorHAnsi" w:cs="Times New Roman"/>
          <w:lang w:val="sq-AL"/>
        </w:rPr>
        <w:lastRenderedPageBreak/>
        <w:t>impakti i rritjes ekonomike dhe nga përmirësimi në administrimin e taksave.</w:t>
      </w:r>
      <w:r w:rsidR="00502E37">
        <w:rPr>
          <w:rFonts w:asciiTheme="majorHAnsi" w:hAnsiTheme="majorHAnsi" w:cs="Times New Roman"/>
          <w:lang w:val="sq-AL"/>
        </w:rPr>
        <w:t xml:space="preserve"> </w:t>
      </w:r>
      <w:r w:rsidR="0033539C" w:rsidRPr="002E06C4">
        <w:rPr>
          <w:rFonts w:asciiTheme="majorHAnsi" w:hAnsiTheme="majorHAnsi" w:cs="Times New Roman"/>
          <w:lang w:val="sq-AL"/>
        </w:rPr>
        <w:t>N</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terma nominal</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ardhurat e p</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rgjithshme jan</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rritur n</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m</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nyr</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q</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ndrueshme nga viti n</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vit. N</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vitin 2018, 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ardhurat publike arrit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n nivelin 27,6% 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PBB-s</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ose rreth 1% m</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shum</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se mesatarja e pes</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viteve 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fundit. Megjithat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ritmi i rritjes s</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ekonomis</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ka qen</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m</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i lart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se ai i rritjes s</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ardhurave t</w:t>
      </w:r>
      <w:r w:rsidR="00C33B16" w:rsidRPr="002E06C4">
        <w:rPr>
          <w:rFonts w:asciiTheme="majorHAnsi" w:hAnsiTheme="majorHAnsi" w:cs="Times New Roman"/>
          <w:lang w:val="sq-AL"/>
        </w:rPr>
        <w:t>ë</w:t>
      </w:r>
      <w:r w:rsidR="0033539C" w:rsidRPr="002E06C4">
        <w:rPr>
          <w:rFonts w:asciiTheme="majorHAnsi" w:hAnsiTheme="majorHAnsi" w:cs="Times New Roman"/>
          <w:lang w:val="sq-AL"/>
        </w:rPr>
        <w:t xml:space="preserve"> p</w:t>
      </w:r>
      <w:r w:rsidR="00C33B16" w:rsidRPr="002E06C4">
        <w:rPr>
          <w:rFonts w:asciiTheme="majorHAnsi" w:hAnsiTheme="majorHAnsi" w:cs="Times New Roman"/>
          <w:lang w:val="sq-AL"/>
        </w:rPr>
        <w:t>ë</w:t>
      </w:r>
      <w:r w:rsidR="00502E37">
        <w:rPr>
          <w:rFonts w:asciiTheme="majorHAnsi" w:hAnsiTheme="majorHAnsi" w:cs="Times New Roman"/>
          <w:lang w:val="sq-AL"/>
        </w:rPr>
        <w:t>rgjithshme.</w:t>
      </w:r>
    </w:p>
    <w:p w14:paraId="12EA7C16" w14:textId="77777777" w:rsidR="00937DB4" w:rsidRDefault="00937DB4" w:rsidP="00937DB4">
      <w:pPr>
        <w:pStyle w:val="Caption"/>
        <w:keepNext/>
        <w:spacing w:after="0"/>
        <w:rPr>
          <w:rFonts w:asciiTheme="majorHAnsi" w:hAnsiTheme="majorHAnsi" w:cs="Times New Roman"/>
          <w:lang w:val="sq-AL"/>
        </w:rPr>
      </w:pPr>
      <w:bookmarkStart w:id="52" w:name="_Ref9964285"/>
    </w:p>
    <w:p w14:paraId="1A225B94" w14:textId="6B1F6E64" w:rsidR="00C64C48" w:rsidRPr="002E06C4" w:rsidRDefault="00937DB4" w:rsidP="00C64C48">
      <w:pPr>
        <w:pStyle w:val="Caption"/>
        <w:keepNext/>
        <w:spacing w:after="0"/>
        <w:jc w:val="both"/>
        <w:rPr>
          <w:rFonts w:asciiTheme="majorHAnsi" w:hAnsiTheme="majorHAnsi" w:cs="Times New Roman"/>
          <w:lang w:val="sq-AL"/>
        </w:rPr>
      </w:pPr>
      <w:bookmarkStart w:id="53" w:name="_Toc11141679"/>
      <w:r w:rsidRPr="002E06C4">
        <w:rPr>
          <w:rFonts w:asciiTheme="majorHAnsi" w:hAnsiTheme="majorHAnsi" w:cs="Times New Roman"/>
          <w:lang w:val="sq-AL"/>
        </w:rPr>
        <w:t xml:space="preserve">Grafiku </w:t>
      </w:r>
      <w:r w:rsidRPr="002E06C4">
        <w:rPr>
          <w:rFonts w:asciiTheme="majorHAnsi" w:hAnsiTheme="majorHAnsi" w:cs="Times New Roman"/>
          <w:noProof/>
          <w:lang w:val="sq-AL"/>
        </w:rPr>
        <w:fldChar w:fldCharType="begin"/>
      </w:r>
      <w:r w:rsidRPr="002E06C4">
        <w:rPr>
          <w:rFonts w:asciiTheme="majorHAnsi" w:hAnsiTheme="majorHAnsi" w:cs="Times New Roman"/>
          <w:noProof/>
          <w:lang w:val="sq-AL"/>
        </w:rPr>
        <w:instrText xml:space="preserve"> SEQ Grafiku \* ARABIC </w:instrText>
      </w:r>
      <w:r w:rsidRPr="002E06C4">
        <w:rPr>
          <w:rFonts w:asciiTheme="majorHAnsi" w:hAnsiTheme="majorHAnsi" w:cs="Times New Roman"/>
          <w:noProof/>
          <w:lang w:val="sq-AL"/>
        </w:rPr>
        <w:fldChar w:fldCharType="separate"/>
      </w:r>
      <w:r>
        <w:rPr>
          <w:rFonts w:asciiTheme="majorHAnsi" w:hAnsiTheme="majorHAnsi" w:cs="Times New Roman"/>
          <w:noProof/>
          <w:lang w:val="sq-AL"/>
        </w:rPr>
        <w:t>2</w:t>
      </w:r>
      <w:r w:rsidRPr="002E06C4">
        <w:rPr>
          <w:rFonts w:asciiTheme="majorHAnsi" w:hAnsiTheme="majorHAnsi" w:cs="Times New Roman"/>
          <w:noProof/>
          <w:lang w:val="sq-AL"/>
        </w:rPr>
        <w:fldChar w:fldCharType="end"/>
      </w:r>
      <w:bookmarkEnd w:id="52"/>
      <w:r w:rsidRPr="002E06C4">
        <w:rPr>
          <w:rFonts w:asciiTheme="majorHAnsi" w:hAnsiTheme="majorHAnsi" w:cs="Times New Roman"/>
          <w:lang w:val="sq-AL"/>
        </w:rPr>
        <w:t xml:space="preserve"> Të Ardhurat e përgjithshme (në miliardë lekë) ndaj PBB-së</w:t>
      </w:r>
      <w:r w:rsidR="00C64C48" w:rsidRPr="00C64C48">
        <w:rPr>
          <w:rFonts w:asciiTheme="majorHAnsi" w:hAnsiTheme="majorHAnsi" w:cs="Times New Roman"/>
          <w:lang w:val="sq-AL"/>
        </w:rPr>
        <w:t xml:space="preserve"> </w:t>
      </w:r>
      <w:r w:rsidR="00C64C48">
        <w:rPr>
          <w:rFonts w:asciiTheme="majorHAnsi" w:hAnsiTheme="majorHAnsi" w:cs="Times New Roman"/>
          <w:lang w:val="sq-AL"/>
        </w:rPr>
        <w:t xml:space="preserve">            </w:t>
      </w:r>
      <w:r w:rsidR="00C64C48" w:rsidRPr="002E06C4">
        <w:rPr>
          <w:rFonts w:asciiTheme="majorHAnsi" w:hAnsiTheme="majorHAnsi" w:cs="Times New Roman"/>
          <w:lang w:val="sq-AL"/>
        </w:rPr>
        <w:t xml:space="preserve">Grafiku </w:t>
      </w:r>
      <w:r w:rsidR="00C64C48" w:rsidRPr="002E06C4">
        <w:rPr>
          <w:rFonts w:asciiTheme="majorHAnsi" w:hAnsiTheme="majorHAnsi" w:cs="Times New Roman"/>
          <w:noProof/>
          <w:lang w:val="sq-AL"/>
        </w:rPr>
        <w:fldChar w:fldCharType="begin"/>
      </w:r>
      <w:r w:rsidR="00C64C48" w:rsidRPr="002E06C4">
        <w:rPr>
          <w:rFonts w:asciiTheme="majorHAnsi" w:hAnsiTheme="majorHAnsi" w:cs="Times New Roman"/>
          <w:noProof/>
          <w:lang w:val="sq-AL"/>
        </w:rPr>
        <w:instrText xml:space="preserve"> SEQ Grafiku \* ARABIC </w:instrText>
      </w:r>
      <w:r w:rsidR="00C64C48" w:rsidRPr="002E06C4">
        <w:rPr>
          <w:rFonts w:asciiTheme="majorHAnsi" w:hAnsiTheme="majorHAnsi" w:cs="Times New Roman"/>
          <w:noProof/>
          <w:lang w:val="sq-AL"/>
        </w:rPr>
        <w:fldChar w:fldCharType="separate"/>
      </w:r>
      <w:r w:rsidR="009B211D">
        <w:rPr>
          <w:rFonts w:asciiTheme="majorHAnsi" w:hAnsiTheme="majorHAnsi" w:cs="Times New Roman"/>
          <w:noProof/>
          <w:lang w:val="sq-AL"/>
        </w:rPr>
        <w:t>3</w:t>
      </w:r>
      <w:r w:rsidR="00C64C48" w:rsidRPr="002E06C4">
        <w:rPr>
          <w:rFonts w:asciiTheme="majorHAnsi" w:hAnsiTheme="majorHAnsi" w:cs="Times New Roman"/>
          <w:noProof/>
          <w:lang w:val="sq-AL"/>
        </w:rPr>
        <w:fldChar w:fldCharType="end"/>
      </w:r>
      <w:r w:rsidR="00C64C48" w:rsidRPr="002E06C4">
        <w:rPr>
          <w:rFonts w:asciiTheme="majorHAnsi" w:hAnsiTheme="majorHAnsi" w:cs="Times New Roman"/>
          <w:lang w:val="sq-AL"/>
        </w:rPr>
        <w:t xml:space="preserve"> Ecuria e zërave kryesorë të të ardhurave gjatë vitit 2018</w:t>
      </w:r>
      <w:bookmarkEnd w:id="53"/>
    </w:p>
    <w:p w14:paraId="4ED6C514" w14:textId="1C81ABC3" w:rsidR="00502E37" w:rsidRDefault="00937DB4" w:rsidP="00C64C48">
      <w:pPr>
        <w:spacing w:line="276" w:lineRule="auto"/>
        <w:rPr>
          <w:rFonts w:asciiTheme="majorHAnsi" w:hAnsiTheme="majorHAnsi" w:cs="Times New Roman"/>
          <w:lang w:val="sq-AL"/>
        </w:rPr>
      </w:pPr>
      <w:r w:rsidRPr="002E06C4">
        <w:rPr>
          <w:rFonts w:asciiTheme="majorHAnsi" w:hAnsiTheme="majorHAnsi" w:cs="Times New Roman"/>
          <w:noProof/>
        </w:rPr>
        <w:drawing>
          <wp:inline distT="0" distB="0" distL="0" distR="0" wp14:anchorId="139AF5EB" wp14:editId="22F0D505">
            <wp:extent cx="2910840" cy="1981200"/>
            <wp:effectExtent l="0" t="0" r="3810" b="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88E5E9E-B692-C048-9FEB-31A26EAC5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64C48">
        <w:rPr>
          <w:rFonts w:asciiTheme="majorHAnsi" w:hAnsiTheme="majorHAnsi" w:cs="Times New Roman"/>
          <w:noProof/>
        </w:rPr>
        <w:t xml:space="preserve">   </w:t>
      </w:r>
      <w:r w:rsidR="00C64C48" w:rsidRPr="002E06C4">
        <w:rPr>
          <w:rFonts w:asciiTheme="majorHAnsi" w:hAnsiTheme="majorHAnsi" w:cs="Times New Roman"/>
          <w:noProof/>
        </w:rPr>
        <w:drawing>
          <wp:inline distT="0" distB="0" distL="0" distR="0" wp14:anchorId="5A4D0E18" wp14:editId="33FCDC2F">
            <wp:extent cx="3459480" cy="1981200"/>
            <wp:effectExtent l="0" t="0" r="762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9480" cy="1981200"/>
                    </a:xfrm>
                    <a:prstGeom prst="rect">
                      <a:avLst/>
                    </a:prstGeom>
                    <a:noFill/>
                    <a:ln>
                      <a:noFill/>
                    </a:ln>
                  </pic:spPr>
                </pic:pic>
              </a:graphicData>
            </a:graphic>
          </wp:inline>
        </w:drawing>
      </w:r>
    </w:p>
    <w:p w14:paraId="69B0DC78" w14:textId="314D3716" w:rsidR="0033539C" w:rsidRPr="002E06C4" w:rsidRDefault="0033539C" w:rsidP="0033539C">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Z</w:t>
      </w:r>
      <w:r w:rsidR="00C33B16" w:rsidRPr="002E06C4">
        <w:rPr>
          <w:rFonts w:asciiTheme="majorHAnsi" w:hAnsiTheme="majorHAnsi" w:cs="Times New Roman"/>
          <w:lang w:val="sq-AL"/>
        </w:rPr>
        <w:t>ë</w:t>
      </w:r>
      <w:r w:rsidRPr="002E06C4">
        <w:rPr>
          <w:rFonts w:asciiTheme="majorHAnsi" w:hAnsiTheme="majorHAnsi" w:cs="Times New Roman"/>
          <w:lang w:val="sq-AL"/>
        </w:rPr>
        <w:t>rat kryesor</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të ardhurat totale të buxhetit të shtetit </w:t>
      </w:r>
      <w:r w:rsidR="00E87752" w:rsidRPr="002E06C4">
        <w:rPr>
          <w:rFonts w:asciiTheme="majorHAnsi" w:hAnsiTheme="majorHAnsi" w:cs="Times New Roman"/>
          <w:lang w:val="sq-AL"/>
        </w:rPr>
        <w:t>jan</w:t>
      </w:r>
      <w:r w:rsidR="00C33B16" w:rsidRPr="002E06C4">
        <w:rPr>
          <w:rFonts w:asciiTheme="majorHAnsi" w:hAnsiTheme="majorHAnsi" w:cs="Times New Roman"/>
          <w:lang w:val="sq-AL"/>
        </w:rPr>
        <w:t>ë</w:t>
      </w:r>
      <w:r w:rsidR="00E87752" w:rsidRPr="002E06C4">
        <w:rPr>
          <w:rFonts w:asciiTheme="majorHAnsi" w:hAnsiTheme="majorHAnsi" w:cs="Times New Roman"/>
          <w:lang w:val="sq-AL"/>
        </w:rPr>
        <w:t xml:space="preserve"> n</w:t>
      </w:r>
      <w:r w:rsidRPr="002E06C4">
        <w:rPr>
          <w:rFonts w:asciiTheme="majorHAnsi" w:hAnsiTheme="majorHAnsi" w:cs="Times New Roman"/>
          <w:lang w:val="sq-AL"/>
        </w:rPr>
        <w:t>dihmat, të ardhurat nga tatimet dhe doganat, të ardhurat e pushtetit vendor,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nga fondet speciale dhe të ardhurat jotatimore;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cilat </w:t>
      </w:r>
      <w:r w:rsidR="00E87752" w:rsidRPr="002E06C4">
        <w:rPr>
          <w:rFonts w:asciiTheme="majorHAnsi" w:hAnsiTheme="majorHAnsi" w:cs="Times New Roman"/>
          <w:lang w:val="sq-AL"/>
        </w:rPr>
        <w:t>zënë përkatësisht</w:t>
      </w:r>
      <w:r w:rsidRPr="002E06C4">
        <w:rPr>
          <w:rFonts w:asciiTheme="majorHAnsi" w:hAnsiTheme="majorHAnsi" w:cs="Times New Roman"/>
          <w:lang w:val="sq-AL"/>
        </w:rPr>
        <w:t xml:space="preserve"> 2 për qind, 68 për qind, 5 për qind, 21 për qind dhe 5 për qind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p</w:t>
      </w:r>
      <w:r w:rsidR="00C33B16" w:rsidRPr="002E06C4">
        <w:rPr>
          <w:rFonts w:asciiTheme="majorHAnsi" w:hAnsiTheme="majorHAnsi" w:cs="Times New Roman"/>
          <w:lang w:val="sq-AL"/>
        </w:rPr>
        <w:t>ë</w:t>
      </w:r>
      <w:r w:rsidRPr="002E06C4">
        <w:rPr>
          <w:rFonts w:asciiTheme="majorHAnsi" w:hAnsiTheme="majorHAnsi" w:cs="Times New Roman"/>
          <w:lang w:val="sq-AL"/>
        </w:rPr>
        <w:t>rgjithshme publike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vitin 2018.</w:t>
      </w:r>
    </w:p>
    <w:p w14:paraId="4106E3C0" w14:textId="77777777" w:rsidR="00937DB4" w:rsidRDefault="00937DB4" w:rsidP="006D577E">
      <w:pPr>
        <w:pStyle w:val="Caption"/>
        <w:keepNext/>
        <w:spacing w:after="0"/>
      </w:pPr>
      <w:bookmarkStart w:id="54" w:name="_Toc11135121"/>
    </w:p>
    <w:p w14:paraId="405C15C4" w14:textId="77777777" w:rsidR="006D577E" w:rsidRDefault="006D577E" w:rsidP="006D577E">
      <w:pPr>
        <w:pStyle w:val="Caption"/>
        <w:keepNext/>
        <w:spacing w:after="0"/>
      </w:pPr>
      <w:r>
        <w:t xml:space="preserve">Tabela </w:t>
      </w:r>
      <w:r w:rsidR="003D3813">
        <w:fldChar w:fldCharType="begin"/>
      </w:r>
      <w:r w:rsidR="003D3813">
        <w:instrText xml:space="preserve"> SEQ Tabela \* ARABIC </w:instrText>
      </w:r>
      <w:r w:rsidR="003D3813">
        <w:fldChar w:fldCharType="separate"/>
      </w:r>
      <w:r w:rsidR="006A57F3">
        <w:rPr>
          <w:noProof/>
        </w:rPr>
        <w:t>7</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Treguesit e të ardhurave kryesore (në miliardë lekë)</w:t>
      </w:r>
      <w:bookmarkEnd w:id="54"/>
    </w:p>
    <w:tbl>
      <w:tblPr>
        <w:tblW w:w="11422" w:type="dxa"/>
        <w:jc w:val="center"/>
        <w:tblLook w:val="04A0" w:firstRow="1" w:lastRow="0" w:firstColumn="1" w:lastColumn="0" w:noHBand="0" w:noVBand="1"/>
      </w:tblPr>
      <w:tblGrid>
        <w:gridCol w:w="1987"/>
        <w:gridCol w:w="716"/>
        <w:gridCol w:w="716"/>
        <w:gridCol w:w="716"/>
        <w:gridCol w:w="716"/>
        <w:gridCol w:w="1128"/>
        <w:gridCol w:w="861"/>
        <w:gridCol w:w="946"/>
        <w:gridCol w:w="701"/>
        <w:gridCol w:w="861"/>
        <w:gridCol w:w="946"/>
        <w:gridCol w:w="1128"/>
      </w:tblGrid>
      <w:tr w:rsidR="009E64BA" w:rsidRPr="002E06C4" w14:paraId="3C5FFB94" w14:textId="77777777" w:rsidTr="00C64C48">
        <w:trPr>
          <w:trHeight w:val="342"/>
          <w:jc w:val="center"/>
        </w:trPr>
        <w:tc>
          <w:tcPr>
            <w:tcW w:w="1987" w:type="dxa"/>
            <w:tcBorders>
              <w:top w:val="nil"/>
              <w:left w:val="nil"/>
              <w:bottom w:val="single" w:sz="8" w:space="0" w:color="4F81BD"/>
              <w:right w:val="nil"/>
            </w:tcBorders>
            <w:shd w:val="clear" w:color="000000" w:fill="366092"/>
            <w:vAlign w:val="bottom"/>
            <w:hideMark/>
          </w:tcPr>
          <w:p w14:paraId="27BBD1F4" w14:textId="77777777" w:rsidR="009E64BA" w:rsidRPr="002E06C4" w:rsidRDefault="009E64BA" w:rsidP="005A3996">
            <w:pPr>
              <w:rPr>
                <w:rFonts w:asciiTheme="majorHAnsi" w:eastAsia="Times New Roman" w:hAnsiTheme="majorHAnsi" w:cs="Calibri"/>
                <w:color w:val="000000"/>
                <w:sz w:val="16"/>
                <w:szCs w:val="14"/>
                <w:lang w:val="sq-AL" w:eastAsia="en-GB"/>
              </w:rPr>
            </w:pPr>
            <w:r w:rsidRPr="002E06C4">
              <w:rPr>
                <w:rFonts w:asciiTheme="majorHAnsi" w:eastAsia="Times New Roman" w:hAnsiTheme="majorHAnsi" w:cs="Calibri"/>
                <w:color w:val="000000"/>
                <w:sz w:val="16"/>
                <w:szCs w:val="14"/>
                <w:lang w:val="sq-AL" w:eastAsia="en-GB"/>
              </w:rPr>
              <w:t> </w:t>
            </w:r>
          </w:p>
        </w:tc>
        <w:tc>
          <w:tcPr>
            <w:tcW w:w="716" w:type="dxa"/>
            <w:tcBorders>
              <w:top w:val="nil"/>
              <w:left w:val="nil"/>
              <w:bottom w:val="single" w:sz="8" w:space="0" w:color="4F81BD"/>
              <w:right w:val="nil"/>
            </w:tcBorders>
            <w:shd w:val="clear" w:color="000000" w:fill="366092"/>
            <w:vAlign w:val="center"/>
            <w:hideMark/>
          </w:tcPr>
          <w:p w14:paraId="6B7237A2"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2014</w:t>
            </w:r>
          </w:p>
        </w:tc>
        <w:tc>
          <w:tcPr>
            <w:tcW w:w="716" w:type="dxa"/>
            <w:tcBorders>
              <w:top w:val="nil"/>
              <w:left w:val="nil"/>
              <w:bottom w:val="single" w:sz="8" w:space="0" w:color="4F81BD"/>
              <w:right w:val="nil"/>
            </w:tcBorders>
            <w:shd w:val="clear" w:color="000000" w:fill="366092"/>
            <w:vAlign w:val="center"/>
            <w:hideMark/>
          </w:tcPr>
          <w:p w14:paraId="17CD3252"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2015</w:t>
            </w:r>
          </w:p>
        </w:tc>
        <w:tc>
          <w:tcPr>
            <w:tcW w:w="716" w:type="dxa"/>
            <w:tcBorders>
              <w:top w:val="nil"/>
              <w:left w:val="nil"/>
              <w:bottom w:val="single" w:sz="8" w:space="0" w:color="4F81BD"/>
              <w:right w:val="nil"/>
            </w:tcBorders>
            <w:shd w:val="clear" w:color="000000" w:fill="366092"/>
            <w:vAlign w:val="center"/>
            <w:hideMark/>
          </w:tcPr>
          <w:p w14:paraId="36103FFE"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2016</w:t>
            </w:r>
          </w:p>
        </w:tc>
        <w:tc>
          <w:tcPr>
            <w:tcW w:w="716" w:type="dxa"/>
            <w:tcBorders>
              <w:top w:val="nil"/>
              <w:left w:val="nil"/>
              <w:bottom w:val="nil"/>
              <w:right w:val="nil"/>
            </w:tcBorders>
            <w:shd w:val="clear" w:color="000000" w:fill="366092"/>
            <w:vAlign w:val="center"/>
            <w:hideMark/>
          </w:tcPr>
          <w:p w14:paraId="2873C2B3"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2017</w:t>
            </w:r>
          </w:p>
        </w:tc>
        <w:tc>
          <w:tcPr>
            <w:tcW w:w="1128" w:type="dxa"/>
            <w:tcBorders>
              <w:top w:val="nil"/>
              <w:left w:val="nil"/>
              <w:bottom w:val="nil"/>
              <w:right w:val="nil"/>
            </w:tcBorders>
            <w:shd w:val="clear" w:color="000000" w:fill="366092"/>
            <w:vAlign w:val="center"/>
            <w:hideMark/>
          </w:tcPr>
          <w:p w14:paraId="7C01152E"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2017 (në % ndaj vitit paraardhës)</w:t>
            </w:r>
          </w:p>
        </w:tc>
        <w:tc>
          <w:tcPr>
            <w:tcW w:w="861" w:type="dxa"/>
            <w:tcBorders>
              <w:top w:val="nil"/>
              <w:left w:val="nil"/>
              <w:bottom w:val="nil"/>
              <w:right w:val="nil"/>
            </w:tcBorders>
            <w:shd w:val="clear" w:color="000000" w:fill="366092"/>
            <w:vAlign w:val="center"/>
            <w:hideMark/>
          </w:tcPr>
          <w:p w14:paraId="509682D7"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2018 (plan fillestar)</w:t>
            </w:r>
          </w:p>
        </w:tc>
        <w:tc>
          <w:tcPr>
            <w:tcW w:w="946" w:type="dxa"/>
            <w:tcBorders>
              <w:top w:val="nil"/>
              <w:left w:val="nil"/>
              <w:bottom w:val="nil"/>
              <w:right w:val="nil"/>
            </w:tcBorders>
            <w:shd w:val="clear" w:color="000000" w:fill="366092"/>
            <w:vAlign w:val="center"/>
            <w:hideMark/>
          </w:tcPr>
          <w:p w14:paraId="39265922"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2018 (plan I rishikuar)</w:t>
            </w:r>
          </w:p>
        </w:tc>
        <w:tc>
          <w:tcPr>
            <w:tcW w:w="701" w:type="dxa"/>
            <w:tcBorders>
              <w:top w:val="nil"/>
              <w:left w:val="nil"/>
              <w:bottom w:val="nil"/>
              <w:right w:val="nil"/>
            </w:tcBorders>
            <w:shd w:val="clear" w:color="000000" w:fill="366092"/>
            <w:vAlign w:val="center"/>
            <w:hideMark/>
          </w:tcPr>
          <w:p w14:paraId="0F363DD4"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2018 (fakt)</w:t>
            </w:r>
          </w:p>
        </w:tc>
        <w:tc>
          <w:tcPr>
            <w:tcW w:w="861" w:type="dxa"/>
            <w:tcBorders>
              <w:top w:val="nil"/>
              <w:left w:val="nil"/>
              <w:bottom w:val="nil"/>
              <w:right w:val="nil"/>
            </w:tcBorders>
            <w:shd w:val="clear" w:color="000000" w:fill="366092"/>
            <w:vAlign w:val="center"/>
            <w:hideMark/>
          </w:tcPr>
          <w:p w14:paraId="2EEEA4A4"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2018 (në % ndaj planit fillestar)</w:t>
            </w:r>
          </w:p>
        </w:tc>
        <w:tc>
          <w:tcPr>
            <w:tcW w:w="946" w:type="dxa"/>
            <w:tcBorders>
              <w:top w:val="nil"/>
              <w:left w:val="nil"/>
              <w:bottom w:val="nil"/>
              <w:right w:val="nil"/>
            </w:tcBorders>
            <w:shd w:val="clear" w:color="000000" w:fill="366092"/>
            <w:vAlign w:val="center"/>
            <w:hideMark/>
          </w:tcPr>
          <w:p w14:paraId="142EEB04"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2018 (në % ndaj planit të rishikuar)</w:t>
            </w:r>
          </w:p>
        </w:tc>
        <w:tc>
          <w:tcPr>
            <w:tcW w:w="1128" w:type="dxa"/>
            <w:tcBorders>
              <w:top w:val="nil"/>
              <w:left w:val="nil"/>
              <w:bottom w:val="nil"/>
              <w:right w:val="nil"/>
            </w:tcBorders>
            <w:shd w:val="clear" w:color="000000" w:fill="366092"/>
            <w:vAlign w:val="center"/>
            <w:hideMark/>
          </w:tcPr>
          <w:p w14:paraId="66FABE36" w14:textId="77777777" w:rsidR="009E64BA" w:rsidRPr="002E06C4" w:rsidRDefault="009E64BA" w:rsidP="005A3996">
            <w:pPr>
              <w:jc w:val="right"/>
              <w:rPr>
                <w:rFonts w:asciiTheme="majorHAnsi" w:eastAsia="Times New Roman" w:hAnsiTheme="majorHAnsi" w:cs="Times New Roman"/>
                <w:b/>
                <w:bCs/>
                <w:color w:val="FFFFFF"/>
                <w:sz w:val="16"/>
                <w:szCs w:val="14"/>
                <w:lang w:val="sq-AL" w:eastAsia="en-GB"/>
              </w:rPr>
            </w:pPr>
            <w:r w:rsidRPr="002E06C4">
              <w:rPr>
                <w:rFonts w:asciiTheme="majorHAnsi" w:eastAsia="Times New Roman" w:hAnsiTheme="majorHAnsi" w:cs="Times New Roman"/>
                <w:b/>
                <w:bCs/>
                <w:color w:val="FFFFFF"/>
                <w:sz w:val="16"/>
                <w:szCs w:val="14"/>
                <w:lang w:val="sq-AL" w:eastAsia="en-GB"/>
              </w:rPr>
              <w:t>2018 (në % ndaj vitit paraardhës)</w:t>
            </w:r>
          </w:p>
        </w:tc>
      </w:tr>
      <w:tr w:rsidR="009E64BA" w:rsidRPr="002E06C4" w14:paraId="2C4FBDD2" w14:textId="77777777" w:rsidTr="00C64C48">
        <w:trPr>
          <w:trHeight w:val="125"/>
          <w:jc w:val="center"/>
        </w:trPr>
        <w:tc>
          <w:tcPr>
            <w:tcW w:w="1987" w:type="dxa"/>
            <w:tcBorders>
              <w:top w:val="nil"/>
              <w:left w:val="nil"/>
              <w:bottom w:val="single" w:sz="8" w:space="0" w:color="002060"/>
              <w:right w:val="nil"/>
            </w:tcBorders>
            <w:shd w:val="clear" w:color="000000" w:fill="DCE6F1"/>
            <w:noWrap/>
            <w:vAlign w:val="center"/>
            <w:hideMark/>
          </w:tcPr>
          <w:p w14:paraId="49432E10" w14:textId="77777777" w:rsidR="009E64BA" w:rsidRPr="002E06C4" w:rsidRDefault="009E64BA" w:rsidP="005A3996">
            <w:pPr>
              <w:rPr>
                <w:rFonts w:asciiTheme="majorHAnsi" w:eastAsia="Times New Roman" w:hAnsiTheme="majorHAnsi" w:cs="Times New Roman"/>
                <w:b/>
                <w:bCs/>
                <w:i/>
                <w:iCs/>
                <w:color w:val="002060"/>
                <w:sz w:val="16"/>
                <w:szCs w:val="14"/>
                <w:lang w:val="sq-AL" w:eastAsia="en-GB"/>
              </w:rPr>
            </w:pPr>
            <w:r w:rsidRPr="002E06C4">
              <w:rPr>
                <w:rFonts w:asciiTheme="majorHAnsi" w:eastAsia="Times New Roman" w:hAnsiTheme="majorHAnsi" w:cs="Times New Roman"/>
                <w:b/>
                <w:bCs/>
                <w:i/>
                <w:iCs/>
                <w:color w:val="002060"/>
                <w:sz w:val="16"/>
                <w:szCs w:val="14"/>
                <w:lang w:val="sq-AL" w:eastAsia="en-GB"/>
              </w:rPr>
              <w:t>Të ardhura nga ndihmat</w:t>
            </w:r>
          </w:p>
        </w:tc>
        <w:tc>
          <w:tcPr>
            <w:tcW w:w="716" w:type="dxa"/>
            <w:tcBorders>
              <w:top w:val="single" w:sz="8" w:space="0" w:color="4F81BD"/>
              <w:left w:val="nil"/>
              <w:bottom w:val="single" w:sz="8" w:space="0" w:color="002060"/>
              <w:right w:val="nil"/>
            </w:tcBorders>
            <w:shd w:val="clear" w:color="auto" w:fill="auto"/>
            <w:noWrap/>
            <w:vAlign w:val="center"/>
            <w:hideMark/>
          </w:tcPr>
          <w:p w14:paraId="314AF8BA"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10</w:t>
            </w:r>
          </w:p>
        </w:tc>
        <w:tc>
          <w:tcPr>
            <w:tcW w:w="716" w:type="dxa"/>
            <w:tcBorders>
              <w:top w:val="single" w:sz="8" w:space="0" w:color="4F81BD"/>
              <w:left w:val="nil"/>
              <w:bottom w:val="single" w:sz="8" w:space="0" w:color="002060"/>
              <w:right w:val="nil"/>
            </w:tcBorders>
            <w:shd w:val="clear" w:color="auto" w:fill="auto"/>
            <w:noWrap/>
            <w:vAlign w:val="center"/>
            <w:hideMark/>
          </w:tcPr>
          <w:p w14:paraId="2434B40A"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11</w:t>
            </w:r>
          </w:p>
        </w:tc>
        <w:tc>
          <w:tcPr>
            <w:tcW w:w="716" w:type="dxa"/>
            <w:tcBorders>
              <w:top w:val="single" w:sz="8" w:space="0" w:color="4F81BD"/>
              <w:left w:val="nil"/>
              <w:bottom w:val="single" w:sz="8" w:space="0" w:color="002060"/>
              <w:right w:val="nil"/>
            </w:tcBorders>
            <w:shd w:val="clear" w:color="auto" w:fill="auto"/>
            <w:noWrap/>
            <w:vAlign w:val="center"/>
            <w:hideMark/>
          </w:tcPr>
          <w:p w14:paraId="14EBAD84"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15</w:t>
            </w:r>
          </w:p>
        </w:tc>
        <w:tc>
          <w:tcPr>
            <w:tcW w:w="716" w:type="dxa"/>
            <w:tcBorders>
              <w:top w:val="single" w:sz="8" w:space="0" w:color="4F81BD"/>
              <w:left w:val="nil"/>
              <w:bottom w:val="single" w:sz="8" w:space="0" w:color="002060"/>
              <w:right w:val="nil"/>
            </w:tcBorders>
            <w:shd w:val="clear" w:color="000000" w:fill="FFFFFF"/>
            <w:noWrap/>
            <w:vAlign w:val="center"/>
            <w:hideMark/>
          </w:tcPr>
          <w:p w14:paraId="306C582D"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11</w:t>
            </w:r>
          </w:p>
        </w:tc>
        <w:tc>
          <w:tcPr>
            <w:tcW w:w="1128" w:type="dxa"/>
            <w:tcBorders>
              <w:top w:val="single" w:sz="8" w:space="0" w:color="4F81BD"/>
              <w:left w:val="nil"/>
              <w:bottom w:val="single" w:sz="8" w:space="0" w:color="002060"/>
              <w:right w:val="nil"/>
            </w:tcBorders>
            <w:shd w:val="clear" w:color="000000" w:fill="FFFFFF"/>
            <w:noWrap/>
            <w:vAlign w:val="center"/>
            <w:hideMark/>
          </w:tcPr>
          <w:p w14:paraId="477F8B2B"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75%</w:t>
            </w:r>
          </w:p>
        </w:tc>
        <w:tc>
          <w:tcPr>
            <w:tcW w:w="861" w:type="dxa"/>
            <w:tcBorders>
              <w:top w:val="single" w:sz="8" w:space="0" w:color="4F81BD"/>
              <w:left w:val="nil"/>
              <w:bottom w:val="single" w:sz="8" w:space="0" w:color="002060"/>
              <w:right w:val="nil"/>
            </w:tcBorders>
            <w:shd w:val="clear" w:color="000000" w:fill="FFFFFF"/>
            <w:noWrap/>
            <w:vAlign w:val="center"/>
            <w:hideMark/>
          </w:tcPr>
          <w:p w14:paraId="030ABBC7"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15</w:t>
            </w:r>
          </w:p>
        </w:tc>
        <w:tc>
          <w:tcPr>
            <w:tcW w:w="946" w:type="dxa"/>
            <w:tcBorders>
              <w:top w:val="single" w:sz="8" w:space="0" w:color="4F81BD"/>
              <w:left w:val="nil"/>
              <w:bottom w:val="single" w:sz="8" w:space="0" w:color="002060"/>
              <w:right w:val="nil"/>
            </w:tcBorders>
            <w:shd w:val="clear" w:color="000000" w:fill="FFFFFF"/>
            <w:noWrap/>
            <w:vAlign w:val="center"/>
            <w:hideMark/>
          </w:tcPr>
          <w:p w14:paraId="4DD27BE3"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12</w:t>
            </w:r>
          </w:p>
        </w:tc>
        <w:tc>
          <w:tcPr>
            <w:tcW w:w="701" w:type="dxa"/>
            <w:tcBorders>
              <w:top w:val="single" w:sz="8" w:space="0" w:color="4F81BD"/>
              <w:left w:val="nil"/>
              <w:bottom w:val="single" w:sz="8" w:space="0" w:color="002060"/>
              <w:right w:val="nil"/>
            </w:tcBorders>
            <w:shd w:val="clear" w:color="000000" w:fill="FFFFFF"/>
            <w:noWrap/>
            <w:vAlign w:val="center"/>
            <w:hideMark/>
          </w:tcPr>
          <w:p w14:paraId="1EE78EF5"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8</w:t>
            </w:r>
          </w:p>
        </w:tc>
        <w:tc>
          <w:tcPr>
            <w:tcW w:w="861" w:type="dxa"/>
            <w:tcBorders>
              <w:top w:val="single" w:sz="8" w:space="0" w:color="4F81BD"/>
              <w:left w:val="nil"/>
              <w:bottom w:val="single" w:sz="8" w:space="0" w:color="002060"/>
              <w:right w:val="nil"/>
            </w:tcBorders>
            <w:shd w:val="clear" w:color="000000" w:fill="FFFFFF"/>
            <w:noWrap/>
            <w:vAlign w:val="center"/>
            <w:hideMark/>
          </w:tcPr>
          <w:p w14:paraId="34640F2B"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56,3%</w:t>
            </w:r>
          </w:p>
        </w:tc>
        <w:tc>
          <w:tcPr>
            <w:tcW w:w="946" w:type="dxa"/>
            <w:tcBorders>
              <w:top w:val="single" w:sz="8" w:space="0" w:color="4F81BD"/>
              <w:left w:val="nil"/>
              <w:bottom w:val="single" w:sz="8" w:space="0" w:color="002060"/>
              <w:right w:val="nil"/>
            </w:tcBorders>
            <w:shd w:val="clear" w:color="000000" w:fill="FFFFFF"/>
            <w:noWrap/>
            <w:vAlign w:val="center"/>
            <w:hideMark/>
          </w:tcPr>
          <w:p w14:paraId="7DA6A701"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68,0%</w:t>
            </w:r>
          </w:p>
        </w:tc>
        <w:tc>
          <w:tcPr>
            <w:tcW w:w="1128" w:type="dxa"/>
            <w:tcBorders>
              <w:top w:val="single" w:sz="8" w:space="0" w:color="4F81BD"/>
              <w:left w:val="nil"/>
              <w:bottom w:val="single" w:sz="8" w:space="0" w:color="002060"/>
              <w:right w:val="nil"/>
            </w:tcBorders>
            <w:shd w:val="clear" w:color="000000" w:fill="FFFFFF"/>
            <w:noWrap/>
            <w:vAlign w:val="center"/>
            <w:hideMark/>
          </w:tcPr>
          <w:p w14:paraId="7D61CF04"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73,7%</w:t>
            </w:r>
          </w:p>
        </w:tc>
      </w:tr>
      <w:tr w:rsidR="009E64BA" w:rsidRPr="002E06C4" w14:paraId="729EE896" w14:textId="77777777" w:rsidTr="00C64C48">
        <w:trPr>
          <w:trHeight w:val="125"/>
          <w:jc w:val="center"/>
        </w:trPr>
        <w:tc>
          <w:tcPr>
            <w:tcW w:w="1987" w:type="dxa"/>
            <w:tcBorders>
              <w:top w:val="nil"/>
              <w:left w:val="nil"/>
              <w:bottom w:val="nil"/>
              <w:right w:val="nil"/>
            </w:tcBorders>
            <w:shd w:val="clear" w:color="000000" w:fill="DCE6F1"/>
            <w:noWrap/>
            <w:vAlign w:val="center"/>
            <w:hideMark/>
          </w:tcPr>
          <w:p w14:paraId="0A31F463" w14:textId="77777777" w:rsidR="009E64BA" w:rsidRPr="002E06C4" w:rsidRDefault="009E64BA" w:rsidP="005A3996">
            <w:pPr>
              <w:ind w:firstLineChars="100" w:firstLine="160"/>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Nga të cilat: mbështetje buxhetore</w:t>
            </w:r>
          </w:p>
        </w:tc>
        <w:tc>
          <w:tcPr>
            <w:tcW w:w="716" w:type="dxa"/>
            <w:tcBorders>
              <w:top w:val="nil"/>
              <w:left w:val="nil"/>
              <w:bottom w:val="nil"/>
              <w:right w:val="nil"/>
            </w:tcBorders>
            <w:shd w:val="clear" w:color="auto" w:fill="auto"/>
            <w:noWrap/>
            <w:vAlign w:val="center"/>
            <w:hideMark/>
          </w:tcPr>
          <w:p w14:paraId="39793E4D"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w:t>
            </w:r>
          </w:p>
        </w:tc>
        <w:tc>
          <w:tcPr>
            <w:tcW w:w="716" w:type="dxa"/>
            <w:tcBorders>
              <w:top w:val="nil"/>
              <w:left w:val="nil"/>
              <w:bottom w:val="nil"/>
              <w:right w:val="nil"/>
            </w:tcBorders>
            <w:shd w:val="clear" w:color="auto" w:fill="auto"/>
            <w:noWrap/>
            <w:vAlign w:val="center"/>
            <w:hideMark/>
          </w:tcPr>
          <w:p w14:paraId="7B57DC9F"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w:t>
            </w:r>
          </w:p>
        </w:tc>
        <w:tc>
          <w:tcPr>
            <w:tcW w:w="716" w:type="dxa"/>
            <w:tcBorders>
              <w:top w:val="nil"/>
              <w:left w:val="nil"/>
              <w:bottom w:val="nil"/>
              <w:right w:val="nil"/>
            </w:tcBorders>
            <w:shd w:val="clear" w:color="auto" w:fill="auto"/>
            <w:noWrap/>
            <w:vAlign w:val="center"/>
            <w:hideMark/>
          </w:tcPr>
          <w:p w14:paraId="74B7B8FE"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w:t>
            </w:r>
          </w:p>
        </w:tc>
        <w:tc>
          <w:tcPr>
            <w:tcW w:w="716" w:type="dxa"/>
            <w:tcBorders>
              <w:top w:val="nil"/>
              <w:left w:val="nil"/>
              <w:bottom w:val="nil"/>
              <w:right w:val="nil"/>
            </w:tcBorders>
            <w:shd w:val="clear" w:color="000000" w:fill="FFFFFF"/>
            <w:noWrap/>
            <w:vAlign w:val="center"/>
            <w:hideMark/>
          </w:tcPr>
          <w:p w14:paraId="4740E494"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w:t>
            </w:r>
          </w:p>
        </w:tc>
        <w:tc>
          <w:tcPr>
            <w:tcW w:w="1128" w:type="dxa"/>
            <w:tcBorders>
              <w:top w:val="nil"/>
              <w:left w:val="nil"/>
              <w:bottom w:val="nil"/>
              <w:right w:val="nil"/>
            </w:tcBorders>
            <w:shd w:val="clear" w:color="000000" w:fill="FFFFFF"/>
            <w:noWrap/>
            <w:vAlign w:val="center"/>
            <w:hideMark/>
          </w:tcPr>
          <w:p w14:paraId="1F8DE8CB"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w:t>
            </w:r>
          </w:p>
        </w:tc>
        <w:tc>
          <w:tcPr>
            <w:tcW w:w="861" w:type="dxa"/>
            <w:tcBorders>
              <w:top w:val="nil"/>
              <w:left w:val="nil"/>
              <w:bottom w:val="nil"/>
              <w:right w:val="nil"/>
            </w:tcBorders>
            <w:shd w:val="clear" w:color="000000" w:fill="FFFFFF"/>
            <w:noWrap/>
            <w:vAlign w:val="center"/>
            <w:hideMark/>
          </w:tcPr>
          <w:p w14:paraId="22288439"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w:t>
            </w:r>
          </w:p>
        </w:tc>
        <w:tc>
          <w:tcPr>
            <w:tcW w:w="946" w:type="dxa"/>
            <w:tcBorders>
              <w:top w:val="nil"/>
              <w:left w:val="nil"/>
              <w:bottom w:val="nil"/>
              <w:right w:val="nil"/>
            </w:tcBorders>
            <w:shd w:val="clear" w:color="000000" w:fill="FFFFFF"/>
            <w:noWrap/>
            <w:vAlign w:val="center"/>
            <w:hideMark/>
          </w:tcPr>
          <w:p w14:paraId="07653555"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w:t>
            </w:r>
          </w:p>
        </w:tc>
        <w:tc>
          <w:tcPr>
            <w:tcW w:w="701" w:type="dxa"/>
            <w:tcBorders>
              <w:top w:val="nil"/>
              <w:left w:val="nil"/>
              <w:bottom w:val="nil"/>
              <w:right w:val="nil"/>
            </w:tcBorders>
            <w:shd w:val="clear" w:color="000000" w:fill="FFFFFF"/>
            <w:noWrap/>
            <w:vAlign w:val="center"/>
            <w:hideMark/>
          </w:tcPr>
          <w:p w14:paraId="50BBC150"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2</w:t>
            </w:r>
          </w:p>
        </w:tc>
        <w:tc>
          <w:tcPr>
            <w:tcW w:w="861" w:type="dxa"/>
            <w:tcBorders>
              <w:top w:val="nil"/>
              <w:left w:val="nil"/>
              <w:bottom w:val="nil"/>
              <w:right w:val="nil"/>
            </w:tcBorders>
            <w:shd w:val="clear" w:color="000000" w:fill="FFFFFF"/>
            <w:noWrap/>
            <w:vAlign w:val="center"/>
            <w:hideMark/>
          </w:tcPr>
          <w:p w14:paraId="4DF4062F"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90%</w:t>
            </w:r>
          </w:p>
        </w:tc>
        <w:tc>
          <w:tcPr>
            <w:tcW w:w="946" w:type="dxa"/>
            <w:tcBorders>
              <w:top w:val="nil"/>
              <w:left w:val="nil"/>
              <w:bottom w:val="nil"/>
              <w:right w:val="nil"/>
            </w:tcBorders>
            <w:shd w:val="clear" w:color="000000" w:fill="FFFFFF"/>
            <w:noWrap/>
            <w:vAlign w:val="center"/>
            <w:hideMark/>
          </w:tcPr>
          <w:p w14:paraId="259E1709"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90%</w:t>
            </w:r>
          </w:p>
        </w:tc>
        <w:tc>
          <w:tcPr>
            <w:tcW w:w="1128" w:type="dxa"/>
            <w:tcBorders>
              <w:top w:val="nil"/>
              <w:left w:val="nil"/>
              <w:bottom w:val="nil"/>
              <w:right w:val="nil"/>
            </w:tcBorders>
            <w:shd w:val="clear" w:color="000000" w:fill="FFFFFF"/>
            <w:noWrap/>
            <w:vAlign w:val="center"/>
            <w:hideMark/>
          </w:tcPr>
          <w:p w14:paraId="3CE68591"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82%</w:t>
            </w:r>
          </w:p>
        </w:tc>
      </w:tr>
      <w:tr w:rsidR="009E64BA" w:rsidRPr="002E06C4" w14:paraId="2F70D42C" w14:textId="77777777" w:rsidTr="00C64C48">
        <w:trPr>
          <w:trHeight w:val="125"/>
          <w:jc w:val="center"/>
        </w:trPr>
        <w:tc>
          <w:tcPr>
            <w:tcW w:w="1987" w:type="dxa"/>
            <w:tcBorders>
              <w:top w:val="single" w:sz="8" w:space="0" w:color="4F81BD"/>
              <w:left w:val="nil"/>
              <w:bottom w:val="single" w:sz="8" w:space="0" w:color="002060"/>
              <w:right w:val="nil"/>
            </w:tcBorders>
            <w:shd w:val="clear" w:color="000000" w:fill="DCE6F1"/>
            <w:noWrap/>
            <w:vAlign w:val="center"/>
            <w:hideMark/>
          </w:tcPr>
          <w:p w14:paraId="554DA552" w14:textId="77777777" w:rsidR="009E64BA" w:rsidRPr="002E06C4" w:rsidRDefault="009E64BA" w:rsidP="005A3996">
            <w:pPr>
              <w:rPr>
                <w:rFonts w:asciiTheme="majorHAnsi" w:eastAsia="Times New Roman" w:hAnsiTheme="majorHAnsi" w:cs="Times New Roman"/>
                <w:b/>
                <w:bCs/>
                <w:i/>
                <w:iCs/>
                <w:color w:val="002060"/>
                <w:sz w:val="16"/>
                <w:szCs w:val="14"/>
                <w:lang w:val="sq-AL" w:eastAsia="en-GB"/>
              </w:rPr>
            </w:pPr>
            <w:r w:rsidRPr="002E06C4">
              <w:rPr>
                <w:rFonts w:asciiTheme="majorHAnsi" w:eastAsia="Times New Roman" w:hAnsiTheme="majorHAnsi" w:cs="Times New Roman"/>
                <w:b/>
                <w:bCs/>
                <w:i/>
                <w:iCs/>
                <w:color w:val="002060"/>
                <w:sz w:val="16"/>
                <w:szCs w:val="14"/>
                <w:lang w:val="sq-AL" w:eastAsia="en-GB"/>
              </w:rPr>
              <w:t>Të ardhura tatimore</w:t>
            </w:r>
          </w:p>
        </w:tc>
        <w:tc>
          <w:tcPr>
            <w:tcW w:w="716" w:type="dxa"/>
            <w:tcBorders>
              <w:top w:val="single" w:sz="8" w:space="0" w:color="4F81BD"/>
              <w:left w:val="nil"/>
              <w:bottom w:val="single" w:sz="8" w:space="0" w:color="002060"/>
              <w:right w:val="nil"/>
            </w:tcBorders>
            <w:shd w:val="clear" w:color="auto" w:fill="auto"/>
            <w:noWrap/>
            <w:vAlign w:val="center"/>
            <w:hideMark/>
          </w:tcPr>
          <w:p w14:paraId="1ECC2B1C" w14:textId="77777777" w:rsidR="009E64BA" w:rsidRPr="002E06C4" w:rsidRDefault="009E64BA" w:rsidP="005A3996">
            <w:pPr>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 xml:space="preserve">            336 </w:t>
            </w:r>
          </w:p>
        </w:tc>
        <w:tc>
          <w:tcPr>
            <w:tcW w:w="716" w:type="dxa"/>
            <w:tcBorders>
              <w:top w:val="single" w:sz="8" w:space="0" w:color="4F81BD"/>
              <w:left w:val="nil"/>
              <w:bottom w:val="single" w:sz="8" w:space="0" w:color="002060"/>
              <w:right w:val="nil"/>
            </w:tcBorders>
            <w:shd w:val="clear" w:color="auto" w:fill="auto"/>
            <w:noWrap/>
            <w:vAlign w:val="center"/>
            <w:hideMark/>
          </w:tcPr>
          <w:p w14:paraId="199E8F5D" w14:textId="77777777" w:rsidR="009E64BA" w:rsidRPr="002E06C4" w:rsidRDefault="009E64BA" w:rsidP="005A3996">
            <w:pPr>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 xml:space="preserve">            342 </w:t>
            </w:r>
          </w:p>
        </w:tc>
        <w:tc>
          <w:tcPr>
            <w:tcW w:w="716" w:type="dxa"/>
            <w:tcBorders>
              <w:top w:val="single" w:sz="8" w:space="0" w:color="4F81BD"/>
              <w:left w:val="nil"/>
              <w:bottom w:val="single" w:sz="8" w:space="0" w:color="002060"/>
              <w:right w:val="nil"/>
            </w:tcBorders>
            <w:shd w:val="clear" w:color="auto" w:fill="auto"/>
            <w:noWrap/>
            <w:vAlign w:val="center"/>
            <w:hideMark/>
          </w:tcPr>
          <w:p w14:paraId="72EEB37B" w14:textId="77777777" w:rsidR="009E64BA" w:rsidRPr="002E06C4" w:rsidRDefault="009E64BA" w:rsidP="005A3996">
            <w:pPr>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 xml:space="preserve">            370 </w:t>
            </w:r>
          </w:p>
        </w:tc>
        <w:tc>
          <w:tcPr>
            <w:tcW w:w="716" w:type="dxa"/>
            <w:tcBorders>
              <w:top w:val="single" w:sz="8" w:space="0" w:color="4F81BD"/>
              <w:left w:val="nil"/>
              <w:bottom w:val="single" w:sz="8" w:space="0" w:color="002060"/>
              <w:right w:val="nil"/>
            </w:tcBorders>
            <w:shd w:val="clear" w:color="000000" w:fill="FFFFFF"/>
            <w:noWrap/>
            <w:vAlign w:val="center"/>
            <w:hideMark/>
          </w:tcPr>
          <w:p w14:paraId="4A686793"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399</w:t>
            </w:r>
          </w:p>
        </w:tc>
        <w:tc>
          <w:tcPr>
            <w:tcW w:w="1128" w:type="dxa"/>
            <w:tcBorders>
              <w:top w:val="single" w:sz="8" w:space="0" w:color="4F81BD"/>
              <w:left w:val="nil"/>
              <w:bottom w:val="single" w:sz="8" w:space="0" w:color="002060"/>
              <w:right w:val="nil"/>
            </w:tcBorders>
            <w:shd w:val="clear" w:color="000000" w:fill="FFFFFF"/>
            <w:noWrap/>
            <w:vAlign w:val="center"/>
            <w:hideMark/>
          </w:tcPr>
          <w:p w14:paraId="225A4FD7"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108%</w:t>
            </w:r>
          </w:p>
        </w:tc>
        <w:tc>
          <w:tcPr>
            <w:tcW w:w="861" w:type="dxa"/>
            <w:tcBorders>
              <w:top w:val="single" w:sz="8" w:space="0" w:color="4F81BD"/>
              <w:left w:val="nil"/>
              <w:bottom w:val="single" w:sz="8" w:space="0" w:color="002060"/>
              <w:right w:val="nil"/>
            </w:tcBorders>
            <w:shd w:val="clear" w:color="000000" w:fill="FFFFFF"/>
            <w:noWrap/>
            <w:vAlign w:val="center"/>
            <w:hideMark/>
          </w:tcPr>
          <w:p w14:paraId="7DB5B1FC"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424</w:t>
            </w:r>
          </w:p>
        </w:tc>
        <w:tc>
          <w:tcPr>
            <w:tcW w:w="946" w:type="dxa"/>
            <w:tcBorders>
              <w:top w:val="single" w:sz="8" w:space="0" w:color="4F81BD"/>
              <w:left w:val="nil"/>
              <w:bottom w:val="single" w:sz="8" w:space="0" w:color="002060"/>
              <w:right w:val="nil"/>
            </w:tcBorders>
            <w:shd w:val="clear" w:color="000000" w:fill="FFFFFF"/>
            <w:noWrap/>
            <w:vAlign w:val="center"/>
            <w:hideMark/>
          </w:tcPr>
          <w:p w14:paraId="3E7A0A4E"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424</w:t>
            </w:r>
          </w:p>
        </w:tc>
        <w:tc>
          <w:tcPr>
            <w:tcW w:w="701" w:type="dxa"/>
            <w:tcBorders>
              <w:top w:val="single" w:sz="8" w:space="0" w:color="4F81BD"/>
              <w:left w:val="nil"/>
              <w:bottom w:val="single" w:sz="8" w:space="0" w:color="002060"/>
              <w:right w:val="nil"/>
            </w:tcBorders>
            <w:shd w:val="clear" w:color="000000" w:fill="FFFFFF"/>
            <w:noWrap/>
            <w:vAlign w:val="center"/>
            <w:hideMark/>
          </w:tcPr>
          <w:p w14:paraId="6AEA329E"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419</w:t>
            </w:r>
          </w:p>
        </w:tc>
        <w:tc>
          <w:tcPr>
            <w:tcW w:w="861" w:type="dxa"/>
            <w:tcBorders>
              <w:top w:val="single" w:sz="8" w:space="0" w:color="4F81BD"/>
              <w:left w:val="nil"/>
              <w:bottom w:val="single" w:sz="8" w:space="0" w:color="002060"/>
              <w:right w:val="nil"/>
            </w:tcBorders>
            <w:shd w:val="clear" w:color="000000" w:fill="FFFFFF"/>
            <w:noWrap/>
            <w:vAlign w:val="center"/>
            <w:hideMark/>
          </w:tcPr>
          <w:p w14:paraId="35A4C0E6"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98,8%</w:t>
            </w:r>
          </w:p>
        </w:tc>
        <w:tc>
          <w:tcPr>
            <w:tcW w:w="946" w:type="dxa"/>
            <w:tcBorders>
              <w:top w:val="single" w:sz="8" w:space="0" w:color="4F81BD"/>
              <w:left w:val="nil"/>
              <w:bottom w:val="single" w:sz="8" w:space="0" w:color="002060"/>
              <w:right w:val="nil"/>
            </w:tcBorders>
            <w:shd w:val="clear" w:color="000000" w:fill="FFFFFF"/>
            <w:noWrap/>
            <w:vAlign w:val="center"/>
            <w:hideMark/>
          </w:tcPr>
          <w:p w14:paraId="0C8907CE"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98,9%</w:t>
            </w:r>
          </w:p>
        </w:tc>
        <w:tc>
          <w:tcPr>
            <w:tcW w:w="1128" w:type="dxa"/>
            <w:tcBorders>
              <w:top w:val="single" w:sz="8" w:space="0" w:color="4F81BD"/>
              <w:left w:val="nil"/>
              <w:bottom w:val="single" w:sz="8" w:space="0" w:color="002060"/>
              <w:right w:val="nil"/>
            </w:tcBorders>
            <w:shd w:val="clear" w:color="000000" w:fill="FFFFFF"/>
            <w:noWrap/>
            <w:vAlign w:val="center"/>
            <w:hideMark/>
          </w:tcPr>
          <w:p w14:paraId="7FFD31EA"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105,2%</w:t>
            </w:r>
          </w:p>
        </w:tc>
      </w:tr>
      <w:tr w:rsidR="009E64BA" w:rsidRPr="002E06C4" w14:paraId="6867913E" w14:textId="77777777" w:rsidTr="00C64C48">
        <w:trPr>
          <w:trHeight w:val="119"/>
          <w:jc w:val="center"/>
        </w:trPr>
        <w:tc>
          <w:tcPr>
            <w:tcW w:w="1987" w:type="dxa"/>
            <w:tcBorders>
              <w:top w:val="nil"/>
              <w:left w:val="nil"/>
              <w:bottom w:val="nil"/>
              <w:right w:val="nil"/>
            </w:tcBorders>
            <w:shd w:val="clear" w:color="000000" w:fill="DCE6F1"/>
            <w:noWrap/>
            <w:vAlign w:val="center"/>
            <w:hideMark/>
          </w:tcPr>
          <w:p w14:paraId="168860B2"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Tatimi mbi Vleren e Shtuar</w:t>
            </w:r>
          </w:p>
        </w:tc>
        <w:tc>
          <w:tcPr>
            <w:tcW w:w="716" w:type="dxa"/>
            <w:tcBorders>
              <w:top w:val="nil"/>
              <w:left w:val="nil"/>
              <w:bottom w:val="nil"/>
              <w:right w:val="nil"/>
            </w:tcBorders>
            <w:shd w:val="clear" w:color="auto" w:fill="auto"/>
            <w:noWrap/>
            <w:vAlign w:val="center"/>
            <w:hideMark/>
          </w:tcPr>
          <w:p w14:paraId="08F255CC"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124 </w:t>
            </w:r>
          </w:p>
        </w:tc>
        <w:tc>
          <w:tcPr>
            <w:tcW w:w="716" w:type="dxa"/>
            <w:tcBorders>
              <w:top w:val="nil"/>
              <w:left w:val="nil"/>
              <w:bottom w:val="nil"/>
              <w:right w:val="nil"/>
            </w:tcBorders>
            <w:shd w:val="clear" w:color="auto" w:fill="auto"/>
            <w:noWrap/>
            <w:vAlign w:val="center"/>
            <w:hideMark/>
          </w:tcPr>
          <w:p w14:paraId="53D23160"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126 </w:t>
            </w:r>
          </w:p>
        </w:tc>
        <w:tc>
          <w:tcPr>
            <w:tcW w:w="716" w:type="dxa"/>
            <w:tcBorders>
              <w:top w:val="nil"/>
              <w:left w:val="nil"/>
              <w:bottom w:val="nil"/>
              <w:right w:val="nil"/>
            </w:tcBorders>
            <w:shd w:val="clear" w:color="auto" w:fill="auto"/>
            <w:noWrap/>
            <w:vAlign w:val="center"/>
            <w:hideMark/>
          </w:tcPr>
          <w:p w14:paraId="41BD078B"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131 </w:t>
            </w:r>
          </w:p>
        </w:tc>
        <w:tc>
          <w:tcPr>
            <w:tcW w:w="716" w:type="dxa"/>
            <w:tcBorders>
              <w:top w:val="nil"/>
              <w:left w:val="nil"/>
              <w:bottom w:val="nil"/>
              <w:right w:val="nil"/>
            </w:tcBorders>
            <w:shd w:val="clear" w:color="000000" w:fill="FFFFFF"/>
            <w:noWrap/>
            <w:vAlign w:val="center"/>
            <w:hideMark/>
          </w:tcPr>
          <w:p w14:paraId="0BD726E8"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140</w:t>
            </w:r>
          </w:p>
        </w:tc>
        <w:tc>
          <w:tcPr>
            <w:tcW w:w="1128" w:type="dxa"/>
            <w:tcBorders>
              <w:top w:val="nil"/>
              <w:left w:val="nil"/>
              <w:bottom w:val="nil"/>
              <w:right w:val="nil"/>
            </w:tcBorders>
            <w:shd w:val="clear" w:color="000000" w:fill="FFFFFF"/>
            <w:noWrap/>
            <w:vAlign w:val="center"/>
            <w:hideMark/>
          </w:tcPr>
          <w:p w14:paraId="57FC49BA"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107%</w:t>
            </w:r>
          </w:p>
        </w:tc>
        <w:tc>
          <w:tcPr>
            <w:tcW w:w="861" w:type="dxa"/>
            <w:tcBorders>
              <w:top w:val="nil"/>
              <w:left w:val="nil"/>
              <w:bottom w:val="nil"/>
              <w:right w:val="nil"/>
            </w:tcBorders>
            <w:shd w:val="clear" w:color="000000" w:fill="FFFFFF"/>
            <w:noWrap/>
            <w:vAlign w:val="center"/>
            <w:hideMark/>
          </w:tcPr>
          <w:p w14:paraId="04A54E4C"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152</w:t>
            </w:r>
          </w:p>
        </w:tc>
        <w:tc>
          <w:tcPr>
            <w:tcW w:w="946" w:type="dxa"/>
            <w:tcBorders>
              <w:top w:val="nil"/>
              <w:left w:val="nil"/>
              <w:bottom w:val="nil"/>
              <w:right w:val="nil"/>
            </w:tcBorders>
            <w:shd w:val="clear" w:color="000000" w:fill="FFFFFF"/>
            <w:noWrap/>
            <w:vAlign w:val="center"/>
            <w:hideMark/>
          </w:tcPr>
          <w:p w14:paraId="54B97866"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147</w:t>
            </w:r>
          </w:p>
        </w:tc>
        <w:tc>
          <w:tcPr>
            <w:tcW w:w="701" w:type="dxa"/>
            <w:tcBorders>
              <w:top w:val="nil"/>
              <w:left w:val="nil"/>
              <w:bottom w:val="nil"/>
              <w:right w:val="nil"/>
            </w:tcBorders>
            <w:shd w:val="clear" w:color="000000" w:fill="FFFFFF"/>
            <w:noWrap/>
            <w:vAlign w:val="center"/>
            <w:hideMark/>
          </w:tcPr>
          <w:p w14:paraId="6A4CC322"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143</w:t>
            </w:r>
          </w:p>
        </w:tc>
        <w:tc>
          <w:tcPr>
            <w:tcW w:w="861" w:type="dxa"/>
            <w:tcBorders>
              <w:top w:val="nil"/>
              <w:left w:val="nil"/>
              <w:bottom w:val="nil"/>
              <w:right w:val="nil"/>
            </w:tcBorders>
            <w:shd w:val="clear" w:color="000000" w:fill="FFFFFF"/>
            <w:noWrap/>
            <w:vAlign w:val="center"/>
            <w:hideMark/>
          </w:tcPr>
          <w:p w14:paraId="1DE6E6A4"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95%</w:t>
            </w:r>
          </w:p>
        </w:tc>
        <w:tc>
          <w:tcPr>
            <w:tcW w:w="946" w:type="dxa"/>
            <w:tcBorders>
              <w:top w:val="nil"/>
              <w:left w:val="nil"/>
              <w:bottom w:val="nil"/>
              <w:right w:val="nil"/>
            </w:tcBorders>
            <w:shd w:val="clear" w:color="000000" w:fill="FFFFFF"/>
            <w:noWrap/>
            <w:vAlign w:val="center"/>
            <w:hideMark/>
          </w:tcPr>
          <w:p w14:paraId="3E2ADBA6"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98%</w:t>
            </w:r>
          </w:p>
        </w:tc>
        <w:tc>
          <w:tcPr>
            <w:tcW w:w="1128" w:type="dxa"/>
            <w:tcBorders>
              <w:top w:val="nil"/>
              <w:left w:val="nil"/>
              <w:bottom w:val="nil"/>
              <w:right w:val="nil"/>
            </w:tcBorders>
            <w:shd w:val="clear" w:color="000000" w:fill="FFFFFF"/>
            <w:noWrap/>
            <w:vAlign w:val="center"/>
            <w:hideMark/>
          </w:tcPr>
          <w:p w14:paraId="0D394061"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103%</w:t>
            </w:r>
          </w:p>
        </w:tc>
      </w:tr>
      <w:tr w:rsidR="009E64BA" w:rsidRPr="002E06C4" w14:paraId="26BD1A51" w14:textId="77777777" w:rsidTr="00C64C48">
        <w:trPr>
          <w:trHeight w:val="119"/>
          <w:jc w:val="center"/>
        </w:trPr>
        <w:tc>
          <w:tcPr>
            <w:tcW w:w="1987" w:type="dxa"/>
            <w:tcBorders>
              <w:top w:val="nil"/>
              <w:left w:val="nil"/>
              <w:bottom w:val="nil"/>
              <w:right w:val="nil"/>
            </w:tcBorders>
            <w:shd w:val="clear" w:color="000000" w:fill="DCE6F1"/>
            <w:noWrap/>
            <w:vAlign w:val="center"/>
            <w:hideMark/>
          </w:tcPr>
          <w:p w14:paraId="683BE6B7"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Tatimi mbi Fitimin</w:t>
            </w:r>
          </w:p>
        </w:tc>
        <w:tc>
          <w:tcPr>
            <w:tcW w:w="716" w:type="dxa"/>
            <w:tcBorders>
              <w:top w:val="nil"/>
              <w:left w:val="nil"/>
              <w:bottom w:val="nil"/>
              <w:right w:val="nil"/>
            </w:tcBorders>
            <w:shd w:val="clear" w:color="auto" w:fill="auto"/>
            <w:noWrap/>
            <w:vAlign w:val="center"/>
            <w:hideMark/>
          </w:tcPr>
          <w:p w14:paraId="5D0EE999"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21 </w:t>
            </w:r>
          </w:p>
        </w:tc>
        <w:tc>
          <w:tcPr>
            <w:tcW w:w="716" w:type="dxa"/>
            <w:tcBorders>
              <w:top w:val="nil"/>
              <w:left w:val="nil"/>
              <w:bottom w:val="nil"/>
              <w:right w:val="nil"/>
            </w:tcBorders>
            <w:shd w:val="clear" w:color="auto" w:fill="auto"/>
            <w:noWrap/>
            <w:vAlign w:val="center"/>
            <w:hideMark/>
          </w:tcPr>
          <w:p w14:paraId="20247ABC"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25 </w:t>
            </w:r>
          </w:p>
        </w:tc>
        <w:tc>
          <w:tcPr>
            <w:tcW w:w="716" w:type="dxa"/>
            <w:tcBorders>
              <w:top w:val="nil"/>
              <w:left w:val="nil"/>
              <w:bottom w:val="nil"/>
              <w:right w:val="nil"/>
            </w:tcBorders>
            <w:shd w:val="clear" w:color="auto" w:fill="auto"/>
            <w:noWrap/>
            <w:vAlign w:val="center"/>
            <w:hideMark/>
          </w:tcPr>
          <w:p w14:paraId="32854435"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29 </w:t>
            </w:r>
          </w:p>
        </w:tc>
        <w:tc>
          <w:tcPr>
            <w:tcW w:w="716" w:type="dxa"/>
            <w:tcBorders>
              <w:top w:val="nil"/>
              <w:left w:val="nil"/>
              <w:bottom w:val="nil"/>
              <w:right w:val="nil"/>
            </w:tcBorders>
            <w:shd w:val="clear" w:color="000000" w:fill="FFFFFF"/>
            <w:noWrap/>
            <w:vAlign w:val="center"/>
            <w:hideMark/>
          </w:tcPr>
          <w:p w14:paraId="3D966ACA"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32</w:t>
            </w:r>
          </w:p>
        </w:tc>
        <w:tc>
          <w:tcPr>
            <w:tcW w:w="1128" w:type="dxa"/>
            <w:tcBorders>
              <w:top w:val="nil"/>
              <w:left w:val="nil"/>
              <w:bottom w:val="nil"/>
              <w:right w:val="nil"/>
            </w:tcBorders>
            <w:shd w:val="clear" w:color="000000" w:fill="FFFFFF"/>
            <w:noWrap/>
            <w:vAlign w:val="center"/>
            <w:hideMark/>
          </w:tcPr>
          <w:p w14:paraId="4E8B9070"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110%</w:t>
            </w:r>
          </w:p>
        </w:tc>
        <w:tc>
          <w:tcPr>
            <w:tcW w:w="861" w:type="dxa"/>
            <w:tcBorders>
              <w:top w:val="nil"/>
              <w:left w:val="nil"/>
              <w:bottom w:val="nil"/>
              <w:right w:val="nil"/>
            </w:tcBorders>
            <w:shd w:val="clear" w:color="000000" w:fill="FFFFFF"/>
            <w:noWrap/>
            <w:vAlign w:val="center"/>
            <w:hideMark/>
          </w:tcPr>
          <w:p w14:paraId="5B30F659"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34</w:t>
            </w:r>
          </w:p>
        </w:tc>
        <w:tc>
          <w:tcPr>
            <w:tcW w:w="946" w:type="dxa"/>
            <w:tcBorders>
              <w:top w:val="nil"/>
              <w:left w:val="nil"/>
              <w:bottom w:val="nil"/>
              <w:right w:val="nil"/>
            </w:tcBorders>
            <w:shd w:val="clear" w:color="000000" w:fill="FFFFFF"/>
            <w:noWrap/>
            <w:vAlign w:val="center"/>
            <w:hideMark/>
          </w:tcPr>
          <w:p w14:paraId="00679020"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34</w:t>
            </w:r>
          </w:p>
        </w:tc>
        <w:tc>
          <w:tcPr>
            <w:tcW w:w="701" w:type="dxa"/>
            <w:tcBorders>
              <w:top w:val="nil"/>
              <w:left w:val="nil"/>
              <w:bottom w:val="nil"/>
              <w:right w:val="nil"/>
            </w:tcBorders>
            <w:shd w:val="clear" w:color="000000" w:fill="FFFFFF"/>
            <w:noWrap/>
            <w:vAlign w:val="center"/>
            <w:hideMark/>
          </w:tcPr>
          <w:p w14:paraId="2010BC4C"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34</w:t>
            </w:r>
          </w:p>
        </w:tc>
        <w:tc>
          <w:tcPr>
            <w:tcW w:w="861" w:type="dxa"/>
            <w:tcBorders>
              <w:top w:val="nil"/>
              <w:left w:val="nil"/>
              <w:bottom w:val="nil"/>
              <w:right w:val="nil"/>
            </w:tcBorders>
            <w:shd w:val="clear" w:color="000000" w:fill="FFFFFF"/>
            <w:noWrap/>
            <w:vAlign w:val="center"/>
            <w:hideMark/>
          </w:tcPr>
          <w:p w14:paraId="3D146A94"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100%</w:t>
            </w:r>
          </w:p>
        </w:tc>
        <w:tc>
          <w:tcPr>
            <w:tcW w:w="946" w:type="dxa"/>
            <w:tcBorders>
              <w:top w:val="nil"/>
              <w:left w:val="nil"/>
              <w:bottom w:val="nil"/>
              <w:right w:val="nil"/>
            </w:tcBorders>
            <w:shd w:val="clear" w:color="000000" w:fill="FFFFFF"/>
            <w:noWrap/>
            <w:vAlign w:val="center"/>
            <w:hideMark/>
          </w:tcPr>
          <w:p w14:paraId="5349961E"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102%</w:t>
            </w:r>
          </w:p>
        </w:tc>
        <w:tc>
          <w:tcPr>
            <w:tcW w:w="1128" w:type="dxa"/>
            <w:tcBorders>
              <w:top w:val="nil"/>
              <w:left w:val="nil"/>
              <w:bottom w:val="nil"/>
              <w:right w:val="nil"/>
            </w:tcBorders>
            <w:shd w:val="clear" w:color="000000" w:fill="FFFFFF"/>
            <w:noWrap/>
            <w:vAlign w:val="center"/>
            <w:hideMark/>
          </w:tcPr>
          <w:p w14:paraId="4910DB62"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109%</w:t>
            </w:r>
          </w:p>
        </w:tc>
      </w:tr>
      <w:tr w:rsidR="009E64BA" w:rsidRPr="002E06C4" w14:paraId="0742273D" w14:textId="77777777" w:rsidTr="00C64C48">
        <w:trPr>
          <w:trHeight w:val="119"/>
          <w:jc w:val="center"/>
        </w:trPr>
        <w:tc>
          <w:tcPr>
            <w:tcW w:w="1987" w:type="dxa"/>
            <w:tcBorders>
              <w:top w:val="nil"/>
              <w:left w:val="nil"/>
              <w:bottom w:val="nil"/>
              <w:right w:val="nil"/>
            </w:tcBorders>
            <w:shd w:val="clear" w:color="000000" w:fill="DCE6F1"/>
            <w:noWrap/>
            <w:vAlign w:val="center"/>
            <w:hideMark/>
          </w:tcPr>
          <w:p w14:paraId="3FA7557D"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Akcizat</w:t>
            </w:r>
          </w:p>
        </w:tc>
        <w:tc>
          <w:tcPr>
            <w:tcW w:w="716" w:type="dxa"/>
            <w:tcBorders>
              <w:top w:val="nil"/>
              <w:left w:val="nil"/>
              <w:bottom w:val="nil"/>
              <w:right w:val="nil"/>
            </w:tcBorders>
            <w:shd w:val="clear" w:color="auto" w:fill="auto"/>
            <w:noWrap/>
            <w:vAlign w:val="center"/>
            <w:hideMark/>
          </w:tcPr>
          <w:p w14:paraId="118781DE"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41 </w:t>
            </w:r>
          </w:p>
        </w:tc>
        <w:tc>
          <w:tcPr>
            <w:tcW w:w="716" w:type="dxa"/>
            <w:tcBorders>
              <w:top w:val="nil"/>
              <w:left w:val="nil"/>
              <w:bottom w:val="nil"/>
              <w:right w:val="nil"/>
            </w:tcBorders>
            <w:shd w:val="clear" w:color="auto" w:fill="auto"/>
            <w:noWrap/>
            <w:vAlign w:val="center"/>
            <w:hideMark/>
          </w:tcPr>
          <w:p w14:paraId="168DD2E1"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39 </w:t>
            </w:r>
          </w:p>
        </w:tc>
        <w:tc>
          <w:tcPr>
            <w:tcW w:w="716" w:type="dxa"/>
            <w:tcBorders>
              <w:top w:val="nil"/>
              <w:left w:val="nil"/>
              <w:bottom w:val="nil"/>
              <w:right w:val="nil"/>
            </w:tcBorders>
            <w:shd w:val="clear" w:color="auto" w:fill="auto"/>
            <w:noWrap/>
            <w:vAlign w:val="center"/>
            <w:hideMark/>
          </w:tcPr>
          <w:p w14:paraId="59DFC22D"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42 </w:t>
            </w:r>
          </w:p>
        </w:tc>
        <w:tc>
          <w:tcPr>
            <w:tcW w:w="716" w:type="dxa"/>
            <w:tcBorders>
              <w:top w:val="nil"/>
              <w:left w:val="nil"/>
              <w:bottom w:val="nil"/>
              <w:right w:val="nil"/>
            </w:tcBorders>
            <w:shd w:val="clear" w:color="000000" w:fill="FFFFFF"/>
            <w:noWrap/>
            <w:vAlign w:val="center"/>
            <w:hideMark/>
          </w:tcPr>
          <w:p w14:paraId="78291A47"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45</w:t>
            </w:r>
          </w:p>
        </w:tc>
        <w:tc>
          <w:tcPr>
            <w:tcW w:w="1128" w:type="dxa"/>
            <w:tcBorders>
              <w:top w:val="nil"/>
              <w:left w:val="nil"/>
              <w:bottom w:val="nil"/>
              <w:right w:val="nil"/>
            </w:tcBorders>
            <w:shd w:val="clear" w:color="000000" w:fill="FFFFFF"/>
            <w:noWrap/>
            <w:vAlign w:val="center"/>
            <w:hideMark/>
          </w:tcPr>
          <w:p w14:paraId="5BE1FF24"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107%</w:t>
            </w:r>
          </w:p>
        </w:tc>
        <w:tc>
          <w:tcPr>
            <w:tcW w:w="861" w:type="dxa"/>
            <w:tcBorders>
              <w:top w:val="nil"/>
              <w:left w:val="nil"/>
              <w:bottom w:val="nil"/>
              <w:right w:val="nil"/>
            </w:tcBorders>
            <w:shd w:val="clear" w:color="000000" w:fill="FFFFFF"/>
            <w:noWrap/>
            <w:vAlign w:val="center"/>
            <w:hideMark/>
          </w:tcPr>
          <w:p w14:paraId="0805F0E8"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49</w:t>
            </w:r>
          </w:p>
        </w:tc>
        <w:tc>
          <w:tcPr>
            <w:tcW w:w="946" w:type="dxa"/>
            <w:tcBorders>
              <w:top w:val="nil"/>
              <w:left w:val="nil"/>
              <w:bottom w:val="nil"/>
              <w:right w:val="nil"/>
            </w:tcBorders>
            <w:shd w:val="clear" w:color="000000" w:fill="FFFFFF"/>
            <w:noWrap/>
            <w:vAlign w:val="center"/>
            <w:hideMark/>
          </w:tcPr>
          <w:p w14:paraId="66F7AC2D"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48</w:t>
            </w:r>
          </w:p>
        </w:tc>
        <w:tc>
          <w:tcPr>
            <w:tcW w:w="701" w:type="dxa"/>
            <w:tcBorders>
              <w:top w:val="nil"/>
              <w:left w:val="nil"/>
              <w:bottom w:val="nil"/>
              <w:right w:val="nil"/>
            </w:tcBorders>
            <w:shd w:val="clear" w:color="000000" w:fill="FFFFFF"/>
            <w:noWrap/>
            <w:vAlign w:val="center"/>
            <w:hideMark/>
          </w:tcPr>
          <w:p w14:paraId="46952785"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45</w:t>
            </w:r>
          </w:p>
        </w:tc>
        <w:tc>
          <w:tcPr>
            <w:tcW w:w="861" w:type="dxa"/>
            <w:tcBorders>
              <w:top w:val="nil"/>
              <w:left w:val="nil"/>
              <w:bottom w:val="nil"/>
              <w:right w:val="nil"/>
            </w:tcBorders>
            <w:shd w:val="clear" w:color="000000" w:fill="FFFFFF"/>
            <w:noWrap/>
            <w:vAlign w:val="center"/>
            <w:hideMark/>
          </w:tcPr>
          <w:p w14:paraId="6319E5BE"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92%</w:t>
            </w:r>
          </w:p>
        </w:tc>
        <w:tc>
          <w:tcPr>
            <w:tcW w:w="946" w:type="dxa"/>
            <w:tcBorders>
              <w:top w:val="nil"/>
              <w:left w:val="nil"/>
              <w:bottom w:val="nil"/>
              <w:right w:val="nil"/>
            </w:tcBorders>
            <w:shd w:val="clear" w:color="000000" w:fill="FFFFFF"/>
            <w:noWrap/>
            <w:vAlign w:val="center"/>
            <w:hideMark/>
          </w:tcPr>
          <w:p w14:paraId="738F8E59"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93%</w:t>
            </w:r>
          </w:p>
        </w:tc>
        <w:tc>
          <w:tcPr>
            <w:tcW w:w="1128" w:type="dxa"/>
            <w:tcBorders>
              <w:top w:val="nil"/>
              <w:left w:val="nil"/>
              <w:bottom w:val="nil"/>
              <w:right w:val="nil"/>
            </w:tcBorders>
            <w:shd w:val="clear" w:color="000000" w:fill="FFFFFF"/>
            <w:noWrap/>
            <w:vAlign w:val="center"/>
            <w:hideMark/>
          </w:tcPr>
          <w:p w14:paraId="6554F4D9"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100%</w:t>
            </w:r>
          </w:p>
        </w:tc>
      </w:tr>
      <w:tr w:rsidR="009E64BA" w:rsidRPr="002E06C4" w14:paraId="5553D04A" w14:textId="77777777" w:rsidTr="00C64C48">
        <w:trPr>
          <w:trHeight w:val="119"/>
          <w:jc w:val="center"/>
        </w:trPr>
        <w:tc>
          <w:tcPr>
            <w:tcW w:w="1987" w:type="dxa"/>
            <w:tcBorders>
              <w:top w:val="nil"/>
              <w:left w:val="nil"/>
              <w:bottom w:val="nil"/>
              <w:right w:val="nil"/>
            </w:tcBorders>
            <w:shd w:val="clear" w:color="000000" w:fill="DCE6F1"/>
            <w:noWrap/>
            <w:vAlign w:val="center"/>
            <w:hideMark/>
          </w:tcPr>
          <w:p w14:paraId="0FE8130C"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Tatimi mbi te Ardhurat Personale</w:t>
            </w:r>
          </w:p>
        </w:tc>
        <w:tc>
          <w:tcPr>
            <w:tcW w:w="716" w:type="dxa"/>
            <w:tcBorders>
              <w:top w:val="nil"/>
              <w:left w:val="nil"/>
              <w:bottom w:val="nil"/>
              <w:right w:val="nil"/>
            </w:tcBorders>
            <w:shd w:val="clear" w:color="auto" w:fill="auto"/>
            <w:noWrap/>
            <w:vAlign w:val="center"/>
            <w:hideMark/>
          </w:tcPr>
          <w:p w14:paraId="552F7C90"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29 </w:t>
            </w:r>
          </w:p>
        </w:tc>
        <w:tc>
          <w:tcPr>
            <w:tcW w:w="716" w:type="dxa"/>
            <w:tcBorders>
              <w:top w:val="nil"/>
              <w:left w:val="nil"/>
              <w:bottom w:val="nil"/>
              <w:right w:val="nil"/>
            </w:tcBorders>
            <w:shd w:val="clear" w:color="auto" w:fill="auto"/>
            <w:noWrap/>
            <w:vAlign w:val="center"/>
            <w:hideMark/>
          </w:tcPr>
          <w:p w14:paraId="19CA8BEA"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30 </w:t>
            </w:r>
          </w:p>
        </w:tc>
        <w:tc>
          <w:tcPr>
            <w:tcW w:w="716" w:type="dxa"/>
            <w:tcBorders>
              <w:top w:val="nil"/>
              <w:left w:val="nil"/>
              <w:bottom w:val="nil"/>
              <w:right w:val="nil"/>
            </w:tcBorders>
            <w:shd w:val="clear" w:color="auto" w:fill="auto"/>
            <w:noWrap/>
            <w:vAlign w:val="center"/>
            <w:hideMark/>
          </w:tcPr>
          <w:p w14:paraId="0A663D31"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31 </w:t>
            </w:r>
          </w:p>
        </w:tc>
        <w:tc>
          <w:tcPr>
            <w:tcW w:w="716" w:type="dxa"/>
            <w:tcBorders>
              <w:top w:val="nil"/>
              <w:left w:val="nil"/>
              <w:bottom w:val="nil"/>
              <w:right w:val="nil"/>
            </w:tcBorders>
            <w:shd w:val="clear" w:color="000000" w:fill="FFFFFF"/>
            <w:noWrap/>
            <w:vAlign w:val="center"/>
            <w:hideMark/>
          </w:tcPr>
          <w:p w14:paraId="0F464896"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32</w:t>
            </w:r>
          </w:p>
        </w:tc>
        <w:tc>
          <w:tcPr>
            <w:tcW w:w="1128" w:type="dxa"/>
            <w:tcBorders>
              <w:top w:val="nil"/>
              <w:left w:val="nil"/>
              <w:bottom w:val="nil"/>
              <w:right w:val="nil"/>
            </w:tcBorders>
            <w:shd w:val="clear" w:color="000000" w:fill="FFFFFF"/>
            <w:noWrap/>
            <w:vAlign w:val="center"/>
            <w:hideMark/>
          </w:tcPr>
          <w:p w14:paraId="165B566C"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102%</w:t>
            </w:r>
          </w:p>
        </w:tc>
        <w:tc>
          <w:tcPr>
            <w:tcW w:w="861" w:type="dxa"/>
            <w:tcBorders>
              <w:top w:val="nil"/>
              <w:left w:val="nil"/>
              <w:bottom w:val="nil"/>
              <w:right w:val="nil"/>
            </w:tcBorders>
            <w:shd w:val="clear" w:color="000000" w:fill="FFFFFF"/>
            <w:noWrap/>
            <w:vAlign w:val="center"/>
            <w:hideMark/>
          </w:tcPr>
          <w:p w14:paraId="490F1BFD"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37</w:t>
            </w:r>
          </w:p>
        </w:tc>
        <w:tc>
          <w:tcPr>
            <w:tcW w:w="946" w:type="dxa"/>
            <w:tcBorders>
              <w:top w:val="nil"/>
              <w:left w:val="nil"/>
              <w:bottom w:val="nil"/>
              <w:right w:val="nil"/>
            </w:tcBorders>
            <w:shd w:val="clear" w:color="000000" w:fill="FFFFFF"/>
            <w:noWrap/>
            <w:vAlign w:val="center"/>
            <w:hideMark/>
          </w:tcPr>
          <w:p w14:paraId="63B19FEF"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37</w:t>
            </w:r>
          </w:p>
        </w:tc>
        <w:tc>
          <w:tcPr>
            <w:tcW w:w="701" w:type="dxa"/>
            <w:tcBorders>
              <w:top w:val="nil"/>
              <w:left w:val="nil"/>
              <w:bottom w:val="nil"/>
              <w:right w:val="nil"/>
            </w:tcBorders>
            <w:shd w:val="clear" w:color="000000" w:fill="FFFFFF"/>
            <w:noWrap/>
            <w:vAlign w:val="center"/>
            <w:hideMark/>
          </w:tcPr>
          <w:p w14:paraId="30518AA9"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37</w:t>
            </w:r>
          </w:p>
        </w:tc>
        <w:tc>
          <w:tcPr>
            <w:tcW w:w="861" w:type="dxa"/>
            <w:tcBorders>
              <w:top w:val="nil"/>
              <w:left w:val="nil"/>
              <w:bottom w:val="nil"/>
              <w:right w:val="nil"/>
            </w:tcBorders>
            <w:shd w:val="clear" w:color="000000" w:fill="FFFFFF"/>
            <w:noWrap/>
            <w:vAlign w:val="center"/>
            <w:hideMark/>
          </w:tcPr>
          <w:p w14:paraId="43415261"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98%</w:t>
            </w:r>
          </w:p>
        </w:tc>
        <w:tc>
          <w:tcPr>
            <w:tcW w:w="946" w:type="dxa"/>
            <w:tcBorders>
              <w:top w:val="nil"/>
              <w:left w:val="nil"/>
              <w:bottom w:val="nil"/>
              <w:right w:val="nil"/>
            </w:tcBorders>
            <w:shd w:val="clear" w:color="000000" w:fill="FFFFFF"/>
            <w:noWrap/>
            <w:vAlign w:val="center"/>
            <w:hideMark/>
          </w:tcPr>
          <w:p w14:paraId="3C023D0A"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99%</w:t>
            </w:r>
          </w:p>
        </w:tc>
        <w:tc>
          <w:tcPr>
            <w:tcW w:w="1128" w:type="dxa"/>
            <w:tcBorders>
              <w:top w:val="nil"/>
              <w:left w:val="nil"/>
              <w:bottom w:val="nil"/>
              <w:right w:val="nil"/>
            </w:tcBorders>
            <w:shd w:val="clear" w:color="000000" w:fill="FFFFFF"/>
            <w:noWrap/>
            <w:vAlign w:val="center"/>
            <w:hideMark/>
          </w:tcPr>
          <w:p w14:paraId="3CEC6E64"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114%</w:t>
            </w:r>
          </w:p>
        </w:tc>
      </w:tr>
      <w:tr w:rsidR="009E64BA" w:rsidRPr="002E06C4" w14:paraId="3AC00E55" w14:textId="77777777" w:rsidTr="00C64C48">
        <w:trPr>
          <w:trHeight w:val="119"/>
          <w:jc w:val="center"/>
        </w:trPr>
        <w:tc>
          <w:tcPr>
            <w:tcW w:w="1987" w:type="dxa"/>
            <w:tcBorders>
              <w:top w:val="nil"/>
              <w:left w:val="nil"/>
              <w:bottom w:val="nil"/>
              <w:right w:val="nil"/>
            </w:tcBorders>
            <w:shd w:val="clear" w:color="000000" w:fill="DCE6F1"/>
            <w:noWrap/>
            <w:vAlign w:val="center"/>
            <w:hideMark/>
          </w:tcPr>
          <w:p w14:paraId="0B6A782F"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Taksa Nacionale dhe te tjera</w:t>
            </w:r>
          </w:p>
        </w:tc>
        <w:tc>
          <w:tcPr>
            <w:tcW w:w="716" w:type="dxa"/>
            <w:tcBorders>
              <w:top w:val="nil"/>
              <w:left w:val="nil"/>
              <w:bottom w:val="nil"/>
              <w:right w:val="nil"/>
            </w:tcBorders>
            <w:shd w:val="clear" w:color="auto" w:fill="auto"/>
            <w:noWrap/>
            <w:vAlign w:val="center"/>
            <w:hideMark/>
          </w:tcPr>
          <w:p w14:paraId="0E9159A0"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33 </w:t>
            </w:r>
          </w:p>
        </w:tc>
        <w:tc>
          <w:tcPr>
            <w:tcW w:w="716" w:type="dxa"/>
            <w:tcBorders>
              <w:top w:val="nil"/>
              <w:left w:val="nil"/>
              <w:bottom w:val="nil"/>
              <w:right w:val="nil"/>
            </w:tcBorders>
            <w:shd w:val="clear" w:color="auto" w:fill="auto"/>
            <w:noWrap/>
            <w:vAlign w:val="center"/>
            <w:hideMark/>
          </w:tcPr>
          <w:p w14:paraId="79280B97"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34 </w:t>
            </w:r>
          </w:p>
        </w:tc>
        <w:tc>
          <w:tcPr>
            <w:tcW w:w="716" w:type="dxa"/>
            <w:tcBorders>
              <w:top w:val="nil"/>
              <w:left w:val="nil"/>
              <w:bottom w:val="nil"/>
              <w:right w:val="nil"/>
            </w:tcBorders>
            <w:shd w:val="clear" w:color="auto" w:fill="auto"/>
            <w:noWrap/>
            <w:vAlign w:val="center"/>
            <w:hideMark/>
          </w:tcPr>
          <w:p w14:paraId="1051901A"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36 </w:t>
            </w:r>
          </w:p>
        </w:tc>
        <w:tc>
          <w:tcPr>
            <w:tcW w:w="716" w:type="dxa"/>
            <w:tcBorders>
              <w:top w:val="nil"/>
              <w:left w:val="nil"/>
              <w:bottom w:val="nil"/>
              <w:right w:val="nil"/>
            </w:tcBorders>
            <w:shd w:val="clear" w:color="000000" w:fill="FFFFFF"/>
            <w:noWrap/>
            <w:vAlign w:val="center"/>
            <w:hideMark/>
          </w:tcPr>
          <w:p w14:paraId="2411ECD2"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39</w:t>
            </w:r>
          </w:p>
        </w:tc>
        <w:tc>
          <w:tcPr>
            <w:tcW w:w="1128" w:type="dxa"/>
            <w:tcBorders>
              <w:top w:val="nil"/>
              <w:left w:val="nil"/>
              <w:bottom w:val="nil"/>
              <w:right w:val="nil"/>
            </w:tcBorders>
            <w:shd w:val="clear" w:color="000000" w:fill="FFFFFF"/>
            <w:noWrap/>
            <w:vAlign w:val="center"/>
            <w:hideMark/>
          </w:tcPr>
          <w:p w14:paraId="5EB6F0AE"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109%</w:t>
            </w:r>
          </w:p>
        </w:tc>
        <w:tc>
          <w:tcPr>
            <w:tcW w:w="861" w:type="dxa"/>
            <w:tcBorders>
              <w:top w:val="nil"/>
              <w:left w:val="nil"/>
              <w:bottom w:val="nil"/>
              <w:right w:val="nil"/>
            </w:tcBorders>
            <w:shd w:val="clear" w:color="000000" w:fill="FFFFFF"/>
            <w:noWrap/>
            <w:vAlign w:val="center"/>
            <w:hideMark/>
          </w:tcPr>
          <w:p w14:paraId="2B3C2C7D"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38</w:t>
            </w:r>
          </w:p>
        </w:tc>
        <w:tc>
          <w:tcPr>
            <w:tcW w:w="946" w:type="dxa"/>
            <w:tcBorders>
              <w:top w:val="nil"/>
              <w:left w:val="nil"/>
              <w:bottom w:val="nil"/>
              <w:right w:val="nil"/>
            </w:tcBorders>
            <w:shd w:val="clear" w:color="000000" w:fill="FFFFFF"/>
            <w:noWrap/>
            <w:vAlign w:val="center"/>
            <w:hideMark/>
          </w:tcPr>
          <w:p w14:paraId="3E8372C1"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38</w:t>
            </w:r>
          </w:p>
        </w:tc>
        <w:tc>
          <w:tcPr>
            <w:tcW w:w="701" w:type="dxa"/>
            <w:tcBorders>
              <w:top w:val="nil"/>
              <w:left w:val="nil"/>
              <w:bottom w:val="nil"/>
              <w:right w:val="nil"/>
            </w:tcBorders>
            <w:shd w:val="clear" w:color="000000" w:fill="FFFFFF"/>
            <w:noWrap/>
            <w:vAlign w:val="center"/>
            <w:hideMark/>
          </w:tcPr>
          <w:p w14:paraId="53D62A8E"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39</w:t>
            </w:r>
          </w:p>
        </w:tc>
        <w:tc>
          <w:tcPr>
            <w:tcW w:w="861" w:type="dxa"/>
            <w:tcBorders>
              <w:top w:val="nil"/>
              <w:left w:val="nil"/>
              <w:bottom w:val="nil"/>
              <w:right w:val="nil"/>
            </w:tcBorders>
            <w:shd w:val="clear" w:color="000000" w:fill="FFFFFF"/>
            <w:noWrap/>
            <w:vAlign w:val="center"/>
            <w:hideMark/>
          </w:tcPr>
          <w:p w14:paraId="5A2B7E9F"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101%</w:t>
            </w:r>
          </w:p>
        </w:tc>
        <w:tc>
          <w:tcPr>
            <w:tcW w:w="946" w:type="dxa"/>
            <w:tcBorders>
              <w:top w:val="nil"/>
              <w:left w:val="nil"/>
              <w:bottom w:val="nil"/>
              <w:right w:val="nil"/>
            </w:tcBorders>
            <w:shd w:val="clear" w:color="000000" w:fill="FFFFFF"/>
            <w:noWrap/>
            <w:vAlign w:val="center"/>
            <w:hideMark/>
          </w:tcPr>
          <w:p w14:paraId="51A58F53"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101%</w:t>
            </w:r>
          </w:p>
        </w:tc>
        <w:tc>
          <w:tcPr>
            <w:tcW w:w="1128" w:type="dxa"/>
            <w:tcBorders>
              <w:top w:val="nil"/>
              <w:left w:val="nil"/>
              <w:bottom w:val="nil"/>
              <w:right w:val="nil"/>
            </w:tcBorders>
            <w:shd w:val="clear" w:color="000000" w:fill="FFFFFF"/>
            <w:noWrap/>
            <w:vAlign w:val="center"/>
            <w:hideMark/>
          </w:tcPr>
          <w:p w14:paraId="57783CC4"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100%</w:t>
            </w:r>
          </w:p>
        </w:tc>
      </w:tr>
      <w:tr w:rsidR="009E64BA" w:rsidRPr="002E06C4" w14:paraId="7E807437" w14:textId="77777777" w:rsidTr="00C64C48">
        <w:trPr>
          <w:trHeight w:val="119"/>
          <w:jc w:val="center"/>
        </w:trPr>
        <w:tc>
          <w:tcPr>
            <w:tcW w:w="1987" w:type="dxa"/>
            <w:tcBorders>
              <w:top w:val="nil"/>
              <w:left w:val="nil"/>
              <w:bottom w:val="nil"/>
              <w:right w:val="nil"/>
            </w:tcBorders>
            <w:shd w:val="clear" w:color="000000" w:fill="DCE6F1"/>
            <w:noWrap/>
            <w:vAlign w:val="center"/>
            <w:hideMark/>
          </w:tcPr>
          <w:p w14:paraId="74F2B8A1"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Taksa Doganore</w:t>
            </w:r>
          </w:p>
        </w:tc>
        <w:tc>
          <w:tcPr>
            <w:tcW w:w="716" w:type="dxa"/>
            <w:tcBorders>
              <w:top w:val="nil"/>
              <w:left w:val="nil"/>
              <w:bottom w:val="nil"/>
              <w:right w:val="nil"/>
            </w:tcBorders>
            <w:shd w:val="clear" w:color="auto" w:fill="auto"/>
            <w:noWrap/>
            <w:vAlign w:val="center"/>
            <w:hideMark/>
          </w:tcPr>
          <w:p w14:paraId="1EA1EBF5"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6 </w:t>
            </w:r>
          </w:p>
        </w:tc>
        <w:tc>
          <w:tcPr>
            <w:tcW w:w="716" w:type="dxa"/>
            <w:tcBorders>
              <w:top w:val="nil"/>
              <w:left w:val="nil"/>
              <w:bottom w:val="nil"/>
              <w:right w:val="nil"/>
            </w:tcBorders>
            <w:shd w:val="clear" w:color="auto" w:fill="auto"/>
            <w:noWrap/>
            <w:vAlign w:val="center"/>
            <w:hideMark/>
          </w:tcPr>
          <w:p w14:paraId="44E5C608"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6 </w:t>
            </w:r>
          </w:p>
        </w:tc>
        <w:tc>
          <w:tcPr>
            <w:tcW w:w="716" w:type="dxa"/>
            <w:tcBorders>
              <w:top w:val="nil"/>
              <w:left w:val="nil"/>
              <w:bottom w:val="nil"/>
              <w:right w:val="nil"/>
            </w:tcBorders>
            <w:shd w:val="clear" w:color="auto" w:fill="auto"/>
            <w:noWrap/>
            <w:vAlign w:val="center"/>
            <w:hideMark/>
          </w:tcPr>
          <w:p w14:paraId="3DEB0B4E"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6 </w:t>
            </w:r>
          </w:p>
        </w:tc>
        <w:tc>
          <w:tcPr>
            <w:tcW w:w="716" w:type="dxa"/>
            <w:tcBorders>
              <w:top w:val="nil"/>
              <w:left w:val="nil"/>
              <w:bottom w:val="nil"/>
              <w:right w:val="nil"/>
            </w:tcBorders>
            <w:shd w:val="clear" w:color="000000" w:fill="FFFFFF"/>
            <w:noWrap/>
            <w:vAlign w:val="center"/>
            <w:hideMark/>
          </w:tcPr>
          <w:p w14:paraId="7D1D8679"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6</w:t>
            </w:r>
          </w:p>
        </w:tc>
        <w:tc>
          <w:tcPr>
            <w:tcW w:w="1128" w:type="dxa"/>
            <w:tcBorders>
              <w:top w:val="nil"/>
              <w:left w:val="nil"/>
              <w:bottom w:val="nil"/>
              <w:right w:val="nil"/>
            </w:tcBorders>
            <w:shd w:val="clear" w:color="000000" w:fill="FFFFFF"/>
            <w:noWrap/>
            <w:vAlign w:val="center"/>
            <w:hideMark/>
          </w:tcPr>
          <w:p w14:paraId="70BCD9AC"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98%</w:t>
            </w:r>
          </w:p>
        </w:tc>
        <w:tc>
          <w:tcPr>
            <w:tcW w:w="861" w:type="dxa"/>
            <w:tcBorders>
              <w:top w:val="nil"/>
              <w:left w:val="nil"/>
              <w:bottom w:val="nil"/>
              <w:right w:val="nil"/>
            </w:tcBorders>
            <w:shd w:val="clear" w:color="000000" w:fill="FFFFFF"/>
            <w:noWrap/>
            <w:vAlign w:val="center"/>
            <w:hideMark/>
          </w:tcPr>
          <w:p w14:paraId="17F7964B"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7</w:t>
            </w:r>
          </w:p>
        </w:tc>
        <w:tc>
          <w:tcPr>
            <w:tcW w:w="946" w:type="dxa"/>
            <w:tcBorders>
              <w:top w:val="nil"/>
              <w:left w:val="nil"/>
              <w:bottom w:val="nil"/>
              <w:right w:val="nil"/>
            </w:tcBorders>
            <w:shd w:val="clear" w:color="000000" w:fill="FFFFFF"/>
            <w:noWrap/>
            <w:vAlign w:val="center"/>
            <w:hideMark/>
          </w:tcPr>
          <w:p w14:paraId="104D8A00"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7</w:t>
            </w:r>
          </w:p>
        </w:tc>
        <w:tc>
          <w:tcPr>
            <w:tcW w:w="701" w:type="dxa"/>
            <w:tcBorders>
              <w:top w:val="nil"/>
              <w:left w:val="nil"/>
              <w:bottom w:val="nil"/>
              <w:right w:val="nil"/>
            </w:tcBorders>
            <w:shd w:val="clear" w:color="000000" w:fill="FFFFFF"/>
            <w:noWrap/>
            <w:vAlign w:val="center"/>
            <w:hideMark/>
          </w:tcPr>
          <w:p w14:paraId="09B3D1CF"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6</w:t>
            </w:r>
          </w:p>
        </w:tc>
        <w:tc>
          <w:tcPr>
            <w:tcW w:w="861" w:type="dxa"/>
            <w:tcBorders>
              <w:top w:val="nil"/>
              <w:left w:val="nil"/>
              <w:bottom w:val="nil"/>
              <w:right w:val="nil"/>
            </w:tcBorders>
            <w:shd w:val="clear" w:color="000000" w:fill="FFFFFF"/>
            <w:noWrap/>
            <w:vAlign w:val="center"/>
            <w:hideMark/>
          </w:tcPr>
          <w:p w14:paraId="5284A154"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89%</w:t>
            </w:r>
          </w:p>
        </w:tc>
        <w:tc>
          <w:tcPr>
            <w:tcW w:w="946" w:type="dxa"/>
            <w:tcBorders>
              <w:top w:val="nil"/>
              <w:left w:val="nil"/>
              <w:bottom w:val="nil"/>
              <w:right w:val="nil"/>
            </w:tcBorders>
            <w:shd w:val="clear" w:color="000000" w:fill="FFFFFF"/>
            <w:noWrap/>
            <w:vAlign w:val="center"/>
            <w:hideMark/>
          </w:tcPr>
          <w:p w14:paraId="452DF705"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89%</w:t>
            </w:r>
          </w:p>
        </w:tc>
        <w:tc>
          <w:tcPr>
            <w:tcW w:w="1128" w:type="dxa"/>
            <w:tcBorders>
              <w:top w:val="nil"/>
              <w:left w:val="nil"/>
              <w:bottom w:val="nil"/>
              <w:right w:val="nil"/>
            </w:tcBorders>
            <w:shd w:val="clear" w:color="000000" w:fill="FFFFFF"/>
            <w:noWrap/>
            <w:vAlign w:val="center"/>
            <w:hideMark/>
          </w:tcPr>
          <w:p w14:paraId="0F6A5D0D"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96%</w:t>
            </w:r>
          </w:p>
        </w:tc>
      </w:tr>
      <w:tr w:rsidR="009E64BA" w:rsidRPr="002E06C4" w14:paraId="28674108" w14:textId="77777777" w:rsidTr="00C64C48">
        <w:trPr>
          <w:trHeight w:val="119"/>
          <w:jc w:val="center"/>
        </w:trPr>
        <w:tc>
          <w:tcPr>
            <w:tcW w:w="1987" w:type="dxa"/>
            <w:tcBorders>
              <w:top w:val="nil"/>
              <w:left w:val="nil"/>
              <w:bottom w:val="nil"/>
              <w:right w:val="nil"/>
            </w:tcBorders>
            <w:shd w:val="clear" w:color="000000" w:fill="DCE6F1"/>
            <w:noWrap/>
            <w:vAlign w:val="center"/>
            <w:hideMark/>
          </w:tcPr>
          <w:p w14:paraId="20F76089"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Të ardhura nga Pushteti Vendor</w:t>
            </w:r>
          </w:p>
        </w:tc>
        <w:tc>
          <w:tcPr>
            <w:tcW w:w="716" w:type="dxa"/>
            <w:tcBorders>
              <w:top w:val="nil"/>
              <w:left w:val="nil"/>
              <w:bottom w:val="nil"/>
              <w:right w:val="nil"/>
            </w:tcBorders>
            <w:shd w:val="clear" w:color="auto" w:fill="auto"/>
            <w:noWrap/>
            <w:vAlign w:val="center"/>
            <w:hideMark/>
          </w:tcPr>
          <w:p w14:paraId="4D3F39AA"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12 </w:t>
            </w:r>
          </w:p>
        </w:tc>
        <w:tc>
          <w:tcPr>
            <w:tcW w:w="716" w:type="dxa"/>
            <w:tcBorders>
              <w:top w:val="nil"/>
              <w:left w:val="nil"/>
              <w:bottom w:val="nil"/>
              <w:right w:val="nil"/>
            </w:tcBorders>
            <w:shd w:val="clear" w:color="auto" w:fill="auto"/>
            <w:noWrap/>
            <w:vAlign w:val="center"/>
            <w:hideMark/>
          </w:tcPr>
          <w:p w14:paraId="0D941D0E"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12 </w:t>
            </w:r>
          </w:p>
        </w:tc>
        <w:tc>
          <w:tcPr>
            <w:tcW w:w="716" w:type="dxa"/>
            <w:tcBorders>
              <w:top w:val="nil"/>
              <w:left w:val="nil"/>
              <w:bottom w:val="nil"/>
              <w:right w:val="nil"/>
            </w:tcBorders>
            <w:shd w:val="clear" w:color="auto" w:fill="auto"/>
            <w:noWrap/>
            <w:vAlign w:val="center"/>
            <w:hideMark/>
          </w:tcPr>
          <w:p w14:paraId="062B63F4"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15 </w:t>
            </w:r>
          </w:p>
        </w:tc>
        <w:tc>
          <w:tcPr>
            <w:tcW w:w="716" w:type="dxa"/>
            <w:tcBorders>
              <w:top w:val="nil"/>
              <w:left w:val="nil"/>
              <w:bottom w:val="nil"/>
              <w:right w:val="nil"/>
            </w:tcBorders>
            <w:shd w:val="clear" w:color="000000" w:fill="FFFFFF"/>
            <w:noWrap/>
            <w:vAlign w:val="center"/>
            <w:hideMark/>
          </w:tcPr>
          <w:p w14:paraId="49A62E27"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18</w:t>
            </w:r>
          </w:p>
        </w:tc>
        <w:tc>
          <w:tcPr>
            <w:tcW w:w="1128" w:type="dxa"/>
            <w:tcBorders>
              <w:top w:val="nil"/>
              <w:left w:val="nil"/>
              <w:bottom w:val="nil"/>
              <w:right w:val="nil"/>
            </w:tcBorders>
            <w:shd w:val="clear" w:color="000000" w:fill="FFFFFF"/>
            <w:noWrap/>
            <w:vAlign w:val="center"/>
            <w:hideMark/>
          </w:tcPr>
          <w:p w14:paraId="074575F3"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120%</w:t>
            </w:r>
          </w:p>
        </w:tc>
        <w:tc>
          <w:tcPr>
            <w:tcW w:w="861" w:type="dxa"/>
            <w:tcBorders>
              <w:top w:val="nil"/>
              <w:left w:val="nil"/>
              <w:bottom w:val="nil"/>
              <w:right w:val="nil"/>
            </w:tcBorders>
            <w:shd w:val="clear" w:color="000000" w:fill="FFFFFF"/>
            <w:noWrap/>
            <w:vAlign w:val="center"/>
            <w:hideMark/>
          </w:tcPr>
          <w:p w14:paraId="0ECA8E59"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19</w:t>
            </w:r>
          </w:p>
        </w:tc>
        <w:tc>
          <w:tcPr>
            <w:tcW w:w="946" w:type="dxa"/>
            <w:tcBorders>
              <w:top w:val="nil"/>
              <w:left w:val="nil"/>
              <w:bottom w:val="nil"/>
              <w:right w:val="nil"/>
            </w:tcBorders>
            <w:shd w:val="clear" w:color="000000" w:fill="FFFFFF"/>
            <w:noWrap/>
            <w:vAlign w:val="center"/>
            <w:hideMark/>
          </w:tcPr>
          <w:p w14:paraId="0BC3A01C"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21</w:t>
            </w:r>
          </w:p>
        </w:tc>
        <w:tc>
          <w:tcPr>
            <w:tcW w:w="701" w:type="dxa"/>
            <w:tcBorders>
              <w:top w:val="nil"/>
              <w:left w:val="nil"/>
              <w:bottom w:val="nil"/>
              <w:right w:val="nil"/>
            </w:tcBorders>
            <w:shd w:val="clear" w:color="000000" w:fill="FFFFFF"/>
            <w:noWrap/>
            <w:vAlign w:val="center"/>
            <w:hideMark/>
          </w:tcPr>
          <w:p w14:paraId="6AE2195A"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22</w:t>
            </w:r>
          </w:p>
        </w:tc>
        <w:tc>
          <w:tcPr>
            <w:tcW w:w="861" w:type="dxa"/>
            <w:tcBorders>
              <w:top w:val="nil"/>
              <w:left w:val="nil"/>
              <w:bottom w:val="nil"/>
              <w:right w:val="nil"/>
            </w:tcBorders>
            <w:shd w:val="clear" w:color="000000" w:fill="FFFFFF"/>
            <w:noWrap/>
            <w:vAlign w:val="center"/>
            <w:hideMark/>
          </w:tcPr>
          <w:p w14:paraId="7EF380F6"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116%</w:t>
            </w:r>
          </w:p>
        </w:tc>
        <w:tc>
          <w:tcPr>
            <w:tcW w:w="946" w:type="dxa"/>
            <w:tcBorders>
              <w:top w:val="nil"/>
              <w:left w:val="nil"/>
              <w:bottom w:val="nil"/>
              <w:right w:val="nil"/>
            </w:tcBorders>
            <w:shd w:val="clear" w:color="000000" w:fill="FFFFFF"/>
            <w:noWrap/>
            <w:vAlign w:val="center"/>
            <w:hideMark/>
          </w:tcPr>
          <w:p w14:paraId="5EA75387"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106%</w:t>
            </w:r>
          </w:p>
        </w:tc>
        <w:tc>
          <w:tcPr>
            <w:tcW w:w="1128" w:type="dxa"/>
            <w:tcBorders>
              <w:top w:val="nil"/>
              <w:left w:val="nil"/>
              <w:bottom w:val="nil"/>
              <w:right w:val="nil"/>
            </w:tcBorders>
            <w:shd w:val="clear" w:color="000000" w:fill="FFFFFF"/>
            <w:noWrap/>
            <w:vAlign w:val="center"/>
            <w:hideMark/>
          </w:tcPr>
          <w:p w14:paraId="543C4D1D"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119%</w:t>
            </w:r>
          </w:p>
        </w:tc>
      </w:tr>
      <w:tr w:rsidR="009E64BA" w:rsidRPr="002E06C4" w14:paraId="4F0E83DD" w14:textId="77777777" w:rsidTr="00C64C48">
        <w:trPr>
          <w:trHeight w:val="125"/>
          <w:jc w:val="center"/>
        </w:trPr>
        <w:tc>
          <w:tcPr>
            <w:tcW w:w="1987" w:type="dxa"/>
            <w:tcBorders>
              <w:top w:val="nil"/>
              <w:left w:val="nil"/>
              <w:bottom w:val="nil"/>
              <w:right w:val="nil"/>
            </w:tcBorders>
            <w:shd w:val="clear" w:color="000000" w:fill="DCE6F1"/>
            <w:noWrap/>
            <w:vAlign w:val="center"/>
            <w:hideMark/>
          </w:tcPr>
          <w:p w14:paraId="1C368E2D"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Të ardhura nga fondet speciale</w:t>
            </w:r>
          </w:p>
        </w:tc>
        <w:tc>
          <w:tcPr>
            <w:tcW w:w="716" w:type="dxa"/>
            <w:tcBorders>
              <w:top w:val="nil"/>
              <w:left w:val="nil"/>
              <w:bottom w:val="nil"/>
              <w:right w:val="nil"/>
            </w:tcBorders>
            <w:shd w:val="clear" w:color="auto" w:fill="auto"/>
            <w:noWrap/>
            <w:vAlign w:val="center"/>
            <w:hideMark/>
          </w:tcPr>
          <w:p w14:paraId="73F905A6"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70 </w:t>
            </w:r>
          </w:p>
        </w:tc>
        <w:tc>
          <w:tcPr>
            <w:tcW w:w="716" w:type="dxa"/>
            <w:tcBorders>
              <w:top w:val="nil"/>
              <w:left w:val="nil"/>
              <w:bottom w:val="nil"/>
              <w:right w:val="nil"/>
            </w:tcBorders>
            <w:shd w:val="clear" w:color="auto" w:fill="auto"/>
            <w:noWrap/>
            <w:vAlign w:val="center"/>
            <w:hideMark/>
          </w:tcPr>
          <w:p w14:paraId="335A9F13"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72 </w:t>
            </w:r>
          </w:p>
        </w:tc>
        <w:tc>
          <w:tcPr>
            <w:tcW w:w="716" w:type="dxa"/>
            <w:tcBorders>
              <w:top w:val="nil"/>
              <w:left w:val="nil"/>
              <w:bottom w:val="nil"/>
              <w:right w:val="nil"/>
            </w:tcBorders>
            <w:shd w:val="clear" w:color="auto" w:fill="auto"/>
            <w:noWrap/>
            <w:vAlign w:val="center"/>
            <w:hideMark/>
          </w:tcPr>
          <w:p w14:paraId="369579CA" w14:textId="77777777" w:rsidR="009E64BA" w:rsidRPr="002E06C4" w:rsidRDefault="009E64BA" w:rsidP="005A3996">
            <w:pPr>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 xml:space="preserve">              79 </w:t>
            </w:r>
          </w:p>
        </w:tc>
        <w:tc>
          <w:tcPr>
            <w:tcW w:w="716" w:type="dxa"/>
            <w:tcBorders>
              <w:top w:val="nil"/>
              <w:left w:val="nil"/>
              <w:bottom w:val="nil"/>
              <w:right w:val="nil"/>
            </w:tcBorders>
            <w:shd w:val="clear" w:color="000000" w:fill="FFFFFF"/>
            <w:noWrap/>
            <w:vAlign w:val="center"/>
            <w:hideMark/>
          </w:tcPr>
          <w:p w14:paraId="1F6E04B7"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87</w:t>
            </w:r>
          </w:p>
        </w:tc>
        <w:tc>
          <w:tcPr>
            <w:tcW w:w="1128" w:type="dxa"/>
            <w:tcBorders>
              <w:top w:val="nil"/>
              <w:left w:val="nil"/>
              <w:bottom w:val="nil"/>
              <w:right w:val="nil"/>
            </w:tcBorders>
            <w:shd w:val="clear" w:color="000000" w:fill="FFFFFF"/>
            <w:noWrap/>
            <w:vAlign w:val="center"/>
            <w:hideMark/>
          </w:tcPr>
          <w:p w14:paraId="5AB79B26"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110%</w:t>
            </w:r>
          </w:p>
        </w:tc>
        <w:tc>
          <w:tcPr>
            <w:tcW w:w="861" w:type="dxa"/>
            <w:tcBorders>
              <w:top w:val="nil"/>
              <w:left w:val="nil"/>
              <w:bottom w:val="nil"/>
              <w:right w:val="nil"/>
            </w:tcBorders>
            <w:shd w:val="clear" w:color="000000" w:fill="FFFFFF"/>
            <w:noWrap/>
            <w:vAlign w:val="center"/>
            <w:hideMark/>
          </w:tcPr>
          <w:p w14:paraId="50C7E342"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88</w:t>
            </w:r>
          </w:p>
        </w:tc>
        <w:tc>
          <w:tcPr>
            <w:tcW w:w="946" w:type="dxa"/>
            <w:tcBorders>
              <w:top w:val="nil"/>
              <w:left w:val="nil"/>
              <w:bottom w:val="nil"/>
              <w:right w:val="nil"/>
            </w:tcBorders>
            <w:shd w:val="clear" w:color="000000" w:fill="FFFFFF"/>
            <w:noWrap/>
            <w:vAlign w:val="center"/>
            <w:hideMark/>
          </w:tcPr>
          <w:p w14:paraId="1F664EBE"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93</w:t>
            </w:r>
          </w:p>
        </w:tc>
        <w:tc>
          <w:tcPr>
            <w:tcW w:w="701" w:type="dxa"/>
            <w:tcBorders>
              <w:top w:val="nil"/>
              <w:left w:val="nil"/>
              <w:bottom w:val="nil"/>
              <w:right w:val="nil"/>
            </w:tcBorders>
            <w:shd w:val="clear" w:color="000000" w:fill="FFFFFF"/>
            <w:noWrap/>
            <w:vAlign w:val="center"/>
            <w:hideMark/>
          </w:tcPr>
          <w:p w14:paraId="32E79ADA"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93</w:t>
            </w:r>
          </w:p>
        </w:tc>
        <w:tc>
          <w:tcPr>
            <w:tcW w:w="861" w:type="dxa"/>
            <w:tcBorders>
              <w:top w:val="nil"/>
              <w:left w:val="nil"/>
              <w:bottom w:val="nil"/>
              <w:right w:val="nil"/>
            </w:tcBorders>
            <w:shd w:val="clear" w:color="000000" w:fill="FFFFFF"/>
            <w:noWrap/>
            <w:vAlign w:val="center"/>
            <w:hideMark/>
          </w:tcPr>
          <w:p w14:paraId="7A2C7023"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106%</w:t>
            </w:r>
          </w:p>
        </w:tc>
        <w:tc>
          <w:tcPr>
            <w:tcW w:w="946" w:type="dxa"/>
            <w:tcBorders>
              <w:top w:val="nil"/>
              <w:left w:val="nil"/>
              <w:bottom w:val="nil"/>
              <w:right w:val="nil"/>
            </w:tcBorders>
            <w:shd w:val="clear" w:color="000000" w:fill="FFFFFF"/>
            <w:noWrap/>
            <w:vAlign w:val="center"/>
            <w:hideMark/>
          </w:tcPr>
          <w:p w14:paraId="15D6F1D8"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101%</w:t>
            </w:r>
          </w:p>
        </w:tc>
        <w:tc>
          <w:tcPr>
            <w:tcW w:w="1128" w:type="dxa"/>
            <w:tcBorders>
              <w:top w:val="nil"/>
              <w:left w:val="nil"/>
              <w:bottom w:val="nil"/>
              <w:right w:val="nil"/>
            </w:tcBorders>
            <w:shd w:val="clear" w:color="000000" w:fill="FFFFFF"/>
            <w:noWrap/>
            <w:vAlign w:val="center"/>
            <w:hideMark/>
          </w:tcPr>
          <w:p w14:paraId="72089A25"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107%</w:t>
            </w:r>
          </w:p>
        </w:tc>
      </w:tr>
      <w:tr w:rsidR="009E64BA" w:rsidRPr="002E06C4" w14:paraId="4F8285C8" w14:textId="77777777" w:rsidTr="00C64C48">
        <w:trPr>
          <w:trHeight w:val="125"/>
          <w:jc w:val="center"/>
        </w:trPr>
        <w:tc>
          <w:tcPr>
            <w:tcW w:w="1987" w:type="dxa"/>
            <w:tcBorders>
              <w:top w:val="single" w:sz="8" w:space="0" w:color="4F81BD"/>
              <w:left w:val="nil"/>
              <w:bottom w:val="single" w:sz="8" w:space="0" w:color="002060"/>
              <w:right w:val="nil"/>
            </w:tcBorders>
            <w:shd w:val="clear" w:color="000000" w:fill="DCE6F1"/>
            <w:noWrap/>
            <w:vAlign w:val="center"/>
            <w:hideMark/>
          </w:tcPr>
          <w:p w14:paraId="7AE58A07" w14:textId="77777777" w:rsidR="009E64BA" w:rsidRPr="002E06C4" w:rsidRDefault="009E64BA" w:rsidP="005A3996">
            <w:pPr>
              <w:rPr>
                <w:rFonts w:asciiTheme="majorHAnsi" w:eastAsia="Times New Roman" w:hAnsiTheme="majorHAnsi" w:cs="Times New Roman"/>
                <w:b/>
                <w:bCs/>
                <w:i/>
                <w:iCs/>
                <w:color w:val="002060"/>
                <w:sz w:val="16"/>
                <w:szCs w:val="14"/>
                <w:lang w:val="sq-AL" w:eastAsia="en-GB"/>
              </w:rPr>
            </w:pPr>
            <w:r w:rsidRPr="002E06C4">
              <w:rPr>
                <w:rFonts w:asciiTheme="majorHAnsi" w:eastAsia="Times New Roman" w:hAnsiTheme="majorHAnsi" w:cs="Times New Roman"/>
                <w:b/>
                <w:bCs/>
                <w:i/>
                <w:iCs/>
                <w:color w:val="002060"/>
                <w:sz w:val="16"/>
                <w:szCs w:val="14"/>
                <w:lang w:val="sq-AL" w:eastAsia="en-GB"/>
              </w:rPr>
              <w:t>Të ardhura jotatimore</w:t>
            </w:r>
          </w:p>
        </w:tc>
        <w:tc>
          <w:tcPr>
            <w:tcW w:w="716" w:type="dxa"/>
            <w:tcBorders>
              <w:top w:val="single" w:sz="8" w:space="0" w:color="4F81BD"/>
              <w:left w:val="nil"/>
              <w:bottom w:val="single" w:sz="8" w:space="0" w:color="002060"/>
              <w:right w:val="nil"/>
            </w:tcBorders>
            <w:shd w:val="clear" w:color="auto" w:fill="auto"/>
            <w:noWrap/>
            <w:vAlign w:val="center"/>
            <w:hideMark/>
          </w:tcPr>
          <w:p w14:paraId="52ED1917" w14:textId="77777777" w:rsidR="009E64BA" w:rsidRPr="002E06C4" w:rsidRDefault="009E64BA" w:rsidP="005A3996">
            <w:pPr>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 xml:space="preserve">              21 </w:t>
            </w:r>
          </w:p>
        </w:tc>
        <w:tc>
          <w:tcPr>
            <w:tcW w:w="716" w:type="dxa"/>
            <w:tcBorders>
              <w:top w:val="single" w:sz="8" w:space="0" w:color="4F81BD"/>
              <w:left w:val="nil"/>
              <w:bottom w:val="single" w:sz="8" w:space="0" w:color="002060"/>
              <w:right w:val="nil"/>
            </w:tcBorders>
            <w:shd w:val="clear" w:color="auto" w:fill="auto"/>
            <w:noWrap/>
            <w:vAlign w:val="center"/>
            <w:hideMark/>
          </w:tcPr>
          <w:p w14:paraId="6CE86C95" w14:textId="77777777" w:rsidR="009E64BA" w:rsidRPr="002E06C4" w:rsidRDefault="009E64BA" w:rsidP="005A3996">
            <w:pPr>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 xml:space="preserve">              26 </w:t>
            </w:r>
          </w:p>
        </w:tc>
        <w:tc>
          <w:tcPr>
            <w:tcW w:w="716" w:type="dxa"/>
            <w:tcBorders>
              <w:top w:val="single" w:sz="8" w:space="0" w:color="4F81BD"/>
              <w:left w:val="nil"/>
              <w:bottom w:val="single" w:sz="8" w:space="0" w:color="002060"/>
              <w:right w:val="nil"/>
            </w:tcBorders>
            <w:shd w:val="clear" w:color="auto" w:fill="auto"/>
            <w:noWrap/>
            <w:vAlign w:val="center"/>
            <w:hideMark/>
          </w:tcPr>
          <w:p w14:paraId="2B9A792E" w14:textId="77777777" w:rsidR="009E64BA" w:rsidRPr="002E06C4" w:rsidRDefault="009E64BA" w:rsidP="005A3996">
            <w:pPr>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 xml:space="preserve">              22 </w:t>
            </w:r>
          </w:p>
        </w:tc>
        <w:tc>
          <w:tcPr>
            <w:tcW w:w="716" w:type="dxa"/>
            <w:tcBorders>
              <w:top w:val="single" w:sz="8" w:space="0" w:color="4F81BD"/>
              <w:left w:val="nil"/>
              <w:bottom w:val="single" w:sz="8" w:space="0" w:color="002060"/>
              <w:right w:val="nil"/>
            </w:tcBorders>
            <w:shd w:val="clear" w:color="000000" w:fill="FFFFFF"/>
            <w:noWrap/>
            <w:vAlign w:val="center"/>
            <w:hideMark/>
          </w:tcPr>
          <w:p w14:paraId="6027A6A9"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21</w:t>
            </w:r>
          </w:p>
        </w:tc>
        <w:tc>
          <w:tcPr>
            <w:tcW w:w="1128" w:type="dxa"/>
            <w:tcBorders>
              <w:top w:val="single" w:sz="8" w:space="0" w:color="4F81BD"/>
              <w:left w:val="nil"/>
              <w:bottom w:val="single" w:sz="8" w:space="0" w:color="002060"/>
              <w:right w:val="nil"/>
            </w:tcBorders>
            <w:shd w:val="clear" w:color="000000" w:fill="FFFFFF"/>
            <w:noWrap/>
            <w:vAlign w:val="center"/>
            <w:hideMark/>
          </w:tcPr>
          <w:p w14:paraId="6C319023"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93.3%</w:t>
            </w:r>
          </w:p>
        </w:tc>
        <w:tc>
          <w:tcPr>
            <w:tcW w:w="861" w:type="dxa"/>
            <w:tcBorders>
              <w:top w:val="single" w:sz="8" w:space="0" w:color="4F81BD"/>
              <w:left w:val="nil"/>
              <w:bottom w:val="single" w:sz="8" w:space="0" w:color="002060"/>
              <w:right w:val="nil"/>
            </w:tcBorders>
            <w:shd w:val="clear" w:color="000000" w:fill="FFFFFF"/>
            <w:noWrap/>
            <w:vAlign w:val="center"/>
            <w:hideMark/>
          </w:tcPr>
          <w:p w14:paraId="44737A63"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26</w:t>
            </w:r>
          </w:p>
        </w:tc>
        <w:tc>
          <w:tcPr>
            <w:tcW w:w="946" w:type="dxa"/>
            <w:tcBorders>
              <w:top w:val="single" w:sz="8" w:space="0" w:color="4F81BD"/>
              <w:left w:val="nil"/>
              <w:bottom w:val="single" w:sz="8" w:space="0" w:color="002060"/>
              <w:right w:val="nil"/>
            </w:tcBorders>
            <w:shd w:val="clear" w:color="000000" w:fill="FFFFFF"/>
            <w:noWrap/>
            <w:vAlign w:val="center"/>
            <w:hideMark/>
          </w:tcPr>
          <w:p w14:paraId="1D2B028E"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26</w:t>
            </w:r>
          </w:p>
        </w:tc>
        <w:tc>
          <w:tcPr>
            <w:tcW w:w="701" w:type="dxa"/>
            <w:tcBorders>
              <w:top w:val="single" w:sz="8" w:space="0" w:color="4F81BD"/>
              <w:left w:val="nil"/>
              <w:bottom w:val="single" w:sz="8" w:space="0" w:color="002060"/>
              <w:right w:val="nil"/>
            </w:tcBorders>
            <w:shd w:val="clear" w:color="000000" w:fill="FFFFFF"/>
            <w:noWrap/>
            <w:vAlign w:val="center"/>
            <w:hideMark/>
          </w:tcPr>
          <w:p w14:paraId="160DCC38"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22</w:t>
            </w:r>
          </w:p>
        </w:tc>
        <w:tc>
          <w:tcPr>
            <w:tcW w:w="861" w:type="dxa"/>
            <w:tcBorders>
              <w:top w:val="single" w:sz="8" w:space="0" w:color="4F81BD"/>
              <w:left w:val="nil"/>
              <w:bottom w:val="single" w:sz="8" w:space="0" w:color="002060"/>
              <w:right w:val="nil"/>
            </w:tcBorders>
            <w:shd w:val="clear" w:color="000000" w:fill="FFFFFF"/>
            <w:noWrap/>
            <w:vAlign w:val="center"/>
            <w:hideMark/>
          </w:tcPr>
          <w:p w14:paraId="2A603086"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85,4%</w:t>
            </w:r>
          </w:p>
        </w:tc>
        <w:tc>
          <w:tcPr>
            <w:tcW w:w="946" w:type="dxa"/>
            <w:tcBorders>
              <w:top w:val="single" w:sz="8" w:space="0" w:color="4F81BD"/>
              <w:left w:val="nil"/>
              <w:bottom w:val="single" w:sz="8" w:space="0" w:color="002060"/>
              <w:right w:val="nil"/>
            </w:tcBorders>
            <w:shd w:val="clear" w:color="000000" w:fill="FFFFFF"/>
            <w:noWrap/>
            <w:vAlign w:val="center"/>
            <w:hideMark/>
          </w:tcPr>
          <w:p w14:paraId="473256A7"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85,4%</w:t>
            </w:r>
          </w:p>
        </w:tc>
        <w:tc>
          <w:tcPr>
            <w:tcW w:w="1128" w:type="dxa"/>
            <w:tcBorders>
              <w:top w:val="single" w:sz="8" w:space="0" w:color="4F81BD"/>
              <w:left w:val="nil"/>
              <w:bottom w:val="single" w:sz="8" w:space="0" w:color="002060"/>
              <w:right w:val="nil"/>
            </w:tcBorders>
            <w:shd w:val="clear" w:color="000000" w:fill="FFFFFF"/>
            <w:noWrap/>
            <w:vAlign w:val="center"/>
            <w:hideMark/>
          </w:tcPr>
          <w:p w14:paraId="71331391"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105,9%</w:t>
            </w:r>
          </w:p>
        </w:tc>
      </w:tr>
      <w:tr w:rsidR="009E64BA" w:rsidRPr="002E06C4" w14:paraId="3EE6849D" w14:textId="77777777" w:rsidTr="00C64C48">
        <w:trPr>
          <w:trHeight w:val="125"/>
          <w:jc w:val="center"/>
        </w:trPr>
        <w:tc>
          <w:tcPr>
            <w:tcW w:w="1987" w:type="dxa"/>
            <w:tcBorders>
              <w:top w:val="nil"/>
              <w:left w:val="nil"/>
              <w:bottom w:val="single" w:sz="8" w:space="0" w:color="002060"/>
              <w:right w:val="nil"/>
            </w:tcBorders>
            <w:shd w:val="clear" w:color="000000" w:fill="FFFFFF"/>
            <w:noWrap/>
            <w:vAlign w:val="center"/>
            <w:hideMark/>
          </w:tcPr>
          <w:p w14:paraId="5D5316E8" w14:textId="77777777" w:rsidR="009E64BA" w:rsidRPr="002E06C4" w:rsidRDefault="009E64BA" w:rsidP="005A3996">
            <w:pPr>
              <w:rPr>
                <w:rFonts w:asciiTheme="majorHAnsi" w:eastAsia="Times New Roman" w:hAnsiTheme="majorHAnsi" w:cs="Times New Roman"/>
                <w:b/>
                <w:bCs/>
                <w:i/>
                <w:iCs/>
                <w:color w:val="002060"/>
                <w:sz w:val="16"/>
                <w:szCs w:val="14"/>
                <w:lang w:val="sq-AL" w:eastAsia="en-GB"/>
              </w:rPr>
            </w:pPr>
            <w:r w:rsidRPr="002E06C4">
              <w:rPr>
                <w:rFonts w:asciiTheme="majorHAnsi" w:eastAsia="Times New Roman" w:hAnsiTheme="majorHAnsi" w:cs="Times New Roman"/>
                <w:b/>
                <w:bCs/>
                <w:i/>
                <w:iCs/>
                <w:color w:val="002060"/>
                <w:sz w:val="16"/>
                <w:szCs w:val="14"/>
                <w:lang w:val="sq-AL" w:eastAsia="en-GB"/>
              </w:rPr>
              <w:t>TOTALI I TË ARDHURAVE</w:t>
            </w:r>
          </w:p>
        </w:tc>
        <w:tc>
          <w:tcPr>
            <w:tcW w:w="716" w:type="dxa"/>
            <w:tcBorders>
              <w:top w:val="nil"/>
              <w:left w:val="nil"/>
              <w:bottom w:val="single" w:sz="8" w:space="0" w:color="002060"/>
              <w:right w:val="nil"/>
            </w:tcBorders>
            <w:shd w:val="clear" w:color="000000" w:fill="FFFFFF"/>
            <w:noWrap/>
            <w:vAlign w:val="center"/>
            <w:hideMark/>
          </w:tcPr>
          <w:p w14:paraId="57A2A689"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 xml:space="preserve">            367 </w:t>
            </w:r>
          </w:p>
        </w:tc>
        <w:tc>
          <w:tcPr>
            <w:tcW w:w="716" w:type="dxa"/>
            <w:tcBorders>
              <w:top w:val="nil"/>
              <w:left w:val="nil"/>
              <w:bottom w:val="single" w:sz="8" w:space="0" w:color="002060"/>
              <w:right w:val="nil"/>
            </w:tcBorders>
            <w:shd w:val="clear" w:color="000000" w:fill="FFFFFF"/>
            <w:noWrap/>
            <w:vAlign w:val="center"/>
            <w:hideMark/>
          </w:tcPr>
          <w:p w14:paraId="15DBB0F6"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 xml:space="preserve">            379 </w:t>
            </w:r>
          </w:p>
        </w:tc>
        <w:tc>
          <w:tcPr>
            <w:tcW w:w="716" w:type="dxa"/>
            <w:tcBorders>
              <w:top w:val="nil"/>
              <w:left w:val="nil"/>
              <w:bottom w:val="single" w:sz="8" w:space="0" w:color="002060"/>
              <w:right w:val="nil"/>
            </w:tcBorders>
            <w:shd w:val="clear" w:color="000000" w:fill="FFFFFF"/>
            <w:noWrap/>
            <w:vAlign w:val="center"/>
            <w:hideMark/>
          </w:tcPr>
          <w:p w14:paraId="28208305"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 xml:space="preserve">            407 </w:t>
            </w:r>
          </w:p>
        </w:tc>
        <w:tc>
          <w:tcPr>
            <w:tcW w:w="716" w:type="dxa"/>
            <w:tcBorders>
              <w:top w:val="nil"/>
              <w:left w:val="nil"/>
              <w:bottom w:val="single" w:sz="8" w:space="0" w:color="002060"/>
              <w:right w:val="nil"/>
            </w:tcBorders>
            <w:shd w:val="clear" w:color="000000" w:fill="FFFFFF"/>
            <w:noWrap/>
            <w:vAlign w:val="center"/>
            <w:hideMark/>
          </w:tcPr>
          <w:p w14:paraId="024F0C65"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430</w:t>
            </w:r>
          </w:p>
        </w:tc>
        <w:tc>
          <w:tcPr>
            <w:tcW w:w="1128" w:type="dxa"/>
            <w:tcBorders>
              <w:top w:val="nil"/>
              <w:left w:val="nil"/>
              <w:bottom w:val="single" w:sz="8" w:space="0" w:color="002060"/>
              <w:right w:val="nil"/>
            </w:tcBorders>
            <w:shd w:val="clear" w:color="000000" w:fill="FFFFFF"/>
            <w:noWrap/>
            <w:vAlign w:val="center"/>
            <w:hideMark/>
          </w:tcPr>
          <w:p w14:paraId="2D9B2D4C"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106%</w:t>
            </w:r>
          </w:p>
        </w:tc>
        <w:tc>
          <w:tcPr>
            <w:tcW w:w="861" w:type="dxa"/>
            <w:tcBorders>
              <w:top w:val="nil"/>
              <w:left w:val="nil"/>
              <w:bottom w:val="single" w:sz="8" w:space="0" w:color="002060"/>
              <w:right w:val="nil"/>
            </w:tcBorders>
            <w:shd w:val="clear" w:color="000000" w:fill="FFFFFF"/>
            <w:noWrap/>
            <w:vAlign w:val="center"/>
            <w:hideMark/>
          </w:tcPr>
          <w:p w14:paraId="352595B4"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465</w:t>
            </w:r>
          </w:p>
        </w:tc>
        <w:tc>
          <w:tcPr>
            <w:tcW w:w="946" w:type="dxa"/>
            <w:tcBorders>
              <w:top w:val="nil"/>
              <w:left w:val="nil"/>
              <w:bottom w:val="single" w:sz="8" w:space="0" w:color="002060"/>
              <w:right w:val="nil"/>
            </w:tcBorders>
            <w:shd w:val="clear" w:color="000000" w:fill="FFFFFF"/>
            <w:noWrap/>
            <w:vAlign w:val="center"/>
            <w:hideMark/>
          </w:tcPr>
          <w:p w14:paraId="7DECE3BE"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462</w:t>
            </w:r>
          </w:p>
        </w:tc>
        <w:tc>
          <w:tcPr>
            <w:tcW w:w="701" w:type="dxa"/>
            <w:tcBorders>
              <w:top w:val="nil"/>
              <w:left w:val="nil"/>
              <w:bottom w:val="single" w:sz="8" w:space="0" w:color="002060"/>
              <w:right w:val="nil"/>
            </w:tcBorders>
            <w:shd w:val="clear" w:color="000000" w:fill="FFFFFF"/>
            <w:noWrap/>
            <w:vAlign w:val="center"/>
            <w:hideMark/>
          </w:tcPr>
          <w:p w14:paraId="03E9E990" w14:textId="77777777" w:rsidR="009E64BA" w:rsidRPr="002E06C4" w:rsidRDefault="009E64BA" w:rsidP="005A3996">
            <w:pPr>
              <w:jc w:val="right"/>
              <w:rPr>
                <w:rFonts w:asciiTheme="majorHAnsi" w:eastAsia="Times New Roman" w:hAnsiTheme="majorHAnsi" w:cs="Times New Roman"/>
                <w:color w:val="002060"/>
                <w:sz w:val="16"/>
                <w:szCs w:val="14"/>
                <w:lang w:val="sq-AL" w:eastAsia="en-GB"/>
              </w:rPr>
            </w:pPr>
            <w:r w:rsidRPr="002E06C4">
              <w:rPr>
                <w:rFonts w:asciiTheme="majorHAnsi" w:eastAsia="Times New Roman" w:hAnsiTheme="majorHAnsi" w:cs="Times New Roman"/>
                <w:color w:val="002060"/>
                <w:sz w:val="16"/>
                <w:szCs w:val="14"/>
                <w:lang w:val="sq-AL" w:eastAsia="en-GB"/>
              </w:rPr>
              <w:t>449</w:t>
            </w:r>
          </w:p>
        </w:tc>
        <w:tc>
          <w:tcPr>
            <w:tcW w:w="861" w:type="dxa"/>
            <w:tcBorders>
              <w:top w:val="nil"/>
              <w:left w:val="nil"/>
              <w:bottom w:val="single" w:sz="8" w:space="0" w:color="002060"/>
              <w:right w:val="nil"/>
            </w:tcBorders>
            <w:shd w:val="clear" w:color="000000" w:fill="FFFFFF"/>
            <w:noWrap/>
            <w:vAlign w:val="center"/>
            <w:hideMark/>
          </w:tcPr>
          <w:p w14:paraId="3FB1DE67"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96,7%</w:t>
            </w:r>
          </w:p>
        </w:tc>
        <w:tc>
          <w:tcPr>
            <w:tcW w:w="946" w:type="dxa"/>
            <w:tcBorders>
              <w:top w:val="nil"/>
              <w:left w:val="nil"/>
              <w:bottom w:val="single" w:sz="8" w:space="0" w:color="002060"/>
              <w:right w:val="nil"/>
            </w:tcBorders>
            <w:shd w:val="clear" w:color="000000" w:fill="FFFFFF"/>
            <w:noWrap/>
            <w:vAlign w:val="center"/>
            <w:hideMark/>
          </w:tcPr>
          <w:p w14:paraId="25ADEBE3"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97,3%</w:t>
            </w:r>
          </w:p>
        </w:tc>
        <w:tc>
          <w:tcPr>
            <w:tcW w:w="1128" w:type="dxa"/>
            <w:tcBorders>
              <w:top w:val="nil"/>
              <w:left w:val="nil"/>
              <w:bottom w:val="single" w:sz="8" w:space="0" w:color="002060"/>
              <w:right w:val="nil"/>
            </w:tcBorders>
            <w:shd w:val="clear" w:color="000000" w:fill="FFFFFF"/>
            <w:noWrap/>
            <w:vAlign w:val="center"/>
            <w:hideMark/>
          </w:tcPr>
          <w:p w14:paraId="1C3F2E78" w14:textId="77777777" w:rsidR="009E64BA" w:rsidRPr="002E06C4" w:rsidRDefault="009E64BA" w:rsidP="005A3996">
            <w:pPr>
              <w:jc w:val="right"/>
              <w:rPr>
                <w:rFonts w:asciiTheme="majorHAnsi" w:eastAsia="Times New Roman" w:hAnsiTheme="majorHAnsi" w:cs="Times New Roman"/>
                <w:b/>
                <w:bCs/>
                <w:color w:val="002060"/>
                <w:sz w:val="16"/>
                <w:szCs w:val="14"/>
                <w:lang w:val="sq-AL" w:eastAsia="en-GB"/>
              </w:rPr>
            </w:pPr>
            <w:r w:rsidRPr="002E06C4">
              <w:rPr>
                <w:rFonts w:asciiTheme="majorHAnsi" w:eastAsia="Times New Roman" w:hAnsiTheme="majorHAnsi" w:cs="Times New Roman"/>
                <w:b/>
                <w:bCs/>
                <w:color w:val="002060"/>
                <w:sz w:val="16"/>
                <w:szCs w:val="14"/>
                <w:lang w:val="sq-AL" w:eastAsia="en-GB"/>
              </w:rPr>
              <w:t>104,4%</w:t>
            </w:r>
          </w:p>
        </w:tc>
      </w:tr>
    </w:tbl>
    <w:p w14:paraId="2C7A5EC4" w14:textId="77777777" w:rsidR="000C55BB" w:rsidRPr="002E06C4" w:rsidRDefault="000C55BB" w:rsidP="005A3996">
      <w:pPr>
        <w:pStyle w:val="Caption"/>
        <w:keepNext/>
        <w:spacing w:after="0"/>
        <w:rPr>
          <w:rFonts w:asciiTheme="majorHAnsi" w:hAnsiTheme="majorHAnsi" w:cs="Times New Roman"/>
          <w:lang w:val="sq-AL"/>
        </w:rPr>
      </w:pPr>
      <w:bookmarkStart w:id="55" w:name="_Ref9965562"/>
      <w:bookmarkStart w:id="56" w:name="_Toc11141680"/>
      <w:r w:rsidRPr="002E06C4">
        <w:rPr>
          <w:rFonts w:asciiTheme="majorHAnsi" w:hAnsiTheme="majorHAnsi" w:cs="Times New Roman"/>
          <w:lang w:val="sq-AL"/>
        </w:rPr>
        <w:lastRenderedPageBreak/>
        <w:t xml:space="preserve">Grafiku </w:t>
      </w:r>
      <w:r w:rsidR="00787591" w:rsidRPr="002E06C4">
        <w:rPr>
          <w:rFonts w:asciiTheme="majorHAnsi" w:hAnsiTheme="majorHAnsi" w:cs="Times New Roman"/>
          <w:noProof/>
          <w:lang w:val="sq-AL"/>
        </w:rPr>
        <w:fldChar w:fldCharType="begin"/>
      </w:r>
      <w:r w:rsidR="00787591" w:rsidRPr="002E06C4">
        <w:rPr>
          <w:rFonts w:asciiTheme="majorHAnsi" w:hAnsiTheme="majorHAnsi" w:cs="Times New Roman"/>
          <w:noProof/>
          <w:lang w:val="sq-AL"/>
        </w:rPr>
        <w:instrText xml:space="preserve"> SEQ Grafiku \* ARABIC </w:instrText>
      </w:r>
      <w:r w:rsidR="0078759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4</w:t>
      </w:r>
      <w:r w:rsidR="00787591" w:rsidRPr="002E06C4">
        <w:rPr>
          <w:rFonts w:asciiTheme="majorHAnsi" w:hAnsiTheme="majorHAnsi" w:cs="Times New Roman"/>
          <w:noProof/>
          <w:lang w:val="sq-AL"/>
        </w:rPr>
        <w:fldChar w:fldCharType="end"/>
      </w:r>
      <w:bookmarkEnd w:id="55"/>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e p</w:t>
      </w:r>
      <w:r w:rsidR="00C33B16" w:rsidRPr="002E06C4">
        <w:rPr>
          <w:rFonts w:asciiTheme="majorHAnsi" w:hAnsiTheme="majorHAnsi" w:cs="Times New Roman"/>
          <w:lang w:val="sq-AL"/>
        </w:rPr>
        <w:t>ë</w:t>
      </w:r>
      <w:r w:rsidRPr="002E06C4">
        <w:rPr>
          <w:rFonts w:asciiTheme="majorHAnsi" w:hAnsiTheme="majorHAnsi" w:cs="Times New Roman"/>
          <w:lang w:val="sq-AL"/>
        </w:rPr>
        <w:t>rgjithshme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miliard</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 sipas kategorive kryesore</w:t>
      </w:r>
      <w:bookmarkEnd w:id="56"/>
    </w:p>
    <w:p w14:paraId="6D9255F9" w14:textId="77777777" w:rsidR="00DF11EF" w:rsidRPr="002E06C4" w:rsidRDefault="00E87752" w:rsidP="005A3996">
      <w:pPr>
        <w:keepNext/>
        <w:spacing w:line="276" w:lineRule="auto"/>
        <w:jc w:val="center"/>
        <w:rPr>
          <w:rFonts w:asciiTheme="majorHAnsi" w:eastAsia="SimSun" w:hAnsiTheme="majorHAnsi" w:cs="Times New Roman"/>
          <w:i/>
          <w:lang w:val="sq-AL"/>
        </w:rPr>
      </w:pPr>
      <w:r w:rsidRPr="002E06C4">
        <w:rPr>
          <w:rFonts w:asciiTheme="majorHAnsi" w:hAnsiTheme="majorHAnsi" w:cs="Times New Roman"/>
          <w:noProof/>
        </w:rPr>
        <w:drawing>
          <wp:inline distT="0" distB="0" distL="0" distR="0" wp14:anchorId="1FADFD35" wp14:editId="70D79884">
            <wp:extent cx="5379720" cy="2903220"/>
            <wp:effectExtent l="0" t="0" r="11430" b="1143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2C0A965-AFC6-FC4E-8BE4-7FCFC1E5A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F92A52" w14:textId="77777777" w:rsidR="006D2CC4" w:rsidRPr="0082464B" w:rsidRDefault="006D2CC4" w:rsidP="000C55BB">
      <w:pPr>
        <w:spacing w:line="276" w:lineRule="auto"/>
        <w:jc w:val="both"/>
        <w:rPr>
          <w:rFonts w:asciiTheme="majorHAnsi" w:hAnsiTheme="majorHAnsi" w:cs="Times New Roman"/>
          <w:i/>
          <w:noProof/>
          <w:sz w:val="20"/>
          <w:szCs w:val="22"/>
          <w:lang w:val="sq-AL"/>
        </w:rPr>
      </w:pPr>
      <w:r w:rsidRPr="0082464B">
        <w:rPr>
          <w:rFonts w:asciiTheme="majorHAnsi" w:hAnsiTheme="majorHAnsi" w:cs="Times New Roman"/>
          <w:noProof/>
          <w:sz w:val="22"/>
          <w:lang w:val="sq-AL"/>
        </w:rPr>
        <w:t xml:space="preserve">    </w:t>
      </w:r>
      <w:r w:rsidR="005A3996" w:rsidRPr="0082464B">
        <w:rPr>
          <w:rFonts w:asciiTheme="majorHAnsi" w:hAnsiTheme="majorHAnsi" w:cs="Times New Roman"/>
          <w:noProof/>
          <w:sz w:val="22"/>
          <w:lang w:val="sq-AL"/>
        </w:rPr>
        <w:tab/>
      </w:r>
      <w:r w:rsidRPr="0082464B">
        <w:rPr>
          <w:rFonts w:asciiTheme="majorHAnsi" w:hAnsiTheme="majorHAnsi" w:cs="Times New Roman"/>
          <w:i/>
          <w:noProof/>
          <w:sz w:val="20"/>
          <w:szCs w:val="22"/>
          <w:lang w:val="sq-AL"/>
        </w:rPr>
        <w:t>Burimi: Ministria e Financave dhe Ekonomisë (2019)</w:t>
      </w:r>
    </w:p>
    <w:p w14:paraId="6ED93ED0" w14:textId="77777777" w:rsidR="005C6E2E" w:rsidRPr="002E06C4" w:rsidRDefault="005C6E2E" w:rsidP="000C55BB">
      <w:pPr>
        <w:spacing w:line="276" w:lineRule="auto"/>
        <w:jc w:val="both"/>
        <w:rPr>
          <w:rFonts w:asciiTheme="majorHAnsi" w:hAnsiTheme="majorHAnsi" w:cs="Times New Roman"/>
          <w:noProof/>
          <w:sz w:val="20"/>
          <w:szCs w:val="20"/>
          <w:lang w:val="sq-AL"/>
        </w:rPr>
      </w:pPr>
    </w:p>
    <w:p w14:paraId="1F4BA627" w14:textId="77777777" w:rsidR="000C55BB" w:rsidRPr="002E06C4" w:rsidRDefault="005C6E2E" w:rsidP="00A2716B">
      <w:pPr>
        <w:pStyle w:val="Heading3"/>
        <w:numPr>
          <w:ilvl w:val="2"/>
          <w:numId w:val="4"/>
        </w:numPr>
        <w:rPr>
          <w:rFonts w:cs="Times New Roman"/>
          <w:lang w:val="sq-AL"/>
        </w:rPr>
      </w:pPr>
      <w:bookmarkStart w:id="57" w:name="_Toc10033268"/>
      <w:bookmarkStart w:id="58" w:name="_Toc10721405"/>
      <w:bookmarkStart w:id="59" w:name="_Toc11134211"/>
      <w:r w:rsidRPr="002E06C4">
        <w:rPr>
          <w:rFonts w:cs="Times New Roman"/>
          <w:lang w:val="sq-AL"/>
        </w:rPr>
        <w:t>T</w:t>
      </w:r>
      <w:r w:rsidR="00C33B16" w:rsidRPr="002E06C4">
        <w:rPr>
          <w:rFonts w:cs="Times New Roman"/>
          <w:lang w:val="sq-AL"/>
        </w:rPr>
        <w:t>ë</w:t>
      </w:r>
      <w:r w:rsidRPr="002E06C4">
        <w:rPr>
          <w:rFonts w:cs="Times New Roman"/>
          <w:lang w:val="sq-AL"/>
        </w:rPr>
        <w:t xml:space="preserve"> ardhurat nga ndihmat</w:t>
      </w:r>
      <w:bookmarkEnd w:id="57"/>
      <w:bookmarkEnd w:id="58"/>
      <w:bookmarkEnd w:id="59"/>
    </w:p>
    <w:p w14:paraId="3431F1EC" w14:textId="77777777" w:rsidR="006D2CC4" w:rsidRPr="002E06C4" w:rsidRDefault="006D2CC4" w:rsidP="006D2CC4">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 xml:space="preserve">Të ardhurat nga ndihmat për periudhën Janar-Dhjetor 2018 janë 8.2 miliardë lekë nga 11.1 miliardë lekë të një viti më parë, duke pësuar rënie në masën 26.6 për qind ose </w:t>
      </w:r>
      <w:r w:rsidR="00E87752" w:rsidRPr="002E06C4">
        <w:rPr>
          <w:rFonts w:asciiTheme="majorHAnsi" w:hAnsiTheme="majorHAnsi" w:cs="Times New Roman"/>
          <w:lang w:val="sq-AL"/>
        </w:rPr>
        <w:t>2,9</w:t>
      </w:r>
      <w:r w:rsidRPr="002E06C4">
        <w:rPr>
          <w:rFonts w:asciiTheme="majorHAnsi" w:hAnsiTheme="majorHAnsi" w:cs="Times New Roman"/>
          <w:lang w:val="sq-AL"/>
        </w:rPr>
        <w:t xml:space="preserve"> miliardë lekë dhe me realizim ndaj planit </w:t>
      </w:r>
      <w:r w:rsidR="00E87752" w:rsidRPr="002E06C4">
        <w:rPr>
          <w:rFonts w:asciiTheme="majorHAnsi" w:hAnsiTheme="majorHAnsi" w:cs="Times New Roman"/>
          <w:lang w:val="sq-AL"/>
        </w:rPr>
        <w:t xml:space="preserve">fillestar </w:t>
      </w:r>
      <w:r w:rsidRPr="002E06C4">
        <w:rPr>
          <w:rFonts w:asciiTheme="majorHAnsi" w:hAnsiTheme="majorHAnsi" w:cs="Times New Roman"/>
          <w:lang w:val="sq-AL"/>
        </w:rPr>
        <w:t xml:space="preserve">në masën </w:t>
      </w:r>
      <w:r w:rsidR="00E87752" w:rsidRPr="002E06C4">
        <w:rPr>
          <w:rFonts w:asciiTheme="majorHAnsi" w:hAnsiTheme="majorHAnsi" w:cs="Times New Roman"/>
          <w:lang w:val="sq-AL"/>
        </w:rPr>
        <w:t>56</w:t>
      </w:r>
      <w:r w:rsidRPr="002E06C4">
        <w:rPr>
          <w:rFonts w:asciiTheme="majorHAnsi" w:hAnsiTheme="majorHAnsi" w:cs="Times New Roman"/>
          <w:lang w:val="sq-AL"/>
        </w:rPr>
        <w:t xml:space="preserve"> për qind.</w:t>
      </w:r>
      <w:r w:rsidR="00E87752" w:rsidRPr="002E06C4">
        <w:rPr>
          <w:rFonts w:asciiTheme="majorHAnsi" w:hAnsiTheme="majorHAnsi" w:cs="Times New Roman"/>
          <w:lang w:val="sq-AL"/>
        </w:rPr>
        <w:t xml:space="preserve"> </w:t>
      </w:r>
    </w:p>
    <w:p w14:paraId="7B1AB6B5" w14:textId="77777777" w:rsidR="006E1920" w:rsidRPr="002E06C4" w:rsidRDefault="006E1920" w:rsidP="006E1920">
      <w:pPr>
        <w:spacing w:line="276" w:lineRule="auto"/>
        <w:jc w:val="both"/>
        <w:rPr>
          <w:rFonts w:asciiTheme="majorHAnsi" w:hAnsiTheme="majorHAnsi" w:cs="Times New Roman"/>
          <w:sz w:val="12"/>
          <w:szCs w:val="12"/>
          <w:highlight w:val="yellow"/>
          <w:lang w:val="sq-AL"/>
        </w:rPr>
      </w:pPr>
    </w:p>
    <w:p w14:paraId="4AE04500" w14:textId="77777777" w:rsidR="005C6E2E" w:rsidRPr="002E06C4" w:rsidRDefault="005C6E2E" w:rsidP="00A2716B">
      <w:pPr>
        <w:pStyle w:val="Heading3"/>
        <w:numPr>
          <w:ilvl w:val="2"/>
          <w:numId w:val="4"/>
        </w:numPr>
        <w:rPr>
          <w:rFonts w:cs="Times New Roman"/>
          <w:lang w:val="sq-AL"/>
        </w:rPr>
      </w:pPr>
      <w:bookmarkStart w:id="60" w:name="_Toc10033269"/>
      <w:bookmarkStart w:id="61" w:name="_Toc10721406"/>
      <w:bookmarkStart w:id="62" w:name="_Toc11134212"/>
      <w:r w:rsidRPr="002E06C4">
        <w:rPr>
          <w:rFonts w:cs="Times New Roman"/>
          <w:lang w:val="sq-AL"/>
        </w:rPr>
        <w:t>T</w:t>
      </w:r>
      <w:r w:rsidR="00C33B16" w:rsidRPr="002E06C4">
        <w:rPr>
          <w:rFonts w:cs="Times New Roman"/>
          <w:lang w:val="sq-AL"/>
        </w:rPr>
        <w:t>ë</w:t>
      </w:r>
      <w:r w:rsidRPr="002E06C4">
        <w:rPr>
          <w:rFonts w:cs="Times New Roman"/>
          <w:lang w:val="sq-AL"/>
        </w:rPr>
        <w:t xml:space="preserve"> ardhurat tatimore</w:t>
      </w:r>
      <w:bookmarkEnd w:id="60"/>
      <w:bookmarkEnd w:id="61"/>
      <w:bookmarkEnd w:id="62"/>
    </w:p>
    <w:p w14:paraId="18C3E599" w14:textId="77777777" w:rsidR="006D2CC4" w:rsidRPr="002E06C4" w:rsidRDefault="006D2CC4" w:rsidP="005A1EC1">
      <w:pPr>
        <w:spacing w:before="240" w:line="276" w:lineRule="auto"/>
        <w:jc w:val="both"/>
        <w:rPr>
          <w:rFonts w:asciiTheme="majorHAnsi" w:hAnsiTheme="majorHAnsi" w:cs="Times New Roman"/>
          <w:noProof/>
          <w:lang w:val="sq-AL"/>
        </w:rPr>
      </w:pPr>
      <w:r w:rsidRPr="002E06C4">
        <w:rPr>
          <w:rFonts w:asciiTheme="majorHAnsi" w:hAnsiTheme="majorHAnsi" w:cs="Times New Roman"/>
          <w:noProof/>
          <w:lang w:val="sq-AL"/>
        </w:rPr>
        <w:t xml:space="preserve">Të ardhurat tatimore, ku përfshihen të ardhurat nga tatimet dhe doganat, të ardhurat nga pushteti lokal dhe të ardhurat nga fondet speciale, për periudhën 12-mujore arritën në vlerën 419.3 miliardë lekë, me një realizim ndaj planit vjetor në masën 99 për qind dhe me rritje kundrejt vitit të kaluar në masën 5.2 për qind ose 20.7 miliardë lekë. </w:t>
      </w:r>
    </w:p>
    <w:p w14:paraId="2E4BD4D5" w14:textId="77777777" w:rsidR="005A3996" w:rsidRPr="002E06C4" w:rsidRDefault="005A3996" w:rsidP="005A3996">
      <w:pPr>
        <w:spacing w:line="276" w:lineRule="auto"/>
        <w:jc w:val="both"/>
        <w:rPr>
          <w:rFonts w:asciiTheme="majorHAnsi" w:hAnsiTheme="majorHAnsi" w:cs="Times New Roman"/>
          <w:noProof/>
          <w:sz w:val="12"/>
          <w:szCs w:val="12"/>
          <w:lang w:val="sq-AL"/>
        </w:rPr>
      </w:pPr>
    </w:p>
    <w:p w14:paraId="2E30B656" w14:textId="77777777" w:rsidR="005C6E2E" w:rsidRPr="002E06C4" w:rsidRDefault="005C6E2E" w:rsidP="00A2716B">
      <w:pPr>
        <w:pStyle w:val="Heading3"/>
        <w:numPr>
          <w:ilvl w:val="2"/>
          <w:numId w:val="4"/>
        </w:numPr>
        <w:rPr>
          <w:rFonts w:cs="Times New Roman"/>
          <w:lang w:val="sq-AL"/>
        </w:rPr>
      </w:pPr>
      <w:bookmarkStart w:id="63" w:name="_Toc10033270"/>
      <w:bookmarkStart w:id="64" w:name="_Toc10721407"/>
      <w:bookmarkStart w:id="65" w:name="_Toc11134213"/>
      <w:r w:rsidRPr="002E06C4">
        <w:rPr>
          <w:rFonts w:cs="Times New Roman"/>
          <w:lang w:val="sq-AL"/>
        </w:rPr>
        <w:t>T</w:t>
      </w:r>
      <w:r w:rsidR="00C33B16" w:rsidRPr="002E06C4">
        <w:rPr>
          <w:rFonts w:cs="Times New Roman"/>
          <w:lang w:val="sq-AL"/>
        </w:rPr>
        <w:t>ë</w:t>
      </w:r>
      <w:r w:rsidRPr="002E06C4">
        <w:rPr>
          <w:rFonts w:cs="Times New Roman"/>
          <w:lang w:val="sq-AL"/>
        </w:rPr>
        <w:t xml:space="preserve"> ardhurat nga pushteti vendor</w:t>
      </w:r>
      <w:bookmarkEnd w:id="63"/>
      <w:bookmarkEnd w:id="64"/>
      <w:bookmarkEnd w:id="65"/>
    </w:p>
    <w:p w14:paraId="1DCFDB9C" w14:textId="77777777" w:rsidR="009270BF" w:rsidRPr="002E06C4" w:rsidRDefault="006D2CC4" w:rsidP="009270BF">
      <w:pPr>
        <w:spacing w:before="240" w:after="240" w:line="276" w:lineRule="auto"/>
        <w:jc w:val="both"/>
        <w:rPr>
          <w:rFonts w:asciiTheme="majorHAnsi" w:hAnsiTheme="majorHAnsi" w:cs="Times New Roman"/>
          <w:noProof/>
          <w:lang w:val="sq-AL"/>
        </w:rPr>
      </w:pPr>
      <w:r w:rsidRPr="002E06C4">
        <w:rPr>
          <w:rFonts w:asciiTheme="majorHAnsi" w:hAnsiTheme="majorHAnsi" w:cs="Times New Roman"/>
          <w:noProof/>
          <w:lang w:val="sq-AL"/>
        </w:rPr>
        <w:t xml:space="preserve">Të ardhurat nga “Pushteti vendor” u realizuan në </w:t>
      </w:r>
      <w:r w:rsidR="005A1EC1" w:rsidRPr="002E06C4">
        <w:rPr>
          <w:rFonts w:asciiTheme="majorHAnsi" w:hAnsiTheme="majorHAnsi" w:cs="Times New Roman"/>
          <w:noProof/>
          <w:lang w:val="sq-AL"/>
        </w:rPr>
        <w:t>mas</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n </w:t>
      </w:r>
      <w:r w:rsidRPr="002E06C4">
        <w:rPr>
          <w:rFonts w:asciiTheme="majorHAnsi" w:hAnsiTheme="majorHAnsi" w:cs="Times New Roman"/>
          <w:noProof/>
          <w:lang w:val="sq-AL"/>
        </w:rPr>
        <w:t xml:space="preserve">21.9 miliardë lekë, rreth </w:t>
      </w:r>
      <w:r w:rsidR="005A1EC1" w:rsidRPr="002E06C4">
        <w:rPr>
          <w:rFonts w:asciiTheme="majorHAnsi" w:hAnsiTheme="majorHAnsi" w:cs="Times New Roman"/>
          <w:noProof/>
          <w:lang w:val="sq-AL"/>
        </w:rPr>
        <w:t>16</w:t>
      </w:r>
      <w:r w:rsidRPr="002E06C4">
        <w:rPr>
          <w:rFonts w:asciiTheme="majorHAnsi" w:hAnsiTheme="majorHAnsi" w:cs="Times New Roman"/>
          <w:noProof/>
          <w:lang w:val="sq-AL"/>
        </w:rPr>
        <w:t xml:space="preserve"> për qind ose </w:t>
      </w:r>
      <w:r w:rsidR="005A1EC1" w:rsidRPr="002E06C4">
        <w:rPr>
          <w:rFonts w:asciiTheme="majorHAnsi" w:hAnsiTheme="majorHAnsi" w:cs="Times New Roman"/>
          <w:noProof/>
          <w:lang w:val="sq-AL"/>
        </w:rPr>
        <w:t>3</w:t>
      </w:r>
      <w:r w:rsidRPr="002E06C4">
        <w:rPr>
          <w:rFonts w:asciiTheme="majorHAnsi" w:hAnsiTheme="majorHAnsi" w:cs="Times New Roman"/>
          <w:noProof/>
          <w:lang w:val="sq-AL"/>
        </w:rPr>
        <w:t xml:space="preserve"> miliardë lekë më shumë se të ardhurat e planifikuara për vitin 2018</w:t>
      </w:r>
      <w:r w:rsidR="005A1EC1" w:rsidRPr="002E06C4">
        <w:rPr>
          <w:rFonts w:asciiTheme="majorHAnsi" w:hAnsiTheme="majorHAnsi" w:cs="Times New Roman"/>
          <w:noProof/>
          <w:lang w:val="sq-AL"/>
        </w:rPr>
        <w:t xml:space="preserve"> dhe 3,4 miliard</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lek</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(18.5 </w:t>
      </w:r>
      <w:r w:rsidRPr="002E06C4">
        <w:rPr>
          <w:rFonts w:asciiTheme="majorHAnsi" w:hAnsiTheme="majorHAnsi" w:cs="Times New Roman"/>
          <w:noProof/>
          <w:lang w:val="sq-AL"/>
        </w:rPr>
        <w:t xml:space="preserve">për qind) më shumë krahasuar me </w:t>
      </w:r>
      <w:r w:rsidR="005A1EC1" w:rsidRPr="002E06C4">
        <w:rPr>
          <w:rFonts w:asciiTheme="majorHAnsi" w:hAnsiTheme="majorHAnsi" w:cs="Times New Roman"/>
          <w:noProof/>
          <w:lang w:val="sq-AL"/>
        </w:rPr>
        <w:t>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ardhurat gjat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vitit 2017</w:t>
      </w:r>
      <w:r w:rsidRPr="002E06C4">
        <w:rPr>
          <w:rFonts w:asciiTheme="majorHAnsi" w:hAnsiTheme="majorHAnsi" w:cs="Times New Roman"/>
          <w:noProof/>
          <w:lang w:val="sq-AL"/>
        </w:rPr>
        <w:t xml:space="preserve">. </w:t>
      </w:r>
      <w:r w:rsidR="005A1EC1" w:rsidRPr="002E06C4">
        <w:rPr>
          <w:rFonts w:asciiTheme="majorHAnsi" w:hAnsiTheme="majorHAnsi" w:cs="Times New Roman"/>
          <w:noProof/>
          <w:lang w:val="sq-AL"/>
        </w:rPr>
        <w:t>Rritja kryesore e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ardhurave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pushtetit vendor ka ndodhur p</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r shkak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rritjes s</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taksave (dhe tarifave) vendore,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cilat p</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rb</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jn</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75%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gjith</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ardhurave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pushtetit vendor dhe jan</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rritur me 3 miliard</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lek</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krahasuar me 2017-</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n; ose 6 miliard</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lek</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n</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krahasim me planin 2018 (+58%).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ardhurat nga taksa e pasuris</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jan</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rritur 6 p</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rqind n</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krahasim me nj</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vit m</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par</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por nuk kan</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arritur pritshm</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rit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e realizimit m</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lart</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n</w:t>
      </w:r>
      <w:r w:rsidR="00C33B16" w:rsidRPr="002E06C4">
        <w:rPr>
          <w:rFonts w:asciiTheme="majorHAnsi" w:hAnsiTheme="majorHAnsi" w:cs="Times New Roman"/>
          <w:noProof/>
          <w:lang w:val="sq-AL"/>
        </w:rPr>
        <w:t>ë</w:t>
      </w:r>
      <w:r w:rsidR="005A1EC1" w:rsidRPr="002E06C4">
        <w:rPr>
          <w:rFonts w:asciiTheme="majorHAnsi" w:hAnsiTheme="majorHAnsi" w:cs="Times New Roman"/>
          <w:noProof/>
          <w:lang w:val="sq-AL"/>
        </w:rPr>
        <w:t xml:space="preserve"> krahasim me planin</w:t>
      </w:r>
      <w:r w:rsidR="002E6CA1" w:rsidRPr="002E06C4">
        <w:rPr>
          <w:rFonts w:asciiTheme="majorHAnsi" w:hAnsiTheme="majorHAnsi" w:cs="Times New Roman"/>
          <w:noProof/>
          <w:lang w:val="sq-AL"/>
        </w:rPr>
        <w:t xml:space="preserve"> fillestar 2018</w:t>
      </w:r>
      <w:r w:rsidR="005A1EC1" w:rsidRPr="002E06C4">
        <w:rPr>
          <w:rFonts w:asciiTheme="majorHAnsi" w:hAnsiTheme="majorHAnsi" w:cs="Times New Roman"/>
          <w:noProof/>
          <w:lang w:val="sq-AL"/>
        </w:rPr>
        <w:t xml:space="preserve"> (</w:t>
      </w:r>
      <w:r w:rsidR="002E6CA1" w:rsidRPr="002E06C4">
        <w:rPr>
          <w:rFonts w:asciiTheme="majorHAnsi" w:hAnsiTheme="majorHAnsi" w:cs="Times New Roman"/>
          <w:noProof/>
          <w:lang w:val="sq-AL"/>
        </w:rPr>
        <w:t>- 3 miliard</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lek</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w:t>
      </w:r>
      <w:bookmarkStart w:id="66" w:name="_Toc8810283"/>
    </w:p>
    <w:p w14:paraId="4A28A565" w14:textId="77777777" w:rsidR="005A1F52" w:rsidRPr="002E06C4" w:rsidRDefault="005A1F52" w:rsidP="005A3996">
      <w:pPr>
        <w:pStyle w:val="Caption"/>
        <w:keepNext/>
        <w:spacing w:after="0"/>
        <w:jc w:val="both"/>
        <w:rPr>
          <w:rFonts w:asciiTheme="majorHAnsi" w:hAnsiTheme="majorHAnsi" w:cs="Times New Roman"/>
          <w:lang w:val="sq-AL"/>
        </w:rPr>
      </w:pPr>
      <w:bookmarkStart w:id="67" w:name="_Toc11141681"/>
      <w:bookmarkEnd w:id="66"/>
      <w:r w:rsidRPr="002E06C4">
        <w:rPr>
          <w:rFonts w:asciiTheme="majorHAnsi" w:hAnsiTheme="majorHAnsi" w:cs="Times New Roman"/>
          <w:lang w:val="sq-AL"/>
        </w:rPr>
        <w:lastRenderedPageBreak/>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5</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 nga pushteti vendor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miliard</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67"/>
    </w:p>
    <w:p w14:paraId="145DF69A" w14:textId="77777777" w:rsidR="005A1F52" w:rsidRPr="002E06C4" w:rsidRDefault="006D2CC4" w:rsidP="006E1920">
      <w:pPr>
        <w:spacing w:line="276" w:lineRule="auto"/>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1A02FDFC" wp14:editId="7FD6741A">
            <wp:extent cx="5481320" cy="1188720"/>
            <wp:effectExtent l="0" t="0" r="5080" b="1143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CA1C6D" w14:textId="77777777" w:rsidR="005A3996" w:rsidRPr="002E06C4" w:rsidRDefault="005A3996" w:rsidP="005A3996">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2BB1816D" w14:textId="77777777" w:rsidR="005A1F52" w:rsidRPr="002E06C4" w:rsidRDefault="005A1F52" w:rsidP="00546C92">
      <w:pPr>
        <w:pStyle w:val="Caption"/>
        <w:keepNext/>
        <w:spacing w:before="240"/>
        <w:jc w:val="both"/>
        <w:rPr>
          <w:rFonts w:asciiTheme="majorHAnsi" w:hAnsiTheme="majorHAnsi" w:cs="Times New Roman"/>
          <w:lang w:val="sq-AL"/>
        </w:rPr>
      </w:pPr>
      <w:bookmarkStart w:id="68" w:name="_Toc11141682"/>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6</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P</w:t>
      </w:r>
      <w:r w:rsidR="00C33B16" w:rsidRPr="002E06C4">
        <w:rPr>
          <w:rFonts w:asciiTheme="majorHAnsi" w:hAnsiTheme="majorHAnsi" w:cs="Times New Roman"/>
          <w:lang w:val="sq-AL"/>
        </w:rPr>
        <w:t>ë</w:t>
      </w:r>
      <w:r w:rsidRPr="002E06C4">
        <w:rPr>
          <w:rFonts w:asciiTheme="majorHAnsi" w:hAnsiTheme="majorHAnsi" w:cs="Times New Roman"/>
          <w:lang w:val="sq-AL"/>
        </w:rPr>
        <w:t>rb</w:t>
      </w:r>
      <w:r w:rsidR="00C33B16" w:rsidRPr="002E06C4">
        <w:rPr>
          <w:rFonts w:asciiTheme="majorHAnsi" w:hAnsiTheme="majorHAnsi" w:cs="Times New Roman"/>
          <w:lang w:val="sq-AL"/>
        </w:rPr>
        <w:t>ë</w:t>
      </w:r>
      <w:r w:rsidRPr="002E06C4">
        <w:rPr>
          <w:rFonts w:asciiTheme="majorHAnsi" w:hAnsiTheme="majorHAnsi" w:cs="Times New Roman"/>
          <w:lang w:val="sq-AL"/>
        </w:rPr>
        <w:t>rja 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ardhurave nga pushteti vendor sipas z</w:t>
      </w:r>
      <w:r w:rsidR="00C33B16" w:rsidRPr="002E06C4">
        <w:rPr>
          <w:rFonts w:asciiTheme="majorHAnsi" w:hAnsiTheme="majorHAnsi" w:cs="Times New Roman"/>
          <w:lang w:val="sq-AL"/>
        </w:rPr>
        <w:t>ë</w:t>
      </w:r>
      <w:r w:rsidRPr="002E06C4">
        <w:rPr>
          <w:rFonts w:asciiTheme="majorHAnsi" w:hAnsiTheme="majorHAnsi" w:cs="Times New Roman"/>
          <w:lang w:val="sq-AL"/>
        </w:rPr>
        <w:t>rave kryesor</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2018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w:t>
      </w:r>
      <w:bookmarkEnd w:id="68"/>
    </w:p>
    <w:p w14:paraId="53BF07F1" w14:textId="77777777" w:rsidR="006D2CC4" w:rsidRPr="002E06C4" w:rsidRDefault="006D2CC4" w:rsidP="006E1920">
      <w:pPr>
        <w:spacing w:line="276" w:lineRule="auto"/>
        <w:jc w:val="center"/>
        <w:rPr>
          <w:rFonts w:asciiTheme="majorHAnsi" w:hAnsiTheme="majorHAnsi" w:cs="Times New Roman"/>
          <w:noProof/>
          <w:lang w:val="sq-AL"/>
        </w:rPr>
      </w:pPr>
      <w:r w:rsidRPr="002E06C4">
        <w:rPr>
          <w:rFonts w:asciiTheme="majorHAnsi" w:hAnsiTheme="majorHAnsi" w:cs="Times New Roman"/>
          <w:noProof/>
        </w:rPr>
        <w:drawing>
          <wp:inline distT="0" distB="0" distL="0" distR="0" wp14:anchorId="6130F531" wp14:editId="2E3B3A6F">
            <wp:extent cx="5412740" cy="2598420"/>
            <wp:effectExtent l="0" t="0" r="1651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A07E1E" w14:textId="77777777" w:rsidR="006D2CC4" w:rsidRPr="002E06C4" w:rsidRDefault="006D2CC4" w:rsidP="006D2CC4">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42132F5F" w14:textId="77777777" w:rsidR="006E1920" w:rsidRPr="002E06C4" w:rsidRDefault="006E1920" w:rsidP="006D2CC4">
      <w:pPr>
        <w:spacing w:line="276" w:lineRule="auto"/>
        <w:ind w:firstLine="720"/>
        <w:jc w:val="both"/>
        <w:rPr>
          <w:rFonts w:asciiTheme="majorHAnsi" w:hAnsiTheme="majorHAnsi" w:cs="Times New Roman"/>
          <w:noProof/>
          <w:sz w:val="20"/>
          <w:lang w:val="sq-AL"/>
        </w:rPr>
      </w:pPr>
    </w:p>
    <w:p w14:paraId="750D2D9E" w14:textId="77777777" w:rsidR="005C6E2E" w:rsidRPr="002E06C4" w:rsidRDefault="005C6E2E" w:rsidP="00A2716B">
      <w:pPr>
        <w:pStyle w:val="Heading3"/>
        <w:numPr>
          <w:ilvl w:val="2"/>
          <w:numId w:val="4"/>
        </w:numPr>
        <w:rPr>
          <w:rFonts w:cs="Times New Roman"/>
          <w:noProof/>
          <w:lang w:val="sq-AL"/>
        </w:rPr>
      </w:pPr>
      <w:bookmarkStart w:id="69" w:name="_Toc10033271"/>
      <w:bookmarkStart w:id="70" w:name="_Toc10721408"/>
      <w:bookmarkStart w:id="71" w:name="_Toc11134214"/>
      <w:r w:rsidRPr="002E06C4">
        <w:rPr>
          <w:rFonts w:cs="Times New Roman"/>
          <w:noProof/>
          <w:lang w:val="sq-AL"/>
        </w:rPr>
        <w:t>T</w:t>
      </w:r>
      <w:r w:rsidR="00C33B16" w:rsidRPr="002E06C4">
        <w:rPr>
          <w:rFonts w:cs="Times New Roman"/>
          <w:noProof/>
          <w:lang w:val="sq-AL"/>
        </w:rPr>
        <w:t>ë</w:t>
      </w:r>
      <w:r w:rsidRPr="002E06C4">
        <w:rPr>
          <w:rFonts w:cs="Times New Roman"/>
          <w:noProof/>
          <w:lang w:val="sq-AL"/>
        </w:rPr>
        <w:t xml:space="preserve"> ardhurat nga </w:t>
      </w:r>
      <w:r w:rsidRPr="002E06C4">
        <w:rPr>
          <w:rFonts w:cs="Times New Roman"/>
          <w:lang w:val="sq-AL"/>
        </w:rPr>
        <w:t>fondet</w:t>
      </w:r>
      <w:r w:rsidRPr="002E06C4">
        <w:rPr>
          <w:rFonts w:cs="Times New Roman"/>
          <w:noProof/>
          <w:lang w:val="sq-AL"/>
        </w:rPr>
        <w:t xml:space="preserve"> speciale</w:t>
      </w:r>
      <w:bookmarkEnd w:id="69"/>
      <w:bookmarkEnd w:id="70"/>
      <w:bookmarkEnd w:id="71"/>
    </w:p>
    <w:p w14:paraId="159C0C00" w14:textId="77777777" w:rsidR="006D2CC4" w:rsidRPr="002E06C4" w:rsidRDefault="006D2CC4" w:rsidP="006D2CC4">
      <w:pPr>
        <w:spacing w:before="240" w:line="276" w:lineRule="auto"/>
        <w:jc w:val="both"/>
        <w:rPr>
          <w:rFonts w:asciiTheme="majorHAnsi" w:hAnsiTheme="majorHAnsi" w:cs="Times New Roman"/>
          <w:noProof/>
          <w:lang w:val="sq-AL"/>
        </w:rPr>
      </w:pPr>
      <w:r w:rsidRPr="002E06C4">
        <w:rPr>
          <w:rFonts w:asciiTheme="majorHAnsi" w:hAnsiTheme="majorHAnsi" w:cs="Times New Roman"/>
          <w:noProof/>
          <w:lang w:val="sq-AL"/>
        </w:rPr>
        <w:t xml:space="preserve">Të ardhurat nga “Fondet Speciale” rezultuan 93.2 miliardë lekë, me një realizim ndaj planit </w:t>
      </w:r>
      <w:r w:rsidR="002E6CA1" w:rsidRPr="002E06C4">
        <w:rPr>
          <w:rFonts w:asciiTheme="majorHAnsi" w:hAnsiTheme="majorHAnsi" w:cs="Times New Roman"/>
          <w:noProof/>
          <w:lang w:val="sq-AL"/>
        </w:rPr>
        <w:t xml:space="preserve">fillestar </w:t>
      </w:r>
      <w:r w:rsidRPr="002E06C4">
        <w:rPr>
          <w:rFonts w:asciiTheme="majorHAnsi" w:hAnsiTheme="majorHAnsi" w:cs="Times New Roman"/>
          <w:noProof/>
          <w:lang w:val="sq-AL"/>
        </w:rPr>
        <w:t>në nivelin 10</w:t>
      </w:r>
      <w:r w:rsidR="002E6CA1" w:rsidRPr="002E06C4">
        <w:rPr>
          <w:rFonts w:asciiTheme="majorHAnsi" w:hAnsiTheme="majorHAnsi" w:cs="Times New Roman"/>
          <w:noProof/>
          <w:lang w:val="sq-AL"/>
        </w:rPr>
        <w:t>5</w:t>
      </w:r>
      <w:r w:rsidRPr="002E06C4">
        <w:rPr>
          <w:rFonts w:asciiTheme="majorHAnsi" w:hAnsiTheme="majorHAnsi" w:cs="Times New Roman"/>
          <w:noProof/>
          <w:lang w:val="sq-AL"/>
        </w:rPr>
        <w:t>.</w:t>
      </w:r>
      <w:r w:rsidR="002E6CA1" w:rsidRPr="002E06C4">
        <w:rPr>
          <w:rFonts w:asciiTheme="majorHAnsi" w:hAnsiTheme="majorHAnsi" w:cs="Times New Roman"/>
          <w:noProof/>
          <w:lang w:val="sq-AL"/>
        </w:rPr>
        <w:t>8</w:t>
      </w:r>
      <w:r w:rsidRPr="002E06C4">
        <w:rPr>
          <w:rFonts w:asciiTheme="majorHAnsi" w:hAnsiTheme="majorHAnsi" w:cs="Times New Roman"/>
          <w:noProof/>
          <w:lang w:val="sq-AL"/>
        </w:rPr>
        <w:t xml:space="preserve"> për qind ose </w:t>
      </w:r>
      <w:r w:rsidR="002E6CA1" w:rsidRPr="002E06C4">
        <w:rPr>
          <w:rFonts w:asciiTheme="majorHAnsi" w:hAnsiTheme="majorHAnsi" w:cs="Times New Roman"/>
          <w:noProof/>
          <w:lang w:val="sq-AL"/>
        </w:rPr>
        <w:t>5,1</w:t>
      </w:r>
      <w:r w:rsidRPr="002E06C4">
        <w:rPr>
          <w:rFonts w:asciiTheme="majorHAnsi" w:hAnsiTheme="majorHAnsi" w:cs="Times New Roman"/>
          <w:noProof/>
          <w:lang w:val="sq-AL"/>
        </w:rPr>
        <w:t xml:space="preserve"> miliardë lekë më shumë dhe 6.4 miliardë lekë apo 7.3 për qind më shumë sesa një vit më parë. Zërat që përbëjnë të ardhurat nga “Fondet Speciale” janë: Sigurimi Shoqëror, Sigurimi Shëndetësor dhe të ardhurat për kompensimin në vlerë të pronarëve, përkatësisht në vlerën 79.4 miliardë lekë, 12.4 miliardë lekë dhe 1.3 miliardë lekë.</w:t>
      </w:r>
      <w:r w:rsidR="002E6CA1" w:rsidRPr="002E06C4">
        <w:rPr>
          <w:rFonts w:asciiTheme="majorHAnsi" w:hAnsiTheme="majorHAnsi" w:cs="Times New Roman"/>
          <w:noProof/>
          <w:lang w:val="sq-AL"/>
        </w:rPr>
        <w:t xml:space="preserve"> Rritja e t</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ardhurave nga fondet speciale ka ardhur kryesisht nga rritja e t</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ardhurave t</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fondit t</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sigurimit shoq</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ror (5,4 miliard</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lek</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m</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shum</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se nj</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vit m</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par</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si rezultat i reform</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s s</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pensioneve si edhe administrimit m</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t</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mir</w:t>
      </w:r>
      <w:r w:rsidR="00C33B16" w:rsidRPr="002E06C4">
        <w:rPr>
          <w:rFonts w:asciiTheme="majorHAnsi" w:hAnsiTheme="majorHAnsi" w:cs="Times New Roman"/>
          <w:noProof/>
          <w:lang w:val="sq-AL"/>
        </w:rPr>
        <w:t>ë</w:t>
      </w:r>
      <w:r w:rsidR="002E6CA1" w:rsidRPr="002E06C4">
        <w:rPr>
          <w:rFonts w:asciiTheme="majorHAnsi" w:hAnsiTheme="majorHAnsi" w:cs="Times New Roman"/>
          <w:noProof/>
          <w:lang w:val="sq-AL"/>
        </w:rPr>
        <w:t xml:space="preserve"> fiskal.</w:t>
      </w:r>
    </w:p>
    <w:p w14:paraId="1E850A62" w14:textId="77777777" w:rsidR="006E1920" w:rsidRPr="002E06C4" w:rsidRDefault="006E1920" w:rsidP="006E1920">
      <w:pPr>
        <w:spacing w:line="276" w:lineRule="auto"/>
        <w:jc w:val="both"/>
        <w:rPr>
          <w:rFonts w:asciiTheme="majorHAnsi" w:hAnsiTheme="majorHAnsi" w:cs="Times New Roman"/>
          <w:noProof/>
          <w:lang w:val="sq-AL"/>
        </w:rPr>
      </w:pPr>
    </w:p>
    <w:p w14:paraId="70EC15C9" w14:textId="77777777" w:rsidR="005A1F52" w:rsidRPr="002E06C4" w:rsidRDefault="005A1F52" w:rsidP="005A1F52">
      <w:pPr>
        <w:pStyle w:val="Caption"/>
        <w:keepNext/>
        <w:jc w:val="both"/>
        <w:rPr>
          <w:rFonts w:asciiTheme="majorHAnsi" w:hAnsiTheme="majorHAnsi" w:cs="Times New Roman"/>
          <w:lang w:val="sq-AL"/>
        </w:rPr>
      </w:pPr>
      <w:bookmarkStart w:id="72" w:name="_Toc11141683"/>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7</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nga fondet speciale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miliard</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72"/>
    </w:p>
    <w:p w14:paraId="2C0CA519" w14:textId="77777777" w:rsidR="005A1F52" w:rsidRDefault="006D2CC4" w:rsidP="006E1920">
      <w:pPr>
        <w:spacing w:line="276" w:lineRule="auto"/>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313D81CD" wp14:editId="1FA96845">
            <wp:extent cx="5405120" cy="1234440"/>
            <wp:effectExtent l="0" t="0" r="5080" b="38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268B44" w14:textId="77777777" w:rsidR="00D30931" w:rsidRPr="002E06C4" w:rsidRDefault="00D30931" w:rsidP="00D30931">
      <w:pPr>
        <w:spacing w:line="276" w:lineRule="auto"/>
        <w:ind w:left="720"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6DB9B213" w14:textId="77777777" w:rsidR="005A1F52" w:rsidRPr="002E06C4" w:rsidRDefault="005A1F52" w:rsidP="005A1F52">
      <w:pPr>
        <w:pStyle w:val="Caption"/>
        <w:keepNext/>
        <w:jc w:val="both"/>
        <w:rPr>
          <w:rFonts w:asciiTheme="majorHAnsi" w:hAnsiTheme="majorHAnsi" w:cs="Times New Roman"/>
          <w:lang w:val="sq-AL"/>
        </w:rPr>
      </w:pPr>
      <w:bookmarkStart w:id="73" w:name="_Toc11141684"/>
      <w:r w:rsidRPr="002E06C4">
        <w:rPr>
          <w:rFonts w:asciiTheme="majorHAnsi" w:hAnsiTheme="majorHAnsi" w:cs="Times New Roman"/>
          <w:lang w:val="sq-AL"/>
        </w:rPr>
        <w:lastRenderedPageBreak/>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8</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P</w:t>
      </w:r>
      <w:r w:rsidR="00C33B16" w:rsidRPr="002E06C4">
        <w:rPr>
          <w:rFonts w:asciiTheme="majorHAnsi" w:hAnsiTheme="majorHAnsi" w:cs="Times New Roman"/>
          <w:lang w:val="sq-AL"/>
        </w:rPr>
        <w:t>ë</w:t>
      </w:r>
      <w:r w:rsidRPr="002E06C4">
        <w:rPr>
          <w:rFonts w:asciiTheme="majorHAnsi" w:hAnsiTheme="majorHAnsi" w:cs="Times New Roman"/>
          <w:lang w:val="sq-AL"/>
        </w:rPr>
        <w:t>rb</w:t>
      </w:r>
      <w:r w:rsidR="00C33B16" w:rsidRPr="002E06C4">
        <w:rPr>
          <w:rFonts w:asciiTheme="majorHAnsi" w:hAnsiTheme="majorHAnsi" w:cs="Times New Roman"/>
          <w:lang w:val="sq-AL"/>
        </w:rPr>
        <w:t>ë</w:t>
      </w:r>
      <w:r w:rsidRPr="002E06C4">
        <w:rPr>
          <w:rFonts w:asciiTheme="majorHAnsi" w:hAnsiTheme="majorHAnsi" w:cs="Times New Roman"/>
          <w:lang w:val="sq-AL"/>
        </w:rPr>
        <w:t>rja 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ardhurave nga fondet speciale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2018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w:t>
      </w:r>
      <w:bookmarkEnd w:id="73"/>
    </w:p>
    <w:p w14:paraId="07F18535" w14:textId="77777777" w:rsidR="006D2CC4" w:rsidRPr="002E06C4" w:rsidRDefault="006D2CC4" w:rsidP="006E1920">
      <w:pPr>
        <w:spacing w:line="276" w:lineRule="auto"/>
        <w:jc w:val="center"/>
        <w:rPr>
          <w:rFonts w:asciiTheme="majorHAnsi" w:hAnsiTheme="majorHAnsi" w:cs="Times New Roman"/>
          <w:noProof/>
          <w:lang w:val="sq-AL" w:eastAsia="en-GB"/>
        </w:rPr>
      </w:pPr>
      <w:r w:rsidRPr="002E06C4">
        <w:rPr>
          <w:rFonts w:asciiTheme="majorHAnsi" w:hAnsiTheme="majorHAnsi" w:cs="Times New Roman"/>
          <w:noProof/>
        </w:rPr>
        <w:drawing>
          <wp:inline distT="0" distB="0" distL="0" distR="0" wp14:anchorId="4111EDE4" wp14:editId="67E020F6">
            <wp:extent cx="4117340" cy="1661160"/>
            <wp:effectExtent l="0" t="0" r="16510" b="1524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8FF0EF" w14:textId="77777777" w:rsidR="006D2CC4" w:rsidRPr="002E06C4" w:rsidRDefault="006D2CC4" w:rsidP="00D30931">
      <w:pPr>
        <w:spacing w:line="276" w:lineRule="auto"/>
        <w:ind w:left="1440"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481AE0E2" w14:textId="77777777" w:rsidR="005C6E2E" w:rsidRPr="002E06C4" w:rsidRDefault="005C6E2E" w:rsidP="00A2716B">
      <w:pPr>
        <w:pStyle w:val="Heading3"/>
        <w:numPr>
          <w:ilvl w:val="2"/>
          <w:numId w:val="4"/>
        </w:numPr>
        <w:rPr>
          <w:rFonts w:cs="Times New Roman"/>
          <w:noProof/>
          <w:lang w:val="sq-AL"/>
        </w:rPr>
      </w:pPr>
      <w:bookmarkStart w:id="74" w:name="_Toc10033272"/>
      <w:bookmarkStart w:id="75" w:name="_Toc10721409"/>
      <w:bookmarkStart w:id="76" w:name="_Toc11134215"/>
      <w:r w:rsidRPr="002E06C4">
        <w:rPr>
          <w:rFonts w:cs="Times New Roman"/>
          <w:noProof/>
          <w:lang w:val="sq-AL"/>
        </w:rPr>
        <w:t>T</w:t>
      </w:r>
      <w:r w:rsidR="00C33B16" w:rsidRPr="002E06C4">
        <w:rPr>
          <w:rFonts w:cs="Times New Roman"/>
          <w:noProof/>
          <w:lang w:val="sq-AL"/>
        </w:rPr>
        <w:t>ë</w:t>
      </w:r>
      <w:r w:rsidRPr="002E06C4">
        <w:rPr>
          <w:rFonts w:cs="Times New Roman"/>
          <w:noProof/>
          <w:lang w:val="sq-AL"/>
        </w:rPr>
        <w:t xml:space="preserve"> ardhurat jotatimore</w:t>
      </w:r>
      <w:bookmarkEnd w:id="74"/>
      <w:bookmarkEnd w:id="75"/>
      <w:bookmarkEnd w:id="76"/>
    </w:p>
    <w:p w14:paraId="4A3212B2" w14:textId="77777777" w:rsidR="006D2CC4" w:rsidRPr="002E06C4" w:rsidRDefault="002E6CA1" w:rsidP="006D2CC4">
      <w:pPr>
        <w:spacing w:before="240" w:line="276" w:lineRule="auto"/>
        <w:jc w:val="both"/>
        <w:rPr>
          <w:rFonts w:asciiTheme="majorHAnsi" w:hAnsiTheme="majorHAnsi" w:cs="Times New Roman"/>
          <w:lang w:val="sq-AL"/>
        </w:rPr>
      </w:pPr>
      <w:r w:rsidRPr="002E06C4">
        <w:rPr>
          <w:rFonts w:asciiTheme="majorHAnsi" w:hAnsiTheme="majorHAnsi" w:cs="Times New Roman"/>
          <w:noProof/>
          <w:lang w:val="sq-AL"/>
        </w:rPr>
        <w:t>Të ardhurat jo</w:t>
      </w:r>
      <w:r w:rsidR="006D2CC4" w:rsidRPr="002E06C4">
        <w:rPr>
          <w:rFonts w:asciiTheme="majorHAnsi" w:hAnsiTheme="majorHAnsi" w:cs="Times New Roman"/>
          <w:noProof/>
          <w:lang w:val="sq-AL"/>
        </w:rPr>
        <w:t>tatimore rezultojnë në vlerën 22 miliardë lekë krahasuar me 20.7 miliardë të një viti më parë, me një rritje vjetore prej 6.4 për qind ose 1.3 miliardë lekë më shumë dhe me një realizim ndaj planit në masën 85.4 për qind ose 3.8 miliardë lekë më pak. Z</w:t>
      </w:r>
      <w:r w:rsidRPr="002E06C4">
        <w:rPr>
          <w:rFonts w:asciiTheme="majorHAnsi" w:hAnsiTheme="majorHAnsi" w:cs="Times New Roman"/>
          <w:noProof/>
          <w:lang w:val="sq-AL"/>
        </w:rPr>
        <w:t>ërat që përbëjnë të ardhurat jo</w:t>
      </w:r>
      <w:r w:rsidR="006D2CC4" w:rsidRPr="002E06C4">
        <w:rPr>
          <w:rFonts w:asciiTheme="majorHAnsi" w:hAnsiTheme="majorHAnsi" w:cs="Times New Roman"/>
          <w:noProof/>
          <w:lang w:val="sq-AL"/>
        </w:rPr>
        <w:t>tatimore janë: “Transferimi i fitimit nga Banka e Shqipërisë”, “të ardhurat nga institucionet buxhetore”, “dividendi” i institucioneve me kapital shtetëror dhe “tarifa shërbimeve dhe të tjera”, të cilat kanë mbledhur përkatësisht 0.9 miliardë lekë, 13.9 miliardë lekë, 0 miliardë lekë, 2.2 miliardë lekë dhe 4.9 miliardë lekë</w:t>
      </w:r>
      <w:r w:rsidR="006D2CC4" w:rsidRPr="002E06C4">
        <w:rPr>
          <w:rFonts w:asciiTheme="majorHAnsi" w:hAnsiTheme="majorHAnsi" w:cs="Times New Roman"/>
          <w:lang w:val="sq-AL"/>
        </w:rPr>
        <w:t xml:space="preserve">. </w:t>
      </w:r>
    </w:p>
    <w:p w14:paraId="7E041346" w14:textId="77777777" w:rsidR="006E1920" w:rsidRPr="002E06C4" w:rsidRDefault="006E1920" w:rsidP="006E1920">
      <w:pPr>
        <w:pStyle w:val="Caption"/>
        <w:keepNext/>
        <w:spacing w:after="0"/>
        <w:rPr>
          <w:rFonts w:asciiTheme="majorHAnsi" w:hAnsiTheme="majorHAnsi" w:cs="Times New Roman"/>
          <w:sz w:val="12"/>
          <w:lang w:val="sq-AL"/>
        </w:rPr>
      </w:pPr>
    </w:p>
    <w:p w14:paraId="7D6451BF" w14:textId="77777777" w:rsidR="00CF3933" w:rsidRPr="002E06C4" w:rsidRDefault="00CF3933" w:rsidP="00FD59D8">
      <w:pPr>
        <w:pStyle w:val="Caption"/>
        <w:keepNext/>
        <w:spacing w:after="0"/>
        <w:rPr>
          <w:rFonts w:asciiTheme="majorHAnsi" w:hAnsiTheme="majorHAnsi" w:cs="Times New Roman"/>
          <w:lang w:val="sq-AL"/>
        </w:rPr>
      </w:pPr>
      <w:bookmarkStart w:id="77" w:name="_Toc11141685"/>
      <w:r w:rsidRPr="002E06C4">
        <w:rPr>
          <w:rFonts w:asciiTheme="majorHAnsi" w:hAnsiTheme="majorHAnsi" w:cs="Times New Roman"/>
          <w:lang w:val="sq-AL"/>
        </w:rPr>
        <w:t xml:space="preserve">Grafiku </w:t>
      </w:r>
      <w:r w:rsidR="00787591" w:rsidRPr="002E06C4">
        <w:rPr>
          <w:rFonts w:asciiTheme="majorHAnsi" w:hAnsiTheme="majorHAnsi" w:cs="Times New Roman"/>
          <w:noProof/>
          <w:lang w:val="sq-AL"/>
        </w:rPr>
        <w:fldChar w:fldCharType="begin"/>
      </w:r>
      <w:r w:rsidR="00787591" w:rsidRPr="002E06C4">
        <w:rPr>
          <w:rFonts w:asciiTheme="majorHAnsi" w:hAnsiTheme="majorHAnsi" w:cs="Times New Roman"/>
          <w:noProof/>
          <w:lang w:val="sq-AL"/>
        </w:rPr>
        <w:instrText xml:space="preserve"> SEQ Grafiku \* ARABIC </w:instrText>
      </w:r>
      <w:r w:rsidR="0078759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9</w:t>
      </w:r>
      <w:r w:rsidR="0078759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P</w:t>
      </w:r>
      <w:r w:rsidR="00C33B16" w:rsidRPr="002E06C4">
        <w:rPr>
          <w:rFonts w:asciiTheme="majorHAnsi" w:hAnsiTheme="majorHAnsi" w:cs="Times New Roman"/>
          <w:lang w:val="sq-AL"/>
        </w:rPr>
        <w:t>ë</w:t>
      </w:r>
      <w:r w:rsidRPr="002E06C4">
        <w:rPr>
          <w:rFonts w:asciiTheme="majorHAnsi" w:hAnsiTheme="majorHAnsi" w:cs="Times New Roman"/>
          <w:lang w:val="sq-AL"/>
        </w:rPr>
        <w:t>rb</w:t>
      </w:r>
      <w:r w:rsidR="00C33B16" w:rsidRPr="002E06C4">
        <w:rPr>
          <w:rFonts w:asciiTheme="majorHAnsi" w:hAnsiTheme="majorHAnsi" w:cs="Times New Roman"/>
          <w:lang w:val="sq-AL"/>
        </w:rPr>
        <w:t>ë</w:t>
      </w:r>
      <w:r w:rsidRPr="002E06C4">
        <w:rPr>
          <w:rFonts w:asciiTheme="majorHAnsi" w:hAnsiTheme="majorHAnsi" w:cs="Times New Roman"/>
          <w:lang w:val="sq-AL"/>
        </w:rPr>
        <w:t>rja 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ardhurave jotatimore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vitin 2018 (miliard</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77"/>
    </w:p>
    <w:p w14:paraId="0CA10D31" w14:textId="77777777" w:rsidR="006D2CC4" w:rsidRPr="002E06C4" w:rsidRDefault="00CF3933" w:rsidP="00FD59D8">
      <w:pPr>
        <w:spacing w:line="276" w:lineRule="auto"/>
        <w:jc w:val="center"/>
        <w:rPr>
          <w:rFonts w:asciiTheme="majorHAnsi" w:eastAsia="SimSun" w:hAnsiTheme="majorHAnsi" w:cs="Times New Roman"/>
          <w:i/>
          <w:lang w:val="sq-AL"/>
        </w:rPr>
      </w:pPr>
      <w:r w:rsidRPr="002E06C4">
        <w:rPr>
          <w:rFonts w:asciiTheme="majorHAnsi" w:hAnsiTheme="majorHAnsi" w:cs="Times New Roman"/>
          <w:noProof/>
        </w:rPr>
        <w:drawing>
          <wp:inline distT="0" distB="0" distL="0" distR="0" wp14:anchorId="1C5D751B" wp14:editId="48624A53">
            <wp:extent cx="5814060" cy="2278380"/>
            <wp:effectExtent l="0" t="0" r="15240" b="762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2C0A965-AFC6-FC4E-8BE4-7FCFC1E5A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83CD92" w14:textId="77777777" w:rsidR="006D2CC4" w:rsidRPr="002E06C4" w:rsidRDefault="006D2CC4" w:rsidP="00FD59D8">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7072196D" w14:textId="77777777" w:rsidR="006E1920" w:rsidRPr="002E06C4" w:rsidRDefault="006E1920" w:rsidP="00CF3933">
      <w:pPr>
        <w:spacing w:line="276" w:lineRule="auto"/>
        <w:jc w:val="both"/>
        <w:rPr>
          <w:rFonts w:asciiTheme="majorHAnsi" w:hAnsiTheme="majorHAnsi" w:cs="Times New Roman"/>
          <w:i/>
          <w:noProof/>
          <w:sz w:val="20"/>
          <w:lang w:val="sq-AL"/>
        </w:rPr>
      </w:pPr>
    </w:p>
    <w:p w14:paraId="64465E0F" w14:textId="77777777" w:rsidR="005C6E2E" w:rsidRPr="002E06C4" w:rsidRDefault="005C6E2E" w:rsidP="00A2716B">
      <w:pPr>
        <w:pStyle w:val="Heading3"/>
        <w:numPr>
          <w:ilvl w:val="2"/>
          <w:numId w:val="4"/>
        </w:numPr>
        <w:rPr>
          <w:rFonts w:cs="Times New Roman"/>
          <w:noProof/>
          <w:lang w:val="sq-AL"/>
        </w:rPr>
      </w:pPr>
      <w:bookmarkStart w:id="78" w:name="_Toc10033273"/>
      <w:bookmarkStart w:id="79" w:name="_Toc10721410"/>
      <w:bookmarkStart w:id="80" w:name="_Toc11134216"/>
      <w:r w:rsidRPr="002E06C4">
        <w:rPr>
          <w:rFonts w:cs="Times New Roman"/>
          <w:noProof/>
          <w:lang w:val="sq-AL"/>
        </w:rPr>
        <w:t>T</w:t>
      </w:r>
      <w:r w:rsidR="00C33B16" w:rsidRPr="002E06C4">
        <w:rPr>
          <w:rFonts w:cs="Times New Roman"/>
          <w:noProof/>
          <w:lang w:val="sq-AL"/>
        </w:rPr>
        <w:t>ë</w:t>
      </w:r>
      <w:r w:rsidRPr="002E06C4">
        <w:rPr>
          <w:rFonts w:cs="Times New Roman"/>
          <w:noProof/>
          <w:lang w:val="sq-AL"/>
        </w:rPr>
        <w:t xml:space="preserve"> ardhurat nga tatimet dhe doganat</w:t>
      </w:r>
      <w:bookmarkEnd w:id="78"/>
      <w:bookmarkEnd w:id="79"/>
      <w:bookmarkEnd w:id="80"/>
    </w:p>
    <w:p w14:paraId="7A936234" w14:textId="77777777" w:rsidR="0076564D" w:rsidRPr="002E06C4" w:rsidRDefault="0076564D" w:rsidP="00546C92">
      <w:pPr>
        <w:spacing w:before="240" w:line="276" w:lineRule="auto"/>
        <w:jc w:val="both"/>
        <w:rPr>
          <w:rFonts w:asciiTheme="majorHAnsi" w:hAnsiTheme="majorHAnsi" w:cs="Times New Roman"/>
          <w:noProof/>
          <w:sz w:val="22"/>
          <w:szCs w:val="22"/>
          <w:lang w:val="sq-AL"/>
        </w:rPr>
      </w:pPr>
      <w:r w:rsidRPr="002E06C4">
        <w:rPr>
          <w:rFonts w:asciiTheme="majorHAnsi" w:hAnsiTheme="majorHAnsi" w:cs="Times New Roman"/>
          <w:noProof/>
          <w:lang w:val="sq-AL"/>
        </w:rPr>
        <w:t>Të ardhurat nga “Tatimet dhe Dogana”</w:t>
      </w:r>
      <w:r w:rsidR="00371F22" w:rsidRPr="002E06C4">
        <w:rPr>
          <w:rStyle w:val="FootnoteReference"/>
          <w:rFonts w:asciiTheme="majorHAnsi" w:hAnsiTheme="majorHAnsi" w:cs="Times New Roman"/>
          <w:noProof/>
          <w:lang w:val="sq-AL"/>
        </w:rPr>
        <w:footnoteReference w:id="4"/>
      </w:r>
      <w:r w:rsidR="00371F22" w:rsidRPr="002E06C4">
        <w:rPr>
          <w:rFonts w:asciiTheme="majorHAnsi" w:hAnsiTheme="majorHAnsi" w:cs="Times New Roman"/>
          <w:noProof/>
          <w:lang w:val="sq-AL"/>
        </w:rPr>
        <w:t xml:space="preserve"> jan</w:t>
      </w:r>
      <w:r w:rsidR="00C33B16" w:rsidRPr="002E06C4">
        <w:rPr>
          <w:rFonts w:asciiTheme="majorHAnsi" w:hAnsiTheme="majorHAnsi" w:cs="Times New Roman"/>
          <w:noProof/>
          <w:lang w:val="sq-AL"/>
        </w:rPr>
        <w:t>ë</w:t>
      </w:r>
      <w:r w:rsidR="00371F22" w:rsidRPr="002E06C4">
        <w:rPr>
          <w:rFonts w:asciiTheme="majorHAnsi" w:hAnsiTheme="majorHAnsi" w:cs="Times New Roman"/>
          <w:noProof/>
          <w:lang w:val="sq-AL"/>
        </w:rPr>
        <w:t xml:space="preserve"> burimi kryesor i t</w:t>
      </w:r>
      <w:r w:rsidR="00C33B16" w:rsidRPr="002E06C4">
        <w:rPr>
          <w:rFonts w:asciiTheme="majorHAnsi" w:hAnsiTheme="majorHAnsi" w:cs="Times New Roman"/>
          <w:noProof/>
          <w:lang w:val="sq-AL"/>
        </w:rPr>
        <w:t>ë</w:t>
      </w:r>
      <w:r w:rsidR="00371F22" w:rsidRPr="002E06C4">
        <w:rPr>
          <w:rFonts w:asciiTheme="majorHAnsi" w:hAnsiTheme="majorHAnsi" w:cs="Times New Roman"/>
          <w:noProof/>
          <w:lang w:val="sq-AL"/>
        </w:rPr>
        <w:t xml:space="preserve"> ardhurave t</w:t>
      </w:r>
      <w:r w:rsidR="00C33B16" w:rsidRPr="002E06C4">
        <w:rPr>
          <w:rFonts w:asciiTheme="majorHAnsi" w:hAnsiTheme="majorHAnsi" w:cs="Times New Roman"/>
          <w:noProof/>
          <w:lang w:val="sq-AL"/>
        </w:rPr>
        <w:t>ë</w:t>
      </w:r>
      <w:r w:rsidR="00371F22" w:rsidRPr="002E06C4">
        <w:rPr>
          <w:rFonts w:asciiTheme="majorHAnsi" w:hAnsiTheme="majorHAnsi" w:cs="Times New Roman"/>
          <w:noProof/>
          <w:lang w:val="sq-AL"/>
        </w:rPr>
        <w:t xml:space="preserve"> p</w:t>
      </w:r>
      <w:r w:rsidR="00C33B16" w:rsidRPr="002E06C4">
        <w:rPr>
          <w:rFonts w:asciiTheme="majorHAnsi" w:hAnsiTheme="majorHAnsi" w:cs="Times New Roman"/>
          <w:noProof/>
          <w:lang w:val="sq-AL"/>
        </w:rPr>
        <w:t>ë</w:t>
      </w:r>
      <w:r w:rsidR="00371F22" w:rsidRPr="002E06C4">
        <w:rPr>
          <w:rFonts w:asciiTheme="majorHAnsi" w:hAnsiTheme="majorHAnsi" w:cs="Times New Roman"/>
          <w:noProof/>
          <w:lang w:val="sq-AL"/>
        </w:rPr>
        <w:t>rgjithshme dhe</w:t>
      </w:r>
      <w:r w:rsidRPr="002E06C4">
        <w:rPr>
          <w:rFonts w:asciiTheme="majorHAnsi" w:hAnsiTheme="majorHAnsi" w:cs="Times New Roman"/>
          <w:noProof/>
          <w:lang w:val="sq-AL"/>
        </w:rPr>
        <w:t xml:space="preserve"> kontribuojnë në buxhetin e shtetit m</w:t>
      </w:r>
      <w:r w:rsidR="00371F22" w:rsidRPr="002E06C4">
        <w:rPr>
          <w:rFonts w:asciiTheme="majorHAnsi" w:hAnsiTheme="majorHAnsi" w:cs="Times New Roman"/>
          <w:noProof/>
          <w:lang w:val="sq-AL"/>
        </w:rPr>
        <w:t>e rreth 18.7 për qind të PBB-së.</w:t>
      </w:r>
      <w:r w:rsidRPr="002E06C4">
        <w:rPr>
          <w:rFonts w:asciiTheme="majorHAnsi" w:hAnsiTheme="majorHAnsi" w:cs="Times New Roman"/>
          <w:noProof/>
          <w:lang w:val="sq-AL"/>
        </w:rPr>
        <w:t>Krahasuar me një vit më parë, ky zë shënon një performancë pozitive në vlerën 10.9 miliardë lekë ose 3.7 për qind më shumë.</w:t>
      </w:r>
      <w:r w:rsidR="00371F22" w:rsidRPr="002E06C4">
        <w:rPr>
          <w:rFonts w:asciiTheme="majorHAnsi" w:hAnsiTheme="majorHAnsi" w:cs="Times New Roman"/>
          <w:noProof/>
          <w:lang w:val="sq-AL"/>
        </w:rPr>
        <w:t xml:space="preserve"> N</w:t>
      </w:r>
      <w:r w:rsidR="00C33B16" w:rsidRPr="002E06C4">
        <w:rPr>
          <w:rFonts w:asciiTheme="majorHAnsi" w:hAnsiTheme="majorHAnsi" w:cs="Times New Roman"/>
          <w:noProof/>
          <w:lang w:val="sq-AL"/>
        </w:rPr>
        <w:t>ë</w:t>
      </w:r>
      <w:r w:rsidR="00371F22" w:rsidRPr="002E06C4">
        <w:rPr>
          <w:rFonts w:asciiTheme="majorHAnsi" w:hAnsiTheme="majorHAnsi" w:cs="Times New Roman"/>
          <w:noProof/>
          <w:lang w:val="sq-AL"/>
        </w:rPr>
        <w:t xml:space="preserve"> krahasim me planin, realizimi ishte 96% e planit fillestar ose 98 për qind e planit t</w:t>
      </w:r>
      <w:r w:rsidR="00C33B16" w:rsidRPr="002E06C4">
        <w:rPr>
          <w:rFonts w:asciiTheme="majorHAnsi" w:hAnsiTheme="majorHAnsi" w:cs="Times New Roman"/>
          <w:noProof/>
          <w:lang w:val="sq-AL"/>
        </w:rPr>
        <w:t>ë</w:t>
      </w:r>
      <w:r w:rsidR="00371F22" w:rsidRPr="002E06C4">
        <w:rPr>
          <w:rFonts w:asciiTheme="majorHAnsi" w:hAnsiTheme="majorHAnsi" w:cs="Times New Roman"/>
          <w:noProof/>
          <w:lang w:val="sq-AL"/>
        </w:rPr>
        <w:t xml:space="preserve"> rishikuar vjetor, duke rezultuar në 304.3 miliardë lekë nga 311 miliardë lekë të planifikuara.</w:t>
      </w:r>
    </w:p>
    <w:p w14:paraId="032B4F4B" w14:textId="77777777" w:rsidR="005A1F52" w:rsidRPr="002E06C4" w:rsidRDefault="005A1F52" w:rsidP="005A1F52">
      <w:pPr>
        <w:pStyle w:val="Caption"/>
        <w:keepNext/>
        <w:jc w:val="both"/>
        <w:rPr>
          <w:rFonts w:asciiTheme="majorHAnsi" w:hAnsiTheme="majorHAnsi" w:cs="Times New Roman"/>
          <w:lang w:val="sq-AL"/>
        </w:rPr>
      </w:pPr>
      <w:bookmarkStart w:id="81" w:name="_Toc11141686"/>
      <w:r w:rsidRPr="002E06C4">
        <w:rPr>
          <w:rFonts w:asciiTheme="majorHAnsi" w:hAnsiTheme="majorHAnsi" w:cs="Times New Roman"/>
          <w:lang w:val="sq-AL"/>
        </w:rPr>
        <w:lastRenderedPageBreak/>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10</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 nga tatimet dhe doganat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miliard</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 dhe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PBB-s</w:t>
      </w:r>
      <w:r w:rsidR="00C33B16" w:rsidRPr="002E06C4">
        <w:rPr>
          <w:rFonts w:asciiTheme="majorHAnsi" w:hAnsiTheme="majorHAnsi" w:cs="Times New Roman"/>
          <w:lang w:val="sq-AL"/>
        </w:rPr>
        <w:t>ë</w:t>
      </w:r>
      <w:bookmarkEnd w:id="81"/>
    </w:p>
    <w:p w14:paraId="2F8DA107" w14:textId="77777777" w:rsidR="005A1F52" w:rsidRPr="002E06C4" w:rsidRDefault="0076564D" w:rsidP="006E1920">
      <w:pPr>
        <w:spacing w:line="276" w:lineRule="auto"/>
        <w:jc w:val="center"/>
        <w:rPr>
          <w:rFonts w:asciiTheme="majorHAnsi" w:hAnsiTheme="majorHAnsi" w:cs="Times New Roman"/>
          <w:lang w:val="sq-AL"/>
        </w:rPr>
      </w:pPr>
      <w:r w:rsidRPr="002E06C4">
        <w:rPr>
          <w:rFonts w:asciiTheme="majorHAnsi" w:hAnsiTheme="majorHAnsi" w:cs="Times New Roman"/>
          <w:noProof/>
          <w:highlight w:val="yellow"/>
        </w:rPr>
        <w:drawing>
          <wp:inline distT="0" distB="0" distL="0" distR="0" wp14:anchorId="7DCA30DC" wp14:editId="50C1588A">
            <wp:extent cx="5435600" cy="1973580"/>
            <wp:effectExtent l="0" t="0" r="12700" b="76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674689" w14:textId="77777777" w:rsidR="00FD59D8" w:rsidRPr="002E06C4" w:rsidRDefault="00FD59D8" w:rsidP="00FD59D8">
      <w:pPr>
        <w:spacing w:line="276" w:lineRule="auto"/>
        <w:ind w:left="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0009E112" w14:textId="77777777" w:rsidR="00D30931" w:rsidRDefault="00D30931" w:rsidP="00D30931">
      <w:pPr>
        <w:pStyle w:val="Caption"/>
        <w:keepNext/>
        <w:spacing w:after="0"/>
        <w:jc w:val="both"/>
        <w:rPr>
          <w:rFonts w:asciiTheme="majorHAnsi" w:hAnsiTheme="majorHAnsi" w:cs="Times New Roman"/>
          <w:lang w:val="sq-AL"/>
        </w:rPr>
      </w:pPr>
    </w:p>
    <w:p w14:paraId="160C2737" w14:textId="77777777" w:rsidR="005A1F52" w:rsidRPr="002E06C4" w:rsidRDefault="005A1F52" w:rsidP="005A1F52">
      <w:pPr>
        <w:pStyle w:val="Caption"/>
        <w:keepNext/>
        <w:jc w:val="both"/>
        <w:rPr>
          <w:rFonts w:asciiTheme="majorHAnsi" w:hAnsiTheme="majorHAnsi" w:cs="Times New Roman"/>
          <w:lang w:val="sq-AL"/>
        </w:rPr>
      </w:pPr>
      <w:bookmarkStart w:id="82" w:name="_Toc11141687"/>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11</w:t>
      </w:r>
      <w:r w:rsidR="00C87F41" w:rsidRPr="002E06C4">
        <w:rPr>
          <w:rFonts w:asciiTheme="majorHAnsi" w:hAnsiTheme="majorHAnsi" w:cs="Times New Roman"/>
          <w:noProof/>
          <w:lang w:val="sq-AL"/>
        </w:rPr>
        <w:fldChar w:fldCharType="end"/>
      </w:r>
      <w:r w:rsidR="00437CC4" w:rsidRPr="002E06C4">
        <w:rPr>
          <w:rFonts w:asciiTheme="majorHAnsi" w:hAnsiTheme="majorHAnsi" w:cs="Times New Roman"/>
          <w:noProof/>
          <w:lang w:val="sq-AL"/>
        </w:rPr>
        <w:t xml:space="preserve"> T</w:t>
      </w:r>
      <w:r w:rsidR="00824B19" w:rsidRPr="002E06C4">
        <w:rPr>
          <w:rFonts w:asciiTheme="majorHAnsi" w:hAnsiTheme="majorHAnsi" w:cs="Times New Roman"/>
          <w:noProof/>
          <w:lang w:val="sq-AL"/>
        </w:rPr>
        <w:t>ë</w:t>
      </w:r>
      <w:r w:rsidR="00437CC4" w:rsidRPr="002E06C4">
        <w:rPr>
          <w:rFonts w:asciiTheme="majorHAnsi" w:hAnsiTheme="majorHAnsi" w:cs="Times New Roman"/>
          <w:noProof/>
          <w:lang w:val="sq-AL"/>
        </w:rPr>
        <w:t xml:space="preserve"> ardhurat nga tatimet dhe doganat sipas llojit</w:t>
      </w:r>
      <w:bookmarkEnd w:id="82"/>
    </w:p>
    <w:p w14:paraId="6B491AE2" w14:textId="77777777" w:rsidR="0076564D" w:rsidRPr="002E06C4" w:rsidRDefault="0076564D" w:rsidP="006E1920">
      <w:pPr>
        <w:spacing w:line="276" w:lineRule="auto"/>
        <w:jc w:val="center"/>
        <w:rPr>
          <w:rFonts w:asciiTheme="majorHAnsi" w:hAnsiTheme="majorHAnsi" w:cs="Times New Roman"/>
          <w:noProof/>
          <w:sz w:val="21"/>
          <w:szCs w:val="21"/>
          <w:lang w:val="sq-AL"/>
        </w:rPr>
      </w:pPr>
      <w:r w:rsidRPr="002E06C4">
        <w:rPr>
          <w:rFonts w:asciiTheme="majorHAnsi" w:hAnsiTheme="majorHAnsi" w:cs="Times New Roman"/>
          <w:noProof/>
        </w:rPr>
        <w:drawing>
          <wp:inline distT="0" distB="0" distL="0" distR="0" wp14:anchorId="246E8046" wp14:editId="3E3BC49D">
            <wp:extent cx="5821680" cy="3558540"/>
            <wp:effectExtent l="0" t="0" r="7620" b="381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99368B" w14:textId="77777777" w:rsidR="0076564D" w:rsidRPr="002E06C4" w:rsidRDefault="0076564D" w:rsidP="0076564D">
      <w:pPr>
        <w:spacing w:line="276" w:lineRule="auto"/>
        <w:ind w:firstLine="720"/>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06CE7699" w14:textId="77777777" w:rsidR="00FD59D8" w:rsidRPr="002E06C4" w:rsidRDefault="00787591" w:rsidP="006D2CC4">
      <w:pPr>
        <w:spacing w:before="240" w:line="276" w:lineRule="auto"/>
        <w:jc w:val="both"/>
        <w:rPr>
          <w:rFonts w:asciiTheme="majorHAnsi" w:hAnsiTheme="majorHAnsi" w:cs="Times New Roman"/>
          <w:noProof/>
          <w:lang w:val="sq-AL"/>
        </w:rPr>
      </w:pPr>
      <w:r w:rsidRPr="002E06C4">
        <w:rPr>
          <w:rFonts w:asciiTheme="majorHAnsi" w:hAnsiTheme="majorHAnsi" w:cs="Times New Roman"/>
          <w:noProof/>
          <w:lang w:val="sq-AL"/>
        </w:rPr>
        <w:t>K</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to 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ardhura, 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cilat </w:t>
      </w:r>
      <w:r w:rsidR="006D2CC4" w:rsidRPr="002E06C4">
        <w:rPr>
          <w:rFonts w:asciiTheme="majorHAnsi" w:hAnsiTheme="majorHAnsi" w:cs="Times New Roman"/>
          <w:noProof/>
          <w:lang w:val="sq-AL"/>
        </w:rPr>
        <w:t xml:space="preserve">administrohen nga Drejtoria e Përgjithshme e Tatimeve (DPT) dhe Drejtoria e Përgjithshme e Doganave (DPD), </w:t>
      </w:r>
      <w:r w:rsidRPr="002E06C4">
        <w:rPr>
          <w:rFonts w:asciiTheme="majorHAnsi" w:hAnsiTheme="majorHAnsi" w:cs="Times New Roman"/>
          <w:noProof/>
          <w:lang w:val="sq-AL"/>
        </w:rPr>
        <w:t>p</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rfshijn</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Tatimin mbi Vler</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n e Shtuar; Tatimin mbi fitimin; Tatimin mbi 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ardhura personale; akcizat; taksat doganore dhe taksa 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tjera komb</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tare. </w:t>
      </w:r>
    </w:p>
    <w:p w14:paraId="39A8880D" w14:textId="77777777" w:rsidR="00FD59D8" w:rsidRPr="002E06C4" w:rsidRDefault="00787591" w:rsidP="006D2CC4">
      <w:pPr>
        <w:spacing w:before="240" w:line="276" w:lineRule="auto"/>
        <w:jc w:val="both"/>
        <w:rPr>
          <w:rFonts w:asciiTheme="majorHAnsi" w:hAnsiTheme="majorHAnsi" w:cs="Times New Roman"/>
          <w:noProof/>
          <w:lang w:val="sq-AL"/>
        </w:rPr>
      </w:pPr>
      <w:r w:rsidRPr="002E06C4">
        <w:rPr>
          <w:rFonts w:asciiTheme="majorHAnsi" w:hAnsiTheme="majorHAnsi" w:cs="Times New Roman"/>
          <w:noProof/>
          <w:lang w:val="sq-AL"/>
        </w:rPr>
        <w:t xml:space="preserve">DPT administron gjithashtu mbledhjen e </w:t>
      </w:r>
      <w:r w:rsidR="006D2CC4" w:rsidRPr="002E06C4">
        <w:rPr>
          <w:rFonts w:asciiTheme="majorHAnsi" w:hAnsiTheme="majorHAnsi" w:cs="Times New Roman"/>
          <w:noProof/>
          <w:lang w:val="sq-AL"/>
        </w:rPr>
        <w:t>kontribute</w:t>
      </w:r>
      <w:r w:rsidRPr="002E06C4">
        <w:rPr>
          <w:rFonts w:asciiTheme="majorHAnsi" w:hAnsiTheme="majorHAnsi" w:cs="Times New Roman"/>
          <w:noProof/>
          <w:lang w:val="sq-AL"/>
        </w:rPr>
        <w:t>ve</w:t>
      </w:r>
      <w:r w:rsidR="006D2CC4" w:rsidRPr="002E06C4">
        <w:rPr>
          <w:rFonts w:asciiTheme="majorHAnsi" w:hAnsiTheme="majorHAnsi" w:cs="Times New Roman"/>
          <w:noProof/>
          <w:lang w:val="sq-AL"/>
        </w:rPr>
        <w:t xml:space="preserve"> </w:t>
      </w:r>
      <w:r w:rsidRPr="002E06C4">
        <w:rPr>
          <w:rFonts w:asciiTheme="majorHAnsi" w:hAnsiTheme="majorHAnsi" w:cs="Times New Roman"/>
          <w:noProof/>
          <w:lang w:val="sq-AL"/>
        </w:rPr>
        <w:t>t</w:t>
      </w:r>
      <w:r w:rsidR="00C33B16" w:rsidRPr="002E06C4">
        <w:rPr>
          <w:rFonts w:asciiTheme="majorHAnsi" w:hAnsiTheme="majorHAnsi" w:cs="Times New Roman"/>
          <w:noProof/>
          <w:lang w:val="sq-AL"/>
        </w:rPr>
        <w:t>ë</w:t>
      </w:r>
      <w:r w:rsidR="006D2CC4" w:rsidRPr="002E06C4">
        <w:rPr>
          <w:rFonts w:asciiTheme="majorHAnsi" w:hAnsiTheme="majorHAnsi" w:cs="Times New Roman"/>
          <w:noProof/>
          <w:lang w:val="sq-AL"/>
        </w:rPr>
        <w:t xml:space="preserve"> sigurimeve shoqërore dhe shëndetësore</w:t>
      </w:r>
      <w:r w:rsidRPr="002E06C4">
        <w:rPr>
          <w:rFonts w:asciiTheme="majorHAnsi" w:hAnsiTheme="majorHAnsi" w:cs="Times New Roman"/>
          <w:noProof/>
          <w:lang w:val="sq-AL"/>
        </w:rPr>
        <w:t>. Burimet nga 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gjitha 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ardhurat e administruara nga DPT dhe DPD </w:t>
      </w:r>
      <w:r w:rsidR="006D2CC4" w:rsidRPr="002E06C4">
        <w:rPr>
          <w:rFonts w:asciiTheme="majorHAnsi" w:hAnsiTheme="majorHAnsi" w:cs="Times New Roman"/>
          <w:noProof/>
          <w:lang w:val="sq-AL"/>
        </w:rPr>
        <w:t xml:space="preserve">për </w:t>
      </w:r>
      <w:r w:rsidRPr="002E06C4">
        <w:rPr>
          <w:rFonts w:asciiTheme="majorHAnsi" w:hAnsiTheme="majorHAnsi" w:cs="Times New Roman"/>
          <w:noProof/>
          <w:lang w:val="sq-AL"/>
        </w:rPr>
        <w:t>vitin</w:t>
      </w:r>
      <w:r w:rsidR="006D2CC4" w:rsidRPr="002E06C4">
        <w:rPr>
          <w:rFonts w:asciiTheme="majorHAnsi" w:hAnsiTheme="majorHAnsi" w:cs="Times New Roman"/>
          <w:noProof/>
          <w:lang w:val="sq-AL"/>
        </w:rPr>
        <w:t xml:space="preserve"> 2018, janë realizuar në vlerën 393.1 miliardë lekë</w:t>
      </w:r>
      <w:r w:rsidRPr="002E06C4">
        <w:rPr>
          <w:rFonts w:asciiTheme="majorHAnsi" w:hAnsiTheme="majorHAnsi" w:cs="Times New Roman"/>
          <w:noProof/>
          <w:lang w:val="sq-AL"/>
        </w:rPr>
        <w:t xml:space="preserve">  </w:t>
      </w:r>
      <w:r w:rsidR="006D2CC4" w:rsidRPr="002E06C4">
        <w:rPr>
          <w:rFonts w:asciiTheme="majorHAnsi" w:hAnsiTheme="majorHAnsi" w:cs="Times New Roman"/>
          <w:noProof/>
          <w:lang w:val="sq-AL"/>
        </w:rPr>
        <w:t xml:space="preserve">, 4.5 për qind ose 16.9 miliardë lekë më shumë se e njëjta periudhë e vitit të kaluar dhe në masën 98 për qind të planit vjetor </w:t>
      </w:r>
      <w:r w:rsidRPr="002E06C4">
        <w:rPr>
          <w:rFonts w:asciiTheme="majorHAnsi" w:hAnsiTheme="majorHAnsi" w:cs="Times New Roman"/>
          <w:noProof/>
          <w:lang w:val="sq-AL"/>
        </w:rPr>
        <w:t>fillestar.</w:t>
      </w:r>
      <w:r w:rsidRPr="002E06C4">
        <w:rPr>
          <w:rStyle w:val="FootnoteReference"/>
          <w:rFonts w:asciiTheme="majorHAnsi" w:hAnsiTheme="majorHAnsi" w:cs="Times New Roman"/>
          <w:noProof/>
          <w:lang w:val="sq-AL"/>
        </w:rPr>
        <w:footnoteReference w:id="5"/>
      </w:r>
      <w:r w:rsidR="006D2CC4" w:rsidRPr="002E06C4">
        <w:rPr>
          <w:rFonts w:asciiTheme="majorHAnsi" w:hAnsiTheme="majorHAnsi" w:cs="Times New Roman"/>
          <w:noProof/>
          <w:lang w:val="sq-AL"/>
        </w:rPr>
        <w:t xml:space="preserve"> </w:t>
      </w:r>
    </w:p>
    <w:p w14:paraId="1178249B" w14:textId="77777777" w:rsidR="00FD59D8" w:rsidRPr="002E06C4" w:rsidRDefault="006D2CC4" w:rsidP="006D2CC4">
      <w:pPr>
        <w:spacing w:before="240" w:line="276" w:lineRule="auto"/>
        <w:jc w:val="both"/>
        <w:rPr>
          <w:rFonts w:asciiTheme="majorHAnsi" w:hAnsiTheme="majorHAnsi" w:cs="Times New Roman"/>
          <w:noProof/>
          <w:lang w:val="sq-AL"/>
        </w:rPr>
      </w:pPr>
      <w:r w:rsidRPr="002E06C4">
        <w:rPr>
          <w:rFonts w:asciiTheme="majorHAnsi" w:hAnsiTheme="majorHAnsi" w:cs="Times New Roman"/>
          <w:noProof/>
          <w:lang w:val="sq-AL"/>
        </w:rPr>
        <w:lastRenderedPageBreak/>
        <w:t xml:space="preserve">Rezultati pozitiv krahasuar me vitin e kaluar, është tregues i rëndësishëm i përmirësimit të përformancës së mbledhjes së të ardhurave në kuadër të reformës së konsolidimit të financave publike. </w:t>
      </w:r>
      <w:r w:rsidR="0035253D" w:rsidRPr="002E06C4">
        <w:rPr>
          <w:rFonts w:asciiTheme="majorHAnsi" w:hAnsiTheme="majorHAnsi" w:cs="Times New Roman"/>
          <w:noProof/>
          <w:lang w:val="sq-AL"/>
        </w:rPr>
        <w:t>Rritja e t</w:t>
      </w:r>
      <w:r w:rsidR="00C33B16" w:rsidRPr="002E06C4">
        <w:rPr>
          <w:rFonts w:asciiTheme="majorHAnsi" w:hAnsiTheme="majorHAnsi" w:cs="Times New Roman"/>
          <w:noProof/>
          <w:lang w:val="sq-AL"/>
        </w:rPr>
        <w:t>ë</w:t>
      </w:r>
      <w:r w:rsidR="0035253D" w:rsidRPr="002E06C4">
        <w:rPr>
          <w:rFonts w:asciiTheme="majorHAnsi" w:hAnsiTheme="majorHAnsi" w:cs="Times New Roman"/>
          <w:noProof/>
          <w:lang w:val="sq-AL"/>
        </w:rPr>
        <w:t xml:space="preserve"> ardhurave krahasuar me nj</w:t>
      </w:r>
      <w:r w:rsidR="00C33B16" w:rsidRPr="002E06C4">
        <w:rPr>
          <w:rFonts w:asciiTheme="majorHAnsi" w:hAnsiTheme="majorHAnsi" w:cs="Times New Roman"/>
          <w:noProof/>
          <w:lang w:val="sq-AL"/>
        </w:rPr>
        <w:t>ë</w:t>
      </w:r>
      <w:r w:rsidR="0035253D" w:rsidRPr="002E06C4">
        <w:rPr>
          <w:rFonts w:asciiTheme="majorHAnsi" w:hAnsiTheme="majorHAnsi" w:cs="Times New Roman"/>
          <w:noProof/>
          <w:lang w:val="sq-AL"/>
        </w:rPr>
        <w:t xml:space="preserve"> vit m</w:t>
      </w:r>
      <w:r w:rsidR="00C33B16" w:rsidRPr="002E06C4">
        <w:rPr>
          <w:rFonts w:asciiTheme="majorHAnsi" w:hAnsiTheme="majorHAnsi" w:cs="Times New Roman"/>
          <w:noProof/>
          <w:lang w:val="sq-AL"/>
        </w:rPr>
        <w:t>ë</w:t>
      </w:r>
      <w:r w:rsidR="0035253D" w:rsidRPr="002E06C4">
        <w:rPr>
          <w:rFonts w:asciiTheme="majorHAnsi" w:hAnsiTheme="majorHAnsi" w:cs="Times New Roman"/>
          <w:noProof/>
          <w:lang w:val="sq-AL"/>
        </w:rPr>
        <w:t xml:space="preserve"> par</w:t>
      </w:r>
      <w:r w:rsidR="00C33B16" w:rsidRPr="002E06C4">
        <w:rPr>
          <w:rFonts w:asciiTheme="majorHAnsi" w:hAnsiTheme="majorHAnsi" w:cs="Times New Roman"/>
          <w:noProof/>
          <w:lang w:val="sq-AL"/>
        </w:rPr>
        <w:t>ë</w:t>
      </w:r>
      <w:r w:rsidR="0035253D" w:rsidRPr="002E06C4">
        <w:rPr>
          <w:rFonts w:asciiTheme="majorHAnsi" w:hAnsiTheme="majorHAnsi" w:cs="Times New Roman"/>
          <w:noProof/>
          <w:lang w:val="sq-AL"/>
        </w:rPr>
        <w:t xml:space="preserve"> </w:t>
      </w:r>
      <w:r w:rsidRPr="002E06C4">
        <w:rPr>
          <w:rFonts w:asciiTheme="majorHAnsi" w:hAnsiTheme="majorHAnsi" w:cs="Times New Roman"/>
          <w:noProof/>
          <w:lang w:val="sq-AL"/>
        </w:rPr>
        <w:t xml:space="preserve">vjen </w:t>
      </w:r>
      <w:r w:rsidR="0035253D" w:rsidRPr="002E06C4">
        <w:rPr>
          <w:rFonts w:asciiTheme="majorHAnsi" w:hAnsiTheme="majorHAnsi" w:cs="Times New Roman"/>
          <w:noProof/>
          <w:lang w:val="sq-AL"/>
        </w:rPr>
        <w:t>si</w:t>
      </w:r>
      <w:r w:rsidRPr="002E06C4">
        <w:rPr>
          <w:rFonts w:asciiTheme="majorHAnsi" w:hAnsiTheme="majorHAnsi" w:cs="Times New Roman"/>
          <w:noProof/>
          <w:lang w:val="sq-AL"/>
        </w:rPr>
        <w:t xml:space="preserve"> nga impakti i rritjes ekonomike</w:t>
      </w:r>
      <w:r w:rsidR="0035253D" w:rsidRPr="002E06C4">
        <w:rPr>
          <w:rFonts w:asciiTheme="majorHAnsi" w:hAnsiTheme="majorHAnsi" w:cs="Times New Roman"/>
          <w:noProof/>
          <w:lang w:val="sq-AL"/>
        </w:rPr>
        <w:t>, ashtu</w:t>
      </w:r>
      <w:r w:rsidRPr="002E06C4">
        <w:rPr>
          <w:rFonts w:asciiTheme="majorHAnsi" w:hAnsiTheme="majorHAnsi" w:cs="Times New Roman"/>
          <w:noProof/>
          <w:lang w:val="sq-AL"/>
        </w:rPr>
        <w:t xml:space="preserve"> </w:t>
      </w:r>
      <w:r w:rsidR="0035253D" w:rsidRPr="002E06C4">
        <w:rPr>
          <w:rFonts w:asciiTheme="majorHAnsi" w:hAnsiTheme="majorHAnsi" w:cs="Times New Roman"/>
          <w:noProof/>
          <w:lang w:val="sq-AL"/>
        </w:rPr>
        <w:t>e</w:t>
      </w:r>
      <w:r w:rsidRPr="002E06C4">
        <w:rPr>
          <w:rFonts w:asciiTheme="majorHAnsi" w:hAnsiTheme="majorHAnsi" w:cs="Times New Roman"/>
          <w:noProof/>
          <w:lang w:val="sq-AL"/>
        </w:rPr>
        <w:t>dhe nga përmirësimi në administrimin e taksave</w:t>
      </w:r>
      <w:r w:rsidR="0035253D" w:rsidRPr="002E06C4">
        <w:rPr>
          <w:rFonts w:asciiTheme="majorHAnsi" w:hAnsiTheme="majorHAnsi" w:cs="Times New Roman"/>
          <w:noProof/>
          <w:lang w:val="sq-AL"/>
        </w:rPr>
        <w:t xml:space="preserve">. </w:t>
      </w:r>
    </w:p>
    <w:p w14:paraId="49210588" w14:textId="77777777" w:rsidR="006D577E" w:rsidRPr="006D577E" w:rsidRDefault="0035253D" w:rsidP="006D577E">
      <w:pPr>
        <w:spacing w:before="240" w:after="240" w:line="276" w:lineRule="auto"/>
        <w:jc w:val="both"/>
        <w:rPr>
          <w:rFonts w:asciiTheme="majorHAnsi" w:hAnsiTheme="majorHAnsi" w:cs="Times New Roman"/>
          <w:noProof/>
          <w:lang w:val="sq-AL"/>
        </w:rPr>
      </w:pPr>
      <w:r w:rsidRPr="002E06C4">
        <w:rPr>
          <w:rFonts w:asciiTheme="majorHAnsi" w:hAnsiTheme="majorHAnsi" w:cs="Times New Roman"/>
          <w:noProof/>
          <w:lang w:val="sq-AL"/>
        </w:rPr>
        <w:t>Megjithat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ndryshimi i kurseve 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k</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mbimit ka sjell</w:t>
      </w:r>
      <w:r w:rsidR="00C33B16" w:rsidRPr="002E06C4">
        <w:rPr>
          <w:rFonts w:asciiTheme="majorHAnsi" w:hAnsiTheme="majorHAnsi" w:cs="Times New Roman"/>
          <w:noProof/>
          <w:lang w:val="sq-AL"/>
        </w:rPr>
        <w:t>ë</w:t>
      </w:r>
      <w:r w:rsidR="006D2CC4" w:rsidRPr="002E06C4">
        <w:rPr>
          <w:rFonts w:asciiTheme="majorHAnsi" w:hAnsiTheme="majorHAnsi" w:cs="Times New Roman"/>
          <w:noProof/>
          <w:lang w:val="sq-AL"/>
        </w:rPr>
        <w:t xml:space="preserve"> efekte negative në të ardhurat nga importi </w:t>
      </w:r>
      <w:r w:rsidRPr="002E06C4">
        <w:rPr>
          <w:rFonts w:asciiTheme="majorHAnsi" w:hAnsiTheme="majorHAnsi" w:cs="Times New Roman"/>
          <w:noProof/>
          <w:lang w:val="sq-AL"/>
        </w:rPr>
        <w:t>çka ka shkaktuar edhe mosrealizimin e plot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t</w:t>
      </w:r>
      <w:r w:rsidR="00C33B16" w:rsidRPr="002E06C4">
        <w:rPr>
          <w:rFonts w:asciiTheme="majorHAnsi" w:hAnsiTheme="majorHAnsi" w:cs="Times New Roman"/>
          <w:noProof/>
          <w:lang w:val="sq-AL"/>
        </w:rPr>
        <w:t>ë</w:t>
      </w:r>
      <w:r w:rsidRPr="002E06C4">
        <w:rPr>
          <w:rFonts w:asciiTheme="majorHAnsi" w:hAnsiTheme="majorHAnsi" w:cs="Times New Roman"/>
          <w:noProof/>
          <w:lang w:val="sq-AL"/>
        </w:rPr>
        <w:t xml:space="preserve"> planit vjetor. </w:t>
      </w:r>
      <w:r w:rsidR="006D2CC4" w:rsidRPr="002E06C4">
        <w:rPr>
          <w:rFonts w:asciiTheme="majorHAnsi" w:hAnsiTheme="majorHAnsi" w:cs="Times New Roman"/>
          <w:noProof/>
          <w:lang w:val="sq-AL"/>
        </w:rPr>
        <w:t>Tabela në vijim paraqet të dhëna të detajuara mbi performancën e të ardhurave tatimore.</w:t>
      </w:r>
    </w:p>
    <w:p w14:paraId="12DE073A" w14:textId="77777777" w:rsidR="006D577E" w:rsidRDefault="006D577E" w:rsidP="006D577E">
      <w:pPr>
        <w:pStyle w:val="Caption"/>
        <w:keepNext/>
        <w:spacing w:after="0"/>
      </w:pPr>
      <w:bookmarkStart w:id="83" w:name="_Toc11135122"/>
      <w:r>
        <w:t xml:space="preserve">Tabela </w:t>
      </w:r>
      <w:r w:rsidR="003D3813">
        <w:fldChar w:fldCharType="begin"/>
      </w:r>
      <w:r w:rsidR="003D3813">
        <w:instrText xml:space="preserve"> SEQ Tabela \* ARABIC </w:instrText>
      </w:r>
      <w:r w:rsidR="003D3813">
        <w:fldChar w:fldCharType="separate"/>
      </w:r>
      <w:r w:rsidR="006A57F3">
        <w:rPr>
          <w:noProof/>
        </w:rPr>
        <w:t>8</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Të ardhurat nga tatimet dhe doganat (në milionë lekë)</w:t>
      </w:r>
      <w:bookmarkEnd w:id="83"/>
    </w:p>
    <w:tbl>
      <w:tblPr>
        <w:tblStyle w:val="GridTable4-Accent11"/>
        <w:tblW w:w="0" w:type="auto"/>
        <w:jc w:val="center"/>
        <w:tblLayout w:type="fixed"/>
        <w:tblLook w:val="04A0" w:firstRow="1" w:lastRow="0" w:firstColumn="1" w:lastColumn="0" w:noHBand="0" w:noVBand="1"/>
      </w:tblPr>
      <w:tblGrid>
        <w:gridCol w:w="2606"/>
        <w:gridCol w:w="787"/>
        <w:gridCol w:w="787"/>
        <w:gridCol w:w="787"/>
        <w:gridCol w:w="787"/>
        <w:gridCol w:w="787"/>
        <w:gridCol w:w="787"/>
        <w:gridCol w:w="787"/>
        <w:gridCol w:w="787"/>
        <w:gridCol w:w="787"/>
        <w:gridCol w:w="787"/>
      </w:tblGrid>
      <w:tr w:rsidR="0035253D" w:rsidRPr="002E06C4" w14:paraId="4470C134" w14:textId="77777777" w:rsidTr="00D30931">
        <w:trPr>
          <w:cnfStyle w:val="100000000000" w:firstRow="1" w:lastRow="0" w:firstColumn="0" w:lastColumn="0" w:oddVBand="0" w:evenVBand="0" w:oddHBand="0" w:evenHBand="0" w:firstRowFirstColumn="0" w:firstRowLastColumn="0" w:lastRowFirstColumn="0" w:lastRowLastColumn="0"/>
          <w:trHeight w:val="16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6AC80739" w14:textId="77777777" w:rsidR="0035253D" w:rsidRPr="002E06C4" w:rsidRDefault="0035253D" w:rsidP="0035253D">
            <w:pPr>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Lloji i taksave</w:t>
            </w:r>
          </w:p>
        </w:tc>
        <w:tc>
          <w:tcPr>
            <w:tcW w:w="787" w:type="dxa"/>
            <w:hideMark/>
          </w:tcPr>
          <w:p w14:paraId="16C9F6AB"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Fakt 12 mujor 2017</w:t>
            </w:r>
          </w:p>
        </w:tc>
        <w:tc>
          <w:tcPr>
            <w:tcW w:w="787" w:type="dxa"/>
            <w:hideMark/>
          </w:tcPr>
          <w:p w14:paraId="5D08B365"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 xml:space="preserve"> Fakt 12 mujor 2018</w:t>
            </w:r>
          </w:p>
        </w:tc>
        <w:tc>
          <w:tcPr>
            <w:tcW w:w="787" w:type="dxa"/>
            <w:hideMark/>
          </w:tcPr>
          <w:p w14:paraId="31D70927"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Plan Fillestar 2018</w:t>
            </w:r>
          </w:p>
        </w:tc>
        <w:tc>
          <w:tcPr>
            <w:tcW w:w="787" w:type="dxa"/>
            <w:hideMark/>
          </w:tcPr>
          <w:p w14:paraId="2186E061"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16"/>
                <w:szCs w:val="16"/>
                <w:lang w:val="sq-AL"/>
              </w:rPr>
            </w:pPr>
            <w:r w:rsidRPr="002E06C4">
              <w:rPr>
                <w:rFonts w:asciiTheme="majorHAnsi" w:eastAsia="Times New Roman" w:hAnsiTheme="majorHAnsi" w:cs="Times New Roman"/>
                <w:sz w:val="16"/>
                <w:szCs w:val="16"/>
                <w:lang w:val="sq-AL"/>
              </w:rPr>
              <w:t>Diferenca 2018/</w:t>
            </w:r>
          </w:p>
          <w:p w14:paraId="4E5AC074"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2017</w:t>
            </w:r>
          </w:p>
        </w:tc>
        <w:tc>
          <w:tcPr>
            <w:tcW w:w="787" w:type="dxa"/>
            <w:hideMark/>
          </w:tcPr>
          <w:p w14:paraId="0A960C78"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Ndryshimi në % 2018/2017</w:t>
            </w:r>
          </w:p>
        </w:tc>
        <w:tc>
          <w:tcPr>
            <w:tcW w:w="787" w:type="dxa"/>
            <w:hideMark/>
          </w:tcPr>
          <w:p w14:paraId="39690168"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Diferenca Fakt/ Plan 2018</w:t>
            </w:r>
          </w:p>
        </w:tc>
        <w:tc>
          <w:tcPr>
            <w:tcW w:w="787" w:type="dxa"/>
            <w:hideMark/>
          </w:tcPr>
          <w:p w14:paraId="0C67B3E6"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Ndryshimi në %  Fakt/Plan 2018</w:t>
            </w:r>
          </w:p>
        </w:tc>
        <w:tc>
          <w:tcPr>
            <w:tcW w:w="787" w:type="dxa"/>
            <w:hideMark/>
          </w:tcPr>
          <w:p w14:paraId="016D2C1E"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2018 (plani i rishikuar AN2)</w:t>
            </w:r>
          </w:p>
        </w:tc>
        <w:tc>
          <w:tcPr>
            <w:tcW w:w="787" w:type="dxa"/>
            <w:hideMark/>
          </w:tcPr>
          <w:p w14:paraId="544218CB"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Ndryshimi në % 2018/2017</w:t>
            </w:r>
          </w:p>
        </w:tc>
        <w:tc>
          <w:tcPr>
            <w:tcW w:w="787" w:type="dxa"/>
            <w:hideMark/>
          </w:tcPr>
          <w:p w14:paraId="06BE0FCC" w14:textId="77777777" w:rsidR="0035253D" w:rsidRPr="002E06C4" w:rsidRDefault="0035253D" w:rsidP="003525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6"/>
                <w:szCs w:val="16"/>
                <w:lang w:val="sq-AL"/>
              </w:rPr>
            </w:pPr>
            <w:r w:rsidRPr="002E06C4">
              <w:rPr>
                <w:rFonts w:asciiTheme="majorHAnsi" w:eastAsia="Times New Roman" w:hAnsiTheme="majorHAnsi" w:cs="Times New Roman"/>
                <w:sz w:val="16"/>
                <w:szCs w:val="16"/>
                <w:lang w:val="sq-AL"/>
              </w:rPr>
              <w:t>Diferenca Fakt/ Plan I rishikuar 2018</w:t>
            </w:r>
          </w:p>
        </w:tc>
      </w:tr>
      <w:tr w:rsidR="002521DC" w:rsidRPr="002E06C4" w14:paraId="4602AF82" w14:textId="77777777" w:rsidTr="00D3093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34B0B54B"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TVSH TOTAL</w:t>
            </w:r>
          </w:p>
        </w:tc>
        <w:tc>
          <w:tcPr>
            <w:tcW w:w="787" w:type="dxa"/>
            <w:hideMark/>
          </w:tcPr>
          <w:p w14:paraId="7A27CA12"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139 540</w:t>
            </w:r>
          </w:p>
        </w:tc>
        <w:tc>
          <w:tcPr>
            <w:tcW w:w="787" w:type="dxa"/>
            <w:hideMark/>
          </w:tcPr>
          <w:p w14:paraId="63800DD9"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143 464</w:t>
            </w:r>
          </w:p>
        </w:tc>
        <w:tc>
          <w:tcPr>
            <w:tcW w:w="787" w:type="dxa"/>
            <w:hideMark/>
          </w:tcPr>
          <w:p w14:paraId="42A01AAB"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151 634</w:t>
            </w:r>
          </w:p>
        </w:tc>
        <w:tc>
          <w:tcPr>
            <w:tcW w:w="787" w:type="dxa"/>
            <w:hideMark/>
          </w:tcPr>
          <w:p w14:paraId="132BEDFC"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3 924</w:t>
            </w:r>
          </w:p>
        </w:tc>
        <w:tc>
          <w:tcPr>
            <w:tcW w:w="787" w:type="dxa"/>
            <w:hideMark/>
          </w:tcPr>
          <w:p w14:paraId="1755AA8D"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2,8%</w:t>
            </w:r>
          </w:p>
        </w:tc>
        <w:tc>
          <w:tcPr>
            <w:tcW w:w="787" w:type="dxa"/>
            <w:hideMark/>
          </w:tcPr>
          <w:p w14:paraId="4C7C9A12"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-3 089</w:t>
            </w:r>
          </w:p>
        </w:tc>
        <w:tc>
          <w:tcPr>
            <w:tcW w:w="787" w:type="dxa"/>
            <w:hideMark/>
          </w:tcPr>
          <w:p w14:paraId="632F7CE1"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14"/>
                <w:szCs w:val="14"/>
                <w:lang w:val="sq-AL"/>
              </w:rPr>
            </w:pPr>
            <w:r w:rsidRPr="002E06C4">
              <w:rPr>
                <w:rFonts w:asciiTheme="majorHAnsi" w:hAnsiTheme="majorHAnsi" w:cs="Times New Roman"/>
                <w:b/>
                <w:bCs/>
                <w:color w:val="000000"/>
                <w:sz w:val="14"/>
                <w:szCs w:val="14"/>
                <w:lang w:val="sq-AL"/>
              </w:rPr>
              <w:t>-2,0%</w:t>
            </w:r>
          </w:p>
        </w:tc>
        <w:tc>
          <w:tcPr>
            <w:tcW w:w="787" w:type="dxa"/>
            <w:hideMark/>
          </w:tcPr>
          <w:p w14:paraId="2FD6A37F"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146 553</w:t>
            </w:r>
          </w:p>
        </w:tc>
        <w:tc>
          <w:tcPr>
            <w:tcW w:w="787" w:type="dxa"/>
            <w:hideMark/>
          </w:tcPr>
          <w:p w14:paraId="584B1E38"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-3 089</w:t>
            </w:r>
          </w:p>
        </w:tc>
        <w:tc>
          <w:tcPr>
            <w:tcW w:w="787" w:type="dxa"/>
            <w:hideMark/>
          </w:tcPr>
          <w:p w14:paraId="54D33770"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-2,1%</w:t>
            </w:r>
          </w:p>
        </w:tc>
      </w:tr>
      <w:tr w:rsidR="002521DC" w:rsidRPr="002E06C4" w14:paraId="194532CC" w14:textId="77777777" w:rsidTr="00D30931">
        <w:trPr>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7013F6AD" w14:textId="77777777" w:rsidR="002521DC" w:rsidRPr="002E06C4" w:rsidRDefault="002521DC" w:rsidP="002521DC">
            <w:pPr>
              <w:rPr>
                <w:rFonts w:asciiTheme="majorHAnsi" w:eastAsia="Times New Roman" w:hAnsiTheme="majorHAnsi" w:cs="Times New Roman"/>
                <w:i/>
                <w:iCs/>
                <w:color w:val="000000"/>
                <w:sz w:val="16"/>
                <w:szCs w:val="16"/>
                <w:lang w:val="sq-AL"/>
              </w:rPr>
            </w:pPr>
            <w:r w:rsidRPr="002E06C4">
              <w:rPr>
                <w:rFonts w:asciiTheme="majorHAnsi" w:eastAsia="Times New Roman" w:hAnsiTheme="majorHAnsi" w:cs="Times New Roman"/>
                <w:i/>
                <w:iCs/>
                <w:color w:val="000000"/>
                <w:sz w:val="16"/>
                <w:szCs w:val="16"/>
                <w:lang w:val="sq-AL"/>
              </w:rPr>
              <w:t xml:space="preserve">Tvsh në import </w:t>
            </w:r>
          </w:p>
        </w:tc>
        <w:tc>
          <w:tcPr>
            <w:tcW w:w="787" w:type="dxa"/>
            <w:hideMark/>
          </w:tcPr>
          <w:p w14:paraId="48EB2CA1"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104 586</w:t>
            </w:r>
          </w:p>
        </w:tc>
        <w:tc>
          <w:tcPr>
            <w:tcW w:w="787" w:type="dxa"/>
            <w:hideMark/>
          </w:tcPr>
          <w:p w14:paraId="011BF7FB"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107 157</w:t>
            </w:r>
          </w:p>
        </w:tc>
        <w:tc>
          <w:tcPr>
            <w:tcW w:w="787" w:type="dxa"/>
            <w:hideMark/>
          </w:tcPr>
          <w:p w14:paraId="29050358"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112 920</w:t>
            </w:r>
          </w:p>
        </w:tc>
        <w:tc>
          <w:tcPr>
            <w:tcW w:w="787" w:type="dxa"/>
            <w:hideMark/>
          </w:tcPr>
          <w:p w14:paraId="405E126C"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2 571</w:t>
            </w:r>
          </w:p>
        </w:tc>
        <w:tc>
          <w:tcPr>
            <w:tcW w:w="787" w:type="dxa"/>
            <w:hideMark/>
          </w:tcPr>
          <w:p w14:paraId="73F59B33"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2,5%</w:t>
            </w:r>
          </w:p>
        </w:tc>
        <w:tc>
          <w:tcPr>
            <w:tcW w:w="787" w:type="dxa"/>
            <w:hideMark/>
          </w:tcPr>
          <w:p w14:paraId="304FF382"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-5 763</w:t>
            </w:r>
          </w:p>
        </w:tc>
        <w:tc>
          <w:tcPr>
            <w:tcW w:w="787" w:type="dxa"/>
            <w:hideMark/>
          </w:tcPr>
          <w:p w14:paraId="063D7EFF"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-5,1%</w:t>
            </w:r>
          </w:p>
        </w:tc>
        <w:tc>
          <w:tcPr>
            <w:tcW w:w="787" w:type="dxa"/>
            <w:hideMark/>
          </w:tcPr>
          <w:p w14:paraId="003DBC08"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108 994</w:t>
            </w:r>
          </w:p>
        </w:tc>
        <w:tc>
          <w:tcPr>
            <w:tcW w:w="787" w:type="dxa"/>
            <w:hideMark/>
          </w:tcPr>
          <w:p w14:paraId="5B6325A5"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-1 837</w:t>
            </w:r>
          </w:p>
        </w:tc>
        <w:tc>
          <w:tcPr>
            <w:tcW w:w="787" w:type="dxa"/>
            <w:hideMark/>
          </w:tcPr>
          <w:p w14:paraId="05A80144"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-1,7%</w:t>
            </w:r>
          </w:p>
        </w:tc>
      </w:tr>
      <w:tr w:rsidR="002521DC" w:rsidRPr="002E06C4" w14:paraId="5A617AF4" w14:textId="77777777" w:rsidTr="00D3093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0EBA6C37" w14:textId="77777777" w:rsidR="002521DC" w:rsidRPr="002E06C4" w:rsidRDefault="002521DC" w:rsidP="002521DC">
            <w:pPr>
              <w:rPr>
                <w:rFonts w:asciiTheme="majorHAnsi" w:eastAsia="Times New Roman" w:hAnsiTheme="majorHAnsi" w:cs="Times New Roman"/>
                <w:i/>
                <w:iCs/>
                <w:color w:val="000000"/>
                <w:sz w:val="16"/>
                <w:szCs w:val="16"/>
                <w:lang w:val="sq-AL"/>
              </w:rPr>
            </w:pPr>
            <w:r w:rsidRPr="002E06C4">
              <w:rPr>
                <w:rFonts w:asciiTheme="majorHAnsi" w:eastAsia="Times New Roman" w:hAnsiTheme="majorHAnsi" w:cs="Times New Roman"/>
                <w:i/>
                <w:iCs/>
                <w:color w:val="000000"/>
                <w:sz w:val="16"/>
                <w:szCs w:val="16"/>
                <w:lang w:val="sq-AL"/>
              </w:rPr>
              <w:t>Tvsh brenda vendit</w:t>
            </w:r>
          </w:p>
        </w:tc>
        <w:tc>
          <w:tcPr>
            <w:tcW w:w="787" w:type="dxa"/>
            <w:hideMark/>
          </w:tcPr>
          <w:p w14:paraId="20D644FC"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34 954</w:t>
            </w:r>
          </w:p>
        </w:tc>
        <w:tc>
          <w:tcPr>
            <w:tcW w:w="787" w:type="dxa"/>
            <w:hideMark/>
          </w:tcPr>
          <w:p w14:paraId="57214A91"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36 307</w:t>
            </w:r>
          </w:p>
        </w:tc>
        <w:tc>
          <w:tcPr>
            <w:tcW w:w="787" w:type="dxa"/>
            <w:hideMark/>
          </w:tcPr>
          <w:p w14:paraId="33368068"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38 714</w:t>
            </w:r>
          </w:p>
        </w:tc>
        <w:tc>
          <w:tcPr>
            <w:tcW w:w="787" w:type="dxa"/>
            <w:hideMark/>
          </w:tcPr>
          <w:p w14:paraId="4CE8E68E"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1 353</w:t>
            </w:r>
          </w:p>
        </w:tc>
        <w:tc>
          <w:tcPr>
            <w:tcW w:w="787" w:type="dxa"/>
            <w:hideMark/>
          </w:tcPr>
          <w:p w14:paraId="1DE1A816"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3,9%</w:t>
            </w:r>
          </w:p>
        </w:tc>
        <w:tc>
          <w:tcPr>
            <w:tcW w:w="787" w:type="dxa"/>
            <w:hideMark/>
          </w:tcPr>
          <w:p w14:paraId="74FA06F1"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-2 407</w:t>
            </w:r>
          </w:p>
        </w:tc>
        <w:tc>
          <w:tcPr>
            <w:tcW w:w="787" w:type="dxa"/>
            <w:hideMark/>
          </w:tcPr>
          <w:p w14:paraId="36E9392C"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-6,2%</w:t>
            </w:r>
          </w:p>
        </w:tc>
        <w:tc>
          <w:tcPr>
            <w:tcW w:w="787" w:type="dxa"/>
            <w:hideMark/>
          </w:tcPr>
          <w:p w14:paraId="2C431CEF"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37 559</w:t>
            </w:r>
          </w:p>
        </w:tc>
        <w:tc>
          <w:tcPr>
            <w:tcW w:w="787" w:type="dxa"/>
            <w:hideMark/>
          </w:tcPr>
          <w:p w14:paraId="25B9CF66"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-1 252</w:t>
            </w:r>
          </w:p>
        </w:tc>
        <w:tc>
          <w:tcPr>
            <w:tcW w:w="787" w:type="dxa"/>
            <w:hideMark/>
          </w:tcPr>
          <w:p w14:paraId="645635F9"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-3,3%</w:t>
            </w:r>
          </w:p>
        </w:tc>
      </w:tr>
      <w:tr w:rsidR="002521DC" w:rsidRPr="002E06C4" w14:paraId="2BE6A388" w14:textId="77777777" w:rsidTr="00D30931">
        <w:trPr>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68B6D940"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Rimbursim TVSH</w:t>
            </w:r>
          </w:p>
        </w:tc>
        <w:tc>
          <w:tcPr>
            <w:tcW w:w="787" w:type="dxa"/>
            <w:hideMark/>
          </w:tcPr>
          <w:p w14:paraId="49B95AB2"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13 891</w:t>
            </w:r>
          </w:p>
        </w:tc>
        <w:tc>
          <w:tcPr>
            <w:tcW w:w="787" w:type="dxa"/>
            <w:hideMark/>
          </w:tcPr>
          <w:p w14:paraId="66D92E76"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14 394</w:t>
            </w:r>
          </w:p>
        </w:tc>
        <w:tc>
          <w:tcPr>
            <w:tcW w:w="787" w:type="dxa"/>
            <w:hideMark/>
          </w:tcPr>
          <w:p w14:paraId="34D84FDE"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15 000</w:t>
            </w:r>
          </w:p>
        </w:tc>
        <w:tc>
          <w:tcPr>
            <w:tcW w:w="787" w:type="dxa"/>
            <w:hideMark/>
          </w:tcPr>
          <w:p w14:paraId="697CB9CF"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503</w:t>
            </w:r>
          </w:p>
        </w:tc>
        <w:tc>
          <w:tcPr>
            <w:tcW w:w="787" w:type="dxa"/>
            <w:hideMark/>
          </w:tcPr>
          <w:p w14:paraId="70F122F2"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3,6%</w:t>
            </w:r>
          </w:p>
        </w:tc>
        <w:tc>
          <w:tcPr>
            <w:tcW w:w="787" w:type="dxa"/>
            <w:hideMark/>
          </w:tcPr>
          <w:p w14:paraId="6DD69B91"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-606</w:t>
            </w:r>
          </w:p>
        </w:tc>
        <w:tc>
          <w:tcPr>
            <w:tcW w:w="787" w:type="dxa"/>
            <w:hideMark/>
          </w:tcPr>
          <w:p w14:paraId="5D1AFB0A"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-4,0%</w:t>
            </w:r>
          </w:p>
        </w:tc>
        <w:tc>
          <w:tcPr>
            <w:tcW w:w="787" w:type="dxa"/>
            <w:hideMark/>
          </w:tcPr>
          <w:p w14:paraId="6F1DA817"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15 000</w:t>
            </w:r>
          </w:p>
        </w:tc>
        <w:tc>
          <w:tcPr>
            <w:tcW w:w="787" w:type="dxa"/>
            <w:hideMark/>
          </w:tcPr>
          <w:p w14:paraId="5FC6650D"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-606</w:t>
            </w:r>
          </w:p>
        </w:tc>
        <w:tc>
          <w:tcPr>
            <w:tcW w:w="787" w:type="dxa"/>
            <w:hideMark/>
          </w:tcPr>
          <w:p w14:paraId="591F96BD"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-4,0%</w:t>
            </w:r>
          </w:p>
        </w:tc>
      </w:tr>
      <w:tr w:rsidR="002521DC" w:rsidRPr="002E06C4" w14:paraId="417A6F63" w14:textId="77777777" w:rsidTr="00D3093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4A1C6E33"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Tatimi mbi fitimin</w:t>
            </w:r>
          </w:p>
        </w:tc>
        <w:tc>
          <w:tcPr>
            <w:tcW w:w="787" w:type="dxa"/>
            <w:hideMark/>
          </w:tcPr>
          <w:p w14:paraId="3FBC738B"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31 645</w:t>
            </w:r>
          </w:p>
        </w:tc>
        <w:tc>
          <w:tcPr>
            <w:tcW w:w="787" w:type="dxa"/>
            <w:hideMark/>
          </w:tcPr>
          <w:p w14:paraId="3BA96D3E"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34 461</w:t>
            </w:r>
          </w:p>
        </w:tc>
        <w:tc>
          <w:tcPr>
            <w:tcW w:w="787" w:type="dxa"/>
            <w:hideMark/>
          </w:tcPr>
          <w:p w14:paraId="6DD0C3E1"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34 323</w:t>
            </w:r>
          </w:p>
        </w:tc>
        <w:tc>
          <w:tcPr>
            <w:tcW w:w="787" w:type="dxa"/>
            <w:hideMark/>
          </w:tcPr>
          <w:p w14:paraId="7CF77F34"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2 816</w:t>
            </w:r>
          </w:p>
        </w:tc>
        <w:tc>
          <w:tcPr>
            <w:tcW w:w="787" w:type="dxa"/>
            <w:hideMark/>
          </w:tcPr>
          <w:p w14:paraId="3DD7E075"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8,9%</w:t>
            </w:r>
          </w:p>
        </w:tc>
        <w:tc>
          <w:tcPr>
            <w:tcW w:w="787" w:type="dxa"/>
            <w:hideMark/>
          </w:tcPr>
          <w:p w14:paraId="1DCAB801"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138</w:t>
            </w:r>
          </w:p>
        </w:tc>
        <w:tc>
          <w:tcPr>
            <w:tcW w:w="787" w:type="dxa"/>
            <w:hideMark/>
          </w:tcPr>
          <w:p w14:paraId="0501CD7E"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0,4%</w:t>
            </w:r>
          </w:p>
        </w:tc>
        <w:tc>
          <w:tcPr>
            <w:tcW w:w="787" w:type="dxa"/>
            <w:hideMark/>
          </w:tcPr>
          <w:p w14:paraId="3135070F"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33 823</w:t>
            </w:r>
          </w:p>
        </w:tc>
        <w:tc>
          <w:tcPr>
            <w:tcW w:w="787" w:type="dxa"/>
            <w:hideMark/>
          </w:tcPr>
          <w:p w14:paraId="5A5C8B56"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638</w:t>
            </w:r>
          </w:p>
        </w:tc>
        <w:tc>
          <w:tcPr>
            <w:tcW w:w="787" w:type="dxa"/>
            <w:hideMark/>
          </w:tcPr>
          <w:p w14:paraId="2B5A479F"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1,9%</w:t>
            </w:r>
          </w:p>
        </w:tc>
      </w:tr>
      <w:tr w:rsidR="002521DC" w:rsidRPr="002E06C4" w14:paraId="23572F2D" w14:textId="77777777" w:rsidTr="00D30931">
        <w:trPr>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110FED87"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 xml:space="preserve">Akciza </w:t>
            </w:r>
          </w:p>
        </w:tc>
        <w:tc>
          <w:tcPr>
            <w:tcW w:w="787" w:type="dxa"/>
            <w:hideMark/>
          </w:tcPr>
          <w:p w14:paraId="2B180F3D"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45 104</w:t>
            </w:r>
          </w:p>
        </w:tc>
        <w:tc>
          <w:tcPr>
            <w:tcW w:w="787" w:type="dxa"/>
            <w:hideMark/>
          </w:tcPr>
          <w:p w14:paraId="550D5DAB"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44 987</w:t>
            </w:r>
          </w:p>
        </w:tc>
        <w:tc>
          <w:tcPr>
            <w:tcW w:w="787" w:type="dxa"/>
            <w:hideMark/>
          </w:tcPr>
          <w:p w14:paraId="7CCF4009"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49 000</w:t>
            </w:r>
          </w:p>
        </w:tc>
        <w:tc>
          <w:tcPr>
            <w:tcW w:w="787" w:type="dxa"/>
            <w:hideMark/>
          </w:tcPr>
          <w:p w14:paraId="35D88E15"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-117</w:t>
            </w:r>
          </w:p>
        </w:tc>
        <w:tc>
          <w:tcPr>
            <w:tcW w:w="787" w:type="dxa"/>
            <w:hideMark/>
          </w:tcPr>
          <w:p w14:paraId="4FCF9C5C"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-0,3%</w:t>
            </w:r>
          </w:p>
        </w:tc>
        <w:tc>
          <w:tcPr>
            <w:tcW w:w="787" w:type="dxa"/>
            <w:hideMark/>
          </w:tcPr>
          <w:p w14:paraId="6AAE625E"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-4 013</w:t>
            </w:r>
          </w:p>
        </w:tc>
        <w:tc>
          <w:tcPr>
            <w:tcW w:w="787" w:type="dxa"/>
            <w:hideMark/>
          </w:tcPr>
          <w:p w14:paraId="3F008E09"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-8,2%</w:t>
            </w:r>
          </w:p>
        </w:tc>
        <w:tc>
          <w:tcPr>
            <w:tcW w:w="787" w:type="dxa"/>
            <w:hideMark/>
          </w:tcPr>
          <w:p w14:paraId="1355B99A"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48 443</w:t>
            </w:r>
          </w:p>
        </w:tc>
        <w:tc>
          <w:tcPr>
            <w:tcW w:w="787" w:type="dxa"/>
            <w:hideMark/>
          </w:tcPr>
          <w:p w14:paraId="5ABE039D"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-3 456</w:t>
            </w:r>
          </w:p>
        </w:tc>
        <w:tc>
          <w:tcPr>
            <w:tcW w:w="787" w:type="dxa"/>
            <w:hideMark/>
          </w:tcPr>
          <w:p w14:paraId="469D807E"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-7,1%</w:t>
            </w:r>
          </w:p>
        </w:tc>
      </w:tr>
      <w:tr w:rsidR="002521DC" w:rsidRPr="002E06C4" w14:paraId="46254B29" w14:textId="77777777" w:rsidTr="00D3093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62B99D2C"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Tatimi mbi të ardhurat personale</w:t>
            </w:r>
          </w:p>
        </w:tc>
        <w:tc>
          <w:tcPr>
            <w:tcW w:w="787" w:type="dxa"/>
            <w:hideMark/>
          </w:tcPr>
          <w:p w14:paraId="05CF9A4C"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32 102</w:t>
            </w:r>
          </w:p>
        </w:tc>
        <w:tc>
          <w:tcPr>
            <w:tcW w:w="787" w:type="dxa"/>
            <w:hideMark/>
          </w:tcPr>
          <w:p w14:paraId="085F0C03"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36 517</w:t>
            </w:r>
          </w:p>
        </w:tc>
        <w:tc>
          <w:tcPr>
            <w:tcW w:w="787" w:type="dxa"/>
            <w:hideMark/>
          </w:tcPr>
          <w:p w14:paraId="415C7D9F"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37 300</w:t>
            </w:r>
          </w:p>
        </w:tc>
        <w:tc>
          <w:tcPr>
            <w:tcW w:w="787" w:type="dxa"/>
            <w:hideMark/>
          </w:tcPr>
          <w:p w14:paraId="144C0EE3"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4 415</w:t>
            </w:r>
          </w:p>
        </w:tc>
        <w:tc>
          <w:tcPr>
            <w:tcW w:w="787" w:type="dxa"/>
            <w:hideMark/>
          </w:tcPr>
          <w:p w14:paraId="44E3D0F0"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13,8%</w:t>
            </w:r>
          </w:p>
        </w:tc>
        <w:tc>
          <w:tcPr>
            <w:tcW w:w="787" w:type="dxa"/>
            <w:hideMark/>
          </w:tcPr>
          <w:p w14:paraId="72D3630C"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-783</w:t>
            </w:r>
          </w:p>
        </w:tc>
        <w:tc>
          <w:tcPr>
            <w:tcW w:w="787" w:type="dxa"/>
            <w:hideMark/>
          </w:tcPr>
          <w:p w14:paraId="328BB7B9"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-2,1%</w:t>
            </w:r>
          </w:p>
        </w:tc>
        <w:tc>
          <w:tcPr>
            <w:tcW w:w="787" w:type="dxa"/>
            <w:hideMark/>
          </w:tcPr>
          <w:p w14:paraId="3514117E"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36 800</w:t>
            </w:r>
          </w:p>
        </w:tc>
        <w:tc>
          <w:tcPr>
            <w:tcW w:w="787" w:type="dxa"/>
            <w:hideMark/>
          </w:tcPr>
          <w:p w14:paraId="5DEFEE15"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-283</w:t>
            </w:r>
          </w:p>
        </w:tc>
        <w:tc>
          <w:tcPr>
            <w:tcW w:w="787" w:type="dxa"/>
            <w:hideMark/>
          </w:tcPr>
          <w:p w14:paraId="588D7744"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-0,8%</w:t>
            </w:r>
          </w:p>
        </w:tc>
      </w:tr>
      <w:tr w:rsidR="002521DC" w:rsidRPr="002E06C4" w14:paraId="5C9B2826" w14:textId="77777777" w:rsidTr="00D30931">
        <w:trPr>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1FC14D79"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Taksa Nacional dhe te tjera</w:t>
            </w:r>
          </w:p>
        </w:tc>
        <w:tc>
          <w:tcPr>
            <w:tcW w:w="787" w:type="dxa"/>
            <w:hideMark/>
          </w:tcPr>
          <w:p w14:paraId="55C5CBCF"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38 502</w:t>
            </w:r>
          </w:p>
        </w:tc>
        <w:tc>
          <w:tcPr>
            <w:tcW w:w="787" w:type="dxa"/>
            <w:hideMark/>
          </w:tcPr>
          <w:p w14:paraId="2028AE86"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38 673</w:t>
            </w:r>
          </w:p>
        </w:tc>
        <w:tc>
          <w:tcPr>
            <w:tcW w:w="787" w:type="dxa"/>
            <w:hideMark/>
          </w:tcPr>
          <w:p w14:paraId="53BC1ADA"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38 340</w:t>
            </w:r>
          </w:p>
        </w:tc>
        <w:tc>
          <w:tcPr>
            <w:tcW w:w="787" w:type="dxa"/>
            <w:hideMark/>
          </w:tcPr>
          <w:p w14:paraId="725F04AB"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171</w:t>
            </w:r>
          </w:p>
        </w:tc>
        <w:tc>
          <w:tcPr>
            <w:tcW w:w="787" w:type="dxa"/>
            <w:hideMark/>
          </w:tcPr>
          <w:p w14:paraId="42430E67"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0,4%</w:t>
            </w:r>
          </w:p>
        </w:tc>
        <w:tc>
          <w:tcPr>
            <w:tcW w:w="787" w:type="dxa"/>
            <w:hideMark/>
          </w:tcPr>
          <w:p w14:paraId="218C700B"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333</w:t>
            </w:r>
          </w:p>
        </w:tc>
        <w:tc>
          <w:tcPr>
            <w:tcW w:w="787" w:type="dxa"/>
            <w:hideMark/>
          </w:tcPr>
          <w:p w14:paraId="23B31BAE"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0,9%</w:t>
            </w:r>
          </w:p>
        </w:tc>
        <w:tc>
          <w:tcPr>
            <w:tcW w:w="787" w:type="dxa"/>
            <w:hideMark/>
          </w:tcPr>
          <w:p w14:paraId="2939B934"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39 015</w:t>
            </w:r>
          </w:p>
        </w:tc>
        <w:tc>
          <w:tcPr>
            <w:tcW w:w="787" w:type="dxa"/>
            <w:hideMark/>
          </w:tcPr>
          <w:p w14:paraId="2682D550"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-342</w:t>
            </w:r>
          </w:p>
        </w:tc>
        <w:tc>
          <w:tcPr>
            <w:tcW w:w="787" w:type="dxa"/>
            <w:hideMark/>
          </w:tcPr>
          <w:p w14:paraId="043E143D"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-0,9%</w:t>
            </w:r>
          </w:p>
        </w:tc>
      </w:tr>
      <w:tr w:rsidR="002521DC" w:rsidRPr="002E06C4" w14:paraId="54FBCADE" w14:textId="77777777" w:rsidTr="00D3093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4760184A" w14:textId="77777777" w:rsidR="002521DC" w:rsidRPr="002E06C4" w:rsidRDefault="002521DC" w:rsidP="002521DC">
            <w:pPr>
              <w:rPr>
                <w:rFonts w:asciiTheme="majorHAnsi" w:eastAsia="Times New Roman" w:hAnsiTheme="majorHAnsi" w:cs="Times New Roman"/>
                <w:i/>
                <w:iCs/>
                <w:color w:val="000000"/>
                <w:sz w:val="16"/>
                <w:szCs w:val="16"/>
                <w:lang w:val="sq-AL"/>
              </w:rPr>
            </w:pPr>
            <w:r w:rsidRPr="002E06C4">
              <w:rPr>
                <w:rFonts w:asciiTheme="majorHAnsi" w:eastAsia="Times New Roman" w:hAnsiTheme="majorHAnsi" w:cs="Times New Roman"/>
                <w:i/>
                <w:iCs/>
                <w:color w:val="000000"/>
                <w:sz w:val="16"/>
                <w:szCs w:val="16"/>
                <w:lang w:val="sq-AL"/>
              </w:rPr>
              <w:t>Taksat nacionale</w:t>
            </w:r>
          </w:p>
        </w:tc>
        <w:tc>
          <w:tcPr>
            <w:tcW w:w="787" w:type="dxa"/>
            <w:hideMark/>
          </w:tcPr>
          <w:p w14:paraId="4C90AA98"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36 169</w:t>
            </w:r>
          </w:p>
        </w:tc>
        <w:tc>
          <w:tcPr>
            <w:tcW w:w="787" w:type="dxa"/>
            <w:hideMark/>
          </w:tcPr>
          <w:p w14:paraId="64ED6FA5"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36 055</w:t>
            </w:r>
          </w:p>
        </w:tc>
        <w:tc>
          <w:tcPr>
            <w:tcW w:w="787" w:type="dxa"/>
            <w:hideMark/>
          </w:tcPr>
          <w:p w14:paraId="03E0F266"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34 640</w:t>
            </w:r>
          </w:p>
        </w:tc>
        <w:tc>
          <w:tcPr>
            <w:tcW w:w="787" w:type="dxa"/>
            <w:hideMark/>
          </w:tcPr>
          <w:p w14:paraId="67BFE448"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-114</w:t>
            </w:r>
          </w:p>
        </w:tc>
        <w:tc>
          <w:tcPr>
            <w:tcW w:w="787" w:type="dxa"/>
            <w:hideMark/>
          </w:tcPr>
          <w:p w14:paraId="47A584F5"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-0,3%</w:t>
            </w:r>
          </w:p>
        </w:tc>
        <w:tc>
          <w:tcPr>
            <w:tcW w:w="787" w:type="dxa"/>
            <w:hideMark/>
          </w:tcPr>
          <w:p w14:paraId="33EA8CF0"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1 415</w:t>
            </w:r>
          </w:p>
        </w:tc>
        <w:tc>
          <w:tcPr>
            <w:tcW w:w="787" w:type="dxa"/>
            <w:hideMark/>
          </w:tcPr>
          <w:p w14:paraId="482D962C"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4,1%</w:t>
            </w:r>
          </w:p>
        </w:tc>
        <w:tc>
          <w:tcPr>
            <w:tcW w:w="787" w:type="dxa"/>
            <w:hideMark/>
          </w:tcPr>
          <w:p w14:paraId="17E6FEA9"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36 005</w:t>
            </w:r>
          </w:p>
        </w:tc>
        <w:tc>
          <w:tcPr>
            <w:tcW w:w="787" w:type="dxa"/>
            <w:hideMark/>
          </w:tcPr>
          <w:p w14:paraId="13C469B8"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50</w:t>
            </w:r>
          </w:p>
        </w:tc>
        <w:tc>
          <w:tcPr>
            <w:tcW w:w="787" w:type="dxa"/>
            <w:hideMark/>
          </w:tcPr>
          <w:p w14:paraId="711886E4"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0,1%</w:t>
            </w:r>
          </w:p>
        </w:tc>
      </w:tr>
      <w:tr w:rsidR="002521DC" w:rsidRPr="002E06C4" w14:paraId="4845AAA9" w14:textId="77777777" w:rsidTr="00D30931">
        <w:trPr>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5AA2922B" w14:textId="77777777" w:rsidR="002521DC" w:rsidRPr="002E06C4" w:rsidRDefault="002521DC" w:rsidP="002521DC">
            <w:pPr>
              <w:rPr>
                <w:rFonts w:asciiTheme="majorHAnsi" w:eastAsia="Times New Roman" w:hAnsiTheme="majorHAnsi" w:cs="Times New Roman"/>
                <w:i/>
                <w:iCs/>
                <w:color w:val="000000"/>
                <w:sz w:val="16"/>
                <w:szCs w:val="16"/>
                <w:lang w:val="sq-AL"/>
              </w:rPr>
            </w:pPr>
            <w:r w:rsidRPr="002E06C4">
              <w:rPr>
                <w:rFonts w:asciiTheme="majorHAnsi" w:eastAsia="Times New Roman" w:hAnsiTheme="majorHAnsi" w:cs="Times New Roman"/>
                <w:i/>
                <w:iCs/>
                <w:color w:val="000000"/>
                <w:sz w:val="16"/>
                <w:szCs w:val="16"/>
                <w:lang w:val="sq-AL"/>
              </w:rPr>
              <w:t>Renta Minerare</w:t>
            </w:r>
          </w:p>
        </w:tc>
        <w:tc>
          <w:tcPr>
            <w:tcW w:w="787" w:type="dxa"/>
            <w:hideMark/>
          </w:tcPr>
          <w:p w14:paraId="29CE6E90"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2 333</w:t>
            </w:r>
          </w:p>
        </w:tc>
        <w:tc>
          <w:tcPr>
            <w:tcW w:w="787" w:type="dxa"/>
            <w:hideMark/>
          </w:tcPr>
          <w:p w14:paraId="6F745636"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2 618</w:t>
            </w:r>
          </w:p>
        </w:tc>
        <w:tc>
          <w:tcPr>
            <w:tcW w:w="787" w:type="dxa"/>
            <w:hideMark/>
          </w:tcPr>
          <w:p w14:paraId="5D1C55E5"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3 700</w:t>
            </w:r>
          </w:p>
        </w:tc>
        <w:tc>
          <w:tcPr>
            <w:tcW w:w="787" w:type="dxa"/>
            <w:hideMark/>
          </w:tcPr>
          <w:p w14:paraId="23180AD5"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285</w:t>
            </w:r>
          </w:p>
        </w:tc>
        <w:tc>
          <w:tcPr>
            <w:tcW w:w="787" w:type="dxa"/>
            <w:hideMark/>
          </w:tcPr>
          <w:p w14:paraId="6C6462A5"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12,2%</w:t>
            </w:r>
          </w:p>
        </w:tc>
        <w:tc>
          <w:tcPr>
            <w:tcW w:w="787" w:type="dxa"/>
            <w:hideMark/>
          </w:tcPr>
          <w:p w14:paraId="622948E7"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-1 082</w:t>
            </w:r>
          </w:p>
        </w:tc>
        <w:tc>
          <w:tcPr>
            <w:tcW w:w="787" w:type="dxa"/>
            <w:hideMark/>
          </w:tcPr>
          <w:p w14:paraId="64DEB496"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-29,2%</w:t>
            </w:r>
          </w:p>
        </w:tc>
        <w:tc>
          <w:tcPr>
            <w:tcW w:w="787" w:type="dxa"/>
            <w:hideMark/>
          </w:tcPr>
          <w:p w14:paraId="4EC2C332"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3 010</w:t>
            </w:r>
          </w:p>
        </w:tc>
        <w:tc>
          <w:tcPr>
            <w:tcW w:w="787" w:type="dxa"/>
            <w:hideMark/>
          </w:tcPr>
          <w:p w14:paraId="20C733CD"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-392</w:t>
            </w:r>
          </w:p>
        </w:tc>
        <w:tc>
          <w:tcPr>
            <w:tcW w:w="787" w:type="dxa"/>
            <w:hideMark/>
          </w:tcPr>
          <w:p w14:paraId="151B02C3"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-13,0%</w:t>
            </w:r>
          </w:p>
        </w:tc>
      </w:tr>
      <w:tr w:rsidR="002521DC" w:rsidRPr="002E06C4" w14:paraId="6DC80747" w14:textId="77777777" w:rsidTr="00D3093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33B0FB99"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Taksë Doganore</w:t>
            </w:r>
          </w:p>
        </w:tc>
        <w:tc>
          <w:tcPr>
            <w:tcW w:w="787" w:type="dxa"/>
            <w:hideMark/>
          </w:tcPr>
          <w:p w14:paraId="27B0ED22"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6 492</w:t>
            </w:r>
          </w:p>
        </w:tc>
        <w:tc>
          <w:tcPr>
            <w:tcW w:w="787" w:type="dxa"/>
            <w:hideMark/>
          </w:tcPr>
          <w:p w14:paraId="4985EEF1"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6 217</w:t>
            </w:r>
          </w:p>
        </w:tc>
        <w:tc>
          <w:tcPr>
            <w:tcW w:w="787" w:type="dxa"/>
            <w:hideMark/>
          </w:tcPr>
          <w:p w14:paraId="322C793B"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7 000</w:t>
            </w:r>
          </w:p>
        </w:tc>
        <w:tc>
          <w:tcPr>
            <w:tcW w:w="787" w:type="dxa"/>
            <w:hideMark/>
          </w:tcPr>
          <w:p w14:paraId="6F339290"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-275</w:t>
            </w:r>
          </w:p>
        </w:tc>
        <w:tc>
          <w:tcPr>
            <w:tcW w:w="787" w:type="dxa"/>
            <w:hideMark/>
          </w:tcPr>
          <w:p w14:paraId="288A9F1E"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-4,2%</w:t>
            </w:r>
          </w:p>
        </w:tc>
        <w:tc>
          <w:tcPr>
            <w:tcW w:w="787" w:type="dxa"/>
            <w:hideMark/>
          </w:tcPr>
          <w:p w14:paraId="6906FEAA"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-783</w:t>
            </w:r>
          </w:p>
        </w:tc>
        <w:tc>
          <w:tcPr>
            <w:tcW w:w="787" w:type="dxa"/>
            <w:hideMark/>
          </w:tcPr>
          <w:p w14:paraId="4C64A583"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-11,2%</w:t>
            </w:r>
          </w:p>
        </w:tc>
        <w:tc>
          <w:tcPr>
            <w:tcW w:w="787" w:type="dxa"/>
            <w:hideMark/>
          </w:tcPr>
          <w:p w14:paraId="4C2E5FB1"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7 000</w:t>
            </w:r>
          </w:p>
        </w:tc>
        <w:tc>
          <w:tcPr>
            <w:tcW w:w="787" w:type="dxa"/>
            <w:hideMark/>
          </w:tcPr>
          <w:p w14:paraId="2A19DF9F"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-783</w:t>
            </w:r>
          </w:p>
        </w:tc>
        <w:tc>
          <w:tcPr>
            <w:tcW w:w="787" w:type="dxa"/>
            <w:hideMark/>
          </w:tcPr>
          <w:p w14:paraId="3DA493D4"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-11,2%</w:t>
            </w:r>
          </w:p>
        </w:tc>
      </w:tr>
      <w:tr w:rsidR="002521DC" w:rsidRPr="002E06C4" w14:paraId="7ACCE2AD" w14:textId="77777777" w:rsidTr="00D30931">
        <w:trPr>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2DCC11C6"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 xml:space="preserve">TOTALI TATIME + DOGANA </w:t>
            </w:r>
          </w:p>
        </w:tc>
        <w:tc>
          <w:tcPr>
            <w:tcW w:w="787" w:type="dxa"/>
            <w:hideMark/>
          </w:tcPr>
          <w:p w14:paraId="08D2B0D3"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293 384</w:t>
            </w:r>
          </w:p>
        </w:tc>
        <w:tc>
          <w:tcPr>
            <w:tcW w:w="787" w:type="dxa"/>
            <w:hideMark/>
          </w:tcPr>
          <w:p w14:paraId="15D6449B"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304 319</w:t>
            </w:r>
          </w:p>
        </w:tc>
        <w:tc>
          <w:tcPr>
            <w:tcW w:w="787" w:type="dxa"/>
            <w:hideMark/>
          </w:tcPr>
          <w:p w14:paraId="58129964"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317 597</w:t>
            </w:r>
          </w:p>
        </w:tc>
        <w:tc>
          <w:tcPr>
            <w:tcW w:w="787" w:type="dxa"/>
            <w:hideMark/>
          </w:tcPr>
          <w:p w14:paraId="5C937C2D"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10 935</w:t>
            </w:r>
          </w:p>
        </w:tc>
        <w:tc>
          <w:tcPr>
            <w:tcW w:w="787" w:type="dxa"/>
            <w:hideMark/>
          </w:tcPr>
          <w:p w14:paraId="210FA4F0"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3,7%</w:t>
            </w:r>
          </w:p>
        </w:tc>
        <w:tc>
          <w:tcPr>
            <w:tcW w:w="787" w:type="dxa"/>
            <w:hideMark/>
          </w:tcPr>
          <w:p w14:paraId="703755D0"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-13 278</w:t>
            </w:r>
          </w:p>
        </w:tc>
        <w:tc>
          <w:tcPr>
            <w:tcW w:w="787" w:type="dxa"/>
            <w:hideMark/>
          </w:tcPr>
          <w:p w14:paraId="15E40979"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4"/>
                <w:szCs w:val="14"/>
                <w:lang w:val="sq-AL"/>
              </w:rPr>
            </w:pPr>
            <w:r w:rsidRPr="002E06C4">
              <w:rPr>
                <w:rFonts w:asciiTheme="majorHAnsi" w:hAnsiTheme="majorHAnsi" w:cs="Times New Roman"/>
                <w:b/>
                <w:bCs/>
                <w:color w:val="000000"/>
                <w:sz w:val="14"/>
                <w:szCs w:val="14"/>
                <w:lang w:val="sq-AL"/>
              </w:rPr>
              <w:t>-4,2%</w:t>
            </w:r>
          </w:p>
        </w:tc>
        <w:tc>
          <w:tcPr>
            <w:tcW w:w="787" w:type="dxa"/>
            <w:hideMark/>
          </w:tcPr>
          <w:p w14:paraId="684C12A3"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311 634</w:t>
            </w:r>
          </w:p>
        </w:tc>
        <w:tc>
          <w:tcPr>
            <w:tcW w:w="787" w:type="dxa"/>
            <w:hideMark/>
          </w:tcPr>
          <w:p w14:paraId="4973F372"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-7 315</w:t>
            </w:r>
          </w:p>
        </w:tc>
        <w:tc>
          <w:tcPr>
            <w:tcW w:w="787" w:type="dxa"/>
            <w:hideMark/>
          </w:tcPr>
          <w:p w14:paraId="004F3C67"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-2,3%</w:t>
            </w:r>
          </w:p>
        </w:tc>
      </w:tr>
      <w:tr w:rsidR="002521DC" w:rsidRPr="002E06C4" w14:paraId="771C9582" w14:textId="77777777" w:rsidTr="00D3093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21210DF2"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Kontributet e mbledhura (DPT)</w:t>
            </w:r>
          </w:p>
        </w:tc>
        <w:tc>
          <w:tcPr>
            <w:tcW w:w="787" w:type="dxa"/>
            <w:hideMark/>
          </w:tcPr>
          <w:p w14:paraId="0C20D1F6"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82 822</w:t>
            </w:r>
          </w:p>
        </w:tc>
        <w:tc>
          <w:tcPr>
            <w:tcW w:w="787" w:type="dxa"/>
            <w:hideMark/>
          </w:tcPr>
          <w:p w14:paraId="6223840F"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88 829</w:t>
            </w:r>
          </w:p>
        </w:tc>
        <w:tc>
          <w:tcPr>
            <w:tcW w:w="787" w:type="dxa"/>
            <w:hideMark/>
          </w:tcPr>
          <w:p w14:paraId="078E2E69"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83 400</w:t>
            </w:r>
          </w:p>
        </w:tc>
        <w:tc>
          <w:tcPr>
            <w:tcW w:w="787" w:type="dxa"/>
            <w:hideMark/>
          </w:tcPr>
          <w:p w14:paraId="74972864"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6 007</w:t>
            </w:r>
          </w:p>
        </w:tc>
        <w:tc>
          <w:tcPr>
            <w:tcW w:w="787" w:type="dxa"/>
            <w:hideMark/>
          </w:tcPr>
          <w:p w14:paraId="65F571A6"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7,3%</w:t>
            </w:r>
          </w:p>
        </w:tc>
        <w:tc>
          <w:tcPr>
            <w:tcW w:w="787" w:type="dxa"/>
            <w:hideMark/>
          </w:tcPr>
          <w:p w14:paraId="1415C7BF"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5 429</w:t>
            </w:r>
          </w:p>
        </w:tc>
        <w:tc>
          <w:tcPr>
            <w:tcW w:w="787" w:type="dxa"/>
            <w:hideMark/>
          </w:tcPr>
          <w:p w14:paraId="229CA715"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4"/>
                <w:szCs w:val="14"/>
                <w:lang w:val="sq-AL"/>
              </w:rPr>
            </w:pPr>
            <w:r w:rsidRPr="002E06C4">
              <w:rPr>
                <w:rFonts w:asciiTheme="majorHAnsi" w:hAnsiTheme="majorHAnsi" w:cs="Times New Roman"/>
                <w:color w:val="000000"/>
                <w:sz w:val="14"/>
                <w:szCs w:val="14"/>
                <w:lang w:val="sq-AL"/>
              </w:rPr>
              <w:t>6,5%</w:t>
            </w:r>
          </w:p>
        </w:tc>
        <w:tc>
          <w:tcPr>
            <w:tcW w:w="787" w:type="dxa"/>
            <w:hideMark/>
          </w:tcPr>
          <w:p w14:paraId="6EC2890C"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87 900</w:t>
            </w:r>
          </w:p>
        </w:tc>
        <w:tc>
          <w:tcPr>
            <w:tcW w:w="787" w:type="dxa"/>
            <w:hideMark/>
          </w:tcPr>
          <w:p w14:paraId="381088F2"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929</w:t>
            </w:r>
          </w:p>
        </w:tc>
        <w:tc>
          <w:tcPr>
            <w:tcW w:w="787" w:type="dxa"/>
            <w:hideMark/>
          </w:tcPr>
          <w:p w14:paraId="6D6281DB" w14:textId="77777777" w:rsidR="002521DC" w:rsidRPr="002E06C4" w:rsidRDefault="002521DC" w:rsidP="002521D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14"/>
                <w:szCs w:val="14"/>
                <w:lang w:val="sq-AL"/>
              </w:rPr>
            </w:pPr>
            <w:r w:rsidRPr="002E06C4">
              <w:rPr>
                <w:rFonts w:asciiTheme="majorHAnsi" w:eastAsia="Times New Roman" w:hAnsiTheme="majorHAnsi" w:cs="Times New Roman"/>
                <w:color w:val="000000"/>
                <w:sz w:val="14"/>
                <w:szCs w:val="14"/>
                <w:lang w:val="sq-AL"/>
              </w:rPr>
              <w:t>1,1%</w:t>
            </w:r>
          </w:p>
        </w:tc>
      </w:tr>
      <w:tr w:rsidR="002521DC" w:rsidRPr="002E06C4" w14:paraId="334375BA" w14:textId="77777777" w:rsidTr="00D30931">
        <w:trPr>
          <w:trHeight w:val="465"/>
          <w:jc w:val="center"/>
        </w:trPr>
        <w:tc>
          <w:tcPr>
            <w:cnfStyle w:val="001000000000" w:firstRow="0" w:lastRow="0" w:firstColumn="1" w:lastColumn="0" w:oddVBand="0" w:evenVBand="0" w:oddHBand="0" w:evenHBand="0" w:firstRowFirstColumn="0" w:firstRowLastColumn="0" w:lastRowFirstColumn="0" w:lastRowLastColumn="0"/>
            <w:tcW w:w="2606" w:type="dxa"/>
            <w:hideMark/>
          </w:tcPr>
          <w:p w14:paraId="1EA08C3F" w14:textId="77777777" w:rsidR="002521DC" w:rsidRPr="002E06C4" w:rsidRDefault="002521DC" w:rsidP="002521DC">
            <w:pPr>
              <w:rPr>
                <w:rFonts w:asciiTheme="majorHAnsi" w:eastAsia="Times New Roman" w:hAnsiTheme="majorHAnsi" w:cs="Times New Roman"/>
                <w:color w:val="000000"/>
                <w:sz w:val="16"/>
                <w:szCs w:val="16"/>
                <w:lang w:val="sq-AL"/>
              </w:rPr>
            </w:pPr>
            <w:r w:rsidRPr="002E06C4">
              <w:rPr>
                <w:rFonts w:asciiTheme="majorHAnsi" w:eastAsia="Times New Roman" w:hAnsiTheme="majorHAnsi" w:cs="Times New Roman"/>
                <w:color w:val="000000"/>
                <w:sz w:val="16"/>
                <w:szCs w:val="16"/>
                <w:lang w:val="sq-AL"/>
              </w:rPr>
              <w:t>TOTALI TATIME + DOGANA (përfshirë kontributet)</w:t>
            </w:r>
          </w:p>
        </w:tc>
        <w:tc>
          <w:tcPr>
            <w:tcW w:w="787" w:type="dxa"/>
            <w:hideMark/>
          </w:tcPr>
          <w:p w14:paraId="103115A5"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376 206</w:t>
            </w:r>
          </w:p>
        </w:tc>
        <w:tc>
          <w:tcPr>
            <w:tcW w:w="787" w:type="dxa"/>
            <w:hideMark/>
          </w:tcPr>
          <w:p w14:paraId="46181CBA"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393 148</w:t>
            </w:r>
          </w:p>
        </w:tc>
        <w:tc>
          <w:tcPr>
            <w:tcW w:w="787" w:type="dxa"/>
            <w:hideMark/>
          </w:tcPr>
          <w:p w14:paraId="2612F7D8"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400 997</w:t>
            </w:r>
          </w:p>
        </w:tc>
        <w:tc>
          <w:tcPr>
            <w:tcW w:w="787" w:type="dxa"/>
            <w:hideMark/>
          </w:tcPr>
          <w:p w14:paraId="40BADF01"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16 942</w:t>
            </w:r>
          </w:p>
        </w:tc>
        <w:tc>
          <w:tcPr>
            <w:tcW w:w="787" w:type="dxa"/>
            <w:hideMark/>
          </w:tcPr>
          <w:p w14:paraId="5C09F26B"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4,5%</w:t>
            </w:r>
          </w:p>
        </w:tc>
        <w:tc>
          <w:tcPr>
            <w:tcW w:w="787" w:type="dxa"/>
            <w:hideMark/>
          </w:tcPr>
          <w:p w14:paraId="04A5D089"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-7 849</w:t>
            </w:r>
          </w:p>
        </w:tc>
        <w:tc>
          <w:tcPr>
            <w:tcW w:w="787" w:type="dxa"/>
            <w:hideMark/>
          </w:tcPr>
          <w:p w14:paraId="683DCD31"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4"/>
                <w:szCs w:val="14"/>
                <w:lang w:val="sq-AL"/>
              </w:rPr>
            </w:pPr>
            <w:r w:rsidRPr="002E06C4">
              <w:rPr>
                <w:rFonts w:asciiTheme="majorHAnsi" w:hAnsiTheme="majorHAnsi" w:cs="Times New Roman"/>
                <w:b/>
                <w:bCs/>
                <w:color w:val="000000"/>
                <w:sz w:val="14"/>
                <w:szCs w:val="14"/>
                <w:lang w:val="sq-AL"/>
              </w:rPr>
              <w:t>-2,0%</w:t>
            </w:r>
          </w:p>
        </w:tc>
        <w:tc>
          <w:tcPr>
            <w:tcW w:w="787" w:type="dxa"/>
            <w:hideMark/>
          </w:tcPr>
          <w:p w14:paraId="25F5BE33"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399 535</w:t>
            </w:r>
          </w:p>
        </w:tc>
        <w:tc>
          <w:tcPr>
            <w:tcW w:w="787" w:type="dxa"/>
            <w:hideMark/>
          </w:tcPr>
          <w:p w14:paraId="5F8E657F"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-6 387</w:t>
            </w:r>
          </w:p>
        </w:tc>
        <w:tc>
          <w:tcPr>
            <w:tcW w:w="787" w:type="dxa"/>
            <w:hideMark/>
          </w:tcPr>
          <w:p w14:paraId="74D8911A" w14:textId="77777777" w:rsidR="002521DC" w:rsidRPr="002E06C4" w:rsidRDefault="002521DC" w:rsidP="002521D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14"/>
                <w:szCs w:val="14"/>
                <w:lang w:val="sq-AL"/>
              </w:rPr>
            </w:pPr>
            <w:r w:rsidRPr="002E06C4">
              <w:rPr>
                <w:rFonts w:asciiTheme="majorHAnsi" w:eastAsia="Times New Roman" w:hAnsiTheme="majorHAnsi" w:cs="Times New Roman"/>
                <w:b/>
                <w:bCs/>
                <w:color w:val="000000"/>
                <w:sz w:val="14"/>
                <w:szCs w:val="14"/>
                <w:lang w:val="sq-AL"/>
              </w:rPr>
              <w:t>-1,6%</w:t>
            </w:r>
          </w:p>
        </w:tc>
      </w:tr>
    </w:tbl>
    <w:p w14:paraId="3E082DF9" w14:textId="77777777" w:rsidR="006D2CC4" w:rsidRPr="002E06C4" w:rsidRDefault="006D2CC4" w:rsidP="006D2CC4">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5AD87548" w14:textId="77777777" w:rsidR="006D2CC4" w:rsidRPr="002E06C4" w:rsidRDefault="006D2CC4" w:rsidP="006D2CC4">
      <w:pPr>
        <w:spacing w:before="240" w:line="276" w:lineRule="auto"/>
        <w:jc w:val="both"/>
        <w:rPr>
          <w:rFonts w:asciiTheme="majorHAnsi" w:hAnsiTheme="majorHAnsi" w:cs="Times New Roman"/>
          <w:noProof/>
          <w:lang w:val="sq-AL"/>
        </w:rPr>
      </w:pPr>
      <w:r w:rsidRPr="002E06C4">
        <w:rPr>
          <w:rFonts w:asciiTheme="majorHAnsi" w:hAnsiTheme="majorHAnsi" w:cs="Times New Roman"/>
          <w:noProof/>
          <w:lang w:val="sq-AL"/>
        </w:rPr>
        <w:t xml:space="preserve">Të ardhurat nga </w:t>
      </w:r>
      <w:r w:rsidRPr="002E06C4">
        <w:rPr>
          <w:rFonts w:asciiTheme="majorHAnsi" w:hAnsiTheme="majorHAnsi" w:cs="Times New Roman"/>
          <w:b/>
          <w:noProof/>
          <w:lang w:val="sq-AL"/>
        </w:rPr>
        <w:t>Administrata Doganore</w:t>
      </w:r>
      <w:r w:rsidRPr="002E06C4">
        <w:rPr>
          <w:rFonts w:asciiTheme="majorHAnsi" w:hAnsiTheme="majorHAnsi" w:cs="Times New Roman"/>
          <w:noProof/>
          <w:lang w:val="sq-AL"/>
        </w:rPr>
        <w:t xml:space="preserve"> për </w:t>
      </w:r>
      <w:r w:rsidR="0035253D" w:rsidRPr="002E06C4">
        <w:rPr>
          <w:rFonts w:asciiTheme="majorHAnsi" w:hAnsiTheme="majorHAnsi" w:cs="Times New Roman"/>
          <w:noProof/>
          <w:lang w:val="sq-AL"/>
        </w:rPr>
        <w:t>vitin</w:t>
      </w:r>
      <w:r w:rsidRPr="002E06C4">
        <w:rPr>
          <w:rFonts w:asciiTheme="majorHAnsi" w:hAnsiTheme="majorHAnsi" w:cs="Times New Roman"/>
          <w:noProof/>
          <w:lang w:val="sq-AL"/>
        </w:rPr>
        <w:t xml:space="preserve"> 2018 arritën në 161 miliardë lekë, me një realizim në masën 9</w:t>
      </w:r>
      <w:r w:rsidR="002521DC" w:rsidRPr="002E06C4">
        <w:rPr>
          <w:rFonts w:asciiTheme="majorHAnsi" w:hAnsiTheme="majorHAnsi" w:cs="Times New Roman"/>
          <w:noProof/>
          <w:lang w:val="sq-AL"/>
        </w:rPr>
        <w:t>3</w:t>
      </w:r>
      <w:r w:rsidRPr="002E06C4">
        <w:rPr>
          <w:rFonts w:asciiTheme="majorHAnsi" w:hAnsiTheme="majorHAnsi" w:cs="Times New Roman"/>
          <w:noProof/>
          <w:lang w:val="sq-AL"/>
        </w:rPr>
        <w:t>.</w:t>
      </w:r>
      <w:r w:rsidR="002521DC" w:rsidRPr="002E06C4">
        <w:rPr>
          <w:rFonts w:asciiTheme="majorHAnsi" w:hAnsiTheme="majorHAnsi" w:cs="Times New Roman"/>
          <w:noProof/>
          <w:lang w:val="sq-AL"/>
        </w:rPr>
        <w:t>3</w:t>
      </w:r>
      <w:r w:rsidRPr="002E06C4">
        <w:rPr>
          <w:rFonts w:asciiTheme="majorHAnsi" w:hAnsiTheme="majorHAnsi" w:cs="Times New Roman"/>
          <w:noProof/>
          <w:lang w:val="sq-AL"/>
        </w:rPr>
        <w:t xml:space="preserve"> për qind të planit vjetor </w:t>
      </w:r>
      <w:r w:rsidR="002521DC" w:rsidRPr="002E06C4">
        <w:rPr>
          <w:rFonts w:asciiTheme="majorHAnsi" w:hAnsiTheme="majorHAnsi" w:cs="Times New Roman"/>
          <w:noProof/>
          <w:lang w:val="sq-AL"/>
        </w:rPr>
        <w:t>fillestar dhe 96.1 p</w:t>
      </w:r>
      <w:r w:rsidR="00C33B16" w:rsidRPr="002E06C4">
        <w:rPr>
          <w:rFonts w:asciiTheme="majorHAnsi" w:hAnsiTheme="majorHAnsi" w:cs="Times New Roman"/>
          <w:noProof/>
          <w:lang w:val="sq-AL"/>
        </w:rPr>
        <w:t>ë</w:t>
      </w:r>
      <w:r w:rsidR="002521DC" w:rsidRPr="002E06C4">
        <w:rPr>
          <w:rFonts w:asciiTheme="majorHAnsi" w:hAnsiTheme="majorHAnsi" w:cs="Times New Roman"/>
          <w:noProof/>
          <w:lang w:val="sq-AL"/>
        </w:rPr>
        <w:t>rqind t</w:t>
      </w:r>
      <w:r w:rsidR="00C33B16" w:rsidRPr="002E06C4">
        <w:rPr>
          <w:rFonts w:asciiTheme="majorHAnsi" w:hAnsiTheme="majorHAnsi" w:cs="Times New Roman"/>
          <w:noProof/>
          <w:lang w:val="sq-AL"/>
        </w:rPr>
        <w:t>ë</w:t>
      </w:r>
      <w:r w:rsidR="002521DC" w:rsidRPr="002E06C4">
        <w:rPr>
          <w:rFonts w:asciiTheme="majorHAnsi" w:hAnsiTheme="majorHAnsi" w:cs="Times New Roman"/>
          <w:noProof/>
          <w:lang w:val="sq-AL"/>
        </w:rPr>
        <w:t xml:space="preserve"> planit t</w:t>
      </w:r>
      <w:r w:rsidR="00C33B16" w:rsidRPr="002E06C4">
        <w:rPr>
          <w:rFonts w:asciiTheme="majorHAnsi" w:hAnsiTheme="majorHAnsi" w:cs="Times New Roman"/>
          <w:noProof/>
          <w:lang w:val="sq-AL"/>
        </w:rPr>
        <w:t>ë</w:t>
      </w:r>
      <w:r w:rsidR="002521DC" w:rsidRPr="002E06C4">
        <w:rPr>
          <w:rFonts w:asciiTheme="majorHAnsi" w:hAnsiTheme="majorHAnsi" w:cs="Times New Roman"/>
          <w:noProof/>
          <w:lang w:val="sq-AL"/>
        </w:rPr>
        <w:t xml:space="preserve"> rishikuar. N</w:t>
      </w:r>
      <w:r w:rsidR="00C33B16" w:rsidRPr="002E06C4">
        <w:rPr>
          <w:rFonts w:asciiTheme="majorHAnsi" w:hAnsiTheme="majorHAnsi" w:cs="Times New Roman"/>
          <w:noProof/>
          <w:lang w:val="sq-AL"/>
        </w:rPr>
        <w:t>ë</w:t>
      </w:r>
      <w:r w:rsidR="002521DC" w:rsidRPr="002E06C4">
        <w:rPr>
          <w:rFonts w:asciiTheme="majorHAnsi" w:hAnsiTheme="majorHAnsi" w:cs="Times New Roman"/>
          <w:noProof/>
          <w:lang w:val="sq-AL"/>
        </w:rPr>
        <w:t xml:space="preserve"> krahasim me vitin 2017, perofmanca ka qen</w:t>
      </w:r>
      <w:r w:rsidR="00C33B16" w:rsidRPr="002E06C4">
        <w:rPr>
          <w:rFonts w:asciiTheme="majorHAnsi" w:hAnsiTheme="majorHAnsi" w:cs="Times New Roman"/>
          <w:noProof/>
          <w:lang w:val="sq-AL"/>
        </w:rPr>
        <w:t>ë</w:t>
      </w:r>
      <w:r w:rsidR="002521DC" w:rsidRPr="002E06C4">
        <w:rPr>
          <w:rFonts w:asciiTheme="majorHAnsi" w:hAnsiTheme="majorHAnsi" w:cs="Times New Roman"/>
          <w:noProof/>
          <w:lang w:val="sq-AL"/>
        </w:rPr>
        <w:t xml:space="preserve"> pozitive me </w:t>
      </w:r>
      <w:r w:rsidRPr="002E06C4">
        <w:rPr>
          <w:rFonts w:asciiTheme="majorHAnsi" w:hAnsiTheme="majorHAnsi" w:cs="Times New Roman"/>
          <w:noProof/>
          <w:lang w:val="sq-AL"/>
        </w:rPr>
        <w:t>rreth 2.5 miliardë lekë më shumë sesa një vit më parë, me rritje 2 për qind. Krahasuar me vitin 2017, paraqiten me rritje TVSH (2.5 për qind) dhe Renta Minerare (12.2 për qind), ndërsa kanë pësuar rënie Akciza (-0.3 për qind) dhe Taksa doganore (-4.2 për qind). Krahasuar me planin të gjithë zërat e të ardhurave doganore paraqiten me mosrealizim. Deficiti i krijuar me planin lidhet kryesisht me impaktin negativ të kursit të këmbimit mbi të ardhurat doganore, duke sjellë vlera më të ulta të importit të taksuar, çka ka ndikuar në uljen e të ardhurave tatimore nga veprimtaria doganore</w:t>
      </w:r>
    </w:p>
    <w:p w14:paraId="3D184477" w14:textId="77777777" w:rsidR="00A06CDF" w:rsidRPr="002E06C4" w:rsidRDefault="00A06CDF" w:rsidP="00FD59D8">
      <w:pPr>
        <w:pStyle w:val="Caption"/>
        <w:keepNext/>
        <w:spacing w:before="240" w:after="0"/>
        <w:rPr>
          <w:rFonts w:asciiTheme="majorHAnsi" w:hAnsiTheme="majorHAnsi" w:cs="Times New Roman"/>
          <w:lang w:val="sq-AL"/>
        </w:rPr>
      </w:pPr>
      <w:bookmarkStart w:id="84" w:name="_Toc11141688"/>
      <w:r w:rsidRPr="002E06C4">
        <w:rPr>
          <w:rFonts w:asciiTheme="majorHAnsi" w:hAnsiTheme="majorHAnsi" w:cs="Times New Roman"/>
          <w:lang w:val="sq-AL"/>
        </w:rPr>
        <w:lastRenderedPageBreak/>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12</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doganore, sipas natyr</w:t>
      </w:r>
      <w:r w:rsidR="00C33B16" w:rsidRPr="002E06C4">
        <w:rPr>
          <w:rFonts w:asciiTheme="majorHAnsi" w:hAnsiTheme="majorHAnsi" w:cs="Times New Roman"/>
          <w:lang w:val="sq-AL"/>
        </w:rPr>
        <w:t>ë</w:t>
      </w:r>
      <w:r w:rsidRPr="002E06C4">
        <w:rPr>
          <w:rFonts w:asciiTheme="majorHAnsi" w:hAnsiTheme="majorHAnsi" w:cs="Times New Roman"/>
          <w:lang w:val="sq-AL"/>
        </w:rPr>
        <w:t>s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milion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84"/>
    </w:p>
    <w:p w14:paraId="670765FD" w14:textId="77777777" w:rsidR="006D2CC4" w:rsidRPr="002E06C4" w:rsidRDefault="006D2CC4" w:rsidP="006D2CC4">
      <w:pPr>
        <w:spacing w:line="276" w:lineRule="auto"/>
        <w:jc w:val="center"/>
        <w:rPr>
          <w:rFonts w:asciiTheme="majorHAnsi" w:hAnsiTheme="majorHAnsi" w:cs="Times New Roman"/>
          <w:i/>
          <w:noProof/>
          <w:sz w:val="20"/>
          <w:lang w:val="sq-AL"/>
        </w:rPr>
      </w:pPr>
      <w:r w:rsidRPr="002E06C4">
        <w:rPr>
          <w:rFonts w:asciiTheme="majorHAnsi" w:hAnsiTheme="majorHAnsi" w:cs="Times New Roman"/>
          <w:b/>
          <w:noProof/>
          <w:color w:val="000000" w:themeColor="text1"/>
        </w:rPr>
        <w:drawing>
          <wp:inline distT="0" distB="0" distL="0" distR="0" wp14:anchorId="15F283F1" wp14:editId="13BC8447">
            <wp:extent cx="5415280" cy="1211580"/>
            <wp:effectExtent l="0" t="0" r="1397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E0962B" w14:textId="77777777" w:rsidR="006D2CC4" w:rsidRPr="002E06C4" w:rsidRDefault="006D2CC4" w:rsidP="006D2CC4">
      <w:pPr>
        <w:spacing w:line="276" w:lineRule="auto"/>
        <w:ind w:firstLine="720"/>
        <w:rPr>
          <w:rFonts w:asciiTheme="majorHAnsi" w:hAnsiTheme="majorHAnsi" w:cs="Times New Roman"/>
          <w:i/>
          <w:sz w:val="20"/>
          <w:lang w:val="sq-AL"/>
        </w:rPr>
      </w:pPr>
      <w:r w:rsidRPr="002E06C4">
        <w:rPr>
          <w:rFonts w:asciiTheme="majorHAnsi" w:hAnsiTheme="majorHAnsi" w:cs="Times New Roman"/>
          <w:i/>
          <w:sz w:val="20"/>
          <w:lang w:val="sq-AL"/>
        </w:rPr>
        <w:t>Burimi: Ministria e Financave dhe Ekonomisë (2019);</w:t>
      </w:r>
    </w:p>
    <w:p w14:paraId="3FEDC1BE" w14:textId="77777777" w:rsidR="006D2CC4" w:rsidRPr="002E06C4" w:rsidRDefault="006D2CC4" w:rsidP="006D2CC4">
      <w:pPr>
        <w:spacing w:before="240" w:line="276" w:lineRule="auto"/>
        <w:jc w:val="both"/>
        <w:rPr>
          <w:rFonts w:asciiTheme="majorHAnsi" w:hAnsiTheme="majorHAnsi" w:cs="Times New Roman"/>
          <w:noProof/>
          <w:lang w:val="sq-AL"/>
        </w:rPr>
      </w:pPr>
      <w:r w:rsidRPr="002E06C4">
        <w:rPr>
          <w:rFonts w:asciiTheme="majorHAnsi" w:hAnsiTheme="majorHAnsi" w:cs="Times New Roman"/>
          <w:lang w:val="sq-AL"/>
        </w:rPr>
        <w:t>Të ardhurat nga “Administrata tatimore” (përfshirë kontributet) rezultojnë 232.2 miliardë lekë nga 217.7 miliardë lekë të një viti më parë, me një rritje vjetore prej 6.7 për qind ose 14.5 miliardë lekë dhe me një realizim ndaj planit të periudhës në masën 100.3 për qind ose 0.8 miliardë lekë më shumë. Të ardhurat nga kontributet e sigurimeve shoqërore dhe shëndetësore janë rritur me 7.3 për qind mbi baza vjetore dhe 1.1 për qind ose afërsisht 1 miliardë lekë më shumë se parashikimi. Krahasuar me të dhënat e një viti më parë, pothuajse të gjitha llojet e të ardhurave tatimore kanë pasur një ecuri pozitive. Konkretisht TVSH +4 për qind, Tatimi mbi fitimin +8.9 për qind, Tatimi mbi të ardhurat personale +13.7 për qind dhe kontributet 7.3 për qind. ndërsa Taksat Nacionale kanë pësuar një rënie të lehtë në masën -0.5</w:t>
      </w:r>
      <w:r w:rsidRPr="002E06C4">
        <w:rPr>
          <w:rFonts w:asciiTheme="majorHAnsi" w:hAnsiTheme="majorHAnsi" w:cs="Times New Roman"/>
          <w:noProof/>
          <w:lang w:val="sq-AL"/>
        </w:rPr>
        <w:t xml:space="preserve">. </w:t>
      </w:r>
    </w:p>
    <w:p w14:paraId="1F2E72DD" w14:textId="77777777" w:rsidR="00450CD8" w:rsidRPr="002E06C4" w:rsidRDefault="00450CD8" w:rsidP="00FD59D8">
      <w:pPr>
        <w:pStyle w:val="Caption"/>
        <w:keepNext/>
        <w:spacing w:before="240" w:after="0"/>
        <w:rPr>
          <w:rFonts w:asciiTheme="majorHAnsi" w:hAnsiTheme="majorHAnsi" w:cs="Times New Roman"/>
          <w:lang w:val="sq-AL"/>
        </w:rPr>
      </w:pPr>
      <w:bookmarkStart w:id="85" w:name="_Toc11141689"/>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13</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tatimore, sipas natyr</w:t>
      </w:r>
      <w:r w:rsidR="00C33B16" w:rsidRPr="002E06C4">
        <w:rPr>
          <w:rFonts w:asciiTheme="majorHAnsi" w:hAnsiTheme="majorHAnsi" w:cs="Times New Roman"/>
          <w:lang w:val="sq-AL"/>
        </w:rPr>
        <w:t>ë</w:t>
      </w:r>
      <w:r w:rsidRPr="002E06C4">
        <w:rPr>
          <w:rFonts w:asciiTheme="majorHAnsi" w:hAnsiTheme="majorHAnsi" w:cs="Times New Roman"/>
          <w:lang w:val="sq-AL"/>
        </w:rPr>
        <w:t>s s</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taksave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milion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85"/>
    </w:p>
    <w:p w14:paraId="53F93DC8" w14:textId="77777777" w:rsidR="006D2CC4" w:rsidRPr="002E06C4" w:rsidRDefault="006D2CC4" w:rsidP="006D2CC4">
      <w:pPr>
        <w:spacing w:line="276" w:lineRule="auto"/>
        <w:jc w:val="center"/>
        <w:rPr>
          <w:rFonts w:asciiTheme="majorHAnsi" w:hAnsiTheme="majorHAnsi" w:cs="Times New Roman"/>
          <w:noProof/>
          <w:lang w:val="sq-AL"/>
        </w:rPr>
      </w:pPr>
      <w:r w:rsidRPr="002E06C4">
        <w:rPr>
          <w:rFonts w:asciiTheme="majorHAnsi" w:hAnsiTheme="majorHAnsi" w:cs="Times New Roman"/>
          <w:noProof/>
        </w:rPr>
        <w:drawing>
          <wp:inline distT="0" distB="0" distL="0" distR="0" wp14:anchorId="422B5576" wp14:editId="137A5627">
            <wp:extent cx="5364480" cy="1348740"/>
            <wp:effectExtent l="0" t="0" r="7620"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C41606" w14:textId="77777777" w:rsidR="006D2CC4" w:rsidRPr="002E06C4" w:rsidRDefault="006D2CC4" w:rsidP="006D2CC4">
      <w:pPr>
        <w:spacing w:line="276" w:lineRule="auto"/>
        <w:ind w:firstLine="720"/>
        <w:rPr>
          <w:rFonts w:asciiTheme="majorHAnsi" w:hAnsiTheme="majorHAnsi" w:cs="Times New Roman"/>
          <w:i/>
          <w:sz w:val="20"/>
          <w:lang w:val="sq-AL"/>
        </w:rPr>
      </w:pPr>
      <w:r w:rsidRPr="002E06C4">
        <w:rPr>
          <w:rFonts w:asciiTheme="majorHAnsi" w:hAnsiTheme="majorHAnsi" w:cs="Times New Roman"/>
          <w:i/>
          <w:sz w:val="20"/>
          <w:lang w:val="sq-AL"/>
        </w:rPr>
        <w:t>Burimi: Ministria e Financave dhe Ekonomisë (2019);</w:t>
      </w:r>
    </w:p>
    <w:p w14:paraId="4C8D9B07" w14:textId="77777777" w:rsidR="006D2CC4" w:rsidRPr="002E06C4" w:rsidRDefault="006D2CC4" w:rsidP="006D2CC4">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 xml:space="preserve">Nga të dhënat për 12-mujorin 2018, lidhur me kontributin e sektorëve të ekonomisë në totalin e të ardhurave nga administrata tatimore rezulton se peshën kryesore e zë sektori i “Shërbimeve” dhe sektori i “Prodhimit”, përkatësisht 53.1 për qind dhe 18.2 për qind. </w:t>
      </w:r>
    </w:p>
    <w:p w14:paraId="6F8133E1" w14:textId="77777777" w:rsidR="006E1920" w:rsidRPr="002E06C4" w:rsidRDefault="006E1920" w:rsidP="006E1920">
      <w:pPr>
        <w:pStyle w:val="Caption"/>
        <w:keepNext/>
        <w:spacing w:after="0"/>
        <w:rPr>
          <w:rFonts w:asciiTheme="majorHAnsi" w:hAnsiTheme="majorHAnsi" w:cs="Times New Roman"/>
          <w:lang w:val="sq-AL"/>
        </w:rPr>
      </w:pPr>
    </w:p>
    <w:p w14:paraId="4AB044DC" w14:textId="77777777" w:rsidR="00450CD8" w:rsidRPr="002E06C4" w:rsidRDefault="00450CD8" w:rsidP="00FD59D8">
      <w:pPr>
        <w:pStyle w:val="Caption"/>
        <w:keepNext/>
        <w:spacing w:after="0"/>
        <w:rPr>
          <w:rFonts w:asciiTheme="majorHAnsi" w:hAnsiTheme="majorHAnsi" w:cs="Times New Roman"/>
          <w:lang w:val="sq-AL"/>
        </w:rPr>
      </w:pPr>
      <w:bookmarkStart w:id="86" w:name="_Toc11141690"/>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14</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tatimore, sipas sektor</w:t>
      </w:r>
      <w:r w:rsidR="00C33B16" w:rsidRPr="002E06C4">
        <w:rPr>
          <w:rFonts w:asciiTheme="majorHAnsi" w:hAnsiTheme="majorHAnsi" w:cs="Times New Roman"/>
          <w:lang w:val="sq-AL"/>
        </w:rPr>
        <w:t>ë</w:t>
      </w:r>
      <w:r w:rsidRPr="002E06C4">
        <w:rPr>
          <w:rFonts w:asciiTheme="majorHAnsi" w:hAnsiTheme="majorHAnsi" w:cs="Times New Roman"/>
          <w:lang w:val="sq-AL"/>
        </w:rPr>
        <w:t>ve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w:t>
      </w:r>
      <w:bookmarkEnd w:id="86"/>
    </w:p>
    <w:p w14:paraId="674E8B27" w14:textId="77777777" w:rsidR="006D2CC4" w:rsidRPr="002E06C4" w:rsidRDefault="006D2CC4" w:rsidP="006D2CC4">
      <w:pPr>
        <w:spacing w:line="276" w:lineRule="auto"/>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5747D82E" wp14:editId="7A3D3785">
            <wp:extent cx="5364480" cy="2042160"/>
            <wp:effectExtent l="0" t="0" r="762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3D5233" w14:textId="77777777" w:rsidR="006D2CC4" w:rsidRPr="002E06C4" w:rsidRDefault="006D2CC4" w:rsidP="00D30931">
      <w:pPr>
        <w:spacing w:line="276" w:lineRule="auto"/>
        <w:ind w:firstLine="720"/>
        <w:rPr>
          <w:rFonts w:asciiTheme="majorHAnsi" w:hAnsiTheme="majorHAnsi" w:cs="Times New Roman"/>
          <w:i/>
          <w:sz w:val="20"/>
          <w:lang w:val="sq-AL"/>
        </w:rPr>
      </w:pPr>
      <w:r w:rsidRPr="002E06C4">
        <w:rPr>
          <w:rFonts w:asciiTheme="majorHAnsi" w:hAnsiTheme="majorHAnsi" w:cs="Times New Roman"/>
          <w:i/>
          <w:sz w:val="20"/>
          <w:lang w:val="sq-AL"/>
        </w:rPr>
        <w:t>Burimi: Ministria e Financave dhe Ekonomisë (2019);</w:t>
      </w:r>
    </w:p>
    <w:p w14:paraId="0A87521C" w14:textId="77777777" w:rsidR="006D2CC4" w:rsidRPr="002E06C4" w:rsidRDefault="006D2CC4" w:rsidP="00CA0B15">
      <w:pPr>
        <w:pStyle w:val="Heading2"/>
        <w:numPr>
          <w:ilvl w:val="1"/>
          <w:numId w:val="4"/>
        </w:numPr>
        <w:ind w:left="630" w:hanging="630"/>
        <w:rPr>
          <w:rFonts w:cs="Times New Roman"/>
          <w:noProof/>
          <w:color w:val="4F81BD" w:themeColor="accent1"/>
          <w:lang w:val="sq-AL"/>
        </w:rPr>
      </w:pPr>
      <w:bookmarkStart w:id="87" w:name="_Toc10033274"/>
      <w:bookmarkStart w:id="88" w:name="_Toc10721411"/>
      <w:bookmarkStart w:id="89" w:name="_Toc11134217"/>
      <w:r w:rsidRPr="002E06C4">
        <w:rPr>
          <w:rFonts w:cs="Times New Roman"/>
          <w:noProof/>
          <w:color w:val="4F81BD" w:themeColor="accent1"/>
          <w:lang w:val="sq-AL"/>
        </w:rPr>
        <w:lastRenderedPageBreak/>
        <w:t>Të ardhurat sipas taksave, tatimeve dhe burimeve të tjera</w:t>
      </w:r>
      <w:bookmarkEnd w:id="87"/>
      <w:bookmarkEnd w:id="88"/>
      <w:bookmarkEnd w:id="89"/>
    </w:p>
    <w:p w14:paraId="0465BF03" w14:textId="77777777" w:rsidR="006E1920" w:rsidRPr="002E06C4" w:rsidRDefault="006E1920" w:rsidP="006E1920">
      <w:pPr>
        <w:rPr>
          <w:rFonts w:asciiTheme="majorHAnsi" w:hAnsiTheme="majorHAnsi"/>
          <w:lang w:val="sq-AL"/>
        </w:rPr>
      </w:pPr>
    </w:p>
    <w:p w14:paraId="4E5D8A77" w14:textId="77777777" w:rsidR="006D2CC4" w:rsidRPr="002E06C4" w:rsidRDefault="006D2CC4" w:rsidP="00A2716B">
      <w:pPr>
        <w:pStyle w:val="Heading3"/>
        <w:numPr>
          <w:ilvl w:val="2"/>
          <w:numId w:val="4"/>
        </w:numPr>
        <w:rPr>
          <w:rFonts w:cs="Times New Roman"/>
          <w:noProof/>
          <w:lang w:val="sq-AL"/>
        </w:rPr>
      </w:pPr>
      <w:bookmarkStart w:id="90" w:name="_Toc10033275"/>
      <w:bookmarkStart w:id="91" w:name="_Toc10721412"/>
      <w:bookmarkStart w:id="92" w:name="_Toc11134218"/>
      <w:r w:rsidRPr="002E06C4">
        <w:rPr>
          <w:rFonts w:cs="Times New Roman"/>
          <w:noProof/>
          <w:lang w:val="sq-AL"/>
        </w:rPr>
        <w:t>Taksimi Indirekt</w:t>
      </w:r>
      <w:bookmarkEnd w:id="90"/>
      <w:bookmarkEnd w:id="91"/>
      <w:bookmarkEnd w:id="92"/>
    </w:p>
    <w:p w14:paraId="7595CFCB" w14:textId="77777777" w:rsidR="006D2CC4" w:rsidRPr="002E06C4" w:rsidRDefault="006D2CC4" w:rsidP="00C92F51">
      <w:pPr>
        <w:pStyle w:val="ListParagraph"/>
        <w:numPr>
          <w:ilvl w:val="0"/>
          <w:numId w:val="2"/>
        </w:numPr>
        <w:spacing w:line="360" w:lineRule="auto"/>
        <w:ind w:left="990" w:hanging="270"/>
        <w:rPr>
          <w:rFonts w:asciiTheme="majorHAnsi" w:hAnsiTheme="majorHAnsi" w:cs="Times New Roman"/>
          <w:i/>
          <w:noProof/>
          <w:u w:val="single"/>
          <w:lang w:val="sq-AL"/>
        </w:rPr>
      </w:pPr>
      <w:r w:rsidRPr="002E06C4">
        <w:rPr>
          <w:rFonts w:asciiTheme="majorHAnsi" w:hAnsiTheme="majorHAnsi" w:cs="Times New Roman"/>
          <w:i/>
          <w:noProof/>
          <w:u w:val="single"/>
          <w:lang w:val="sq-AL"/>
        </w:rPr>
        <w:t>Taksimi i konsumit (indirekt) dhe Tatimi mbi Vlerën e Shtuar</w:t>
      </w:r>
    </w:p>
    <w:p w14:paraId="0F51936A" w14:textId="77777777" w:rsidR="006D2CC4" w:rsidRPr="002E06C4" w:rsidRDefault="006D2CC4" w:rsidP="00C92F51">
      <w:pPr>
        <w:spacing w:line="276" w:lineRule="auto"/>
        <w:jc w:val="both"/>
        <w:rPr>
          <w:rFonts w:asciiTheme="majorHAnsi" w:hAnsiTheme="majorHAnsi" w:cs="Times New Roman"/>
          <w:lang w:val="sq-AL"/>
        </w:rPr>
      </w:pPr>
      <w:r w:rsidRPr="002E06C4">
        <w:rPr>
          <w:rFonts w:asciiTheme="majorHAnsi" w:hAnsiTheme="majorHAnsi" w:cs="Times New Roman"/>
          <w:lang w:val="sq-AL"/>
        </w:rPr>
        <w:t>Të ardhurat nga T.V.SH edhe në vitin 2018 zënë peshë të rëndësishme në të ardhurat buxhetore, duke përfaqësuar 8.8 për qind të Produktit të Brendshëm Bruto ose 34 për qind të totalit të të ardhurave tatimore. Në Tatimin mbi Vlerën e Shtuar janë mbledhur për 12-mujorin 2018, 143.5 miliardë lekë, duke shënuar një rritje kundrejt vitit të kaluar në masën 2.8 për qind ose 3.9 miliardë lekë dhe realizim në raport me planin e periudhës në masën 98 për qind ose 3.1 miliardë lekë më pak.</w:t>
      </w:r>
      <w:r w:rsidR="00CA0B15" w:rsidRPr="002E06C4">
        <w:rPr>
          <w:rFonts w:asciiTheme="majorHAnsi" w:hAnsiTheme="majorHAnsi" w:cs="Times New Roman"/>
          <w:lang w:val="sq-AL"/>
        </w:rPr>
        <w:t xml:space="preserve"> </w:t>
      </w:r>
      <w:r w:rsidRPr="002E06C4">
        <w:rPr>
          <w:rFonts w:asciiTheme="majorHAnsi" w:hAnsiTheme="majorHAnsi" w:cs="Times New Roman"/>
          <w:lang w:val="sq-AL"/>
        </w:rPr>
        <w:t>Të ardhurat e mbledhura nga TVSH në import u realizuan në nivelin 107.2 miliardë lekë, me një realizim në masën 98.3 për qind kundrejt planit. Krahasuar me të njëjtën periudhë të vitit të kaluar rezultojnë të jenë 2.6 miliardë lekë ose 2.5 për qind më shumë. Për këtë periudhë, të ardhurat nga TVSH-ja në doganë përbëjnë rreth 75 për qind të të</w:t>
      </w:r>
      <w:r w:rsidR="00C92F51" w:rsidRPr="002E06C4">
        <w:rPr>
          <w:rFonts w:asciiTheme="majorHAnsi" w:hAnsiTheme="majorHAnsi" w:cs="Times New Roman"/>
          <w:lang w:val="sq-AL"/>
        </w:rPr>
        <w:t xml:space="preserve"> ardhurave totale nga TVSh-ja. </w:t>
      </w:r>
      <w:r w:rsidRPr="002E06C4">
        <w:rPr>
          <w:rFonts w:asciiTheme="majorHAnsi" w:hAnsiTheme="majorHAnsi" w:cs="Times New Roman"/>
          <w:lang w:val="sq-AL"/>
        </w:rPr>
        <w:t>Performanca e të ardhurave nga TVSH në import u ndikua nga një sërë faktorësh:</w:t>
      </w:r>
      <w:r w:rsidRPr="002E06C4">
        <w:rPr>
          <w:rFonts w:asciiTheme="majorHAnsi" w:hAnsiTheme="majorHAnsi" w:cs="Times New Roman"/>
          <w:bCs/>
          <w:iCs/>
          <w:lang w:val="sq-AL"/>
        </w:rPr>
        <w:t>:</w:t>
      </w:r>
    </w:p>
    <w:p w14:paraId="4790F5F1" w14:textId="77777777" w:rsidR="006D2CC4" w:rsidRPr="002E06C4" w:rsidRDefault="006D2CC4" w:rsidP="00215ABD">
      <w:pPr>
        <w:numPr>
          <w:ilvl w:val="0"/>
          <w:numId w:val="3"/>
        </w:numPr>
        <w:ind w:left="540"/>
        <w:jc w:val="both"/>
        <w:rPr>
          <w:rFonts w:asciiTheme="majorHAnsi" w:hAnsiTheme="majorHAnsi" w:cs="Times New Roman"/>
          <w:bCs/>
          <w:i/>
          <w:iCs/>
          <w:lang w:val="sq-AL"/>
        </w:rPr>
      </w:pPr>
      <w:bookmarkStart w:id="93" w:name="_Toc515446553"/>
      <w:r w:rsidRPr="002E06C4">
        <w:rPr>
          <w:rFonts w:asciiTheme="majorHAnsi" w:hAnsiTheme="majorHAnsi" w:cs="Times New Roman"/>
          <w:bCs/>
          <w:i/>
          <w:iCs/>
          <w:lang w:val="sq-AL"/>
        </w:rPr>
        <w:t xml:space="preserve">Rënie e kursit të këmbimit të monedhave USD dhe EURO kundrejt monedhës vendase, përkatësisht në masën 10.2 për qind dhe 4.4 për qind, ka dhënë efekte të ndjeshme negative në uljen e të ardhurave nga TVSH-ja e importeve për të gjitha kategoritë e mallrave. </w:t>
      </w:r>
    </w:p>
    <w:p w14:paraId="1F37ED61" w14:textId="77777777" w:rsidR="006D2CC4" w:rsidRPr="002E06C4" w:rsidRDefault="006D2CC4" w:rsidP="00215ABD">
      <w:pPr>
        <w:numPr>
          <w:ilvl w:val="0"/>
          <w:numId w:val="3"/>
        </w:numPr>
        <w:ind w:left="540"/>
        <w:jc w:val="both"/>
        <w:rPr>
          <w:rFonts w:asciiTheme="majorHAnsi" w:hAnsiTheme="majorHAnsi" w:cs="Times New Roman"/>
          <w:bCs/>
          <w:i/>
          <w:iCs/>
          <w:lang w:val="sq-AL"/>
        </w:rPr>
      </w:pPr>
      <w:r w:rsidRPr="002E06C4">
        <w:rPr>
          <w:rFonts w:asciiTheme="majorHAnsi" w:hAnsiTheme="majorHAnsi" w:cs="Times New Roman"/>
          <w:bCs/>
          <w:i/>
          <w:iCs/>
          <w:lang w:val="sq-AL"/>
        </w:rPr>
        <w:t>Rënie e importit të energjisë elektrike, si rezultat i rritjes së prodhimit vendas dhe disiplinimit të konsumit.</w:t>
      </w:r>
    </w:p>
    <w:p w14:paraId="3F9A5903" w14:textId="77777777" w:rsidR="006D2CC4" w:rsidRPr="002E06C4" w:rsidRDefault="006D2CC4" w:rsidP="00215ABD">
      <w:pPr>
        <w:numPr>
          <w:ilvl w:val="0"/>
          <w:numId w:val="3"/>
        </w:numPr>
        <w:ind w:left="540"/>
        <w:jc w:val="both"/>
        <w:rPr>
          <w:rFonts w:asciiTheme="majorHAnsi" w:hAnsiTheme="majorHAnsi" w:cs="Times New Roman"/>
          <w:bCs/>
          <w:i/>
          <w:iCs/>
          <w:lang w:val="sq-AL"/>
        </w:rPr>
      </w:pPr>
      <w:r w:rsidRPr="002E06C4">
        <w:rPr>
          <w:rFonts w:asciiTheme="majorHAnsi" w:hAnsiTheme="majorHAnsi" w:cs="Times New Roman"/>
          <w:bCs/>
          <w:i/>
          <w:iCs/>
          <w:lang w:val="sq-AL"/>
        </w:rPr>
        <w:t>Rënie e të ardhurave nga importi i pajisjeve të Projektit TAP, si rezultat i përfundimit të importit të tubove dhe pajisjeve të tjera.</w:t>
      </w:r>
    </w:p>
    <w:bookmarkEnd w:id="93"/>
    <w:p w14:paraId="1F559977" w14:textId="77777777" w:rsidR="006D2CC4" w:rsidRPr="002E06C4" w:rsidRDefault="006D2CC4" w:rsidP="006D2CC4">
      <w:pPr>
        <w:spacing w:line="276" w:lineRule="auto"/>
        <w:jc w:val="both"/>
        <w:rPr>
          <w:rFonts w:asciiTheme="majorHAnsi" w:hAnsiTheme="majorHAnsi" w:cs="Times New Roman"/>
          <w:bCs/>
          <w:i/>
          <w:iCs/>
          <w:sz w:val="8"/>
          <w:szCs w:val="8"/>
          <w:lang w:val="sq-AL"/>
        </w:rPr>
      </w:pPr>
    </w:p>
    <w:p w14:paraId="31ED27BF" w14:textId="77777777" w:rsidR="00A06CDF" w:rsidRPr="006D577E" w:rsidRDefault="006D577E" w:rsidP="006D577E">
      <w:pPr>
        <w:pStyle w:val="Caption"/>
        <w:rPr>
          <w:rFonts w:asciiTheme="majorHAnsi" w:hAnsiTheme="majorHAnsi" w:cs="Times New Roman"/>
          <w:lang w:val="sq-AL"/>
        </w:rPr>
      </w:pPr>
      <w:bookmarkStart w:id="94" w:name="_Toc11135123"/>
      <w:r>
        <w:t xml:space="preserve">Tabela </w:t>
      </w:r>
      <w:r w:rsidR="003D3813">
        <w:fldChar w:fldCharType="begin"/>
      </w:r>
      <w:r w:rsidR="003D3813">
        <w:instrText xml:space="preserve"> SEQ Tabela \* ARABIC </w:instrText>
      </w:r>
      <w:r w:rsidR="003D3813">
        <w:fldChar w:fldCharType="separate"/>
      </w:r>
      <w:r w:rsidR="006A57F3">
        <w:rPr>
          <w:noProof/>
        </w:rPr>
        <w:t>9</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Performanca e TVSH-së në import: faktorët ndikues 2018 krahasuar me 2017</w:t>
      </w:r>
      <w:bookmarkEnd w:id="94"/>
    </w:p>
    <w:tbl>
      <w:tblPr>
        <w:tblStyle w:val="GridTable4-Accent11"/>
        <w:tblW w:w="11116" w:type="dxa"/>
        <w:jc w:val="center"/>
        <w:tblLook w:val="04A0" w:firstRow="1" w:lastRow="0" w:firstColumn="1" w:lastColumn="0" w:noHBand="0" w:noVBand="1"/>
      </w:tblPr>
      <w:tblGrid>
        <w:gridCol w:w="2913"/>
        <w:gridCol w:w="1848"/>
        <w:gridCol w:w="6355"/>
      </w:tblGrid>
      <w:tr w:rsidR="006D2CC4" w:rsidRPr="002E06C4" w14:paraId="4B30FDC8" w14:textId="77777777" w:rsidTr="007C609F">
        <w:trPr>
          <w:cnfStyle w:val="100000000000" w:firstRow="1" w:lastRow="0" w:firstColumn="0" w:lastColumn="0" w:oddVBand="0" w:evenVBand="0" w:oddHBand="0"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721AA918" w14:textId="77777777" w:rsidR="006D2CC4" w:rsidRPr="002E06C4" w:rsidRDefault="006D2CC4" w:rsidP="00E87752">
            <w:pPr>
              <w:spacing w:line="276" w:lineRule="auto"/>
              <w:jc w:val="center"/>
              <w:rPr>
                <w:rFonts w:asciiTheme="majorHAnsi" w:hAnsiTheme="majorHAnsi" w:cs="Times New Roman"/>
                <w:b w:val="0"/>
                <w:iCs/>
                <w:sz w:val="20"/>
                <w:szCs w:val="20"/>
                <w:lang w:val="sq-AL"/>
              </w:rPr>
            </w:pPr>
            <w:r w:rsidRPr="002E06C4">
              <w:rPr>
                <w:rFonts w:asciiTheme="majorHAnsi" w:hAnsiTheme="majorHAnsi" w:cs="Times New Roman"/>
                <w:b w:val="0"/>
                <w:iCs/>
                <w:sz w:val="20"/>
                <w:szCs w:val="20"/>
                <w:lang w:val="sq-AL"/>
              </w:rPr>
              <w:t>Produktet</w:t>
            </w:r>
          </w:p>
        </w:tc>
        <w:tc>
          <w:tcPr>
            <w:tcW w:w="1848" w:type="dxa"/>
            <w:hideMark/>
          </w:tcPr>
          <w:p w14:paraId="03D5EE57" w14:textId="77777777" w:rsidR="006D2CC4" w:rsidRPr="002E06C4" w:rsidRDefault="006D2CC4" w:rsidP="00E877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iCs/>
                <w:sz w:val="20"/>
                <w:szCs w:val="20"/>
                <w:lang w:val="sq-AL"/>
              </w:rPr>
            </w:pPr>
            <w:r w:rsidRPr="002E06C4">
              <w:rPr>
                <w:rFonts w:asciiTheme="majorHAnsi" w:hAnsiTheme="majorHAnsi" w:cs="Times New Roman"/>
                <w:b w:val="0"/>
                <w:iCs/>
                <w:sz w:val="20"/>
                <w:szCs w:val="20"/>
                <w:lang w:val="sq-AL"/>
              </w:rPr>
              <w:t>Sasia</w:t>
            </w:r>
          </w:p>
        </w:tc>
        <w:tc>
          <w:tcPr>
            <w:tcW w:w="6355" w:type="dxa"/>
            <w:noWrap/>
            <w:hideMark/>
          </w:tcPr>
          <w:p w14:paraId="41253362" w14:textId="77777777" w:rsidR="006D2CC4" w:rsidRPr="002E06C4" w:rsidRDefault="006D2CC4" w:rsidP="00E877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iCs/>
                <w:sz w:val="20"/>
                <w:szCs w:val="20"/>
                <w:lang w:val="sq-AL"/>
              </w:rPr>
            </w:pPr>
            <w:r w:rsidRPr="002E06C4">
              <w:rPr>
                <w:rFonts w:asciiTheme="majorHAnsi" w:hAnsiTheme="majorHAnsi" w:cs="Times New Roman"/>
                <w:b w:val="0"/>
                <w:iCs/>
                <w:sz w:val="20"/>
                <w:szCs w:val="20"/>
                <w:lang w:val="sq-AL"/>
              </w:rPr>
              <w:t>Arsyet</w:t>
            </w:r>
          </w:p>
        </w:tc>
      </w:tr>
      <w:tr w:rsidR="006D2CC4" w:rsidRPr="002E06C4" w14:paraId="2D2EB713" w14:textId="77777777" w:rsidTr="007C609F">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3184D0ED" w14:textId="77777777" w:rsidR="006D2CC4" w:rsidRPr="002E06C4" w:rsidRDefault="006D2CC4" w:rsidP="00E87752">
            <w:pPr>
              <w:spacing w:line="276" w:lineRule="auto"/>
              <w:rPr>
                <w:rFonts w:asciiTheme="majorHAnsi" w:hAnsiTheme="majorHAnsi" w:cs="Times New Roman"/>
                <w:sz w:val="16"/>
                <w:szCs w:val="16"/>
                <w:lang w:val="sq-AL"/>
              </w:rPr>
            </w:pPr>
            <w:r w:rsidRPr="002E06C4">
              <w:rPr>
                <w:rFonts w:asciiTheme="majorHAnsi" w:hAnsiTheme="majorHAnsi" w:cs="Times New Roman"/>
                <w:sz w:val="16"/>
                <w:szCs w:val="16"/>
                <w:lang w:val="sq-AL"/>
              </w:rPr>
              <w:t>Energji elektrike</w:t>
            </w:r>
          </w:p>
        </w:tc>
        <w:tc>
          <w:tcPr>
            <w:tcW w:w="1848" w:type="dxa"/>
            <w:noWrap/>
            <w:hideMark/>
          </w:tcPr>
          <w:p w14:paraId="4F4FE3D2" w14:textId="77777777" w:rsidR="006D2CC4" w:rsidRPr="002E06C4" w:rsidRDefault="006D2CC4" w:rsidP="00E8775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6"/>
                <w:lang w:val="sq-AL"/>
              </w:rPr>
            </w:pPr>
            <w:r w:rsidRPr="002E06C4">
              <w:rPr>
                <w:rFonts w:asciiTheme="majorHAnsi" w:hAnsiTheme="majorHAnsi" w:cs="Times New Roman"/>
                <w:sz w:val="16"/>
                <w:szCs w:val="16"/>
                <w:lang w:val="sq-AL"/>
              </w:rPr>
              <w:t>(1,483,907) MegaVat</w:t>
            </w:r>
            <w:r w:rsidR="00A06CDF" w:rsidRPr="002E06C4">
              <w:rPr>
                <w:rFonts w:asciiTheme="majorHAnsi" w:hAnsiTheme="majorHAnsi" w:cs="Times New Roman"/>
                <w:sz w:val="16"/>
                <w:szCs w:val="16"/>
                <w:lang w:val="sq-AL"/>
              </w:rPr>
              <w:t xml:space="preserve"> </w:t>
            </w:r>
            <w:r w:rsidRPr="002E06C4">
              <w:rPr>
                <w:rFonts w:asciiTheme="majorHAnsi" w:hAnsiTheme="majorHAnsi" w:cs="Times New Roman"/>
                <w:sz w:val="16"/>
                <w:szCs w:val="16"/>
                <w:lang w:val="sq-AL"/>
              </w:rPr>
              <w:t>or</w:t>
            </w:r>
            <w:r w:rsidR="00A06CDF" w:rsidRPr="002E06C4">
              <w:rPr>
                <w:rFonts w:asciiTheme="majorHAnsi" w:hAnsiTheme="majorHAnsi" w:cs="Times New Roman"/>
                <w:sz w:val="16"/>
                <w:szCs w:val="16"/>
                <w:lang w:val="sq-AL"/>
              </w:rPr>
              <w:t>ë</w:t>
            </w:r>
          </w:p>
        </w:tc>
        <w:tc>
          <w:tcPr>
            <w:tcW w:w="6355" w:type="dxa"/>
            <w:hideMark/>
          </w:tcPr>
          <w:p w14:paraId="46E3D351" w14:textId="77777777" w:rsidR="006D2CC4" w:rsidRPr="002E06C4" w:rsidRDefault="006D2CC4" w:rsidP="007C609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6"/>
                <w:szCs w:val="16"/>
                <w:lang w:val="sq-AL"/>
              </w:rPr>
            </w:pPr>
            <w:r w:rsidRPr="002E06C4">
              <w:rPr>
                <w:rFonts w:asciiTheme="majorHAnsi" w:hAnsiTheme="majorHAnsi" w:cs="Times New Roman"/>
                <w:sz w:val="16"/>
                <w:szCs w:val="16"/>
                <w:lang w:val="sq-AL"/>
              </w:rPr>
              <w:t>Rënie e importit të energjisë me 48 për qind, si rezultat i rritjes së ndjeshme të prodhimit vendas krahasuar me vitin 2017.</w:t>
            </w:r>
          </w:p>
        </w:tc>
      </w:tr>
      <w:tr w:rsidR="006D2CC4" w:rsidRPr="002E06C4" w14:paraId="0C8BEAA9" w14:textId="77777777" w:rsidTr="007C609F">
        <w:trPr>
          <w:trHeight w:val="80"/>
          <w:jc w:val="cent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743215E9" w14:textId="77777777" w:rsidR="006D2CC4" w:rsidRPr="002E06C4" w:rsidRDefault="006D2CC4" w:rsidP="00E87752">
            <w:pPr>
              <w:spacing w:line="276" w:lineRule="auto"/>
              <w:rPr>
                <w:rFonts w:asciiTheme="majorHAnsi" w:hAnsiTheme="majorHAnsi" w:cs="Times New Roman"/>
                <w:sz w:val="16"/>
                <w:szCs w:val="16"/>
                <w:lang w:val="sq-AL"/>
              </w:rPr>
            </w:pPr>
            <w:r w:rsidRPr="002E06C4">
              <w:rPr>
                <w:rFonts w:asciiTheme="majorHAnsi" w:hAnsiTheme="majorHAnsi" w:cs="Times New Roman"/>
                <w:sz w:val="16"/>
                <w:szCs w:val="16"/>
                <w:lang w:val="sq-AL"/>
              </w:rPr>
              <w:t>Karburant import</w:t>
            </w:r>
          </w:p>
          <w:p w14:paraId="407F8CD2" w14:textId="77777777" w:rsidR="006D2CC4" w:rsidRPr="002E06C4" w:rsidRDefault="006D2CC4" w:rsidP="00E87752">
            <w:pPr>
              <w:spacing w:line="276" w:lineRule="auto"/>
              <w:rPr>
                <w:rFonts w:asciiTheme="majorHAnsi" w:hAnsiTheme="majorHAnsi" w:cs="Times New Roman"/>
                <w:sz w:val="16"/>
                <w:szCs w:val="16"/>
                <w:lang w:val="sq-AL"/>
              </w:rPr>
            </w:pPr>
          </w:p>
          <w:p w14:paraId="784A33D2" w14:textId="77777777" w:rsidR="006D2CC4" w:rsidRPr="002E06C4" w:rsidRDefault="006D2CC4" w:rsidP="00E87752">
            <w:pPr>
              <w:spacing w:line="276" w:lineRule="auto"/>
              <w:rPr>
                <w:rFonts w:asciiTheme="majorHAnsi" w:hAnsiTheme="majorHAnsi" w:cs="Times New Roman"/>
                <w:sz w:val="16"/>
                <w:szCs w:val="16"/>
                <w:lang w:val="sq-AL"/>
              </w:rPr>
            </w:pPr>
          </w:p>
          <w:p w14:paraId="51B2EFD5" w14:textId="77777777" w:rsidR="006D2CC4" w:rsidRPr="002E06C4" w:rsidRDefault="006D2CC4" w:rsidP="00E87752">
            <w:pPr>
              <w:spacing w:line="276" w:lineRule="auto"/>
              <w:rPr>
                <w:rFonts w:asciiTheme="majorHAnsi" w:hAnsiTheme="majorHAnsi" w:cs="Times New Roman"/>
                <w:sz w:val="16"/>
                <w:szCs w:val="16"/>
                <w:lang w:val="sq-AL"/>
              </w:rPr>
            </w:pPr>
            <w:r w:rsidRPr="002E06C4">
              <w:rPr>
                <w:rFonts w:asciiTheme="majorHAnsi" w:hAnsiTheme="majorHAnsi" w:cs="Times New Roman"/>
                <w:sz w:val="16"/>
                <w:szCs w:val="16"/>
                <w:lang w:val="sq-AL"/>
              </w:rPr>
              <w:t>Metalet Bazë dhe artikujt prej tyre</w:t>
            </w:r>
          </w:p>
        </w:tc>
        <w:tc>
          <w:tcPr>
            <w:tcW w:w="1848" w:type="dxa"/>
            <w:noWrap/>
            <w:hideMark/>
          </w:tcPr>
          <w:p w14:paraId="58A791A0" w14:textId="77777777" w:rsidR="006D2CC4" w:rsidRPr="002E06C4" w:rsidRDefault="006D2CC4" w:rsidP="00E877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lang w:val="sq-AL"/>
              </w:rPr>
            </w:pPr>
            <w:r w:rsidRPr="002E06C4">
              <w:rPr>
                <w:rFonts w:asciiTheme="majorHAnsi" w:hAnsiTheme="majorHAnsi" w:cs="Times New Roman"/>
                <w:sz w:val="16"/>
                <w:szCs w:val="16"/>
                <w:lang w:val="sq-AL"/>
              </w:rPr>
              <w:t>101,539 ton</w:t>
            </w:r>
            <w:r w:rsidR="00A06CDF" w:rsidRPr="002E06C4">
              <w:rPr>
                <w:rFonts w:asciiTheme="majorHAnsi" w:hAnsiTheme="majorHAnsi" w:cs="Times New Roman"/>
                <w:sz w:val="16"/>
                <w:szCs w:val="16"/>
                <w:lang w:val="sq-AL"/>
              </w:rPr>
              <w:t>ë</w:t>
            </w:r>
          </w:p>
          <w:p w14:paraId="2F8A7966" w14:textId="77777777" w:rsidR="006D2CC4" w:rsidRPr="002E06C4" w:rsidRDefault="006D2CC4" w:rsidP="00E877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lang w:val="sq-AL"/>
              </w:rPr>
            </w:pPr>
          </w:p>
          <w:p w14:paraId="6E600276" w14:textId="77777777" w:rsidR="006D2CC4" w:rsidRPr="002E06C4" w:rsidRDefault="006D2CC4" w:rsidP="00E877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lang w:val="sq-AL"/>
              </w:rPr>
            </w:pPr>
          </w:p>
          <w:p w14:paraId="744B62D9" w14:textId="77777777" w:rsidR="006D2CC4" w:rsidRPr="002E06C4" w:rsidRDefault="006D2CC4" w:rsidP="006E19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lang w:val="sq-AL"/>
              </w:rPr>
            </w:pPr>
            <w:r w:rsidRPr="002E06C4">
              <w:rPr>
                <w:rFonts w:asciiTheme="majorHAnsi" w:hAnsiTheme="majorHAnsi" w:cs="Times New Roman"/>
                <w:sz w:val="16"/>
                <w:szCs w:val="16"/>
                <w:lang w:val="sq-AL"/>
              </w:rPr>
              <w:t>(102,464) ton</w:t>
            </w:r>
            <w:r w:rsidR="00A06CDF" w:rsidRPr="002E06C4">
              <w:rPr>
                <w:rFonts w:asciiTheme="majorHAnsi" w:hAnsiTheme="majorHAnsi" w:cs="Times New Roman"/>
                <w:sz w:val="16"/>
                <w:szCs w:val="16"/>
                <w:lang w:val="sq-AL"/>
              </w:rPr>
              <w:t>ë</w:t>
            </w:r>
          </w:p>
        </w:tc>
        <w:tc>
          <w:tcPr>
            <w:tcW w:w="6355" w:type="dxa"/>
            <w:hideMark/>
          </w:tcPr>
          <w:p w14:paraId="0B1C13F3" w14:textId="77777777" w:rsidR="006D2CC4" w:rsidRPr="002E06C4" w:rsidRDefault="006D2CC4" w:rsidP="00E877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lang w:val="sq-AL"/>
              </w:rPr>
            </w:pPr>
            <w:r w:rsidRPr="002E06C4">
              <w:rPr>
                <w:rFonts w:asciiTheme="majorHAnsi" w:hAnsiTheme="majorHAnsi" w:cs="Times New Roman"/>
                <w:sz w:val="16"/>
                <w:szCs w:val="16"/>
                <w:lang w:val="sq-AL"/>
              </w:rPr>
              <w:t>Efekti pozitiv në rritjen e sasisë së karburantit të importuar. Kjo rritje vjen edhe si pasojë e uljes së sasisë së karburantit të prodhuar në vend.</w:t>
            </w:r>
          </w:p>
          <w:p w14:paraId="4F360128" w14:textId="77777777" w:rsidR="006D2CC4" w:rsidRPr="002E06C4" w:rsidRDefault="006D2CC4" w:rsidP="00E877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lang w:val="sq-AL"/>
              </w:rPr>
            </w:pPr>
          </w:p>
          <w:p w14:paraId="65D737FE" w14:textId="77777777" w:rsidR="006D2CC4" w:rsidRPr="002E06C4" w:rsidRDefault="006D2CC4" w:rsidP="00E877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6"/>
                <w:szCs w:val="16"/>
                <w:lang w:val="sq-AL"/>
              </w:rPr>
            </w:pPr>
            <w:r w:rsidRPr="002E06C4">
              <w:rPr>
                <w:rFonts w:asciiTheme="majorHAnsi" w:hAnsiTheme="majorHAnsi" w:cs="Times New Roman"/>
                <w:sz w:val="16"/>
                <w:szCs w:val="16"/>
                <w:lang w:val="sq-AL"/>
              </w:rPr>
              <w:t>Efekti negativ në rënien e sasisë ka ardhur si pasojë e efektit që ka sjellë përfundimi i projektit TAP dhe artikujt e importuar prej tyre.</w:t>
            </w:r>
          </w:p>
        </w:tc>
      </w:tr>
    </w:tbl>
    <w:p w14:paraId="6EB611A2" w14:textId="77777777" w:rsidR="006D2CC4" w:rsidRPr="002E06C4" w:rsidRDefault="006D2CC4" w:rsidP="006D2CC4">
      <w:pPr>
        <w:spacing w:line="276" w:lineRule="auto"/>
        <w:jc w:val="center"/>
        <w:rPr>
          <w:rFonts w:asciiTheme="majorHAnsi" w:hAnsiTheme="majorHAnsi" w:cs="Times New Roman"/>
          <w:bCs/>
          <w:iCs/>
          <w:sz w:val="8"/>
          <w:szCs w:val="8"/>
          <w:lang w:val="sq-AL"/>
        </w:rPr>
      </w:pPr>
    </w:p>
    <w:p w14:paraId="59CF758D" w14:textId="77777777" w:rsidR="006D2CC4" w:rsidRPr="002E06C4" w:rsidRDefault="006D2CC4" w:rsidP="006D2CC4">
      <w:pPr>
        <w:spacing w:after="240" w:line="276" w:lineRule="auto"/>
        <w:ind w:firstLine="720"/>
        <w:contextualSpacing/>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06DD8C40" w14:textId="77777777" w:rsidR="006E1920" w:rsidRPr="002E06C4" w:rsidRDefault="006E1920" w:rsidP="006E1920">
      <w:pPr>
        <w:spacing w:line="276" w:lineRule="auto"/>
        <w:jc w:val="both"/>
        <w:rPr>
          <w:rFonts w:asciiTheme="majorHAnsi" w:hAnsiTheme="majorHAnsi" w:cs="Times New Roman"/>
          <w:sz w:val="8"/>
          <w:lang w:val="sq-AL"/>
        </w:rPr>
      </w:pPr>
    </w:p>
    <w:p w14:paraId="7C5A278C" w14:textId="77777777" w:rsidR="006D2CC4" w:rsidRPr="002E06C4" w:rsidRDefault="006D2CC4" w:rsidP="006E1920">
      <w:pPr>
        <w:spacing w:line="276" w:lineRule="auto"/>
        <w:jc w:val="both"/>
        <w:rPr>
          <w:rFonts w:asciiTheme="majorHAnsi" w:hAnsiTheme="majorHAnsi" w:cs="Times New Roman"/>
          <w:lang w:val="sq-AL"/>
        </w:rPr>
      </w:pPr>
      <w:r w:rsidRPr="002E06C4">
        <w:rPr>
          <w:rFonts w:asciiTheme="majorHAnsi" w:hAnsiTheme="majorHAnsi" w:cs="Times New Roman"/>
          <w:lang w:val="sq-AL"/>
        </w:rPr>
        <w:t>Të dhënat 12-mujore të vitit 2018, mbi shpërndarjen sektoriale të TVSh-së brenda vendit, tregojnë se “Shërbimet”, “Prodhimi”, “Tregtia” dhe “Ndërtimi” kanë peshën kryesore në të ardhurat nga TVSH.</w:t>
      </w:r>
    </w:p>
    <w:p w14:paraId="29AC1DD2" w14:textId="77777777" w:rsidR="00C92F51" w:rsidRPr="002E06C4" w:rsidRDefault="00C92F51" w:rsidP="006E1920">
      <w:pPr>
        <w:spacing w:line="276" w:lineRule="auto"/>
        <w:jc w:val="both"/>
        <w:rPr>
          <w:rFonts w:asciiTheme="majorHAnsi" w:hAnsiTheme="majorHAnsi" w:cs="Times New Roman"/>
          <w:sz w:val="12"/>
          <w:lang w:val="sq-AL"/>
        </w:rPr>
      </w:pPr>
    </w:p>
    <w:p w14:paraId="4B00D3C9" w14:textId="77777777" w:rsidR="00A06CDF" w:rsidRPr="002E06C4" w:rsidRDefault="00A06CDF" w:rsidP="00C92F51">
      <w:pPr>
        <w:pStyle w:val="Caption"/>
        <w:keepNext/>
        <w:spacing w:after="0"/>
        <w:rPr>
          <w:rFonts w:asciiTheme="majorHAnsi" w:hAnsiTheme="majorHAnsi" w:cs="Times New Roman"/>
          <w:lang w:val="sq-AL"/>
        </w:rPr>
      </w:pPr>
      <w:bookmarkStart w:id="95" w:name="_Toc11141691"/>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15</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TVSH-ja Brenda vendit, sipas sektor</w:t>
      </w:r>
      <w:r w:rsidR="00C33B16" w:rsidRPr="002E06C4">
        <w:rPr>
          <w:rFonts w:asciiTheme="majorHAnsi" w:hAnsiTheme="majorHAnsi" w:cs="Times New Roman"/>
          <w:lang w:val="sq-AL"/>
        </w:rPr>
        <w:t>ë</w:t>
      </w:r>
      <w:r w:rsidRPr="002E06C4">
        <w:rPr>
          <w:rFonts w:asciiTheme="majorHAnsi" w:hAnsiTheme="majorHAnsi" w:cs="Times New Roman"/>
          <w:lang w:val="sq-AL"/>
        </w:rPr>
        <w:t>ve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w:t>
      </w:r>
      <w:bookmarkEnd w:id="95"/>
    </w:p>
    <w:p w14:paraId="79C99F55" w14:textId="77777777" w:rsidR="006D2CC4" w:rsidRPr="002E06C4" w:rsidRDefault="006D2CC4" w:rsidP="006D2CC4">
      <w:pPr>
        <w:spacing w:line="276" w:lineRule="auto"/>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1987EF37" wp14:editId="0EF0DB3D">
            <wp:extent cx="5158740" cy="1630680"/>
            <wp:effectExtent l="0" t="0" r="3810" b="762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F26D80" w14:textId="77777777" w:rsidR="006D2CC4" w:rsidRPr="002E06C4" w:rsidRDefault="006D2CC4" w:rsidP="006D2CC4">
      <w:pPr>
        <w:spacing w:line="276" w:lineRule="auto"/>
        <w:ind w:left="720" w:firstLine="720"/>
        <w:contextualSpacing/>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5D5F9772" w14:textId="77777777" w:rsidR="006D2CC4" w:rsidRPr="002E06C4" w:rsidRDefault="006D2CC4" w:rsidP="006D2CC4">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lastRenderedPageBreak/>
        <w:t>Të ardhurat e mbledhura nga TVSH brenda vendit janë 36.3 miliardë lekë, me rritje kundrejt vitit të kaluar në masën 4 për qind ose +1.4 miliardë lekë dhe me realizim ndaj planit të periudhës në nivelin 97 për qind ose 1.2 miliardë lekë më pak. Rimbursimi i TVSH-së është realizuar në vlerën 14.4 miliardë lekë, 3.6 për qind ose 503 milionë lekë më shumë se 12-mujori i vitit 2017. Grafiku më poshtë paraqet rimbursimin e TVSH-së në vitet 2012-2018 në milionë lekë.</w:t>
      </w:r>
    </w:p>
    <w:p w14:paraId="3741E959" w14:textId="77777777" w:rsidR="006D2CC4" w:rsidRPr="002E06C4" w:rsidRDefault="006D2CC4" w:rsidP="006D2CC4">
      <w:pPr>
        <w:spacing w:line="276" w:lineRule="auto"/>
        <w:contextualSpacing/>
        <w:jc w:val="both"/>
        <w:rPr>
          <w:rFonts w:asciiTheme="majorHAnsi" w:hAnsiTheme="majorHAnsi" w:cs="Times New Roman"/>
          <w:i/>
          <w:noProof/>
          <w:sz w:val="20"/>
          <w:lang w:val="sq-AL"/>
        </w:rPr>
      </w:pPr>
    </w:p>
    <w:p w14:paraId="76A1DB9D" w14:textId="77777777" w:rsidR="00A06CDF" w:rsidRPr="002E06C4" w:rsidRDefault="00A06CDF" w:rsidP="00350A9F">
      <w:pPr>
        <w:pStyle w:val="Caption"/>
        <w:keepNext/>
        <w:spacing w:after="0"/>
        <w:rPr>
          <w:rFonts w:asciiTheme="majorHAnsi" w:hAnsiTheme="majorHAnsi" w:cs="Times New Roman"/>
          <w:lang w:val="sq-AL"/>
        </w:rPr>
      </w:pPr>
      <w:bookmarkStart w:id="96" w:name="_Toc11141692"/>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16</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Rimbursimi </w:t>
      </w:r>
      <w:r w:rsidR="00960A6A" w:rsidRPr="002E06C4">
        <w:rPr>
          <w:rFonts w:asciiTheme="majorHAnsi" w:hAnsiTheme="majorHAnsi" w:cs="Times New Roman"/>
          <w:lang w:val="sq-AL"/>
        </w:rPr>
        <w:t xml:space="preserve">i </w:t>
      </w:r>
      <w:r w:rsidRPr="002E06C4">
        <w:rPr>
          <w:rFonts w:asciiTheme="majorHAnsi" w:hAnsiTheme="majorHAnsi" w:cs="Times New Roman"/>
          <w:lang w:val="sq-AL"/>
        </w:rPr>
        <w:t>TVSH-s</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milion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96"/>
    </w:p>
    <w:p w14:paraId="3A72FF89" w14:textId="77777777" w:rsidR="009E64BA" w:rsidRPr="002E06C4" w:rsidRDefault="00960A6A" w:rsidP="006E1920">
      <w:pPr>
        <w:jc w:val="center"/>
        <w:rPr>
          <w:rFonts w:asciiTheme="majorHAnsi" w:hAnsiTheme="majorHAnsi"/>
          <w:lang w:val="sq-AL"/>
        </w:rPr>
      </w:pPr>
      <w:r w:rsidRPr="002E06C4">
        <w:rPr>
          <w:rFonts w:asciiTheme="majorHAnsi" w:hAnsiTheme="majorHAnsi"/>
          <w:noProof/>
        </w:rPr>
        <w:drawing>
          <wp:inline distT="0" distB="0" distL="0" distR="0" wp14:anchorId="491766DC" wp14:editId="21D1EC80">
            <wp:extent cx="5486400" cy="2094865"/>
            <wp:effectExtent l="0" t="0" r="25400" b="13335"/>
            <wp:docPr id="24" name="Chart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C1FB04" w14:textId="77777777" w:rsidR="006D2CC4" w:rsidRPr="002E06C4" w:rsidRDefault="006D2CC4" w:rsidP="006E1920">
      <w:pPr>
        <w:spacing w:line="276" w:lineRule="auto"/>
        <w:ind w:firstLine="720"/>
        <w:contextualSpacing/>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74C7B6E5" w14:textId="77777777" w:rsidR="006D2CC4" w:rsidRPr="002E06C4" w:rsidRDefault="006D2CC4" w:rsidP="00A2716B">
      <w:pPr>
        <w:pStyle w:val="ListParagraph"/>
        <w:numPr>
          <w:ilvl w:val="0"/>
          <w:numId w:val="2"/>
        </w:numPr>
        <w:spacing w:before="240" w:line="360" w:lineRule="auto"/>
        <w:ind w:left="990" w:hanging="270"/>
        <w:rPr>
          <w:rFonts w:asciiTheme="majorHAnsi" w:hAnsiTheme="majorHAnsi" w:cs="Times New Roman"/>
          <w:i/>
          <w:noProof/>
          <w:u w:val="single"/>
          <w:lang w:val="sq-AL"/>
        </w:rPr>
      </w:pPr>
      <w:r w:rsidRPr="002E06C4">
        <w:rPr>
          <w:rFonts w:asciiTheme="majorHAnsi" w:hAnsiTheme="majorHAnsi" w:cs="Times New Roman"/>
          <w:i/>
          <w:noProof/>
          <w:u w:val="single"/>
          <w:lang w:val="sq-AL"/>
        </w:rPr>
        <w:t>Akciza</w:t>
      </w:r>
    </w:p>
    <w:p w14:paraId="2CC0655B" w14:textId="77777777" w:rsidR="006D2CC4" w:rsidRPr="002E06C4" w:rsidRDefault="006D2CC4" w:rsidP="006D2CC4">
      <w:p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Të ardhurat nga Akciza për periudhën Janar–Dhjetor 2018 arritën në rreth 45 miliardë lekë; 0.1 miliardë lekë apo 0.26 për qind më pak krahasuar me të njëjtën periudhë të vitit 2017; Të ardhurat nga kjo taksë u realizuan nën nivelin e planifikuar me rreth 7.1 për qind ose 3.4 miliardë lekë. Sipas llojit të mallrave kryesore me akcizë, situata për periudhën ka qenë si vijon: </w:t>
      </w:r>
    </w:p>
    <w:p w14:paraId="6BFD18C4" w14:textId="77777777" w:rsidR="006D2CC4" w:rsidRPr="002E06C4" w:rsidRDefault="006D2CC4" w:rsidP="00A2716B">
      <w:pPr>
        <w:numPr>
          <w:ilvl w:val="0"/>
          <w:numId w:val="3"/>
        </w:numPr>
        <w:spacing w:line="276" w:lineRule="auto"/>
        <w:jc w:val="both"/>
        <w:rPr>
          <w:rFonts w:asciiTheme="majorHAnsi" w:hAnsiTheme="majorHAnsi" w:cs="Times New Roman"/>
          <w:bCs/>
          <w:i/>
          <w:iCs/>
          <w:lang w:val="sq-AL"/>
        </w:rPr>
      </w:pPr>
      <w:bookmarkStart w:id="97" w:name="_Toc515446554"/>
      <w:r w:rsidRPr="002E06C4">
        <w:rPr>
          <w:rFonts w:asciiTheme="majorHAnsi" w:hAnsiTheme="majorHAnsi" w:cs="Times New Roman"/>
          <w:bCs/>
          <w:i/>
          <w:iCs/>
          <w:lang w:val="sq-AL"/>
        </w:rPr>
        <w:t>Importi dhe prodhimi vendas i karburanteve rezultoi rreth 597 mijë ton, me një rritje prej 42 mijë ton ose + 7.7 për qind krahasuar me 12 mujorin e vitit 2017.</w:t>
      </w:r>
    </w:p>
    <w:p w14:paraId="67AC06B2" w14:textId="77777777" w:rsidR="006D2CC4" w:rsidRPr="002E06C4" w:rsidRDefault="006D2CC4" w:rsidP="00A2716B">
      <w:pPr>
        <w:numPr>
          <w:ilvl w:val="0"/>
          <w:numId w:val="3"/>
        </w:numPr>
        <w:spacing w:line="276" w:lineRule="auto"/>
        <w:jc w:val="both"/>
        <w:rPr>
          <w:rFonts w:asciiTheme="majorHAnsi" w:hAnsiTheme="majorHAnsi" w:cs="Times New Roman"/>
          <w:bCs/>
          <w:i/>
          <w:iCs/>
          <w:lang w:val="sq-AL"/>
        </w:rPr>
      </w:pPr>
      <w:r w:rsidRPr="002E06C4">
        <w:rPr>
          <w:rFonts w:asciiTheme="majorHAnsi" w:hAnsiTheme="majorHAnsi" w:cs="Times New Roman"/>
          <w:bCs/>
          <w:i/>
          <w:iCs/>
          <w:lang w:val="sq-AL"/>
        </w:rPr>
        <w:t>Rënie e sasisë së importuar të cigareve nga ulja e konsumit, ku për periudhën 12-mujore 2018 rezulton 8 për qind më pak krahasuar me të njëjtën periudhë të vitit të kaluar.</w:t>
      </w:r>
    </w:p>
    <w:p w14:paraId="4D89BF4B" w14:textId="77777777" w:rsidR="006D577E" w:rsidRDefault="006D2CC4" w:rsidP="006D577E">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Ndërkohë, performancë pozitive si rezultat i rritjes në sasi kanë shënuar: importi dhe prodhimi vendas i birrës me +1.6 për qind, importi i duhanit të grirë +18 për qind, importi i kafesë +10 për qind, si dhe rritje të deklarimit të prodhimit vendas të duhanit, nga 12 ton në 25 ton të deklaruara në periudhën Janar - Dhjetor 2018.</w:t>
      </w:r>
      <w:bookmarkEnd w:id="97"/>
    </w:p>
    <w:p w14:paraId="387C77EA" w14:textId="77777777" w:rsidR="006D577E" w:rsidRPr="006D577E" w:rsidRDefault="006D577E" w:rsidP="006D577E">
      <w:pPr>
        <w:spacing w:before="240" w:line="276" w:lineRule="auto"/>
        <w:contextualSpacing/>
        <w:jc w:val="both"/>
        <w:rPr>
          <w:rFonts w:asciiTheme="majorHAnsi" w:hAnsiTheme="majorHAnsi" w:cs="Times New Roman"/>
          <w:lang w:val="sq-AL"/>
        </w:rPr>
      </w:pPr>
    </w:p>
    <w:p w14:paraId="1A11136B" w14:textId="77777777" w:rsidR="00A06CDF" w:rsidRPr="002E06C4" w:rsidRDefault="006D577E" w:rsidP="006D577E">
      <w:pPr>
        <w:pStyle w:val="Caption"/>
        <w:spacing w:after="0"/>
        <w:rPr>
          <w:rFonts w:asciiTheme="majorHAnsi" w:hAnsiTheme="majorHAnsi" w:cs="Times New Roman"/>
          <w:lang w:val="sq-AL"/>
        </w:rPr>
      </w:pPr>
      <w:bookmarkStart w:id="98" w:name="_Toc11135124"/>
      <w:r>
        <w:t xml:space="preserve">Tabela </w:t>
      </w:r>
      <w:r w:rsidR="003D3813">
        <w:fldChar w:fldCharType="begin"/>
      </w:r>
      <w:r w:rsidR="003D3813">
        <w:instrText xml:space="preserve"> SEQ Tabela \* ARABIC </w:instrText>
      </w:r>
      <w:r w:rsidR="003D3813">
        <w:fldChar w:fldCharType="separate"/>
      </w:r>
      <w:r w:rsidR="006A57F3">
        <w:rPr>
          <w:noProof/>
        </w:rPr>
        <w:t>10</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Performanca e të ardhurave nga akciza: mallrat kryesorë 2018 - 2017</w:t>
      </w:r>
      <w:bookmarkEnd w:id="98"/>
    </w:p>
    <w:tbl>
      <w:tblPr>
        <w:tblStyle w:val="ListTable3-Accent52"/>
        <w:tblW w:w="5000" w:type="pct"/>
        <w:shd w:val="clear" w:color="auto" w:fill="C6D9F1" w:themeFill="text2" w:themeFillTint="33"/>
        <w:tblLook w:val="04A0" w:firstRow="1" w:lastRow="0" w:firstColumn="1" w:lastColumn="0" w:noHBand="0" w:noVBand="1"/>
      </w:tblPr>
      <w:tblGrid>
        <w:gridCol w:w="3351"/>
        <w:gridCol w:w="1436"/>
        <w:gridCol w:w="1629"/>
        <w:gridCol w:w="1341"/>
        <w:gridCol w:w="1435"/>
        <w:gridCol w:w="1284"/>
      </w:tblGrid>
      <w:tr w:rsidR="006D2CC4" w:rsidRPr="002E06C4" w14:paraId="529C182B" w14:textId="77777777" w:rsidTr="001A3391">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1599" w:type="pct"/>
            <w:vMerge w:val="restart"/>
            <w:shd w:val="clear" w:color="auto" w:fill="C6D9F1" w:themeFill="text2" w:themeFillTint="33"/>
            <w:hideMark/>
          </w:tcPr>
          <w:p w14:paraId="1C22A752" w14:textId="77777777" w:rsidR="00476DCB" w:rsidRPr="001A3391" w:rsidRDefault="00476DCB" w:rsidP="00E87752">
            <w:pPr>
              <w:jc w:val="center"/>
              <w:rPr>
                <w:rFonts w:asciiTheme="majorHAnsi" w:hAnsiTheme="majorHAnsi" w:cs="Times New Roman"/>
                <w:bCs w:val="0"/>
                <w:color w:val="000000"/>
                <w:sz w:val="20"/>
                <w:szCs w:val="20"/>
                <w:lang w:val="sq-AL"/>
              </w:rPr>
            </w:pPr>
          </w:p>
          <w:p w14:paraId="7879B825" w14:textId="77777777" w:rsidR="006D2CC4" w:rsidRPr="001A3391" w:rsidRDefault="006D2CC4" w:rsidP="00E87752">
            <w:pPr>
              <w:jc w:val="center"/>
              <w:rPr>
                <w:rFonts w:asciiTheme="majorHAnsi" w:hAnsiTheme="majorHAnsi" w:cs="Times New Roman"/>
                <w:bCs w:val="0"/>
                <w:color w:val="000000"/>
                <w:sz w:val="20"/>
                <w:szCs w:val="20"/>
                <w:lang w:val="sq-AL"/>
              </w:rPr>
            </w:pPr>
            <w:r w:rsidRPr="001A3391">
              <w:rPr>
                <w:rFonts w:asciiTheme="majorHAnsi" w:hAnsiTheme="majorHAnsi" w:cs="Times New Roman"/>
                <w:bCs w:val="0"/>
                <w:color w:val="000000"/>
                <w:sz w:val="20"/>
                <w:szCs w:val="20"/>
                <w:lang w:val="sq-AL"/>
              </w:rPr>
              <w:t>Mallrat e forta</w:t>
            </w:r>
          </w:p>
        </w:tc>
        <w:tc>
          <w:tcPr>
            <w:tcW w:w="685" w:type="pct"/>
            <w:vMerge w:val="restart"/>
            <w:shd w:val="clear" w:color="auto" w:fill="C6D9F1" w:themeFill="text2" w:themeFillTint="33"/>
            <w:hideMark/>
          </w:tcPr>
          <w:p w14:paraId="709A6EF5" w14:textId="77777777" w:rsidR="006D2CC4" w:rsidRPr="001A3391" w:rsidRDefault="006D2CC4" w:rsidP="00E8775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Cs w:val="0"/>
                <w:color w:val="000000"/>
                <w:sz w:val="20"/>
                <w:szCs w:val="20"/>
                <w:lang w:val="sq-AL"/>
              </w:rPr>
            </w:pPr>
            <w:r w:rsidRPr="001A3391">
              <w:rPr>
                <w:rFonts w:asciiTheme="majorHAnsi" w:hAnsiTheme="majorHAnsi" w:cs="Times New Roman"/>
                <w:bCs w:val="0"/>
                <w:color w:val="000000"/>
                <w:sz w:val="20"/>
                <w:szCs w:val="20"/>
                <w:lang w:val="sq-AL"/>
              </w:rPr>
              <w:t>Njësia e matjes</w:t>
            </w:r>
          </w:p>
        </w:tc>
        <w:tc>
          <w:tcPr>
            <w:tcW w:w="1417" w:type="pct"/>
            <w:gridSpan w:val="2"/>
            <w:shd w:val="clear" w:color="auto" w:fill="C6D9F1" w:themeFill="text2" w:themeFillTint="33"/>
            <w:hideMark/>
          </w:tcPr>
          <w:p w14:paraId="6F9F8F3B" w14:textId="77777777" w:rsidR="006D2CC4" w:rsidRPr="001A3391" w:rsidRDefault="006D2CC4" w:rsidP="00E8775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Cs w:val="0"/>
                <w:color w:val="000000"/>
                <w:sz w:val="20"/>
                <w:szCs w:val="20"/>
                <w:lang w:val="sq-AL"/>
              </w:rPr>
            </w:pPr>
            <w:r w:rsidRPr="001A3391">
              <w:rPr>
                <w:rFonts w:asciiTheme="majorHAnsi" w:hAnsiTheme="majorHAnsi" w:cs="Times New Roman"/>
                <w:bCs w:val="0"/>
                <w:color w:val="000000"/>
                <w:sz w:val="20"/>
                <w:szCs w:val="20"/>
                <w:lang w:val="sq-AL"/>
              </w:rPr>
              <w:t>Janar- Dhjetor</w:t>
            </w:r>
          </w:p>
        </w:tc>
        <w:tc>
          <w:tcPr>
            <w:tcW w:w="1298" w:type="pct"/>
            <w:gridSpan w:val="2"/>
            <w:shd w:val="clear" w:color="auto" w:fill="C6D9F1" w:themeFill="text2" w:themeFillTint="33"/>
            <w:noWrap/>
            <w:hideMark/>
          </w:tcPr>
          <w:p w14:paraId="5746CFBB" w14:textId="77777777" w:rsidR="006D2CC4" w:rsidRPr="001A3391" w:rsidRDefault="006D2CC4" w:rsidP="00E8775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Cs w:val="0"/>
                <w:color w:val="000000"/>
                <w:sz w:val="20"/>
                <w:szCs w:val="20"/>
                <w:lang w:val="sq-AL"/>
              </w:rPr>
            </w:pPr>
            <w:r w:rsidRPr="001A3391">
              <w:rPr>
                <w:rFonts w:asciiTheme="majorHAnsi" w:hAnsiTheme="majorHAnsi" w:cs="Times New Roman"/>
                <w:bCs w:val="0"/>
                <w:color w:val="000000"/>
                <w:sz w:val="20"/>
                <w:szCs w:val="20"/>
                <w:lang w:val="sq-AL"/>
              </w:rPr>
              <w:t>Diferenca</w:t>
            </w:r>
          </w:p>
        </w:tc>
      </w:tr>
      <w:tr w:rsidR="006D2CC4" w:rsidRPr="002E06C4" w14:paraId="7FF1741C" w14:textId="77777777" w:rsidTr="001A339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599" w:type="pct"/>
            <w:vMerge/>
            <w:shd w:val="clear" w:color="auto" w:fill="C6D9F1" w:themeFill="text2" w:themeFillTint="33"/>
            <w:hideMark/>
          </w:tcPr>
          <w:p w14:paraId="4957FE4A" w14:textId="77777777" w:rsidR="006D2CC4" w:rsidRPr="001A3391" w:rsidRDefault="006D2CC4" w:rsidP="00E87752">
            <w:pPr>
              <w:rPr>
                <w:rFonts w:asciiTheme="majorHAnsi" w:hAnsiTheme="majorHAnsi" w:cs="Times New Roman"/>
                <w:bCs w:val="0"/>
                <w:color w:val="000000"/>
                <w:sz w:val="20"/>
                <w:szCs w:val="20"/>
                <w:lang w:val="sq-AL"/>
              </w:rPr>
            </w:pPr>
          </w:p>
        </w:tc>
        <w:tc>
          <w:tcPr>
            <w:tcW w:w="685" w:type="pct"/>
            <w:vMerge/>
            <w:shd w:val="clear" w:color="auto" w:fill="C6D9F1" w:themeFill="text2" w:themeFillTint="33"/>
            <w:hideMark/>
          </w:tcPr>
          <w:p w14:paraId="4FC34076" w14:textId="77777777" w:rsidR="006D2CC4" w:rsidRPr="001A3391" w:rsidRDefault="006D2CC4" w:rsidP="00E87752">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20"/>
                <w:szCs w:val="20"/>
                <w:lang w:val="sq-AL"/>
              </w:rPr>
            </w:pPr>
          </w:p>
        </w:tc>
        <w:tc>
          <w:tcPr>
            <w:tcW w:w="777" w:type="pct"/>
            <w:shd w:val="clear" w:color="auto" w:fill="C6D9F1" w:themeFill="text2" w:themeFillTint="33"/>
            <w:noWrap/>
            <w:hideMark/>
          </w:tcPr>
          <w:p w14:paraId="108CD812" w14:textId="77777777" w:rsidR="006D2CC4" w:rsidRPr="001A3391" w:rsidRDefault="006D2CC4" w:rsidP="00A06CD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20"/>
                <w:szCs w:val="20"/>
                <w:lang w:val="sq-AL"/>
              </w:rPr>
            </w:pPr>
            <w:r w:rsidRPr="001A3391">
              <w:rPr>
                <w:rFonts w:asciiTheme="majorHAnsi" w:hAnsiTheme="majorHAnsi" w:cs="Times New Roman"/>
                <w:b/>
                <w:bCs/>
                <w:color w:val="000000"/>
                <w:sz w:val="20"/>
                <w:szCs w:val="20"/>
                <w:lang w:val="sq-AL"/>
              </w:rPr>
              <w:t>2017</w:t>
            </w:r>
          </w:p>
        </w:tc>
        <w:tc>
          <w:tcPr>
            <w:tcW w:w="640" w:type="pct"/>
            <w:shd w:val="clear" w:color="auto" w:fill="C6D9F1" w:themeFill="text2" w:themeFillTint="33"/>
            <w:noWrap/>
            <w:hideMark/>
          </w:tcPr>
          <w:p w14:paraId="0649DEEB" w14:textId="77777777" w:rsidR="006D2CC4" w:rsidRPr="001A3391" w:rsidRDefault="006D2CC4" w:rsidP="00A06CD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20"/>
                <w:szCs w:val="20"/>
                <w:lang w:val="sq-AL"/>
              </w:rPr>
            </w:pPr>
            <w:r w:rsidRPr="001A3391">
              <w:rPr>
                <w:rFonts w:asciiTheme="majorHAnsi" w:hAnsiTheme="majorHAnsi" w:cs="Times New Roman"/>
                <w:b/>
                <w:bCs/>
                <w:color w:val="000000"/>
                <w:sz w:val="20"/>
                <w:szCs w:val="20"/>
                <w:lang w:val="sq-AL"/>
              </w:rPr>
              <w:t>2018</w:t>
            </w:r>
          </w:p>
        </w:tc>
        <w:tc>
          <w:tcPr>
            <w:tcW w:w="685" w:type="pct"/>
            <w:shd w:val="clear" w:color="auto" w:fill="C6D9F1" w:themeFill="text2" w:themeFillTint="33"/>
            <w:hideMark/>
          </w:tcPr>
          <w:p w14:paraId="5AF98F92" w14:textId="77777777" w:rsidR="006D2CC4" w:rsidRPr="001A3391" w:rsidRDefault="006D2CC4" w:rsidP="00A06CD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20"/>
                <w:szCs w:val="20"/>
                <w:lang w:val="sq-AL"/>
              </w:rPr>
            </w:pPr>
            <w:r w:rsidRPr="001A3391">
              <w:rPr>
                <w:rFonts w:asciiTheme="majorHAnsi" w:hAnsiTheme="majorHAnsi" w:cs="Times New Roman"/>
                <w:b/>
                <w:bCs/>
                <w:color w:val="000000"/>
                <w:sz w:val="20"/>
                <w:szCs w:val="20"/>
                <w:lang w:val="sq-AL"/>
              </w:rPr>
              <w:t>në njësi fizike</w:t>
            </w:r>
          </w:p>
        </w:tc>
        <w:tc>
          <w:tcPr>
            <w:tcW w:w="613" w:type="pct"/>
            <w:shd w:val="clear" w:color="auto" w:fill="C6D9F1" w:themeFill="text2" w:themeFillTint="33"/>
            <w:hideMark/>
          </w:tcPr>
          <w:p w14:paraId="3305C8B4" w14:textId="77777777" w:rsidR="006D2CC4" w:rsidRPr="001A3391" w:rsidRDefault="006D2CC4" w:rsidP="00A06CD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20"/>
                <w:szCs w:val="20"/>
                <w:lang w:val="sq-AL"/>
              </w:rPr>
            </w:pPr>
            <w:r w:rsidRPr="001A3391">
              <w:rPr>
                <w:rFonts w:asciiTheme="majorHAnsi" w:hAnsiTheme="majorHAnsi" w:cs="Times New Roman"/>
                <w:b/>
                <w:bCs/>
                <w:color w:val="000000"/>
                <w:sz w:val="20"/>
                <w:szCs w:val="20"/>
                <w:lang w:val="sq-AL"/>
              </w:rPr>
              <w:t>në përqind</w:t>
            </w:r>
          </w:p>
        </w:tc>
      </w:tr>
      <w:tr w:rsidR="006D2CC4" w:rsidRPr="002E06C4" w14:paraId="627C6CD3" w14:textId="77777777" w:rsidTr="001A3391">
        <w:trPr>
          <w:trHeight w:val="219"/>
        </w:trPr>
        <w:tc>
          <w:tcPr>
            <w:cnfStyle w:val="001000000000" w:firstRow="0" w:lastRow="0" w:firstColumn="1" w:lastColumn="0" w:oddVBand="0" w:evenVBand="0" w:oddHBand="0" w:evenHBand="0" w:firstRowFirstColumn="0" w:firstRowLastColumn="0" w:lastRowFirstColumn="0" w:lastRowLastColumn="0"/>
            <w:tcW w:w="1599" w:type="pct"/>
            <w:shd w:val="clear" w:color="auto" w:fill="C6D9F1" w:themeFill="text2" w:themeFillTint="33"/>
            <w:noWrap/>
            <w:hideMark/>
          </w:tcPr>
          <w:p w14:paraId="6D004464" w14:textId="77777777" w:rsidR="006D2CC4" w:rsidRPr="002E06C4" w:rsidRDefault="006D2CC4" w:rsidP="00E87752">
            <w:pPr>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Cigare</w:t>
            </w:r>
          </w:p>
        </w:tc>
        <w:tc>
          <w:tcPr>
            <w:tcW w:w="685" w:type="pct"/>
            <w:shd w:val="clear" w:color="auto" w:fill="C6D9F1" w:themeFill="text2" w:themeFillTint="33"/>
            <w:noWrap/>
            <w:hideMark/>
          </w:tcPr>
          <w:p w14:paraId="3E4C91A9" w14:textId="77777777" w:rsidR="006D2CC4" w:rsidRPr="002E06C4" w:rsidRDefault="006D2CC4" w:rsidP="00E87752">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Ton</w:t>
            </w:r>
          </w:p>
        </w:tc>
        <w:tc>
          <w:tcPr>
            <w:tcW w:w="777" w:type="pct"/>
            <w:shd w:val="clear" w:color="auto" w:fill="C6D9F1" w:themeFill="text2" w:themeFillTint="33"/>
            <w:noWrap/>
          </w:tcPr>
          <w:p w14:paraId="1A7CD870"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3,106</w:t>
            </w:r>
          </w:p>
        </w:tc>
        <w:tc>
          <w:tcPr>
            <w:tcW w:w="640" w:type="pct"/>
            <w:shd w:val="clear" w:color="auto" w:fill="C6D9F1" w:themeFill="text2" w:themeFillTint="33"/>
            <w:noWrap/>
          </w:tcPr>
          <w:p w14:paraId="42880493"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2,858</w:t>
            </w:r>
          </w:p>
        </w:tc>
        <w:tc>
          <w:tcPr>
            <w:tcW w:w="685" w:type="pct"/>
            <w:shd w:val="clear" w:color="auto" w:fill="C6D9F1" w:themeFill="text2" w:themeFillTint="33"/>
            <w:noWrap/>
          </w:tcPr>
          <w:p w14:paraId="7724449B"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(248)</w:t>
            </w:r>
          </w:p>
        </w:tc>
        <w:tc>
          <w:tcPr>
            <w:tcW w:w="613" w:type="pct"/>
            <w:shd w:val="clear" w:color="auto" w:fill="C6D9F1" w:themeFill="text2" w:themeFillTint="33"/>
            <w:noWrap/>
          </w:tcPr>
          <w:p w14:paraId="4568D9E8"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(8 për qind)</w:t>
            </w:r>
          </w:p>
        </w:tc>
      </w:tr>
      <w:tr w:rsidR="006D2CC4" w:rsidRPr="002E06C4" w14:paraId="3B077269" w14:textId="77777777" w:rsidTr="001A339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99" w:type="pct"/>
            <w:shd w:val="clear" w:color="auto" w:fill="C6D9F1" w:themeFill="text2" w:themeFillTint="33"/>
            <w:noWrap/>
            <w:hideMark/>
          </w:tcPr>
          <w:p w14:paraId="5A67C8CC" w14:textId="77777777" w:rsidR="006D2CC4" w:rsidRPr="002E06C4" w:rsidRDefault="006D2CC4" w:rsidP="00E87752">
            <w:pPr>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Birrë (import+prodhim Vendi)</w:t>
            </w:r>
          </w:p>
        </w:tc>
        <w:tc>
          <w:tcPr>
            <w:tcW w:w="685" w:type="pct"/>
            <w:shd w:val="clear" w:color="auto" w:fill="C6D9F1" w:themeFill="text2" w:themeFillTint="33"/>
            <w:noWrap/>
            <w:hideMark/>
          </w:tcPr>
          <w:p w14:paraId="5A8F1466" w14:textId="77777777" w:rsidR="006D2CC4" w:rsidRPr="002E06C4" w:rsidRDefault="006D2CC4" w:rsidP="00E87752">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Mijë litra</w:t>
            </w:r>
          </w:p>
        </w:tc>
        <w:tc>
          <w:tcPr>
            <w:tcW w:w="777" w:type="pct"/>
            <w:shd w:val="clear" w:color="auto" w:fill="C6D9F1" w:themeFill="text2" w:themeFillTint="33"/>
            <w:noWrap/>
          </w:tcPr>
          <w:p w14:paraId="3E0E622C" w14:textId="77777777" w:rsidR="006D2CC4" w:rsidRPr="002E06C4" w:rsidRDefault="006D2CC4" w:rsidP="00E877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83.629</w:t>
            </w:r>
          </w:p>
        </w:tc>
        <w:tc>
          <w:tcPr>
            <w:tcW w:w="640" w:type="pct"/>
            <w:shd w:val="clear" w:color="auto" w:fill="C6D9F1" w:themeFill="text2" w:themeFillTint="33"/>
            <w:noWrap/>
          </w:tcPr>
          <w:p w14:paraId="48D91903" w14:textId="77777777" w:rsidR="006D2CC4" w:rsidRPr="002E06C4" w:rsidRDefault="006D2CC4" w:rsidP="00E877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84,992</w:t>
            </w:r>
          </w:p>
        </w:tc>
        <w:tc>
          <w:tcPr>
            <w:tcW w:w="685" w:type="pct"/>
            <w:shd w:val="clear" w:color="auto" w:fill="C6D9F1" w:themeFill="text2" w:themeFillTint="33"/>
            <w:noWrap/>
          </w:tcPr>
          <w:p w14:paraId="4BA15890" w14:textId="77777777" w:rsidR="006D2CC4" w:rsidRPr="002E06C4" w:rsidRDefault="006D2CC4" w:rsidP="00E877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1,363</w:t>
            </w:r>
          </w:p>
        </w:tc>
        <w:tc>
          <w:tcPr>
            <w:tcW w:w="613" w:type="pct"/>
            <w:shd w:val="clear" w:color="auto" w:fill="C6D9F1" w:themeFill="text2" w:themeFillTint="33"/>
            <w:noWrap/>
          </w:tcPr>
          <w:p w14:paraId="07CF694D" w14:textId="77777777" w:rsidR="006D2CC4" w:rsidRPr="002E06C4" w:rsidRDefault="006D2CC4" w:rsidP="00E877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2 për qind</w:t>
            </w:r>
          </w:p>
        </w:tc>
      </w:tr>
      <w:tr w:rsidR="006D2CC4" w:rsidRPr="002E06C4" w14:paraId="11779E77" w14:textId="77777777" w:rsidTr="001A3391">
        <w:trPr>
          <w:trHeight w:val="219"/>
        </w:trPr>
        <w:tc>
          <w:tcPr>
            <w:cnfStyle w:val="001000000000" w:firstRow="0" w:lastRow="0" w:firstColumn="1" w:lastColumn="0" w:oddVBand="0" w:evenVBand="0" w:oddHBand="0" w:evenHBand="0" w:firstRowFirstColumn="0" w:firstRowLastColumn="0" w:lastRowFirstColumn="0" w:lastRowLastColumn="0"/>
            <w:tcW w:w="1599" w:type="pct"/>
            <w:shd w:val="clear" w:color="auto" w:fill="C6D9F1" w:themeFill="text2" w:themeFillTint="33"/>
            <w:noWrap/>
            <w:hideMark/>
          </w:tcPr>
          <w:p w14:paraId="27BCEBE8" w14:textId="77777777" w:rsidR="006D2CC4" w:rsidRPr="002E06C4" w:rsidRDefault="006D2CC4" w:rsidP="00E87752">
            <w:pPr>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Gaz i Lëngët</w:t>
            </w:r>
          </w:p>
        </w:tc>
        <w:tc>
          <w:tcPr>
            <w:tcW w:w="685" w:type="pct"/>
            <w:shd w:val="clear" w:color="auto" w:fill="C6D9F1" w:themeFill="text2" w:themeFillTint="33"/>
            <w:noWrap/>
            <w:hideMark/>
          </w:tcPr>
          <w:p w14:paraId="15B2DAE2" w14:textId="77777777" w:rsidR="006D2CC4" w:rsidRPr="002E06C4" w:rsidRDefault="006D2CC4" w:rsidP="00E87752">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Ton</w:t>
            </w:r>
          </w:p>
        </w:tc>
        <w:tc>
          <w:tcPr>
            <w:tcW w:w="777" w:type="pct"/>
            <w:shd w:val="clear" w:color="auto" w:fill="C6D9F1" w:themeFill="text2" w:themeFillTint="33"/>
            <w:noWrap/>
          </w:tcPr>
          <w:p w14:paraId="0983BB0A"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120,072</w:t>
            </w:r>
          </w:p>
        </w:tc>
        <w:tc>
          <w:tcPr>
            <w:tcW w:w="640" w:type="pct"/>
            <w:shd w:val="clear" w:color="auto" w:fill="C6D9F1" w:themeFill="text2" w:themeFillTint="33"/>
            <w:noWrap/>
          </w:tcPr>
          <w:p w14:paraId="1DAB252F"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123,194</w:t>
            </w:r>
          </w:p>
        </w:tc>
        <w:tc>
          <w:tcPr>
            <w:tcW w:w="685" w:type="pct"/>
            <w:shd w:val="clear" w:color="auto" w:fill="C6D9F1" w:themeFill="text2" w:themeFillTint="33"/>
            <w:noWrap/>
          </w:tcPr>
          <w:p w14:paraId="49BE388B"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3,122</w:t>
            </w:r>
          </w:p>
        </w:tc>
        <w:tc>
          <w:tcPr>
            <w:tcW w:w="613" w:type="pct"/>
            <w:shd w:val="clear" w:color="auto" w:fill="C6D9F1" w:themeFill="text2" w:themeFillTint="33"/>
            <w:noWrap/>
          </w:tcPr>
          <w:p w14:paraId="218BF661"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3 për qind</w:t>
            </w:r>
          </w:p>
        </w:tc>
      </w:tr>
      <w:tr w:rsidR="006D2CC4" w:rsidRPr="002E06C4" w14:paraId="050E1D94" w14:textId="77777777" w:rsidTr="001A339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99" w:type="pct"/>
            <w:shd w:val="clear" w:color="auto" w:fill="C6D9F1" w:themeFill="text2" w:themeFillTint="33"/>
            <w:noWrap/>
            <w:hideMark/>
          </w:tcPr>
          <w:p w14:paraId="3506E9B0" w14:textId="77777777" w:rsidR="006D2CC4" w:rsidRPr="002E06C4" w:rsidRDefault="006D2CC4" w:rsidP="00E87752">
            <w:pPr>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Karburant (Import+Prodhim Vendi)</w:t>
            </w:r>
          </w:p>
        </w:tc>
        <w:tc>
          <w:tcPr>
            <w:tcW w:w="685" w:type="pct"/>
            <w:shd w:val="clear" w:color="auto" w:fill="C6D9F1" w:themeFill="text2" w:themeFillTint="33"/>
            <w:noWrap/>
            <w:hideMark/>
          </w:tcPr>
          <w:p w14:paraId="653FD017" w14:textId="77777777" w:rsidR="006D2CC4" w:rsidRPr="002E06C4" w:rsidRDefault="006D2CC4" w:rsidP="00E87752">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Ton</w:t>
            </w:r>
          </w:p>
        </w:tc>
        <w:tc>
          <w:tcPr>
            <w:tcW w:w="777" w:type="pct"/>
            <w:shd w:val="clear" w:color="auto" w:fill="C6D9F1" w:themeFill="text2" w:themeFillTint="33"/>
            <w:noWrap/>
          </w:tcPr>
          <w:p w14:paraId="5C1EE350" w14:textId="77777777" w:rsidR="006D2CC4" w:rsidRPr="002E06C4" w:rsidRDefault="006D2CC4" w:rsidP="00E877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556,892</w:t>
            </w:r>
          </w:p>
        </w:tc>
        <w:tc>
          <w:tcPr>
            <w:tcW w:w="640" w:type="pct"/>
            <w:shd w:val="clear" w:color="auto" w:fill="C6D9F1" w:themeFill="text2" w:themeFillTint="33"/>
            <w:noWrap/>
          </w:tcPr>
          <w:p w14:paraId="28034F8D" w14:textId="77777777" w:rsidR="006D2CC4" w:rsidRPr="002E06C4" w:rsidRDefault="006D2CC4" w:rsidP="00E877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596,984</w:t>
            </w:r>
          </w:p>
        </w:tc>
        <w:tc>
          <w:tcPr>
            <w:tcW w:w="685" w:type="pct"/>
            <w:shd w:val="clear" w:color="auto" w:fill="C6D9F1" w:themeFill="text2" w:themeFillTint="33"/>
            <w:noWrap/>
          </w:tcPr>
          <w:p w14:paraId="220FA5BF" w14:textId="77777777" w:rsidR="006D2CC4" w:rsidRPr="002E06C4" w:rsidRDefault="006D2CC4" w:rsidP="00E877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40,092</w:t>
            </w:r>
          </w:p>
        </w:tc>
        <w:tc>
          <w:tcPr>
            <w:tcW w:w="613" w:type="pct"/>
            <w:shd w:val="clear" w:color="auto" w:fill="C6D9F1" w:themeFill="text2" w:themeFillTint="33"/>
            <w:noWrap/>
          </w:tcPr>
          <w:p w14:paraId="4D565BD7" w14:textId="77777777" w:rsidR="006D2CC4" w:rsidRPr="002E06C4" w:rsidRDefault="006D2CC4" w:rsidP="00E8775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7 për qind</w:t>
            </w:r>
          </w:p>
        </w:tc>
      </w:tr>
      <w:tr w:rsidR="006D2CC4" w:rsidRPr="002E06C4" w14:paraId="298229B8" w14:textId="77777777" w:rsidTr="001A3391">
        <w:trPr>
          <w:trHeight w:val="219"/>
        </w:trPr>
        <w:tc>
          <w:tcPr>
            <w:cnfStyle w:val="001000000000" w:firstRow="0" w:lastRow="0" w:firstColumn="1" w:lastColumn="0" w:oddVBand="0" w:evenVBand="0" w:oddHBand="0" w:evenHBand="0" w:firstRowFirstColumn="0" w:firstRowLastColumn="0" w:lastRowFirstColumn="0" w:lastRowLastColumn="0"/>
            <w:tcW w:w="1599" w:type="pct"/>
            <w:shd w:val="clear" w:color="auto" w:fill="C6D9F1" w:themeFill="text2" w:themeFillTint="33"/>
            <w:noWrap/>
            <w:hideMark/>
          </w:tcPr>
          <w:p w14:paraId="09915B69" w14:textId="77777777" w:rsidR="006D2CC4" w:rsidRPr="002E06C4" w:rsidRDefault="006D2CC4" w:rsidP="00E87752">
            <w:pPr>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Kafe</w:t>
            </w:r>
          </w:p>
        </w:tc>
        <w:tc>
          <w:tcPr>
            <w:tcW w:w="685" w:type="pct"/>
            <w:shd w:val="clear" w:color="auto" w:fill="C6D9F1" w:themeFill="text2" w:themeFillTint="33"/>
            <w:noWrap/>
            <w:hideMark/>
          </w:tcPr>
          <w:p w14:paraId="286C77CE" w14:textId="77777777" w:rsidR="006D2CC4" w:rsidRPr="002E06C4" w:rsidRDefault="006D2CC4" w:rsidP="00E87752">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Ton</w:t>
            </w:r>
          </w:p>
        </w:tc>
        <w:tc>
          <w:tcPr>
            <w:tcW w:w="777" w:type="pct"/>
            <w:shd w:val="clear" w:color="auto" w:fill="C6D9F1" w:themeFill="text2" w:themeFillTint="33"/>
            <w:noWrap/>
          </w:tcPr>
          <w:p w14:paraId="643CD733"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8,486</w:t>
            </w:r>
          </w:p>
        </w:tc>
        <w:tc>
          <w:tcPr>
            <w:tcW w:w="640" w:type="pct"/>
            <w:shd w:val="clear" w:color="auto" w:fill="C6D9F1" w:themeFill="text2" w:themeFillTint="33"/>
            <w:noWrap/>
          </w:tcPr>
          <w:p w14:paraId="0D18B6AB"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9,333</w:t>
            </w:r>
          </w:p>
        </w:tc>
        <w:tc>
          <w:tcPr>
            <w:tcW w:w="685" w:type="pct"/>
            <w:shd w:val="clear" w:color="auto" w:fill="C6D9F1" w:themeFill="text2" w:themeFillTint="33"/>
            <w:noWrap/>
          </w:tcPr>
          <w:p w14:paraId="08246A42"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846</w:t>
            </w:r>
          </w:p>
        </w:tc>
        <w:tc>
          <w:tcPr>
            <w:tcW w:w="613" w:type="pct"/>
            <w:shd w:val="clear" w:color="auto" w:fill="C6D9F1" w:themeFill="text2" w:themeFillTint="33"/>
            <w:noWrap/>
          </w:tcPr>
          <w:p w14:paraId="780D18ED" w14:textId="77777777" w:rsidR="006D2CC4" w:rsidRPr="002E06C4" w:rsidRDefault="006D2CC4" w:rsidP="00E8775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20"/>
                <w:szCs w:val="20"/>
                <w:lang w:val="sq-AL"/>
              </w:rPr>
            </w:pPr>
            <w:r w:rsidRPr="002E06C4">
              <w:rPr>
                <w:rFonts w:asciiTheme="majorHAnsi" w:hAnsiTheme="majorHAnsi" w:cs="Times New Roman"/>
                <w:color w:val="000000"/>
                <w:sz w:val="20"/>
                <w:szCs w:val="20"/>
                <w:lang w:val="sq-AL"/>
              </w:rPr>
              <w:t>10 për qind</w:t>
            </w:r>
          </w:p>
        </w:tc>
      </w:tr>
    </w:tbl>
    <w:p w14:paraId="018747CC" w14:textId="77777777" w:rsidR="006D2CC4" w:rsidRPr="002E06C4" w:rsidRDefault="006D2CC4" w:rsidP="006D2CC4">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3DDA0951" w14:textId="77777777" w:rsidR="0029617C" w:rsidRPr="002E06C4" w:rsidRDefault="0029617C" w:rsidP="006D2CC4">
      <w:pPr>
        <w:spacing w:line="276" w:lineRule="auto"/>
        <w:ind w:firstLine="720"/>
        <w:jc w:val="both"/>
        <w:rPr>
          <w:rFonts w:asciiTheme="majorHAnsi" w:hAnsiTheme="majorHAnsi" w:cs="Times New Roman"/>
          <w:i/>
          <w:noProof/>
          <w:sz w:val="20"/>
          <w:lang w:val="sq-AL"/>
        </w:rPr>
      </w:pPr>
    </w:p>
    <w:p w14:paraId="70A448B5" w14:textId="77777777" w:rsidR="00F82F26" w:rsidRPr="002E06C4" w:rsidRDefault="00F82F26" w:rsidP="00350A9F">
      <w:pPr>
        <w:pStyle w:val="Caption"/>
        <w:keepNext/>
        <w:spacing w:after="0"/>
        <w:rPr>
          <w:rFonts w:asciiTheme="majorHAnsi" w:hAnsiTheme="majorHAnsi" w:cs="Times New Roman"/>
          <w:lang w:val="sq-AL"/>
        </w:rPr>
      </w:pPr>
      <w:bookmarkStart w:id="99" w:name="_Toc11141693"/>
      <w:r w:rsidRPr="002E06C4">
        <w:rPr>
          <w:rFonts w:asciiTheme="majorHAnsi" w:hAnsiTheme="majorHAnsi" w:cs="Times New Roman"/>
          <w:lang w:val="sq-AL"/>
        </w:rPr>
        <w:lastRenderedPageBreak/>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17</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Akciza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vite (miliard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99"/>
      <w:r w:rsidRPr="002E06C4">
        <w:rPr>
          <w:rFonts w:asciiTheme="majorHAnsi" w:hAnsiTheme="majorHAnsi" w:cs="Times New Roman"/>
          <w:lang w:val="sq-AL"/>
        </w:rPr>
        <w:t xml:space="preserve"> </w:t>
      </w:r>
    </w:p>
    <w:p w14:paraId="69863CB7" w14:textId="77777777" w:rsidR="005616CC" w:rsidRPr="002E06C4" w:rsidRDefault="005616CC" w:rsidP="006E1920">
      <w:pPr>
        <w:jc w:val="center"/>
        <w:rPr>
          <w:rFonts w:asciiTheme="majorHAnsi" w:hAnsiTheme="majorHAnsi"/>
          <w:lang w:val="sq-AL"/>
        </w:rPr>
      </w:pPr>
      <w:r w:rsidRPr="002E06C4">
        <w:rPr>
          <w:rFonts w:asciiTheme="majorHAnsi" w:hAnsiTheme="majorHAnsi"/>
          <w:noProof/>
        </w:rPr>
        <w:drawing>
          <wp:inline distT="0" distB="0" distL="0" distR="0" wp14:anchorId="0D6AB788" wp14:editId="520F8564">
            <wp:extent cx="5486400" cy="2231390"/>
            <wp:effectExtent l="0" t="0" r="25400" b="29210"/>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D42726" w14:textId="77777777" w:rsidR="001A3391" w:rsidRPr="002E06C4" w:rsidRDefault="001A3391" w:rsidP="001A3391">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2EEEC182" w14:textId="77777777" w:rsidR="00F82F26" w:rsidRPr="002E06C4" w:rsidRDefault="006D2CC4" w:rsidP="006D2CC4">
      <w:pPr>
        <w:spacing w:line="276" w:lineRule="auto"/>
        <w:contextualSpacing/>
        <w:jc w:val="center"/>
        <w:rPr>
          <w:rFonts w:asciiTheme="majorHAnsi" w:hAnsiTheme="majorHAnsi" w:cs="Times New Roman"/>
          <w:lang w:val="sq-AL"/>
        </w:rPr>
      </w:pPr>
      <w:r w:rsidRPr="002E06C4">
        <w:rPr>
          <w:rFonts w:asciiTheme="majorHAnsi" w:hAnsiTheme="majorHAnsi" w:cs="Times New Roman"/>
          <w:noProof/>
          <w:sz w:val="12"/>
          <w:lang w:val="sq-AL"/>
        </w:rPr>
        <w:t xml:space="preserve"> </w:t>
      </w:r>
    </w:p>
    <w:p w14:paraId="188276DD" w14:textId="77777777" w:rsidR="00F82F26" w:rsidRPr="002E06C4" w:rsidRDefault="00F82F26" w:rsidP="00350A9F">
      <w:pPr>
        <w:pStyle w:val="Caption"/>
        <w:keepNext/>
        <w:spacing w:after="0"/>
        <w:rPr>
          <w:rFonts w:asciiTheme="majorHAnsi" w:hAnsiTheme="majorHAnsi" w:cs="Times New Roman"/>
          <w:lang w:val="sq-AL"/>
        </w:rPr>
      </w:pPr>
      <w:bookmarkStart w:id="100" w:name="_Toc11141694"/>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18</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Akciza sipas natyr</w:t>
      </w:r>
      <w:r w:rsidR="00C33B16" w:rsidRPr="002E06C4">
        <w:rPr>
          <w:rFonts w:asciiTheme="majorHAnsi" w:hAnsiTheme="majorHAnsi" w:cs="Times New Roman"/>
          <w:lang w:val="sq-AL"/>
        </w:rPr>
        <w:t>ë</w:t>
      </w:r>
      <w:r w:rsidRPr="002E06C4">
        <w:rPr>
          <w:rFonts w:asciiTheme="majorHAnsi" w:hAnsiTheme="majorHAnsi" w:cs="Times New Roman"/>
          <w:lang w:val="sq-AL"/>
        </w:rPr>
        <w:t>s s</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mallrave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w:t>
      </w:r>
      <w:bookmarkEnd w:id="100"/>
    </w:p>
    <w:p w14:paraId="6016BF92" w14:textId="77777777" w:rsidR="006D2CC4" w:rsidRPr="002E06C4" w:rsidRDefault="006D2CC4" w:rsidP="006D2CC4">
      <w:pPr>
        <w:spacing w:line="276" w:lineRule="auto"/>
        <w:contextualSpacing/>
        <w:jc w:val="center"/>
        <w:rPr>
          <w:rFonts w:asciiTheme="majorHAnsi" w:hAnsiTheme="majorHAnsi" w:cs="Times New Roman"/>
          <w:i/>
          <w:noProof/>
          <w:sz w:val="20"/>
          <w:lang w:val="sq-AL"/>
        </w:rPr>
      </w:pPr>
      <w:r w:rsidRPr="002E06C4">
        <w:rPr>
          <w:rFonts w:asciiTheme="majorHAnsi" w:hAnsiTheme="majorHAnsi" w:cs="Times New Roman"/>
          <w:noProof/>
        </w:rPr>
        <w:drawing>
          <wp:inline distT="0" distB="0" distL="0" distR="0" wp14:anchorId="387D34E1" wp14:editId="366276A1">
            <wp:extent cx="5354320" cy="1981200"/>
            <wp:effectExtent l="0" t="0" r="1778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C02239" w14:textId="77777777" w:rsidR="006D2CC4" w:rsidRPr="002E06C4" w:rsidRDefault="006D2CC4" w:rsidP="001A3391">
      <w:pPr>
        <w:spacing w:line="276" w:lineRule="auto"/>
        <w:ind w:left="270" w:firstLine="720"/>
        <w:contextualSpacing/>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5CEDCAE8" w14:textId="77777777" w:rsidR="006D2CC4" w:rsidRPr="002E06C4" w:rsidRDefault="006D2CC4" w:rsidP="00A2716B">
      <w:pPr>
        <w:pStyle w:val="ListParagraph"/>
        <w:numPr>
          <w:ilvl w:val="0"/>
          <w:numId w:val="2"/>
        </w:numPr>
        <w:spacing w:before="240" w:line="360" w:lineRule="auto"/>
        <w:ind w:left="990" w:hanging="270"/>
        <w:rPr>
          <w:rFonts w:asciiTheme="majorHAnsi" w:hAnsiTheme="majorHAnsi" w:cs="Times New Roman"/>
          <w:i/>
          <w:noProof/>
          <w:u w:val="single"/>
          <w:lang w:val="sq-AL"/>
        </w:rPr>
      </w:pPr>
      <w:r w:rsidRPr="002E06C4">
        <w:rPr>
          <w:rFonts w:asciiTheme="majorHAnsi" w:hAnsiTheme="majorHAnsi" w:cs="Times New Roman"/>
          <w:i/>
          <w:noProof/>
          <w:u w:val="single"/>
          <w:lang w:val="sq-AL"/>
        </w:rPr>
        <w:t>Taksat doganore</w:t>
      </w:r>
    </w:p>
    <w:p w14:paraId="298E1D32" w14:textId="77777777" w:rsidR="006D2CC4" w:rsidRPr="002E06C4" w:rsidRDefault="006D2CC4" w:rsidP="006D2CC4">
      <w:pPr>
        <w:spacing w:line="276" w:lineRule="auto"/>
        <w:jc w:val="both"/>
        <w:rPr>
          <w:rFonts w:asciiTheme="majorHAnsi" w:hAnsiTheme="majorHAnsi" w:cs="Times New Roman"/>
          <w:bCs/>
          <w:noProof/>
          <w:lang w:val="sq-AL"/>
        </w:rPr>
      </w:pPr>
      <w:r w:rsidRPr="002E06C4">
        <w:rPr>
          <w:rFonts w:asciiTheme="majorHAnsi" w:hAnsiTheme="majorHAnsi" w:cs="Times New Roman"/>
          <w:noProof/>
          <w:lang w:val="sq-AL"/>
        </w:rPr>
        <w:t>Të ardhurat nga taksa doganore për periudhën Janar–Dhjetor 2018 janë rreth 6.2 miliardë lekë; krahasuar me të njëjtën periudhë të vitit 2017, të ardhurat nga kjo taksë janë ulur me 275 milionë lekë ose 4.2 përqind dhe realizim në masën 88.8 përqind e planit. Faktorët që kanë ndikuar në këtë rezultat janë:</w:t>
      </w:r>
      <w:r w:rsidRPr="002E06C4">
        <w:rPr>
          <w:rFonts w:asciiTheme="majorHAnsi" w:hAnsiTheme="majorHAnsi" w:cs="Times New Roman"/>
          <w:bCs/>
          <w:noProof/>
          <w:lang w:val="sq-AL"/>
        </w:rPr>
        <w:t xml:space="preserve"> </w:t>
      </w:r>
    </w:p>
    <w:p w14:paraId="4C02C4C1" w14:textId="77777777" w:rsidR="006D2CC4" w:rsidRPr="002E06C4" w:rsidRDefault="006D2CC4" w:rsidP="00A2716B">
      <w:pPr>
        <w:numPr>
          <w:ilvl w:val="0"/>
          <w:numId w:val="3"/>
        </w:numPr>
        <w:spacing w:line="276" w:lineRule="auto"/>
        <w:jc w:val="both"/>
        <w:rPr>
          <w:rFonts w:asciiTheme="majorHAnsi" w:hAnsiTheme="majorHAnsi" w:cs="Times New Roman"/>
          <w:bCs/>
          <w:i/>
          <w:iCs/>
          <w:lang w:val="sq-AL"/>
        </w:rPr>
      </w:pPr>
      <w:r w:rsidRPr="002E06C4">
        <w:rPr>
          <w:rFonts w:asciiTheme="majorHAnsi" w:hAnsiTheme="majorHAnsi" w:cs="Times New Roman"/>
          <w:bCs/>
          <w:i/>
          <w:iCs/>
          <w:lang w:val="sq-AL"/>
        </w:rPr>
        <w:t>Heqja e kuotave të importit të lëndëve të para të prodhimit të sheqerit nga BE, ka dhënë rezultate negative.</w:t>
      </w:r>
    </w:p>
    <w:p w14:paraId="214305CB" w14:textId="77777777" w:rsidR="006D2CC4" w:rsidRPr="002E06C4" w:rsidRDefault="006D2CC4" w:rsidP="00A2716B">
      <w:pPr>
        <w:numPr>
          <w:ilvl w:val="0"/>
          <w:numId w:val="3"/>
        </w:numPr>
        <w:spacing w:line="276" w:lineRule="auto"/>
        <w:jc w:val="both"/>
        <w:rPr>
          <w:rFonts w:asciiTheme="majorHAnsi" w:hAnsiTheme="majorHAnsi" w:cs="Times New Roman"/>
          <w:bCs/>
          <w:i/>
          <w:iCs/>
          <w:lang w:val="sq-AL"/>
        </w:rPr>
      </w:pPr>
      <w:r w:rsidRPr="002E06C4">
        <w:rPr>
          <w:rFonts w:asciiTheme="majorHAnsi" w:hAnsiTheme="majorHAnsi" w:cs="Times New Roman"/>
          <w:bCs/>
          <w:i/>
          <w:iCs/>
          <w:lang w:val="sq-AL"/>
        </w:rPr>
        <w:t>Rënie e importit të cigareve.</w:t>
      </w:r>
    </w:p>
    <w:p w14:paraId="234202E2" w14:textId="77777777" w:rsidR="006D2CC4" w:rsidRPr="002E06C4" w:rsidRDefault="006D2CC4" w:rsidP="00A2716B">
      <w:pPr>
        <w:numPr>
          <w:ilvl w:val="0"/>
          <w:numId w:val="3"/>
        </w:numPr>
        <w:spacing w:line="276" w:lineRule="auto"/>
        <w:jc w:val="both"/>
        <w:rPr>
          <w:rFonts w:asciiTheme="majorHAnsi" w:hAnsiTheme="majorHAnsi" w:cs="Times New Roman"/>
          <w:bCs/>
          <w:i/>
          <w:iCs/>
          <w:lang w:val="sq-AL"/>
        </w:rPr>
      </w:pPr>
      <w:r w:rsidRPr="002E06C4">
        <w:rPr>
          <w:rFonts w:asciiTheme="majorHAnsi" w:hAnsiTheme="majorHAnsi" w:cs="Times New Roman"/>
          <w:bCs/>
          <w:i/>
          <w:iCs/>
          <w:lang w:val="sq-AL"/>
        </w:rPr>
        <w:t>Rënie e kursit të këmbimit</w:t>
      </w:r>
    </w:p>
    <w:p w14:paraId="36754C2D" w14:textId="77777777" w:rsidR="006D2CC4" w:rsidRPr="002E06C4" w:rsidRDefault="006D2CC4" w:rsidP="006D2CC4">
      <w:pPr>
        <w:spacing w:line="276" w:lineRule="auto"/>
        <w:jc w:val="both"/>
        <w:rPr>
          <w:rFonts w:asciiTheme="majorHAnsi" w:hAnsiTheme="majorHAnsi" w:cs="Times New Roman"/>
          <w:bCs/>
          <w:noProof/>
          <w:sz w:val="4"/>
          <w:lang w:val="sq-AL"/>
        </w:rPr>
      </w:pPr>
    </w:p>
    <w:p w14:paraId="4CF83D67" w14:textId="77777777" w:rsidR="006D2CC4" w:rsidRPr="002E06C4" w:rsidRDefault="006D2CC4" w:rsidP="00A2716B">
      <w:pPr>
        <w:pStyle w:val="ListParagraph"/>
        <w:numPr>
          <w:ilvl w:val="0"/>
          <w:numId w:val="2"/>
        </w:numPr>
        <w:spacing w:before="240" w:line="360" w:lineRule="auto"/>
        <w:ind w:left="990" w:hanging="270"/>
        <w:rPr>
          <w:rFonts w:asciiTheme="majorHAnsi" w:hAnsiTheme="majorHAnsi" w:cs="Times New Roman"/>
          <w:i/>
          <w:noProof/>
          <w:u w:val="single"/>
          <w:lang w:val="sq-AL"/>
        </w:rPr>
      </w:pPr>
      <w:r w:rsidRPr="002E06C4">
        <w:rPr>
          <w:rFonts w:asciiTheme="majorHAnsi" w:hAnsiTheme="majorHAnsi" w:cs="Times New Roman"/>
          <w:i/>
          <w:noProof/>
          <w:u w:val="single"/>
          <w:lang w:val="sq-AL"/>
        </w:rPr>
        <w:t>Taksat nacionale</w:t>
      </w:r>
    </w:p>
    <w:p w14:paraId="6A587733" w14:textId="77777777" w:rsidR="006D2CC4" w:rsidRPr="002E06C4" w:rsidRDefault="006D2CC4" w:rsidP="006D2CC4">
      <w:pPr>
        <w:spacing w:line="276" w:lineRule="auto"/>
        <w:jc w:val="both"/>
        <w:rPr>
          <w:rFonts w:asciiTheme="majorHAnsi" w:hAnsiTheme="majorHAnsi" w:cs="Times New Roman"/>
          <w:lang w:val="sq-AL"/>
        </w:rPr>
      </w:pPr>
      <w:r w:rsidRPr="002E06C4">
        <w:rPr>
          <w:rFonts w:asciiTheme="majorHAnsi" w:hAnsiTheme="majorHAnsi" w:cs="Times New Roman"/>
          <w:lang w:val="sq-AL"/>
        </w:rPr>
        <w:t>Të ardhurat nga taksat nacionale për periudhën janë realizuar në vlerën 36 miliardë lekë, me realizim ndaj planit në masën 102 për qind ose 0.7 miliardë lekë. Krahasuar me vitin e kaluar, të ardhurat nga taksat nacionale kanë pësuar rënie në masën 0.3</w:t>
      </w:r>
      <w:r w:rsidR="00350A9F" w:rsidRPr="002E06C4">
        <w:rPr>
          <w:rFonts w:asciiTheme="majorHAnsi" w:hAnsiTheme="majorHAnsi" w:cs="Times New Roman"/>
          <w:lang w:val="sq-AL"/>
        </w:rPr>
        <w:t xml:space="preserve"> për qind apo 114 milionë lekë.</w:t>
      </w:r>
    </w:p>
    <w:p w14:paraId="5EE1D71D" w14:textId="77777777" w:rsidR="00350A9F" w:rsidRPr="002E06C4" w:rsidRDefault="00350A9F" w:rsidP="006D2CC4">
      <w:pPr>
        <w:spacing w:line="276" w:lineRule="auto"/>
        <w:jc w:val="both"/>
        <w:rPr>
          <w:rFonts w:asciiTheme="majorHAnsi" w:hAnsiTheme="majorHAnsi" w:cs="Times New Roman"/>
          <w:lang w:val="sq-AL"/>
        </w:rPr>
      </w:pPr>
    </w:p>
    <w:p w14:paraId="1906497B" w14:textId="77777777" w:rsidR="006D2CC4" w:rsidRPr="002E06C4" w:rsidRDefault="006D2CC4" w:rsidP="00A2716B">
      <w:pPr>
        <w:pStyle w:val="Heading3"/>
        <w:numPr>
          <w:ilvl w:val="2"/>
          <w:numId w:val="4"/>
        </w:numPr>
        <w:rPr>
          <w:rFonts w:cs="Times New Roman"/>
          <w:noProof/>
          <w:lang w:val="sq-AL"/>
        </w:rPr>
      </w:pPr>
      <w:bookmarkStart w:id="101" w:name="_Toc10033276"/>
      <w:bookmarkStart w:id="102" w:name="_Toc10721413"/>
      <w:bookmarkStart w:id="103" w:name="_Toc11134219"/>
      <w:r w:rsidRPr="002E06C4">
        <w:rPr>
          <w:rFonts w:cs="Times New Roman"/>
          <w:noProof/>
          <w:lang w:val="sq-AL"/>
        </w:rPr>
        <w:lastRenderedPageBreak/>
        <w:t>Taksimi direkt</w:t>
      </w:r>
      <w:bookmarkEnd w:id="101"/>
      <w:bookmarkEnd w:id="102"/>
      <w:bookmarkEnd w:id="103"/>
    </w:p>
    <w:p w14:paraId="213DB446" w14:textId="77777777" w:rsidR="006D2CC4" w:rsidRPr="002E06C4" w:rsidRDefault="006D2CC4" w:rsidP="00A2716B">
      <w:pPr>
        <w:pStyle w:val="ListParagraph"/>
        <w:numPr>
          <w:ilvl w:val="0"/>
          <w:numId w:val="2"/>
        </w:numPr>
        <w:spacing w:before="240" w:line="360" w:lineRule="auto"/>
        <w:ind w:left="990" w:hanging="270"/>
        <w:rPr>
          <w:rFonts w:asciiTheme="majorHAnsi" w:hAnsiTheme="majorHAnsi" w:cs="Times New Roman"/>
          <w:i/>
          <w:noProof/>
          <w:u w:val="single"/>
          <w:lang w:val="sq-AL"/>
        </w:rPr>
      </w:pPr>
      <w:r w:rsidRPr="002E06C4">
        <w:rPr>
          <w:rFonts w:asciiTheme="majorHAnsi" w:hAnsiTheme="majorHAnsi" w:cs="Times New Roman"/>
          <w:i/>
          <w:noProof/>
          <w:u w:val="single"/>
          <w:lang w:val="sq-AL"/>
        </w:rPr>
        <w:t>Tatimi mbi të ardhurat personale</w:t>
      </w:r>
    </w:p>
    <w:p w14:paraId="5739AAEF" w14:textId="77777777" w:rsidR="006D2CC4" w:rsidRPr="002E06C4" w:rsidRDefault="006D2CC4" w:rsidP="006D2CC4">
      <w:pPr>
        <w:spacing w:line="276" w:lineRule="auto"/>
        <w:jc w:val="both"/>
        <w:rPr>
          <w:rFonts w:asciiTheme="majorHAnsi" w:eastAsia="SimSun" w:hAnsiTheme="majorHAnsi" w:cs="Times New Roman"/>
          <w:i/>
          <w:sz w:val="8"/>
          <w:szCs w:val="8"/>
          <w:lang w:val="sq-AL"/>
        </w:rPr>
      </w:pPr>
      <w:r w:rsidRPr="002E06C4">
        <w:rPr>
          <w:rFonts w:asciiTheme="majorHAnsi" w:hAnsiTheme="majorHAnsi" w:cs="Times New Roman"/>
          <w:lang w:val="sq-AL"/>
        </w:rPr>
        <w:t>Të ardhurat nga Tatimi mbi të Ardhurat Personale arritën në 36.5 miliardë lekë për periudhën Janar-Dhjetor 2018, me rritje kundrejt vitit të kaluar në masën 13.7 për qind ose 4.4 miliardë lekë dhe me realizim ndaj planit në masën 99 për qind ose 315 milionë lekë më pak. Të ardhurat nga të punësuarit e sektorit publik dhe privat, krahasuar me vitin e kaluar kanë shënuar rritje (+8 për qind), si rezultat i rritjes së numrit të të punësuarve dhe nivelit të pagave. Numri i kontribuesve për muajin dhjetor 2018, është rritur me afërsisht 32 mijë kontribues ose 2 për qind, krahasuar me të njëjtën periudhë të vitit të kaluar. Sipas burimit të të ardhurave individuale që taksohen, bazuar në të dhënat për 12-mujorin 2018, situata pasqyrohet në grafikun më poshtë:</w:t>
      </w:r>
    </w:p>
    <w:p w14:paraId="5A5F73EE" w14:textId="77777777" w:rsidR="00F82F26" w:rsidRPr="002E06C4" w:rsidRDefault="00F82F26" w:rsidP="00350A9F">
      <w:pPr>
        <w:pStyle w:val="Caption"/>
        <w:keepNext/>
        <w:spacing w:before="240" w:after="0"/>
        <w:rPr>
          <w:rFonts w:asciiTheme="majorHAnsi" w:hAnsiTheme="majorHAnsi" w:cs="Times New Roman"/>
          <w:lang w:val="sq-AL"/>
        </w:rPr>
      </w:pPr>
      <w:bookmarkStart w:id="104" w:name="_Toc11141695"/>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19</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TAP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miliard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104"/>
    </w:p>
    <w:p w14:paraId="1AEF5AE3" w14:textId="77777777" w:rsidR="00F82F26" w:rsidRPr="002E06C4" w:rsidRDefault="009652AA" w:rsidP="001A3391">
      <w:pPr>
        <w:jc w:val="center"/>
        <w:rPr>
          <w:rFonts w:asciiTheme="majorHAnsi" w:hAnsiTheme="majorHAnsi" w:cs="Times New Roman"/>
          <w:lang w:val="sq-AL"/>
        </w:rPr>
      </w:pPr>
      <w:r w:rsidRPr="002E06C4">
        <w:rPr>
          <w:rFonts w:asciiTheme="majorHAnsi" w:hAnsiTheme="majorHAnsi"/>
          <w:noProof/>
        </w:rPr>
        <w:drawing>
          <wp:inline distT="0" distB="0" distL="0" distR="0" wp14:anchorId="7A6DBEA0" wp14:editId="5F36EC8B">
            <wp:extent cx="5024336" cy="1894205"/>
            <wp:effectExtent l="0" t="0" r="30480" b="36195"/>
            <wp:docPr id="25" name="Chart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7E7FBE" w14:textId="77777777" w:rsidR="001A3391" w:rsidRPr="002E06C4" w:rsidRDefault="001A3391" w:rsidP="001A3391">
      <w:pPr>
        <w:spacing w:line="276" w:lineRule="auto"/>
        <w:ind w:left="720"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6EF78E96" w14:textId="77777777" w:rsidR="009652AA" w:rsidRPr="002E06C4" w:rsidRDefault="009652AA" w:rsidP="00F82F26">
      <w:pPr>
        <w:pStyle w:val="Caption"/>
        <w:keepNext/>
        <w:rPr>
          <w:rFonts w:asciiTheme="majorHAnsi" w:hAnsiTheme="majorHAnsi" w:cs="Times New Roman"/>
          <w:lang w:val="sq-AL"/>
        </w:rPr>
      </w:pPr>
    </w:p>
    <w:p w14:paraId="2A26065B" w14:textId="77777777" w:rsidR="00F82F26" w:rsidRPr="002E06C4" w:rsidRDefault="00F82F26" w:rsidP="00350A9F">
      <w:pPr>
        <w:pStyle w:val="Caption"/>
        <w:keepNext/>
        <w:spacing w:after="0"/>
        <w:rPr>
          <w:rFonts w:asciiTheme="majorHAnsi" w:hAnsiTheme="majorHAnsi" w:cs="Times New Roman"/>
          <w:lang w:val="sq-AL"/>
        </w:rPr>
      </w:pPr>
      <w:bookmarkStart w:id="105" w:name="_Toc11141696"/>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20</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TAP sipas z</w:t>
      </w:r>
      <w:r w:rsidR="00C33B16" w:rsidRPr="002E06C4">
        <w:rPr>
          <w:rFonts w:asciiTheme="majorHAnsi" w:hAnsiTheme="majorHAnsi" w:cs="Times New Roman"/>
          <w:lang w:val="sq-AL"/>
        </w:rPr>
        <w:t>ë</w:t>
      </w:r>
      <w:r w:rsidRPr="002E06C4">
        <w:rPr>
          <w:rFonts w:asciiTheme="majorHAnsi" w:hAnsiTheme="majorHAnsi" w:cs="Times New Roman"/>
          <w:lang w:val="sq-AL"/>
        </w:rPr>
        <w:t>rave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vitin 2018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w:t>
      </w:r>
      <w:bookmarkEnd w:id="105"/>
    </w:p>
    <w:p w14:paraId="0FCEA043" w14:textId="77777777" w:rsidR="006D2CC4" w:rsidRPr="002E06C4" w:rsidRDefault="006D2CC4" w:rsidP="006E1920">
      <w:pPr>
        <w:spacing w:line="276" w:lineRule="auto"/>
        <w:jc w:val="center"/>
        <w:rPr>
          <w:rFonts w:asciiTheme="majorHAnsi" w:eastAsia="SimSun" w:hAnsiTheme="majorHAnsi" w:cs="Times New Roman"/>
          <w:i/>
          <w:sz w:val="22"/>
          <w:szCs w:val="22"/>
          <w:lang w:val="sq-AL"/>
        </w:rPr>
      </w:pPr>
      <w:r w:rsidRPr="002E06C4">
        <w:rPr>
          <w:rFonts w:asciiTheme="majorHAnsi" w:hAnsiTheme="majorHAnsi" w:cs="Times New Roman"/>
          <w:noProof/>
        </w:rPr>
        <w:drawing>
          <wp:inline distT="0" distB="0" distL="0" distR="0" wp14:anchorId="591D8A67" wp14:editId="5D537F90">
            <wp:extent cx="5374640" cy="2733675"/>
            <wp:effectExtent l="0" t="0" r="1651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E6DD98" w14:textId="77777777" w:rsidR="006D2CC4" w:rsidRPr="002E06C4" w:rsidRDefault="006D2CC4" w:rsidP="006D2CC4">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27CFCCFD" w14:textId="77777777" w:rsidR="006D2CC4" w:rsidRPr="002E06C4" w:rsidRDefault="006D2CC4" w:rsidP="00A959E1">
      <w:pPr>
        <w:spacing w:line="276" w:lineRule="auto"/>
        <w:jc w:val="both"/>
        <w:rPr>
          <w:rFonts w:asciiTheme="majorHAnsi" w:hAnsiTheme="majorHAnsi" w:cs="Times New Roman"/>
          <w:i/>
          <w:noProof/>
          <w:sz w:val="20"/>
          <w:lang w:val="sq-AL"/>
        </w:rPr>
      </w:pPr>
    </w:p>
    <w:p w14:paraId="69F7C54C" w14:textId="77777777" w:rsidR="00350A9F" w:rsidRPr="002E06C4" w:rsidRDefault="00350A9F" w:rsidP="00A959E1">
      <w:pPr>
        <w:spacing w:line="276" w:lineRule="auto"/>
        <w:jc w:val="both"/>
        <w:rPr>
          <w:rFonts w:asciiTheme="majorHAnsi" w:hAnsiTheme="majorHAnsi" w:cs="Times New Roman"/>
          <w:i/>
          <w:noProof/>
          <w:sz w:val="20"/>
          <w:lang w:val="sq-AL"/>
        </w:rPr>
      </w:pPr>
    </w:p>
    <w:p w14:paraId="6158E812" w14:textId="77777777" w:rsidR="00350A9F" w:rsidRPr="002E06C4" w:rsidRDefault="00350A9F" w:rsidP="00A959E1">
      <w:pPr>
        <w:spacing w:line="276" w:lineRule="auto"/>
        <w:jc w:val="both"/>
        <w:rPr>
          <w:rFonts w:asciiTheme="majorHAnsi" w:hAnsiTheme="majorHAnsi" w:cs="Times New Roman"/>
          <w:i/>
          <w:noProof/>
          <w:sz w:val="20"/>
          <w:lang w:val="sq-AL"/>
        </w:rPr>
      </w:pPr>
    </w:p>
    <w:p w14:paraId="2ACBF739" w14:textId="77777777" w:rsidR="006D2CC4" w:rsidRPr="002E06C4" w:rsidRDefault="006D2CC4" w:rsidP="00A2716B">
      <w:pPr>
        <w:pStyle w:val="ListParagraph"/>
        <w:numPr>
          <w:ilvl w:val="0"/>
          <w:numId w:val="2"/>
        </w:numPr>
        <w:spacing w:before="240" w:line="360" w:lineRule="auto"/>
        <w:ind w:left="990" w:hanging="270"/>
        <w:rPr>
          <w:rFonts w:asciiTheme="majorHAnsi" w:hAnsiTheme="majorHAnsi" w:cs="Times New Roman"/>
          <w:i/>
          <w:noProof/>
          <w:u w:val="single"/>
          <w:lang w:val="sq-AL"/>
        </w:rPr>
      </w:pPr>
      <w:r w:rsidRPr="002E06C4">
        <w:rPr>
          <w:rFonts w:asciiTheme="majorHAnsi" w:hAnsiTheme="majorHAnsi" w:cs="Times New Roman"/>
          <w:i/>
          <w:noProof/>
          <w:u w:val="single"/>
          <w:lang w:val="sq-AL"/>
        </w:rPr>
        <w:lastRenderedPageBreak/>
        <w:t>Tatim Fitimi</w:t>
      </w:r>
    </w:p>
    <w:p w14:paraId="6DD802C5" w14:textId="77777777" w:rsidR="006D2CC4" w:rsidRPr="002E06C4" w:rsidRDefault="006D2CC4" w:rsidP="006D2CC4">
      <w:pPr>
        <w:spacing w:line="276" w:lineRule="auto"/>
        <w:jc w:val="both"/>
        <w:rPr>
          <w:rFonts w:asciiTheme="majorHAnsi" w:hAnsiTheme="majorHAnsi" w:cs="Times New Roman"/>
          <w:lang w:val="sq-AL"/>
        </w:rPr>
      </w:pPr>
      <w:r w:rsidRPr="002E06C4">
        <w:rPr>
          <w:rFonts w:asciiTheme="majorHAnsi" w:hAnsiTheme="majorHAnsi" w:cs="Times New Roman"/>
          <w:lang w:val="sq-AL"/>
        </w:rPr>
        <w:t>Të ardhurat nga Tatimi mbi Fitimin për 12-mujorin 2018 arritën në rreth 34.5 miliard</w:t>
      </w:r>
      <w:r w:rsidR="00824B19" w:rsidRPr="002E06C4">
        <w:rPr>
          <w:rFonts w:asciiTheme="majorHAnsi" w:hAnsiTheme="majorHAnsi" w:cs="Times New Roman"/>
          <w:lang w:val="sq-AL"/>
        </w:rPr>
        <w:t>ë</w:t>
      </w:r>
      <w:r w:rsidRPr="002E06C4">
        <w:rPr>
          <w:rFonts w:asciiTheme="majorHAnsi" w:hAnsiTheme="majorHAnsi" w:cs="Times New Roman"/>
          <w:lang w:val="sq-AL"/>
        </w:rPr>
        <w:t xml:space="preserve"> lekë nga 31.6 miliardë lekë të mbledhura një vit më parë, me një rritje prej 8.9 për qind ose 2.8 miliardë lekë më shumë. Krahasuar me planin këto të ardhura kanë pasur një performancë pozitive me rreth 2 për qind ose 630 milionë lekë më shumë.</w:t>
      </w:r>
    </w:p>
    <w:p w14:paraId="12EF4132" w14:textId="77777777" w:rsidR="00F82F26" w:rsidRPr="002E06C4" w:rsidRDefault="00F82F26" w:rsidP="00350A9F">
      <w:pPr>
        <w:pStyle w:val="Caption"/>
        <w:keepNext/>
        <w:spacing w:before="240" w:after="0"/>
        <w:rPr>
          <w:rFonts w:asciiTheme="majorHAnsi" w:hAnsiTheme="majorHAnsi" w:cs="Times New Roman"/>
          <w:lang w:val="sq-AL"/>
        </w:rPr>
      </w:pPr>
      <w:bookmarkStart w:id="106" w:name="_Toc11141697"/>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21</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Tatimi mbi fitimin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miliard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106"/>
    </w:p>
    <w:p w14:paraId="7FA4D7ED" w14:textId="77777777" w:rsidR="00F82F26" w:rsidRPr="002E06C4" w:rsidRDefault="009652AA" w:rsidP="001A3391">
      <w:pPr>
        <w:jc w:val="center"/>
        <w:rPr>
          <w:rFonts w:asciiTheme="majorHAnsi" w:hAnsiTheme="majorHAnsi" w:cs="Times New Roman"/>
          <w:lang w:val="sq-AL"/>
        </w:rPr>
      </w:pPr>
      <w:r w:rsidRPr="002E06C4">
        <w:rPr>
          <w:rFonts w:asciiTheme="majorHAnsi" w:hAnsiTheme="majorHAnsi"/>
          <w:noProof/>
        </w:rPr>
        <w:drawing>
          <wp:inline distT="0" distB="0" distL="0" distR="0" wp14:anchorId="67519199" wp14:editId="3F4B9610">
            <wp:extent cx="5486400" cy="2182495"/>
            <wp:effectExtent l="0" t="0" r="25400" b="27305"/>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FCAB36" w14:textId="77777777" w:rsidR="001A3391" w:rsidRPr="002E06C4" w:rsidRDefault="001A3391" w:rsidP="001A3391">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05412A3C" w14:textId="77777777" w:rsidR="00B307A1" w:rsidRPr="002E06C4" w:rsidRDefault="00B307A1" w:rsidP="001A3391">
      <w:pPr>
        <w:pStyle w:val="Caption"/>
        <w:keepNext/>
        <w:spacing w:after="0"/>
        <w:rPr>
          <w:rFonts w:asciiTheme="majorHAnsi" w:hAnsiTheme="majorHAnsi" w:cs="Times New Roman"/>
          <w:lang w:val="sq-AL"/>
        </w:rPr>
      </w:pPr>
    </w:p>
    <w:p w14:paraId="2FFDFDC4" w14:textId="77777777" w:rsidR="00F82F26" w:rsidRPr="002E06C4" w:rsidRDefault="00F82F26" w:rsidP="00B307A1">
      <w:pPr>
        <w:pStyle w:val="Caption"/>
        <w:keepNext/>
        <w:spacing w:after="0"/>
        <w:rPr>
          <w:rFonts w:asciiTheme="majorHAnsi" w:hAnsiTheme="majorHAnsi" w:cs="Times New Roman"/>
          <w:lang w:val="sq-AL"/>
        </w:rPr>
      </w:pPr>
      <w:bookmarkStart w:id="107" w:name="_Toc11141698"/>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22</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Tatimi mbi fitimin sipas sektor</w:t>
      </w:r>
      <w:r w:rsidR="00C33B16" w:rsidRPr="002E06C4">
        <w:rPr>
          <w:rFonts w:asciiTheme="majorHAnsi" w:hAnsiTheme="majorHAnsi" w:cs="Times New Roman"/>
          <w:lang w:val="sq-AL"/>
        </w:rPr>
        <w:t>ë</w:t>
      </w:r>
      <w:r w:rsidRPr="002E06C4">
        <w:rPr>
          <w:rFonts w:asciiTheme="majorHAnsi" w:hAnsiTheme="majorHAnsi" w:cs="Times New Roman"/>
          <w:lang w:val="sq-AL"/>
        </w:rPr>
        <w:t>v</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vitin 2018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w:t>
      </w:r>
      <w:bookmarkEnd w:id="107"/>
    </w:p>
    <w:p w14:paraId="3DFD03FF" w14:textId="77777777" w:rsidR="006D2CC4" w:rsidRPr="002E06C4" w:rsidRDefault="006D2CC4" w:rsidP="006E1920">
      <w:pPr>
        <w:spacing w:line="276" w:lineRule="auto"/>
        <w:jc w:val="center"/>
        <w:rPr>
          <w:rFonts w:asciiTheme="majorHAnsi" w:hAnsiTheme="majorHAnsi" w:cs="Times New Roman"/>
          <w:noProof/>
          <w:lang w:val="sq-AL"/>
        </w:rPr>
      </w:pPr>
      <w:r w:rsidRPr="002E06C4">
        <w:rPr>
          <w:rFonts w:asciiTheme="majorHAnsi" w:hAnsiTheme="majorHAnsi" w:cs="Times New Roman"/>
          <w:noProof/>
        </w:rPr>
        <w:drawing>
          <wp:inline distT="0" distB="0" distL="0" distR="0" wp14:anchorId="51C8CAD7" wp14:editId="1F1A6A95">
            <wp:extent cx="5466080" cy="1737360"/>
            <wp:effectExtent l="0" t="0" r="762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8F2587" w14:textId="77777777" w:rsidR="006D2CC4" w:rsidRPr="002E06C4" w:rsidRDefault="006D2CC4" w:rsidP="006D2CC4">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449F885B" w14:textId="77777777" w:rsidR="006D2CC4" w:rsidRPr="002E06C4" w:rsidRDefault="006D2CC4" w:rsidP="006D2CC4">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 xml:space="preserve">Ndikim kryesor në këtë rezultat ka patur, rritja e ndërgjegjësimit të taksapaguesve për deklarimin real të të ardhurave të realizuara, aksionit kundër informalitetit në ekonomi dhe intensifikimit të komunikimit të Administratës Tatimore me tatimpaguesit. </w:t>
      </w:r>
    </w:p>
    <w:p w14:paraId="373EDC82" w14:textId="77777777" w:rsidR="006D2CC4" w:rsidRPr="002E06C4" w:rsidRDefault="006D2CC4" w:rsidP="00A2716B">
      <w:pPr>
        <w:pStyle w:val="ListParagraph"/>
        <w:numPr>
          <w:ilvl w:val="0"/>
          <w:numId w:val="2"/>
        </w:numPr>
        <w:spacing w:before="240" w:line="360" w:lineRule="auto"/>
        <w:ind w:left="990" w:hanging="270"/>
        <w:rPr>
          <w:rFonts w:asciiTheme="majorHAnsi" w:hAnsiTheme="majorHAnsi" w:cs="Times New Roman"/>
          <w:i/>
          <w:noProof/>
          <w:u w:val="single"/>
          <w:lang w:val="sq-AL"/>
        </w:rPr>
      </w:pPr>
      <w:r w:rsidRPr="002E06C4">
        <w:rPr>
          <w:rFonts w:asciiTheme="majorHAnsi" w:hAnsiTheme="majorHAnsi" w:cs="Times New Roman"/>
          <w:i/>
          <w:noProof/>
          <w:u w:val="single"/>
          <w:lang w:val="sq-AL"/>
        </w:rPr>
        <w:t xml:space="preserve">Renta Minerare </w:t>
      </w:r>
    </w:p>
    <w:p w14:paraId="019E2BB7" w14:textId="77777777" w:rsidR="006D2CC4" w:rsidRPr="002E06C4" w:rsidRDefault="006D2CC4" w:rsidP="006D2CC4">
      <w:p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Të ardhurat nga Renta Minerare në eksport janë realizuar në vlerën 2.6 miliardë lekë, 12.2 për qind ose 285 milionë Të ardhurat nga renta minerare për naftën bruto janë rritur si rezultat i rritjes së sasisë së eksportuar, si dhe si rezultat i rritjes së çmimit të naftës bruto në tregjet ndërkombëtare krahasuar me 12-mujorin e vitit të kaluar, duke sjellë rritje të rentës për njësi nga 2.6 lekë/kg në 3.4 lekë/kg. Ndërkohë, të ardhurat nga mineralet e eksportuara kanë pësuar rënie për shkak të rënies së sasisë së eksportuar, me rreth 147 mijë ton si dhe për shkak të rënies së çmimit të mineraleve në tregjet ndërkombëtare. </w:t>
      </w:r>
    </w:p>
    <w:p w14:paraId="2BFFBFB5" w14:textId="77777777" w:rsidR="006D2CC4" w:rsidRPr="002E06C4" w:rsidRDefault="006D2CC4" w:rsidP="00A2716B">
      <w:pPr>
        <w:pStyle w:val="ListParagraph"/>
        <w:numPr>
          <w:ilvl w:val="0"/>
          <w:numId w:val="2"/>
        </w:numPr>
        <w:spacing w:before="240" w:line="360" w:lineRule="auto"/>
        <w:ind w:left="990" w:hanging="270"/>
        <w:rPr>
          <w:rFonts w:asciiTheme="majorHAnsi" w:hAnsiTheme="majorHAnsi" w:cs="Times New Roman"/>
          <w:i/>
          <w:noProof/>
          <w:u w:val="single"/>
          <w:lang w:val="sq-AL"/>
        </w:rPr>
      </w:pPr>
      <w:r w:rsidRPr="002E06C4">
        <w:rPr>
          <w:rFonts w:asciiTheme="majorHAnsi" w:hAnsiTheme="majorHAnsi" w:cs="Times New Roman"/>
          <w:i/>
          <w:noProof/>
          <w:u w:val="single"/>
          <w:lang w:val="sq-AL"/>
        </w:rPr>
        <w:lastRenderedPageBreak/>
        <w:t>Të ardhurat e fondeve speciale</w:t>
      </w:r>
    </w:p>
    <w:p w14:paraId="0D6A4D63" w14:textId="77777777" w:rsidR="006D2CC4" w:rsidRPr="002E06C4" w:rsidRDefault="006D2CC4" w:rsidP="00F82F26">
      <w:pPr>
        <w:spacing w:line="276" w:lineRule="auto"/>
        <w:jc w:val="both"/>
        <w:rPr>
          <w:rFonts w:asciiTheme="majorHAnsi" w:hAnsiTheme="majorHAnsi" w:cs="Times New Roman"/>
          <w:noProof/>
          <w:lang w:val="sq-AL"/>
        </w:rPr>
      </w:pPr>
      <w:r w:rsidRPr="002E06C4">
        <w:rPr>
          <w:rFonts w:asciiTheme="majorHAnsi" w:hAnsiTheme="majorHAnsi" w:cs="Times New Roman"/>
          <w:lang w:val="sq-AL"/>
        </w:rPr>
        <w:t>Të ardhurat nga Fondet Speciale për periudhën Janar – Dhjetor 2018 arritën në 93.2 miliardë lekë, me një realizmin në masën 100.6 për qind kundrejt planit dhe 7.3 për qind ose 6.4 miliardë lekë më shumë krahasuar me të njëjtën periudhë të një viti më parë. Ky grup të ardhurash përbën rreth 20.7 për qind të totalit të të ardhurave të përgjithshme për këtë periudhë. Nga totali i fondeve speciale, rreth 92 miliardë lekë janë kontribute të Sigurimeve Shoqërore dhe Shëndetësore dhe 1.3 miliardë lekë të ardhura për kompensimin në vlerë të pronarëve. Nga sigurimet shoqërore janë mbledhur rreth 79.4 miliardë lekë, 5.4 miliard lekë ose 7.3 për qind më shumë sesa viti i kaluar dhe nga sigurimet shëndetësore janë mbledhur 12.4 miliardë lekë, 0.8 miliardë ose 7.1 për qind më shumë krahasuar me të njëjtën periudhë të një viti më parë. Përsa i takon bazës së taksueshme, nga të dhënat e Drejtorisë së Përgjithshme të Tatimeve, për periudhën 12-mujore rezulton se në total ka një rritje të numrit mesatar të të punësuarve për efekt të derdhjes së kontributeve krahasuar me mesataren e një viti më parë. Numri i kontribuesve për muajin dhjetor 2018, është rritur me afërsisht 13 mijë kontribues ose 2 për qind, krahasuar me të njëjtën periudhë të një viti më parë</w:t>
      </w:r>
      <w:r w:rsidRPr="002E06C4">
        <w:rPr>
          <w:rFonts w:asciiTheme="majorHAnsi" w:hAnsiTheme="majorHAnsi" w:cs="Times New Roman"/>
          <w:noProof/>
          <w:lang w:val="sq-AL"/>
        </w:rPr>
        <w:t>.</w:t>
      </w:r>
    </w:p>
    <w:p w14:paraId="42278AA5" w14:textId="77777777" w:rsidR="002B34A1" w:rsidRPr="002E06C4" w:rsidRDefault="002B34A1" w:rsidP="00F82F26">
      <w:pPr>
        <w:spacing w:line="276" w:lineRule="auto"/>
        <w:jc w:val="both"/>
        <w:rPr>
          <w:rFonts w:asciiTheme="majorHAnsi" w:hAnsiTheme="majorHAnsi" w:cs="Times New Roman"/>
          <w:sz w:val="12"/>
          <w:szCs w:val="12"/>
          <w:lang w:val="sq-AL"/>
        </w:rPr>
      </w:pPr>
    </w:p>
    <w:p w14:paraId="01FEBC91" w14:textId="77777777" w:rsidR="00F82F26" w:rsidRPr="002E06C4" w:rsidRDefault="00F82F26" w:rsidP="002B34A1">
      <w:pPr>
        <w:pStyle w:val="Caption"/>
        <w:keepNext/>
        <w:spacing w:after="0"/>
        <w:rPr>
          <w:rFonts w:asciiTheme="majorHAnsi" w:hAnsiTheme="majorHAnsi" w:cs="Times New Roman"/>
          <w:lang w:val="sq-AL"/>
        </w:rPr>
      </w:pPr>
      <w:bookmarkStart w:id="108" w:name="_Toc11141699"/>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23</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Kontrbuuesit aktiv</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p</w:t>
      </w:r>
      <w:r w:rsidR="00C33B16" w:rsidRPr="002E06C4">
        <w:rPr>
          <w:rFonts w:asciiTheme="majorHAnsi" w:hAnsiTheme="majorHAnsi" w:cs="Times New Roman"/>
          <w:lang w:val="sq-AL"/>
        </w:rPr>
        <w:t>ë</w:t>
      </w:r>
      <w:r w:rsidRPr="002E06C4">
        <w:rPr>
          <w:rFonts w:asciiTheme="majorHAnsi" w:hAnsiTheme="majorHAnsi" w:cs="Times New Roman"/>
          <w:lang w:val="sq-AL"/>
        </w:rPr>
        <w:t>r sigurimet shoq</w:t>
      </w:r>
      <w:r w:rsidR="00C33B16" w:rsidRPr="002E06C4">
        <w:rPr>
          <w:rFonts w:asciiTheme="majorHAnsi" w:hAnsiTheme="majorHAnsi" w:cs="Times New Roman"/>
          <w:lang w:val="sq-AL"/>
        </w:rPr>
        <w:t>ë</w:t>
      </w:r>
      <w:r w:rsidRPr="002E06C4">
        <w:rPr>
          <w:rFonts w:asciiTheme="majorHAnsi" w:hAnsiTheme="majorHAnsi" w:cs="Times New Roman"/>
          <w:lang w:val="sq-AL"/>
        </w:rPr>
        <w:t>rore dhe sh</w:t>
      </w:r>
      <w:r w:rsidR="00C33B16" w:rsidRPr="002E06C4">
        <w:rPr>
          <w:rFonts w:asciiTheme="majorHAnsi" w:hAnsiTheme="majorHAnsi" w:cs="Times New Roman"/>
          <w:lang w:val="sq-AL"/>
        </w:rPr>
        <w:t>ë</w:t>
      </w:r>
      <w:r w:rsidRPr="002E06C4">
        <w:rPr>
          <w:rFonts w:asciiTheme="majorHAnsi" w:hAnsiTheme="majorHAnsi" w:cs="Times New Roman"/>
          <w:lang w:val="sq-AL"/>
        </w:rPr>
        <w:t>ndet</w:t>
      </w:r>
      <w:r w:rsidR="00C33B16" w:rsidRPr="002E06C4">
        <w:rPr>
          <w:rFonts w:asciiTheme="majorHAnsi" w:hAnsiTheme="majorHAnsi" w:cs="Times New Roman"/>
          <w:lang w:val="sq-AL"/>
        </w:rPr>
        <w:t>ë</w:t>
      </w:r>
      <w:r w:rsidRPr="002E06C4">
        <w:rPr>
          <w:rFonts w:asciiTheme="majorHAnsi" w:hAnsiTheme="majorHAnsi" w:cs="Times New Roman"/>
          <w:lang w:val="sq-AL"/>
        </w:rPr>
        <w:t>sore, sipas llojit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biznesit</w:t>
      </w:r>
      <w:bookmarkEnd w:id="108"/>
    </w:p>
    <w:p w14:paraId="2494AF97" w14:textId="77777777" w:rsidR="00F82F26" w:rsidRPr="002E06C4" w:rsidRDefault="006D2CC4" w:rsidP="006E1920">
      <w:pPr>
        <w:spacing w:line="276" w:lineRule="auto"/>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53778CC0" wp14:editId="2C5F8B8D">
            <wp:extent cx="5415280" cy="1546860"/>
            <wp:effectExtent l="0" t="0" r="13970" b="152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20EE13" w14:textId="77777777" w:rsidR="001A3391" w:rsidRPr="002E06C4" w:rsidRDefault="001A3391" w:rsidP="001A3391">
      <w:pPr>
        <w:spacing w:line="276" w:lineRule="auto"/>
        <w:ind w:firstLine="720"/>
        <w:jc w:val="both"/>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455A44EA" w14:textId="77777777" w:rsidR="002B34A1" w:rsidRPr="002E06C4" w:rsidRDefault="002B34A1" w:rsidP="002B34A1">
      <w:pPr>
        <w:pStyle w:val="Caption"/>
        <w:keepNext/>
        <w:spacing w:after="0"/>
        <w:rPr>
          <w:rFonts w:asciiTheme="majorHAnsi" w:hAnsiTheme="majorHAnsi" w:cs="Times New Roman"/>
          <w:lang w:val="sq-AL"/>
        </w:rPr>
      </w:pPr>
    </w:p>
    <w:p w14:paraId="3312A225" w14:textId="77777777" w:rsidR="00F82F26" w:rsidRPr="002E06C4" w:rsidRDefault="00F82F26" w:rsidP="002B34A1">
      <w:pPr>
        <w:pStyle w:val="Caption"/>
        <w:keepNext/>
        <w:spacing w:after="0"/>
        <w:rPr>
          <w:rFonts w:asciiTheme="majorHAnsi" w:hAnsiTheme="majorHAnsi" w:cs="Times New Roman"/>
          <w:lang w:val="sq-AL"/>
        </w:rPr>
      </w:pPr>
      <w:bookmarkStart w:id="109" w:name="_Toc11141700"/>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24</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Kontribuuesit aktiv</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p</w:t>
      </w:r>
      <w:r w:rsidR="00C33B16" w:rsidRPr="002E06C4">
        <w:rPr>
          <w:rFonts w:asciiTheme="majorHAnsi" w:hAnsiTheme="majorHAnsi" w:cs="Times New Roman"/>
          <w:lang w:val="sq-AL"/>
        </w:rPr>
        <w:t>ë</w:t>
      </w:r>
      <w:r w:rsidRPr="002E06C4">
        <w:rPr>
          <w:rFonts w:asciiTheme="majorHAnsi" w:hAnsiTheme="majorHAnsi" w:cs="Times New Roman"/>
          <w:lang w:val="sq-AL"/>
        </w:rPr>
        <w:t>r sigurimet shoq</w:t>
      </w:r>
      <w:r w:rsidR="00C33B16" w:rsidRPr="002E06C4">
        <w:rPr>
          <w:rFonts w:asciiTheme="majorHAnsi" w:hAnsiTheme="majorHAnsi" w:cs="Times New Roman"/>
          <w:lang w:val="sq-AL"/>
        </w:rPr>
        <w:t>ë</w:t>
      </w:r>
      <w:r w:rsidRPr="002E06C4">
        <w:rPr>
          <w:rFonts w:asciiTheme="majorHAnsi" w:hAnsiTheme="majorHAnsi" w:cs="Times New Roman"/>
          <w:lang w:val="sq-AL"/>
        </w:rPr>
        <w:t>rore dhe sh</w:t>
      </w:r>
      <w:r w:rsidR="00C33B16" w:rsidRPr="002E06C4">
        <w:rPr>
          <w:rFonts w:asciiTheme="majorHAnsi" w:hAnsiTheme="majorHAnsi" w:cs="Times New Roman"/>
          <w:lang w:val="sq-AL"/>
        </w:rPr>
        <w:t>ë</w:t>
      </w:r>
      <w:r w:rsidRPr="002E06C4">
        <w:rPr>
          <w:rFonts w:asciiTheme="majorHAnsi" w:hAnsiTheme="majorHAnsi" w:cs="Times New Roman"/>
          <w:lang w:val="sq-AL"/>
        </w:rPr>
        <w:t>ndet</w:t>
      </w:r>
      <w:r w:rsidR="00C33B16" w:rsidRPr="002E06C4">
        <w:rPr>
          <w:rFonts w:asciiTheme="majorHAnsi" w:hAnsiTheme="majorHAnsi" w:cs="Times New Roman"/>
          <w:lang w:val="sq-AL"/>
        </w:rPr>
        <w:t>ë</w:t>
      </w:r>
      <w:r w:rsidRPr="002E06C4">
        <w:rPr>
          <w:rFonts w:asciiTheme="majorHAnsi" w:hAnsiTheme="majorHAnsi" w:cs="Times New Roman"/>
          <w:lang w:val="sq-AL"/>
        </w:rPr>
        <w:t>sore, sipas sektorit ekonomik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w:t>
      </w:r>
      <w:bookmarkEnd w:id="109"/>
    </w:p>
    <w:p w14:paraId="6CE336D0" w14:textId="77777777" w:rsidR="006D2CC4" w:rsidRPr="002E06C4" w:rsidRDefault="006D2CC4" w:rsidP="006E1920">
      <w:pPr>
        <w:spacing w:line="276" w:lineRule="auto"/>
        <w:jc w:val="center"/>
        <w:rPr>
          <w:rFonts w:asciiTheme="majorHAnsi" w:hAnsiTheme="majorHAnsi" w:cs="Times New Roman"/>
          <w:noProof/>
          <w:lang w:val="sq-AL"/>
        </w:rPr>
      </w:pPr>
      <w:r w:rsidRPr="002E06C4">
        <w:rPr>
          <w:rFonts w:asciiTheme="majorHAnsi" w:hAnsiTheme="majorHAnsi" w:cs="Times New Roman"/>
          <w:noProof/>
        </w:rPr>
        <w:drawing>
          <wp:inline distT="0" distB="0" distL="0" distR="0" wp14:anchorId="687965FB" wp14:editId="144A2C26">
            <wp:extent cx="5415280" cy="1341120"/>
            <wp:effectExtent l="0" t="0" r="1397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BAAD71" w14:textId="77777777" w:rsidR="006D2CC4" w:rsidRPr="002E06C4" w:rsidRDefault="006D2CC4" w:rsidP="006D2CC4">
      <w:pPr>
        <w:spacing w:line="276" w:lineRule="auto"/>
        <w:ind w:firstLine="720"/>
        <w:rPr>
          <w:rFonts w:asciiTheme="majorHAnsi" w:hAnsiTheme="majorHAnsi" w:cs="Times New Roman"/>
          <w:i/>
          <w:noProof/>
          <w:sz w:val="20"/>
          <w:lang w:val="sq-AL"/>
        </w:rPr>
      </w:pPr>
      <w:r w:rsidRPr="002E06C4">
        <w:rPr>
          <w:rFonts w:asciiTheme="majorHAnsi" w:hAnsiTheme="majorHAnsi" w:cs="Times New Roman"/>
          <w:i/>
          <w:noProof/>
          <w:sz w:val="20"/>
          <w:lang w:val="sq-AL"/>
        </w:rPr>
        <w:t>Burimi: Ministria e Financave dhe Ekonomisë (2019);</w:t>
      </w:r>
    </w:p>
    <w:p w14:paraId="0B9CA6D7" w14:textId="77777777" w:rsidR="006D2CC4" w:rsidRPr="002E06C4" w:rsidRDefault="006D2CC4" w:rsidP="006D2CC4">
      <w:pPr>
        <w:pStyle w:val="Normal1"/>
        <w:spacing w:before="240" w:line="276" w:lineRule="auto"/>
        <w:jc w:val="both"/>
        <w:rPr>
          <w:rFonts w:asciiTheme="majorHAnsi" w:hAnsiTheme="majorHAnsi"/>
          <w:color w:val="000000"/>
          <w:lang w:val="sq-AL"/>
        </w:rPr>
      </w:pPr>
      <w:r w:rsidRPr="002E06C4">
        <w:rPr>
          <w:rFonts w:asciiTheme="majorHAnsi" w:hAnsiTheme="majorHAnsi"/>
          <w:lang w:val="sq-AL"/>
        </w:rPr>
        <w:t xml:space="preserve">Peshën më të madhe, për numër mesatar kontribuesish e zë biznesi i madh dhe ndërmarrjet shtetërore buxhetore, përkatësisht 52.3 për qind dhe 22.6 për qind. Në sektorin shtetëror vihet re një rënie e këtij treguesi me 2 për qind në ndërmarrjet shtetërore jobuxhetore, dhe rritje 1.3 për qind në ndërmarrjet shtetërore buxhetore. Edhe në sektorin privat ky tregues ka shënuar rritje dhe konkretisht 2 për qind në biznesin e madh dhe 10.7 për qind në biznesin e vogël pa TVSH. Duke e analizuar nga këndvështrimi i sektorëve të ekonomisë, krahasuar me vitin e kaluar, ky tregues ka pësuar këto ndryshime: sektori i “Ndërtimit” është rritur me 6 për qind, sektori i “Transportit” është rritur me 4 për qind, sektori “Tregtisë” dhe “Prodhimit” është rritur me 2 për qind. </w:t>
      </w:r>
    </w:p>
    <w:p w14:paraId="13B930F8" w14:textId="77777777" w:rsidR="00A94670" w:rsidRPr="001A3391" w:rsidRDefault="008B6B58" w:rsidP="00A2716B">
      <w:pPr>
        <w:pStyle w:val="Heading1"/>
        <w:numPr>
          <w:ilvl w:val="0"/>
          <w:numId w:val="4"/>
        </w:numPr>
        <w:rPr>
          <w:rFonts w:cs="Times New Roman"/>
          <w:b/>
          <w:lang w:val="sq-AL"/>
        </w:rPr>
      </w:pPr>
      <w:bookmarkStart w:id="110" w:name="_Toc10033277"/>
      <w:bookmarkStart w:id="111" w:name="_Toc10721414"/>
      <w:bookmarkStart w:id="112" w:name="_Toc11134220"/>
      <w:r w:rsidRPr="001A3391">
        <w:rPr>
          <w:rFonts w:cs="Times New Roman"/>
          <w:b/>
          <w:lang w:val="sq-AL"/>
        </w:rPr>
        <w:lastRenderedPageBreak/>
        <w:t>SHPENZIMET E PËRGJITHSHME</w:t>
      </w:r>
      <w:bookmarkEnd w:id="110"/>
      <w:bookmarkEnd w:id="111"/>
      <w:bookmarkEnd w:id="112"/>
    </w:p>
    <w:p w14:paraId="429849AC" w14:textId="77777777" w:rsidR="00AC045F" w:rsidRPr="002E06C4" w:rsidRDefault="004C6892" w:rsidP="00AC045F">
      <w:pPr>
        <w:spacing w:before="240" w:line="276" w:lineRule="auto"/>
        <w:jc w:val="both"/>
        <w:rPr>
          <w:rFonts w:asciiTheme="majorHAnsi" w:hAnsiTheme="majorHAnsi" w:cs="Times New Roman"/>
          <w:lang w:val="sq-AL"/>
        </w:rPr>
      </w:pPr>
      <w:r w:rsidRPr="002E06C4">
        <w:rPr>
          <w:rFonts w:asciiTheme="majorHAnsi" w:eastAsia="SimSun" w:hAnsiTheme="majorHAnsi" w:cs="Times New Roman"/>
          <w:bCs/>
          <w:lang w:val="sq-AL"/>
        </w:rPr>
        <w:t>Shpenzimet e përgjithshme publike, për vitin 2018, arritën në rreth 476.1 miliardë lekë me një realizim në masën 95.8 përqind të planit vjetor sipas Buxhetit Fillestar (96.3 përqind të planit vjetor sipas Aktit Normativ nr.2 datë 19.12.2018 (AN nr.2). Krahasuar me të njëjtën periudhë të vitit 2017 ky zë ka rezultuar 3.2 përqind më i lartë ose rreth 14.7 miliard lekë më shumë. Shpenzimet e përgjithshme për vitin 2018 përbëjnë 28.86 përqind të Produktit të Brendshëm Bruto. Shpenzimet e përgjithshme kanë ruajtuar një nivel të qëndrueshëm ndër vite kundrejt PBB-së, me një nivel mesatar prej rreth 30 përqind</w:t>
      </w:r>
      <w:r w:rsidR="00AC045F" w:rsidRPr="002E06C4">
        <w:rPr>
          <w:rFonts w:asciiTheme="majorHAnsi" w:hAnsiTheme="majorHAnsi" w:cs="Times New Roman"/>
          <w:lang w:val="sq-AL"/>
        </w:rPr>
        <w:t>.</w:t>
      </w:r>
      <w:r w:rsidR="00445C7D" w:rsidRPr="002E06C4">
        <w:rPr>
          <w:rFonts w:asciiTheme="majorHAnsi" w:hAnsiTheme="majorHAnsi" w:cs="Times New Roman"/>
          <w:lang w:val="sq-AL"/>
        </w:rPr>
        <w:t xml:space="preserve"> </w:t>
      </w:r>
    </w:p>
    <w:p w14:paraId="674F326F" w14:textId="77777777" w:rsidR="004C6892" w:rsidRPr="002E06C4" w:rsidRDefault="004C6892" w:rsidP="004C6892">
      <w:pPr>
        <w:jc w:val="both"/>
        <w:rPr>
          <w:rFonts w:asciiTheme="majorHAnsi" w:hAnsiTheme="majorHAnsi" w:cs="Times New Roman"/>
          <w:sz w:val="8"/>
          <w:szCs w:val="8"/>
          <w:lang w:val="sq-AL"/>
        </w:rPr>
      </w:pPr>
    </w:p>
    <w:p w14:paraId="644EBC31" w14:textId="77777777" w:rsidR="00CA43B5" w:rsidRPr="002E06C4" w:rsidRDefault="00CA43B5" w:rsidP="004C6892">
      <w:pPr>
        <w:pStyle w:val="Caption"/>
        <w:keepNext/>
        <w:spacing w:after="0"/>
        <w:rPr>
          <w:rFonts w:asciiTheme="majorHAnsi" w:hAnsiTheme="majorHAnsi" w:cs="Times New Roman"/>
          <w:lang w:val="sq-AL"/>
        </w:rPr>
      </w:pPr>
      <w:bookmarkStart w:id="113" w:name="_Toc11141701"/>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25</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Shpenzimet e p</w:t>
      </w:r>
      <w:r w:rsidR="00C33B16" w:rsidRPr="002E06C4">
        <w:rPr>
          <w:rFonts w:asciiTheme="majorHAnsi" w:hAnsiTheme="majorHAnsi" w:cs="Times New Roman"/>
          <w:lang w:val="sq-AL"/>
        </w:rPr>
        <w:t>ë</w:t>
      </w:r>
      <w:r w:rsidRPr="002E06C4">
        <w:rPr>
          <w:rFonts w:asciiTheme="majorHAnsi" w:hAnsiTheme="majorHAnsi" w:cs="Times New Roman"/>
          <w:lang w:val="sq-AL"/>
        </w:rPr>
        <w:t>rgjithshme</w:t>
      </w:r>
      <w:r w:rsidR="00FF5928" w:rsidRPr="002E06C4">
        <w:rPr>
          <w:rFonts w:asciiTheme="majorHAnsi" w:hAnsiTheme="majorHAnsi" w:cs="Times New Roman"/>
          <w:lang w:val="sq-AL"/>
        </w:rPr>
        <w:t xml:space="preserve"> korrente dhe kapitale</w:t>
      </w:r>
      <w:r w:rsidRPr="002E06C4">
        <w:rPr>
          <w:rFonts w:asciiTheme="majorHAnsi" w:hAnsiTheme="majorHAnsi" w:cs="Times New Roman"/>
          <w:lang w:val="sq-AL"/>
        </w:rPr>
        <w:t xml:space="preserve"> </w:t>
      </w:r>
      <w:r w:rsidR="00FF5928" w:rsidRPr="002E06C4">
        <w:rPr>
          <w:rFonts w:asciiTheme="majorHAnsi" w:hAnsiTheme="majorHAnsi" w:cs="Times New Roman"/>
          <w:lang w:val="sq-AL"/>
        </w:rPr>
        <w:t xml:space="preserve">(miliardë lekë) </w:t>
      </w:r>
      <w:r w:rsidRPr="002E06C4">
        <w:rPr>
          <w:rFonts w:asciiTheme="majorHAnsi" w:hAnsiTheme="majorHAnsi" w:cs="Times New Roman"/>
          <w:lang w:val="sq-AL"/>
        </w:rPr>
        <w:t>dhe ritmi i rritjes</w:t>
      </w:r>
      <w:r w:rsidR="00377806" w:rsidRPr="002E06C4">
        <w:rPr>
          <w:rFonts w:asciiTheme="majorHAnsi" w:hAnsiTheme="majorHAnsi" w:cs="Times New Roman"/>
          <w:lang w:val="sq-AL"/>
        </w:rPr>
        <w:t xml:space="preserve"> vjetore</w:t>
      </w:r>
      <w:r w:rsidRPr="002E06C4">
        <w:rPr>
          <w:rFonts w:asciiTheme="majorHAnsi" w:hAnsiTheme="majorHAnsi" w:cs="Times New Roman"/>
          <w:lang w:val="sq-AL"/>
        </w:rPr>
        <w:t xml:space="preserve"> </w:t>
      </w:r>
      <w:r w:rsidR="00FF5928" w:rsidRPr="002E06C4">
        <w:rPr>
          <w:rFonts w:asciiTheme="majorHAnsi" w:hAnsiTheme="majorHAnsi" w:cs="Times New Roman"/>
          <w:lang w:val="sq-AL"/>
        </w:rPr>
        <w:t>(në %)</w:t>
      </w:r>
      <w:bookmarkEnd w:id="113"/>
    </w:p>
    <w:p w14:paraId="3B9684E9" w14:textId="77777777" w:rsidR="00AC045F" w:rsidRPr="002E06C4" w:rsidRDefault="008A2AE6" w:rsidP="004820FF">
      <w:pPr>
        <w:spacing w:line="276" w:lineRule="auto"/>
        <w:jc w:val="center"/>
        <w:rPr>
          <w:rFonts w:asciiTheme="majorHAnsi" w:eastAsia="SimSun" w:hAnsiTheme="majorHAnsi" w:cs="Times New Roman"/>
          <w:i/>
          <w:lang w:val="sq-AL"/>
        </w:rPr>
      </w:pPr>
      <w:r w:rsidRPr="002E06C4">
        <w:rPr>
          <w:noProof/>
        </w:rPr>
        <w:drawing>
          <wp:inline distT="0" distB="0" distL="0" distR="0" wp14:anchorId="7C8C58BC" wp14:editId="2F352793">
            <wp:extent cx="6431915" cy="2242185"/>
            <wp:effectExtent l="0" t="0" r="6985" b="571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75A1B5" w14:textId="77777777" w:rsidR="004820FF" w:rsidRDefault="00AC045F" w:rsidP="00AC045F">
      <w:pPr>
        <w:spacing w:line="276" w:lineRule="auto"/>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 xml:space="preserve">       </w:t>
      </w:r>
      <w:r w:rsidRPr="002E06C4">
        <w:rPr>
          <w:rFonts w:asciiTheme="majorHAnsi" w:eastAsia="SimSun" w:hAnsiTheme="majorHAnsi" w:cs="Times New Roman"/>
          <w:i/>
          <w:sz w:val="20"/>
          <w:lang w:val="sq-AL"/>
        </w:rPr>
        <w:tab/>
        <w:t>Burimi: Ministria e Financave dhe Ekonomisë (2019)</w:t>
      </w:r>
      <w:r w:rsidR="005C6E2E" w:rsidRPr="002E06C4">
        <w:rPr>
          <w:rFonts w:asciiTheme="majorHAnsi" w:eastAsia="SimSun" w:hAnsiTheme="majorHAnsi" w:cs="Times New Roman"/>
          <w:i/>
          <w:sz w:val="20"/>
          <w:lang w:val="sq-AL"/>
        </w:rPr>
        <w:t xml:space="preserve"> </w:t>
      </w:r>
    </w:p>
    <w:p w14:paraId="73C96608" w14:textId="77777777" w:rsidR="00E84DCD" w:rsidRPr="002E06C4" w:rsidRDefault="00E84DCD" w:rsidP="00AC045F">
      <w:pPr>
        <w:spacing w:line="276" w:lineRule="auto"/>
        <w:rPr>
          <w:rFonts w:asciiTheme="majorHAnsi" w:eastAsia="SimSun" w:hAnsiTheme="majorHAnsi" w:cs="Times New Roman"/>
          <w:i/>
          <w:sz w:val="20"/>
          <w:lang w:val="sq-AL"/>
        </w:rPr>
      </w:pPr>
    </w:p>
    <w:p w14:paraId="105C337A" w14:textId="77777777" w:rsidR="003E52B1" w:rsidRPr="002E06C4" w:rsidRDefault="003E52B1" w:rsidP="002B34A1">
      <w:pPr>
        <w:pStyle w:val="Heading2"/>
        <w:numPr>
          <w:ilvl w:val="1"/>
          <w:numId w:val="4"/>
        </w:numPr>
        <w:ind w:left="630" w:hanging="630"/>
        <w:rPr>
          <w:rFonts w:cs="Times New Roman"/>
          <w:noProof/>
          <w:color w:val="4F81BD" w:themeColor="accent1"/>
          <w:lang w:val="sq-AL"/>
        </w:rPr>
      </w:pPr>
      <w:bookmarkStart w:id="114" w:name="_Toc10033278"/>
      <w:bookmarkStart w:id="115" w:name="_Toc10721415"/>
      <w:bookmarkStart w:id="116" w:name="_Toc11134221"/>
      <w:bookmarkStart w:id="117" w:name="_Toc515446555"/>
      <w:r w:rsidRPr="002E06C4">
        <w:rPr>
          <w:rFonts w:cs="Times New Roman"/>
          <w:noProof/>
          <w:color w:val="4F81BD" w:themeColor="accent1"/>
          <w:lang w:val="sq-AL"/>
        </w:rPr>
        <w:t>Shpenzimet sipas natyr</w:t>
      </w:r>
      <w:r w:rsidR="00C33B16" w:rsidRPr="002E06C4">
        <w:rPr>
          <w:rFonts w:cs="Times New Roman"/>
          <w:noProof/>
          <w:color w:val="4F81BD" w:themeColor="accent1"/>
          <w:lang w:val="sq-AL"/>
        </w:rPr>
        <w:t>ë</w:t>
      </w:r>
      <w:r w:rsidRPr="002E06C4">
        <w:rPr>
          <w:rFonts w:cs="Times New Roman"/>
          <w:noProof/>
          <w:color w:val="4F81BD" w:themeColor="accent1"/>
          <w:lang w:val="sq-AL"/>
        </w:rPr>
        <w:t>s ekonomike</w:t>
      </w:r>
      <w:bookmarkEnd w:id="114"/>
      <w:bookmarkEnd w:id="115"/>
      <w:bookmarkEnd w:id="116"/>
    </w:p>
    <w:p w14:paraId="3C2F7875" w14:textId="77777777" w:rsidR="00AC045F" w:rsidRPr="002E06C4" w:rsidRDefault="00AC045F" w:rsidP="00AC045F">
      <w:pPr>
        <w:spacing w:before="240" w:line="276" w:lineRule="auto"/>
        <w:jc w:val="both"/>
        <w:rPr>
          <w:rFonts w:asciiTheme="majorHAnsi" w:eastAsia="SimSun" w:hAnsiTheme="majorHAnsi" w:cs="Times New Roman"/>
          <w:bCs/>
          <w:lang w:val="sq-AL"/>
        </w:rPr>
      </w:pPr>
      <w:r w:rsidRPr="002E06C4">
        <w:rPr>
          <w:rFonts w:asciiTheme="majorHAnsi" w:eastAsia="SimSun" w:hAnsiTheme="majorHAnsi" w:cs="Times New Roman"/>
          <w:b/>
          <w:bCs/>
          <w:lang w:val="sq-AL"/>
        </w:rPr>
        <w:t>Shpenzimet kor</w:t>
      </w:r>
      <w:r w:rsidR="003E52B1" w:rsidRPr="002E06C4">
        <w:rPr>
          <w:rFonts w:asciiTheme="majorHAnsi" w:eastAsia="SimSun" w:hAnsiTheme="majorHAnsi" w:cs="Times New Roman"/>
          <w:b/>
          <w:bCs/>
          <w:lang w:val="sq-AL"/>
        </w:rPr>
        <w:t>r</w:t>
      </w:r>
      <w:r w:rsidRPr="002E06C4">
        <w:rPr>
          <w:rFonts w:asciiTheme="majorHAnsi" w:eastAsia="SimSun" w:hAnsiTheme="majorHAnsi" w:cs="Times New Roman"/>
          <w:b/>
          <w:bCs/>
          <w:lang w:val="sq-AL"/>
        </w:rPr>
        <w:t>ente dhe ato kapitale</w:t>
      </w:r>
      <w:r w:rsidRPr="002E06C4">
        <w:rPr>
          <w:rFonts w:asciiTheme="majorHAnsi" w:eastAsia="SimSun" w:hAnsiTheme="majorHAnsi" w:cs="Times New Roman"/>
          <w:bCs/>
          <w:lang w:val="sq-AL"/>
        </w:rPr>
        <w:t xml:space="preserve">, kanë shënuar një realizim të kënaqshëm respektivisht:    </w:t>
      </w:r>
    </w:p>
    <w:p w14:paraId="042CEFA2" w14:textId="77777777" w:rsidR="00AC045F" w:rsidRPr="002E06C4" w:rsidRDefault="00AC045F" w:rsidP="004C6892">
      <w:pPr>
        <w:numPr>
          <w:ilvl w:val="0"/>
          <w:numId w:val="3"/>
        </w:numPr>
        <w:spacing w:line="276" w:lineRule="auto"/>
        <w:ind w:left="720" w:hanging="450"/>
        <w:jc w:val="both"/>
        <w:rPr>
          <w:rFonts w:asciiTheme="majorHAnsi" w:hAnsiTheme="majorHAnsi" w:cs="Times New Roman"/>
          <w:bCs/>
          <w:i/>
          <w:iCs/>
          <w:lang w:val="sq-AL"/>
        </w:rPr>
      </w:pPr>
      <w:r w:rsidRPr="002E06C4">
        <w:rPr>
          <w:rFonts w:asciiTheme="majorHAnsi" w:hAnsiTheme="majorHAnsi" w:cs="Times New Roman"/>
          <w:bCs/>
          <w:i/>
          <w:iCs/>
          <w:lang w:val="sq-AL"/>
        </w:rPr>
        <w:t>Shpenzimet kor</w:t>
      </w:r>
      <w:r w:rsidR="003E52B1" w:rsidRPr="002E06C4">
        <w:rPr>
          <w:rFonts w:asciiTheme="majorHAnsi" w:hAnsiTheme="majorHAnsi" w:cs="Times New Roman"/>
          <w:bCs/>
          <w:i/>
          <w:iCs/>
          <w:lang w:val="sq-AL"/>
        </w:rPr>
        <w:t>r</w:t>
      </w:r>
      <w:r w:rsidRPr="002E06C4">
        <w:rPr>
          <w:rFonts w:asciiTheme="majorHAnsi" w:hAnsiTheme="majorHAnsi" w:cs="Times New Roman"/>
          <w:bCs/>
          <w:i/>
          <w:iCs/>
          <w:lang w:val="sq-AL"/>
        </w:rPr>
        <w:t xml:space="preserve">ente 97.4 përqind të planit vjetor fillestar </w:t>
      </w:r>
      <w:r w:rsidR="0006149D" w:rsidRPr="002E06C4">
        <w:rPr>
          <w:rFonts w:asciiTheme="majorHAnsi" w:hAnsiTheme="majorHAnsi" w:cs="Times New Roman"/>
          <w:bCs/>
          <w:i/>
          <w:iCs/>
          <w:lang w:val="sq-AL"/>
        </w:rPr>
        <w:t>(</w:t>
      </w:r>
      <w:r w:rsidRPr="002E06C4">
        <w:rPr>
          <w:rFonts w:asciiTheme="majorHAnsi" w:hAnsiTheme="majorHAnsi" w:cs="Times New Roman"/>
          <w:bCs/>
          <w:i/>
          <w:iCs/>
          <w:lang w:val="sq-AL"/>
        </w:rPr>
        <w:t>97.3 përqind të planit sipas AN nr.2</w:t>
      </w:r>
      <w:r w:rsidR="0006149D" w:rsidRPr="002E06C4">
        <w:rPr>
          <w:rFonts w:asciiTheme="majorHAnsi" w:hAnsiTheme="majorHAnsi" w:cs="Times New Roman"/>
          <w:bCs/>
          <w:i/>
          <w:iCs/>
          <w:lang w:val="sq-AL"/>
        </w:rPr>
        <w:t>)</w:t>
      </w:r>
      <w:r w:rsidRPr="002E06C4">
        <w:rPr>
          <w:rFonts w:asciiTheme="majorHAnsi" w:hAnsiTheme="majorHAnsi" w:cs="Times New Roman"/>
          <w:bCs/>
          <w:i/>
          <w:iCs/>
          <w:lang w:val="sq-AL"/>
        </w:rPr>
        <w:t>.</w:t>
      </w:r>
    </w:p>
    <w:p w14:paraId="4AF1C622" w14:textId="77777777" w:rsidR="00AC045F" w:rsidRPr="002E06C4" w:rsidRDefault="00AC045F" w:rsidP="004C6892">
      <w:pPr>
        <w:numPr>
          <w:ilvl w:val="0"/>
          <w:numId w:val="3"/>
        </w:numPr>
        <w:spacing w:line="276" w:lineRule="auto"/>
        <w:ind w:left="72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Shpenzimet kapitale 90.8 përqind të planit vjetor fillestar </w:t>
      </w:r>
      <w:r w:rsidR="0006149D" w:rsidRPr="002E06C4">
        <w:rPr>
          <w:rFonts w:asciiTheme="majorHAnsi" w:hAnsiTheme="majorHAnsi" w:cs="Times New Roman"/>
          <w:bCs/>
          <w:i/>
          <w:iCs/>
          <w:lang w:val="sq-AL"/>
        </w:rPr>
        <w:t>(</w:t>
      </w:r>
      <w:r w:rsidRPr="002E06C4">
        <w:rPr>
          <w:rFonts w:asciiTheme="majorHAnsi" w:hAnsiTheme="majorHAnsi" w:cs="Times New Roman"/>
          <w:bCs/>
          <w:i/>
          <w:iCs/>
          <w:lang w:val="sq-AL"/>
        </w:rPr>
        <w:t>93.2 përqind të planit sipas AN nr.2</w:t>
      </w:r>
      <w:r w:rsidR="0006149D" w:rsidRPr="002E06C4">
        <w:rPr>
          <w:rFonts w:asciiTheme="majorHAnsi" w:hAnsiTheme="majorHAnsi" w:cs="Times New Roman"/>
          <w:bCs/>
          <w:i/>
          <w:iCs/>
          <w:lang w:val="sq-AL"/>
        </w:rPr>
        <w:t>)</w:t>
      </w:r>
      <w:r w:rsidRPr="002E06C4">
        <w:rPr>
          <w:rFonts w:asciiTheme="majorHAnsi" w:hAnsiTheme="majorHAnsi" w:cs="Times New Roman"/>
          <w:bCs/>
          <w:i/>
          <w:iCs/>
          <w:lang w:val="sq-AL"/>
        </w:rPr>
        <w:t xml:space="preserve">. </w:t>
      </w:r>
    </w:p>
    <w:p w14:paraId="384AED9B" w14:textId="77777777" w:rsidR="00C10249" w:rsidRPr="002E06C4" w:rsidRDefault="00C10249" w:rsidP="00C10249">
      <w:pPr>
        <w:spacing w:line="276" w:lineRule="auto"/>
        <w:jc w:val="both"/>
        <w:rPr>
          <w:rFonts w:asciiTheme="majorHAnsi" w:hAnsiTheme="majorHAnsi" w:cs="Times New Roman"/>
          <w:bCs/>
          <w:i/>
          <w:iCs/>
          <w:sz w:val="10"/>
          <w:szCs w:val="10"/>
          <w:lang w:val="sq-AL"/>
        </w:rPr>
      </w:pPr>
    </w:p>
    <w:p w14:paraId="2D8A1253" w14:textId="77777777" w:rsidR="00C10249" w:rsidRPr="002E06C4" w:rsidRDefault="00C10249" w:rsidP="004C6892">
      <w:pPr>
        <w:pStyle w:val="Caption"/>
        <w:keepNext/>
        <w:spacing w:after="0"/>
        <w:rPr>
          <w:rFonts w:asciiTheme="majorHAnsi" w:hAnsiTheme="majorHAnsi" w:cs="Times New Roman"/>
          <w:lang w:val="sq-AL"/>
        </w:rPr>
      </w:pPr>
      <w:bookmarkStart w:id="118" w:name="_Toc11141702"/>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26</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Shpenzimet korrente dhe kapitale fakt dhe plan 2018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milion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118"/>
    </w:p>
    <w:p w14:paraId="24EDCAC7" w14:textId="77777777" w:rsidR="00AC045F" w:rsidRPr="002E06C4" w:rsidRDefault="004C6892" w:rsidP="004C6892">
      <w:pPr>
        <w:pStyle w:val="ListParagraph"/>
        <w:ind w:left="0"/>
        <w:jc w:val="center"/>
        <w:rPr>
          <w:rFonts w:asciiTheme="majorHAnsi" w:eastAsia="SimSun" w:hAnsiTheme="majorHAnsi" w:cs="Times New Roman"/>
          <w:lang w:val="sq-AL"/>
        </w:rPr>
      </w:pPr>
      <w:r w:rsidRPr="002E06C4">
        <w:rPr>
          <w:noProof/>
          <w:sz w:val="16"/>
        </w:rPr>
        <w:drawing>
          <wp:inline distT="0" distB="0" distL="0" distR="0" wp14:anchorId="253BEEDF" wp14:editId="0747AAE5">
            <wp:extent cx="5875655" cy="2293620"/>
            <wp:effectExtent l="0" t="0" r="10795"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88F8DA" w14:textId="77777777" w:rsidR="00AC045F" w:rsidRPr="002E06C4" w:rsidRDefault="00AC045F" w:rsidP="00AC045F">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 xml:space="preserve">          Burimi: Ministria e Financave dhe Ekonomisë (2018)</w:t>
      </w:r>
    </w:p>
    <w:bookmarkEnd w:id="117"/>
    <w:p w14:paraId="0EBFA4C1" w14:textId="77777777" w:rsidR="008A2AE6" w:rsidRPr="002E06C4" w:rsidRDefault="008A2AE6" w:rsidP="00AD5E49">
      <w:pPr>
        <w:spacing w:before="240" w:line="276" w:lineRule="auto"/>
        <w:jc w:val="both"/>
        <w:rPr>
          <w:rFonts w:asciiTheme="majorHAnsi" w:eastAsia="SimSun" w:hAnsiTheme="majorHAnsi" w:cs="Times New Roman"/>
          <w:b/>
          <w:lang w:val="sq-AL"/>
        </w:rPr>
      </w:pPr>
    </w:p>
    <w:p w14:paraId="6920469E" w14:textId="77777777" w:rsidR="00AD5E49" w:rsidRPr="002E06C4" w:rsidRDefault="00AD5E49" w:rsidP="00AD5E49">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b/>
          <w:lang w:val="sq-AL"/>
        </w:rPr>
        <w:lastRenderedPageBreak/>
        <w:t>Shpenzimet korente</w:t>
      </w:r>
      <w:r w:rsidRPr="002E06C4">
        <w:rPr>
          <w:rFonts w:asciiTheme="majorHAnsi" w:eastAsia="SimSun" w:hAnsiTheme="majorHAnsi" w:cs="Times New Roman"/>
          <w:lang w:val="sq-AL"/>
        </w:rPr>
        <w:t xml:space="preserve"> për vitin 2018 rezultuan në rreth 397.3 miliardë LEK, ndërsa krahasuar me të njëjtën periudhë të një viti më parë ky zë ka rezultuar 3.9 përqind më i lartë ose rreth 15.06 miliardë LEK më shumë. Shpenzimet korente për vitin 2018 zënë 83.5 përqind të totalit të shpenzimeve ndërkohë që krahasuar me Produktin e Brendshëm Bruto zënë 24 përqind. Nga grafiku i mëposhtëm vihet re trendi i qëndrueshëm ndër vite, i raportit të shpenzimeve korente kundrejt PBB, me një nivel mesatar prej 24 përqind. </w:t>
      </w:r>
    </w:p>
    <w:p w14:paraId="164218AE" w14:textId="77777777" w:rsidR="00AC045F" w:rsidRPr="002E06C4" w:rsidRDefault="00AD5E49" w:rsidP="00AC045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b/>
          <w:lang w:val="sq-AL"/>
        </w:rPr>
        <w:t>Shpenzimet kapitale</w:t>
      </w:r>
      <w:r w:rsidRPr="002E06C4">
        <w:rPr>
          <w:rFonts w:asciiTheme="majorHAnsi" w:eastAsia="SimSun" w:hAnsiTheme="majorHAnsi" w:cs="Times New Roman"/>
          <w:lang w:val="sq-AL"/>
        </w:rPr>
        <w:t xml:space="preserve"> për vitin 2018 paraqesin një realizim në masën rreth 78.4 miliardë LEK. Krahasuar me të njëjtën periudhë të vitit 2017, ky zë është 14.6 përqind më i lartë ose rreth 9.98 miliard LEK më shumë. Shpenzimet kapitale për vitin 2018 zënë 16.5 përqind të totalit të shpenzimeve ndërkohë që krahasuar me PBB zënë 5 përqind. Edhe për shpenzimet kapitale vihet re një trend i qëndrueshëm ndër vite kundrejt PBB, me një nivel mesatar prej 5 përqind.</w:t>
      </w:r>
    </w:p>
    <w:p w14:paraId="00B999AA" w14:textId="77777777" w:rsidR="00AC045F" w:rsidRPr="002E06C4" w:rsidRDefault="00AC045F" w:rsidP="00AC045F">
      <w:pPr>
        <w:spacing w:line="276" w:lineRule="auto"/>
        <w:rPr>
          <w:rFonts w:asciiTheme="majorHAnsi" w:eastAsia="SimSun" w:hAnsiTheme="majorHAnsi" w:cs="Times New Roman"/>
          <w:i/>
          <w:sz w:val="8"/>
          <w:szCs w:val="8"/>
          <w:lang w:val="sq-AL"/>
        </w:rPr>
      </w:pPr>
    </w:p>
    <w:p w14:paraId="6B48C90D" w14:textId="77777777" w:rsidR="00C10249" w:rsidRPr="002E06C4" w:rsidRDefault="00C10249" w:rsidP="00AD5E49">
      <w:pPr>
        <w:pStyle w:val="Caption"/>
        <w:keepNext/>
        <w:spacing w:after="0"/>
        <w:rPr>
          <w:rFonts w:asciiTheme="majorHAnsi" w:hAnsiTheme="majorHAnsi" w:cs="Times New Roman"/>
          <w:lang w:val="sq-AL"/>
        </w:rPr>
      </w:pPr>
      <w:bookmarkStart w:id="119" w:name="_Toc11141703"/>
      <w:r w:rsidRPr="002E06C4">
        <w:rPr>
          <w:rFonts w:asciiTheme="majorHAnsi" w:hAnsiTheme="majorHAnsi" w:cs="Times New Roman"/>
          <w:lang w:val="sq-AL"/>
        </w:rPr>
        <w:t xml:space="preserve">Grafiku </w:t>
      </w:r>
      <w:r w:rsidR="00C87F41" w:rsidRPr="002E06C4">
        <w:rPr>
          <w:rFonts w:asciiTheme="majorHAnsi" w:hAnsiTheme="majorHAnsi" w:cs="Times New Roman"/>
          <w:noProof/>
          <w:lang w:val="sq-AL"/>
        </w:rPr>
        <w:fldChar w:fldCharType="begin"/>
      </w:r>
      <w:r w:rsidR="00C87F41" w:rsidRPr="002E06C4">
        <w:rPr>
          <w:rFonts w:asciiTheme="majorHAnsi" w:hAnsiTheme="majorHAnsi" w:cs="Times New Roman"/>
          <w:noProof/>
          <w:lang w:val="sq-AL"/>
        </w:rPr>
        <w:instrText xml:space="preserve"> SEQ Grafiku \* ARABIC </w:instrText>
      </w:r>
      <w:r w:rsidR="00C87F41" w:rsidRPr="002E06C4">
        <w:rPr>
          <w:rFonts w:asciiTheme="majorHAnsi" w:hAnsiTheme="majorHAnsi" w:cs="Times New Roman"/>
          <w:noProof/>
          <w:lang w:val="sq-AL"/>
        </w:rPr>
        <w:fldChar w:fldCharType="separate"/>
      </w:r>
      <w:r w:rsidR="006A57F3">
        <w:rPr>
          <w:rFonts w:asciiTheme="majorHAnsi" w:hAnsiTheme="majorHAnsi" w:cs="Times New Roman"/>
          <w:noProof/>
          <w:lang w:val="sq-AL"/>
        </w:rPr>
        <w:t>27</w:t>
      </w:r>
      <w:r w:rsidR="00C87F41" w:rsidRPr="002E06C4">
        <w:rPr>
          <w:rFonts w:asciiTheme="majorHAnsi" w:hAnsiTheme="majorHAnsi" w:cs="Times New Roman"/>
          <w:noProof/>
          <w:lang w:val="sq-AL"/>
        </w:rPr>
        <w:fldChar w:fldCharType="end"/>
      </w:r>
      <w:r w:rsidRPr="002E06C4">
        <w:rPr>
          <w:rFonts w:asciiTheme="majorHAnsi" w:hAnsiTheme="majorHAnsi" w:cs="Times New Roman"/>
          <w:lang w:val="sq-AL"/>
        </w:rPr>
        <w:t xml:space="preserve"> Struktura e shpenzimeve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p</w:t>
      </w:r>
      <w:r w:rsidR="00C33B16" w:rsidRPr="002E06C4">
        <w:rPr>
          <w:rFonts w:asciiTheme="majorHAnsi" w:hAnsiTheme="majorHAnsi" w:cs="Times New Roman"/>
          <w:lang w:val="sq-AL"/>
        </w:rPr>
        <w:t>ë</w:t>
      </w:r>
      <w:r w:rsidRPr="002E06C4">
        <w:rPr>
          <w:rFonts w:asciiTheme="majorHAnsi" w:hAnsiTheme="majorHAnsi" w:cs="Times New Roman"/>
          <w:lang w:val="sq-AL"/>
        </w:rPr>
        <w:t>rgjithshme dhe raporti me PBB-n</w:t>
      </w:r>
      <w:r w:rsidR="00C33B16" w:rsidRPr="002E06C4">
        <w:rPr>
          <w:rFonts w:asciiTheme="majorHAnsi" w:hAnsiTheme="majorHAnsi" w:cs="Times New Roman"/>
          <w:lang w:val="sq-AL"/>
        </w:rPr>
        <w:t>ë</w:t>
      </w:r>
      <w:bookmarkEnd w:id="119"/>
    </w:p>
    <w:p w14:paraId="6255DDB3" w14:textId="77777777" w:rsidR="00AC045F" w:rsidRPr="002E06C4" w:rsidRDefault="00735CC6" w:rsidP="00F91005">
      <w:pPr>
        <w:spacing w:line="276" w:lineRule="auto"/>
        <w:jc w:val="center"/>
        <w:rPr>
          <w:rFonts w:asciiTheme="majorHAnsi" w:eastAsia="SimSun" w:hAnsiTheme="majorHAnsi" w:cs="Times New Roman"/>
          <w:i/>
          <w:lang w:val="sq-AL"/>
        </w:rPr>
      </w:pPr>
      <w:r w:rsidRPr="002E06C4">
        <w:rPr>
          <w:noProof/>
        </w:rPr>
        <w:drawing>
          <wp:inline distT="0" distB="0" distL="0" distR="0" wp14:anchorId="6373CA69" wp14:editId="6C291953">
            <wp:extent cx="5192201" cy="2528515"/>
            <wp:effectExtent l="0" t="0" r="27940" b="247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32709A7" w14:textId="77777777" w:rsidR="00AC045F" w:rsidRPr="002E06C4" w:rsidRDefault="00AC045F" w:rsidP="00735CC6">
      <w:pPr>
        <w:ind w:left="720"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5BA9F52D" w14:textId="77777777" w:rsidR="00735CC6" w:rsidRPr="002E06C4" w:rsidRDefault="00735CC6" w:rsidP="00735CC6">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b/>
          <w:i/>
          <w:lang w:val="sq-AL"/>
        </w:rPr>
        <w:t>Shpenzimet korrente</w:t>
      </w:r>
      <w:r w:rsidRPr="002E06C4">
        <w:rPr>
          <w:rFonts w:asciiTheme="majorHAnsi" w:eastAsia="SimSun" w:hAnsiTheme="majorHAnsi" w:cs="Times New Roman"/>
          <w:lang w:val="sq-AL"/>
        </w:rPr>
        <w:t xml:space="preserve"> në raport me planin fillestar të vitit 2018 paraqesin një realizim prej 97.4 përqind (97.3 përqind të planit vjetor sipas AN nr.2), duke rezultuar në rreth 397.3 miliardë LEK. </w:t>
      </w:r>
    </w:p>
    <w:p w14:paraId="222FB151" w14:textId="77777777" w:rsidR="00735CC6" w:rsidRPr="002E06C4" w:rsidRDefault="00735CC6" w:rsidP="00735CC6">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lang w:val="sq-AL"/>
        </w:rPr>
        <w:t xml:space="preserve">Zërat kryesorë që ndikuan në nivelin e realizimit të shpenzimeve korente janë përkatësisht: </w:t>
      </w:r>
    </w:p>
    <w:p w14:paraId="1AB22E78" w14:textId="77777777" w:rsidR="00735CC6" w:rsidRPr="002E06C4" w:rsidRDefault="00735CC6" w:rsidP="00735CC6">
      <w:pPr>
        <w:numPr>
          <w:ilvl w:val="0"/>
          <w:numId w:val="3"/>
        </w:numPr>
        <w:spacing w:line="276" w:lineRule="auto"/>
        <w:ind w:left="810" w:hanging="270"/>
        <w:jc w:val="both"/>
        <w:rPr>
          <w:rFonts w:asciiTheme="majorHAnsi" w:hAnsiTheme="majorHAnsi" w:cs="Times New Roman"/>
          <w:bCs/>
          <w:i/>
          <w:iCs/>
          <w:lang w:val="sq-AL"/>
        </w:rPr>
      </w:pPr>
      <w:r w:rsidRPr="002E06C4">
        <w:rPr>
          <w:rFonts w:asciiTheme="majorHAnsi" w:hAnsiTheme="majorHAnsi" w:cs="Times New Roman"/>
          <w:bCs/>
          <w:i/>
          <w:iCs/>
          <w:lang w:val="sq-AL"/>
        </w:rPr>
        <w:t xml:space="preserve">Shpenzimet për buxhetin vendor me 107.4 përqind të planit vjetor fillestar (100 përqind të planit vjetor sipas AN nr.2), </w:t>
      </w:r>
    </w:p>
    <w:p w14:paraId="40AD745B" w14:textId="77777777" w:rsidR="00735CC6" w:rsidRPr="002E06C4" w:rsidRDefault="00735CC6" w:rsidP="00735CC6">
      <w:pPr>
        <w:numPr>
          <w:ilvl w:val="0"/>
          <w:numId w:val="3"/>
        </w:numPr>
        <w:spacing w:line="276" w:lineRule="auto"/>
        <w:ind w:left="810" w:hanging="270"/>
        <w:jc w:val="both"/>
        <w:rPr>
          <w:rFonts w:asciiTheme="majorHAnsi" w:hAnsiTheme="majorHAnsi" w:cs="Times New Roman"/>
          <w:bCs/>
          <w:i/>
          <w:iCs/>
          <w:lang w:val="sq-AL"/>
        </w:rPr>
      </w:pPr>
      <w:r w:rsidRPr="002E06C4">
        <w:rPr>
          <w:rFonts w:asciiTheme="majorHAnsi" w:hAnsiTheme="majorHAnsi" w:cs="Times New Roman"/>
          <w:bCs/>
          <w:i/>
          <w:iCs/>
          <w:lang w:val="sq-AL"/>
        </w:rPr>
        <w:t>Shpenzimet operative mirëmbajtje me 100 përqind të planit vjetor fillestar (98.5 përqind të planit vjetor sipas AN nr.2),</w:t>
      </w:r>
    </w:p>
    <w:p w14:paraId="59559AD4" w14:textId="77777777" w:rsidR="00735CC6" w:rsidRPr="002E06C4" w:rsidRDefault="00735CC6" w:rsidP="00735CC6">
      <w:pPr>
        <w:numPr>
          <w:ilvl w:val="0"/>
          <w:numId w:val="3"/>
        </w:numPr>
        <w:spacing w:line="276" w:lineRule="auto"/>
        <w:ind w:left="810" w:hanging="270"/>
        <w:jc w:val="both"/>
        <w:rPr>
          <w:rFonts w:asciiTheme="majorHAnsi" w:hAnsiTheme="majorHAnsi" w:cs="Times New Roman"/>
          <w:bCs/>
          <w:i/>
          <w:iCs/>
          <w:lang w:val="sq-AL"/>
        </w:rPr>
      </w:pPr>
      <w:r w:rsidRPr="002E06C4">
        <w:rPr>
          <w:rFonts w:asciiTheme="majorHAnsi" w:hAnsiTheme="majorHAnsi" w:cs="Times New Roman"/>
          <w:bCs/>
          <w:i/>
          <w:iCs/>
          <w:lang w:val="sq-AL"/>
        </w:rPr>
        <w:t>Shpenzimet për fondet speciale me 98.7 përqind të planit vjetor fillestar (98 përqind të planit vjetor sipas AN nr.2).</w:t>
      </w:r>
    </w:p>
    <w:p w14:paraId="442193B4" w14:textId="77777777" w:rsidR="00AC045F" w:rsidRPr="002E06C4" w:rsidRDefault="00AC045F" w:rsidP="00AC045F">
      <w:pPr>
        <w:jc w:val="both"/>
        <w:rPr>
          <w:rFonts w:asciiTheme="majorHAnsi" w:eastAsia="SimSun" w:hAnsiTheme="majorHAnsi" w:cs="Times New Roman"/>
          <w:i/>
          <w:sz w:val="22"/>
          <w:lang w:val="sq-AL"/>
        </w:rPr>
      </w:pPr>
    </w:p>
    <w:p w14:paraId="572C2E51" w14:textId="77777777" w:rsidR="00437CC4" w:rsidRPr="002E06C4" w:rsidRDefault="00437CC4" w:rsidP="002B34A1">
      <w:pPr>
        <w:pStyle w:val="Caption"/>
        <w:keepNext/>
        <w:spacing w:after="0"/>
        <w:rPr>
          <w:rFonts w:asciiTheme="majorHAnsi" w:hAnsiTheme="majorHAnsi"/>
          <w:lang w:val="sq-AL"/>
        </w:rPr>
      </w:pPr>
      <w:bookmarkStart w:id="120" w:name="_Toc11141704"/>
      <w:r w:rsidRPr="002E06C4">
        <w:rPr>
          <w:rFonts w:asciiTheme="majorHAnsi" w:hAnsiTheme="majorHAnsi"/>
          <w:lang w:val="sq-AL"/>
        </w:rPr>
        <w:lastRenderedPageBreak/>
        <w:t xml:space="preserve">Grafiku </w:t>
      </w:r>
      <w:r w:rsidR="00377806" w:rsidRPr="002E06C4">
        <w:rPr>
          <w:rFonts w:asciiTheme="majorHAnsi" w:hAnsiTheme="majorHAnsi"/>
          <w:noProof/>
          <w:lang w:val="sq-AL"/>
        </w:rPr>
        <w:fldChar w:fldCharType="begin"/>
      </w:r>
      <w:r w:rsidR="00377806" w:rsidRPr="002E06C4">
        <w:rPr>
          <w:rFonts w:asciiTheme="majorHAnsi" w:hAnsiTheme="majorHAnsi"/>
          <w:noProof/>
          <w:lang w:val="sq-AL"/>
        </w:rPr>
        <w:instrText xml:space="preserve"> SEQ Grafiku \* ARABIC </w:instrText>
      </w:r>
      <w:r w:rsidR="00377806" w:rsidRPr="002E06C4">
        <w:rPr>
          <w:rFonts w:asciiTheme="majorHAnsi" w:hAnsiTheme="majorHAnsi"/>
          <w:noProof/>
          <w:lang w:val="sq-AL"/>
        </w:rPr>
        <w:fldChar w:fldCharType="separate"/>
      </w:r>
      <w:r w:rsidR="006A57F3">
        <w:rPr>
          <w:rFonts w:asciiTheme="majorHAnsi" w:hAnsiTheme="majorHAnsi"/>
          <w:noProof/>
          <w:lang w:val="sq-AL"/>
        </w:rPr>
        <w:t>28</w:t>
      </w:r>
      <w:r w:rsidR="00377806" w:rsidRPr="002E06C4">
        <w:rPr>
          <w:rFonts w:asciiTheme="majorHAnsi" w:hAnsiTheme="majorHAnsi"/>
          <w:noProof/>
          <w:lang w:val="sq-AL"/>
        </w:rPr>
        <w:fldChar w:fldCharType="end"/>
      </w:r>
      <w:r w:rsidRPr="002E06C4">
        <w:rPr>
          <w:rFonts w:asciiTheme="majorHAnsi" w:hAnsiTheme="majorHAnsi"/>
          <w:lang w:val="sq-AL"/>
        </w:rPr>
        <w:t xml:space="preserve"> Struktura e shpenzimeve korrente (milionë lekë)</w:t>
      </w:r>
      <w:bookmarkEnd w:id="120"/>
    </w:p>
    <w:p w14:paraId="54F9AFAB" w14:textId="77777777" w:rsidR="00AC045F" w:rsidRPr="002E06C4" w:rsidRDefault="008A2AE6" w:rsidP="00AC045F">
      <w:pPr>
        <w:jc w:val="center"/>
        <w:rPr>
          <w:rFonts w:asciiTheme="majorHAnsi" w:eastAsia="SimSun" w:hAnsiTheme="majorHAnsi" w:cs="Times New Roman"/>
          <w:lang w:val="sq-AL"/>
        </w:rPr>
      </w:pPr>
      <w:r w:rsidRPr="002E06C4">
        <w:rPr>
          <w:noProof/>
        </w:rPr>
        <w:drawing>
          <wp:inline distT="0" distB="0" distL="0" distR="0" wp14:anchorId="7FBD76AA" wp14:editId="227E5F28">
            <wp:extent cx="5699760" cy="2948940"/>
            <wp:effectExtent l="0" t="0" r="1524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9D50F96" w14:textId="77777777" w:rsidR="00AC045F" w:rsidRPr="002E06C4" w:rsidRDefault="00AC045F" w:rsidP="00AC045F">
      <w:pPr>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 xml:space="preserve">              Burimi: Ministria e Financave dhe Ekonomisë (2018)</w:t>
      </w:r>
    </w:p>
    <w:p w14:paraId="4DC3A683" w14:textId="77777777" w:rsidR="00AC045F" w:rsidRPr="002E06C4" w:rsidRDefault="00AC045F" w:rsidP="00AC045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i/>
          <w:lang w:val="sq-AL"/>
        </w:rPr>
        <w:t>Shpenzimet e Personelit</w:t>
      </w:r>
      <w:r w:rsidRPr="002E06C4">
        <w:rPr>
          <w:rFonts w:asciiTheme="majorHAnsi" w:eastAsia="SimSun" w:hAnsiTheme="majorHAnsi" w:cs="Times New Roman"/>
          <w:lang w:val="sq-AL"/>
        </w:rPr>
        <w:t xml:space="preserve"> gjatë vitit 2018, përfaqësuan 18.5 përqind të totalit të shpenzimeve korente. Niveli i shpenzimeve faktike të personelit prej rreth 73.6 miliardë LEK, realizon nivelin e parashikuar për këtë zë në planin vjetor fillestar në masën 93.3 përqind </w:t>
      </w:r>
      <w:r w:rsidR="00E84DCD">
        <w:rPr>
          <w:rFonts w:asciiTheme="majorHAnsi" w:eastAsia="SimSun" w:hAnsiTheme="majorHAnsi" w:cs="Times New Roman"/>
          <w:lang w:val="sq-AL"/>
        </w:rPr>
        <w:t>(</w:t>
      </w:r>
      <w:r w:rsidRPr="002E06C4">
        <w:rPr>
          <w:rFonts w:asciiTheme="majorHAnsi" w:eastAsia="SimSun" w:hAnsiTheme="majorHAnsi" w:cs="Times New Roman"/>
          <w:lang w:val="sq-AL"/>
        </w:rPr>
        <w:t>96.9 përqind të pl</w:t>
      </w:r>
      <w:r w:rsidR="00E84DCD">
        <w:rPr>
          <w:rFonts w:asciiTheme="majorHAnsi" w:eastAsia="SimSun" w:hAnsiTheme="majorHAnsi" w:cs="Times New Roman"/>
          <w:lang w:val="sq-AL"/>
        </w:rPr>
        <w:t>anit vjetor sipas AN nr.</w:t>
      </w:r>
      <w:r w:rsidRPr="002E06C4">
        <w:rPr>
          <w:rFonts w:asciiTheme="majorHAnsi" w:eastAsia="SimSun" w:hAnsiTheme="majorHAnsi" w:cs="Times New Roman"/>
          <w:lang w:val="sq-AL"/>
        </w:rPr>
        <w:t>2</w:t>
      </w:r>
      <w:r w:rsidR="00E84DCD">
        <w:rPr>
          <w:rFonts w:asciiTheme="majorHAnsi" w:eastAsia="SimSun" w:hAnsiTheme="majorHAnsi" w:cs="Times New Roman"/>
          <w:lang w:val="sq-AL"/>
        </w:rPr>
        <w:t>)</w:t>
      </w:r>
      <w:r w:rsidRPr="002E06C4">
        <w:rPr>
          <w:rFonts w:asciiTheme="majorHAnsi" w:eastAsia="SimSun" w:hAnsiTheme="majorHAnsi" w:cs="Times New Roman"/>
          <w:lang w:val="sq-AL"/>
        </w:rPr>
        <w:t>. Krahasuar me të njëjtën periudhë të vitit 2017, ky zë është 1.3 përqind më i lartë ose 940 milion LEK më shumë.</w:t>
      </w:r>
    </w:p>
    <w:p w14:paraId="65D7D232" w14:textId="77777777" w:rsidR="000C7A4E" w:rsidRPr="002E06C4" w:rsidRDefault="000C7A4E" w:rsidP="000C7A4E">
      <w:pPr>
        <w:pStyle w:val="Caption"/>
        <w:keepNext/>
        <w:spacing w:after="0"/>
        <w:rPr>
          <w:rFonts w:asciiTheme="majorHAnsi" w:hAnsiTheme="majorHAnsi"/>
          <w:lang w:val="sq-AL"/>
        </w:rPr>
      </w:pPr>
    </w:p>
    <w:p w14:paraId="23A7A381" w14:textId="77777777" w:rsidR="00437CC4" w:rsidRPr="002E06C4" w:rsidRDefault="00437CC4" w:rsidP="002B34A1">
      <w:pPr>
        <w:pStyle w:val="Caption"/>
        <w:keepNext/>
        <w:spacing w:after="0"/>
        <w:rPr>
          <w:rFonts w:asciiTheme="majorHAnsi" w:hAnsiTheme="majorHAnsi"/>
          <w:lang w:val="sq-AL"/>
        </w:rPr>
      </w:pPr>
      <w:bookmarkStart w:id="121" w:name="_Toc11141705"/>
      <w:r w:rsidRPr="002E06C4">
        <w:rPr>
          <w:rFonts w:asciiTheme="majorHAnsi" w:hAnsiTheme="majorHAnsi"/>
          <w:lang w:val="sq-AL"/>
        </w:rPr>
        <w:t xml:space="preserve">Grafiku </w:t>
      </w:r>
      <w:r w:rsidR="00377806" w:rsidRPr="002E06C4">
        <w:rPr>
          <w:rFonts w:asciiTheme="majorHAnsi" w:hAnsiTheme="majorHAnsi"/>
          <w:noProof/>
          <w:lang w:val="sq-AL"/>
        </w:rPr>
        <w:fldChar w:fldCharType="begin"/>
      </w:r>
      <w:r w:rsidR="00377806" w:rsidRPr="002E06C4">
        <w:rPr>
          <w:rFonts w:asciiTheme="majorHAnsi" w:hAnsiTheme="majorHAnsi"/>
          <w:noProof/>
          <w:lang w:val="sq-AL"/>
        </w:rPr>
        <w:instrText xml:space="preserve"> SEQ Grafiku \* ARABIC </w:instrText>
      </w:r>
      <w:r w:rsidR="00377806" w:rsidRPr="002E06C4">
        <w:rPr>
          <w:rFonts w:asciiTheme="majorHAnsi" w:hAnsiTheme="majorHAnsi"/>
          <w:noProof/>
          <w:lang w:val="sq-AL"/>
        </w:rPr>
        <w:fldChar w:fldCharType="separate"/>
      </w:r>
      <w:r w:rsidR="006A57F3">
        <w:rPr>
          <w:rFonts w:asciiTheme="majorHAnsi" w:hAnsiTheme="majorHAnsi"/>
          <w:noProof/>
          <w:lang w:val="sq-AL"/>
        </w:rPr>
        <w:t>29</w:t>
      </w:r>
      <w:r w:rsidR="00377806" w:rsidRPr="002E06C4">
        <w:rPr>
          <w:rFonts w:asciiTheme="majorHAnsi" w:hAnsiTheme="majorHAnsi"/>
          <w:noProof/>
          <w:lang w:val="sq-AL"/>
        </w:rPr>
        <w:fldChar w:fldCharType="end"/>
      </w:r>
      <w:r w:rsidRPr="002E06C4">
        <w:rPr>
          <w:rFonts w:asciiTheme="majorHAnsi" w:hAnsiTheme="majorHAnsi"/>
          <w:lang w:val="sq-AL"/>
        </w:rPr>
        <w:t xml:space="preserve"> Shpenzimet e personelit në vi</w:t>
      </w:r>
      <w:r w:rsidR="001F4829" w:rsidRPr="002E06C4">
        <w:rPr>
          <w:rFonts w:asciiTheme="majorHAnsi" w:hAnsiTheme="majorHAnsi"/>
          <w:lang w:val="sq-AL"/>
        </w:rPr>
        <w:t>te dhe ritmi i rritjes (miliard</w:t>
      </w:r>
      <w:r w:rsidRPr="002E06C4">
        <w:rPr>
          <w:rFonts w:asciiTheme="majorHAnsi" w:hAnsiTheme="majorHAnsi"/>
          <w:lang w:val="sq-AL"/>
        </w:rPr>
        <w:t xml:space="preserve"> lekë)</w:t>
      </w:r>
      <w:bookmarkEnd w:id="121"/>
      <w:r w:rsidRPr="002E06C4">
        <w:rPr>
          <w:rFonts w:asciiTheme="majorHAnsi" w:hAnsiTheme="majorHAnsi"/>
          <w:lang w:val="sq-AL"/>
        </w:rPr>
        <w:t xml:space="preserve"> </w:t>
      </w:r>
    </w:p>
    <w:p w14:paraId="71384F72" w14:textId="77777777" w:rsidR="00AC045F" w:rsidRPr="002E06C4" w:rsidRDefault="003B5B12" w:rsidP="000C7A4E">
      <w:pPr>
        <w:spacing w:line="276" w:lineRule="auto"/>
        <w:jc w:val="center"/>
        <w:rPr>
          <w:rFonts w:asciiTheme="majorHAnsi" w:eastAsia="SimSun" w:hAnsiTheme="majorHAnsi" w:cs="Times New Roman"/>
          <w:i/>
          <w:lang w:val="sq-AL"/>
        </w:rPr>
      </w:pPr>
      <w:r w:rsidRPr="002E06C4">
        <w:rPr>
          <w:rFonts w:asciiTheme="majorHAnsi" w:hAnsiTheme="majorHAnsi"/>
          <w:noProof/>
        </w:rPr>
        <w:drawing>
          <wp:inline distT="0" distB="0" distL="0" distR="0" wp14:anchorId="65153DB2" wp14:editId="7AECD065">
            <wp:extent cx="5207000" cy="2186940"/>
            <wp:effectExtent l="0" t="0" r="12700" b="3810"/>
            <wp:docPr id="30" name="Chart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4CC27A" w14:textId="77777777" w:rsidR="00AC045F" w:rsidRPr="002E06C4" w:rsidRDefault="00AC045F" w:rsidP="00AC045F">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53CD71C0" w14:textId="77777777" w:rsidR="00AC045F" w:rsidRPr="002E06C4" w:rsidRDefault="00AC045F" w:rsidP="00AC045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i/>
          <w:lang w:val="sq-AL"/>
        </w:rPr>
        <w:t>Shpenzimet për Interesa,</w:t>
      </w:r>
      <w:r w:rsidRPr="002E06C4">
        <w:rPr>
          <w:rFonts w:asciiTheme="majorHAnsi" w:eastAsia="SimSun" w:hAnsiTheme="majorHAnsi" w:cs="Times New Roman"/>
          <w:lang w:val="sq-AL"/>
        </w:rPr>
        <w:t xml:space="preserve"> gjatë vitit 2018 kanë përfaqësuar 9.2 përqind të shpenzimeve korente. Niveli faktik i tyre ka rezultuar në masën 88 përqind të planit vjetor fillestar </w:t>
      </w:r>
      <w:r w:rsidR="00E84DCD">
        <w:rPr>
          <w:rFonts w:asciiTheme="majorHAnsi" w:eastAsia="SimSun" w:hAnsiTheme="majorHAnsi" w:cs="Times New Roman"/>
          <w:lang w:val="sq-AL"/>
        </w:rPr>
        <w:t>(</w:t>
      </w:r>
      <w:r w:rsidRPr="002E06C4">
        <w:rPr>
          <w:rFonts w:asciiTheme="majorHAnsi" w:eastAsia="SimSun" w:hAnsiTheme="majorHAnsi" w:cs="Times New Roman"/>
          <w:lang w:val="sq-AL"/>
        </w:rPr>
        <w:t xml:space="preserve">89.1 përqind </w:t>
      </w:r>
      <w:r w:rsidR="00E84DCD">
        <w:rPr>
          <w:rFonts w:asciiTheme="majorHAnsi" w:eastAsia="SimSun" w:hAnsiTheme="majorHAnsi" w:cs="Times New Roman"/>
          <w:lang w:val="sq-AL"/>
        </w:rPr>
        <w:t>sipas AN nr.</w:t>
      </w:r>
      <w:r w:rsidRPr="002E06C4">
        <w:rPr>
          <w:rFonts w:asciiTheme="majorHAnsi" w:eastAsia="SimSun" w:hAnsiTheme="majorHAnsi" w:cs="Times New Roman"/>
          <w:lang w:val="sq-AL"/>
        </w:rPr>
        <w:t>2</w:t>
      </w:r>
      <w:r w:rsidR="00E84DCD">
        <w:rPr>
          <w:rFonts w:asciiTheme="majorHAnsi" w:eastAsia="SimSun" w:hAnsiTheme="majorHAnsi" w:cs="Times New Roman"/>
          <w:lang w:val="sq-AL"/>
        </w:rPr>
        <w:t>)</w:t>
      </w:r>
      <w:r w:rsidRPr="002E06C4">
        <w:rPr>
          <w:rFonts w:asciiTheme="majorHAnsi" w:eastAsia="SimSun" w:hAnsiTheme="majorHAnsi" w:cs="Times New Roman"/>
          <w:lang w:val="sq-AL"/>
        </w:rPr>
        <w:t xml:space="preserve">. </w:t>
      </w:r>
      <w:r w:rsidR="00326412" w:rsidRPr="002E06C4">
        <w:rPr>
          <w:rFonts w:asciiTheme="majorHAnsi" w:eastAsia="SimSun" w:hAnsiTheme="majorHAnsi" w:cs="Times New Roman"/>
          <w:lang w:val="sq-AL"/>
        </w:rPr>
        <w:t>Shpenzimet p</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r interesa kan</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 qen</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 m</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 t</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 ul</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ta se plani fillestar fal</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 politik</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s s</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 borxhit si edhe fitimeve p</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r shkak t</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 ndryshimit n</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 kursin e k</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mbimit t</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 monedh</w:t>
      </w:r>
      <w:r w:rsidR="00824B19" w:rsidRPr="002E06C4">
        <w:rPr>
          <w:rFonts w:asciiTheme="majorHAnsi" w:eastAsia="SimSun" w:hAnsiTheme="majorHAnsi" w:cs="Times New Roman"/>
          <w:lang w:val="sq-AL"/>
        </w:rPr>
        <w:t>ë</w:t>
      </w:r>
      <w:r w:rsidR="00326412" w:rsidRPr="002E06C4">
        <w:rPr>
          <w:rFonts w:asciiTheme="majorHAnsi" w:eastAsia="SimSun" w:hAnsiTheme="majorHAnsi" w:cs="Times New Roman"/>
          <w:lang w:val="sq-AL"/>
        </w:rPr>
        <w:t xml:space="preserve">s vendase. </w:t>
      </w:r>
      <w:r w:rsidRPr="002E06C4">
        <w:rPr>
          <w:rFonts w:asciiTheme="majorHAnsi" w:eastAsia="SimSun" w:hAnsiTheme="majorHAnsi" w:cs="Times New Roman"/>
          <w:lang w:val="sq-AL"/>
        </w:rPr>
        <w:t>Krahasuar me të njëjtën periudhë të vitit 2017, ky zë ka rezultuar 14.4 përqind më i lartë ose rreth 4.6 miliardë LEK më shumë.</w:t>
      </w:r>
    </w:p>
    <w:p w14:paraId="0B91ABC5" w14:textId="77777777" w:rsidR="00437CC4" w:rsidRPr="002E06C4" w:rsidRDefault="00437CC4" w:rsidP="002B34A1">
      <w:pPr>
        <w:pStyle w:val="Caption"/>
        <w:keepNext/>
        <w:spacing w:after="0"/>
        <w:rPr>
          <w:rFonts w:asciiTheme="majorHAnsi" w:hAnsiTheme="majorHAnsi"/>
          <w:lang w:val="sq-AL"/>
        </w:rPr>
      </w:pPr>
      <w:bookmarkStart w:id="122" w:name="_Toc11141706"/>
      <w:r w:rsidRPr="002E06C4">
        <w:rPr>
          <w:rFonts w:asciiTheme="majorHAnsi" w:hAnsiTheme="majorHAnsi"/>
          <w:lang w:val="sq-AL"/>
        </w:rPr>
        <w:lastRenderedPageBreak/>
        <w:t xml:space="preserve">Grafiku </w:t>
      </w:r>
      <w:r w:rsidR="00377806" w:rsidRPr="002E06C4">
        <w:rPr>
          <w:rFonts w:asciiTheme="majorHAnsi" w:hAnsiTheme="majorHAnsi"/>
          <w:noProof/>
          <w:lang w:val="sq-AL"/>
        </w:rPr>
        <w:fldChar w:fldCharType="begin"/>
      </w:r>
      <w:r w:rsidR="00377806" w:rsidRPr="002E06C4">
        <w:rPr>
          <w:rFonts w:asciiTheme="majorHAnsi" w:hAnsiTheme="majorHAnsi"/>
          <w:noProof/>
          <w:lang w:val="sq-AL"/>
        </w:rPr>
        <w:instrText xml:space="preserve"> SEQ Grafiku \* ARABIC </w:instrText>
      </w:r>
      <w:r w:rsidR="00377806" w:rsidRPr="002E06C4">
        <w:rPr>
          <w:rFonts w:asciiTheme="majorHAnsi" w:hAnsiTheme="majorHAnsi"/>
          <w:noProof/>
          <w:lang w:val="sq-AL"/>
        </w:rPr>
        <w:fldChar w:fldCharType="separate"/>
      </w:r>
      <w:r w:rsidR="006A57F3">
        <w:rPr>
          <w:rFonts w:asciiTheme="majorHAnsi" w:hAnsiTheme="majorHAnsi"/>
          <w:noProof/>
          <w:lang w:val="sq-AL"/>
        </w:rPr>
        <w:t>30</w:t>
      </w:r>
      <w:r w:rsidR="00377806" w:rsidRPr="002E06C4">
        <w:rPr>
          <w:rFonts w:asciiTheme="majorHAnsi" w:hAnsiTheme="majorHAnsi"/>
          <w:noProof/>
          <w:lang w:val="sq-AL"/>
        </w:rPr>
        <w:fldChar w:fldCharType="end"/>
      </w:r>
      <w:r w:rsidRPr="002E06C4">
        <w:rPr>
          <w:rFonts w:asciiTheme="majorHAnsi" w:hAnsiTheme="majorHAnsi"/>
          <w:lang w:val="sq-AL"/>
        </w:rPr>
        <w:t xml:space="preserve"> Shpenzimet për interesa në vite dhe ritmi i rritjes (miliardë lekë)</w:t>
      </w:r>
      <w:bookmarkEnd w:id="122"/>
    </w:p>
    <w:p w14:paraId="6E774FF3" w14:textId="77777777" w:rsidR="00AC045F" w:rsidRPr="002E06C4" w:rsidRDefault="00B33EAF" w:rsidP="000C7A4E">
      <w:pPr>
        <w:spacing w:line="276" w:lineRule="auto"/>
        <w:jc w:val="center"/>
        <w:rPr>
          <w:rFonts w:asciiTheme="majorHAnsi" w:eastAsia="SimSun" w:hAnsiTheme="majorHAnsi" w:cs="Times New Roman"/>
          <w:lang w:val="sq-AL"/>
        </w:rPr>
      </w:pPr>
      <w:r w:rsidRPr="002E06C4">
        <w:rPr>
          <w:rFonts w:asciiTheme="majorHAnsi" w:hAnsiTheme="majorHAnsi"/>
          <w:noProof/>
        </w:rPr>
        <w:drawing>
          <wp:inline distT="0" distB="0" distL="0" distR="0" wp14:anchorId="6A03A0C2" wp14:editId="283B2C3D">
            <wp:extent cx="5486400" cy="1775460"/>
            <wp:effectExtent l="0" t="0" r="0" b="15240"/>
            <wp:docPr id="43" name="Chart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242FDA2" w14:textId="77777777" w:rsidR="00AC045F" w:rsidRPr="002E06C4" w:rsidRDefault="00AC045F" w:rsidP="00AC045F">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0F092079" w14:textId="77777777" w:rsidR="00AC045F" w:rsidRPr="002E06C4" w:rsidRDefault="00AC045F" w:rsidP="00AC045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i/>
          <w:lang w:val="sq-AL"/>
        </w:rPr>
        <w:t xml:space="preserve">Shpenzimet Operative &amp; Mirëmbajtje, </w:t>
      </w:r>
      <w:r w:rsidRPr="002E06C4">
        <w:rPr>
          <w:rFonts w:asciiTheme="majorHAnsi" w:eastAsia="SimSun" w:hAnsiTheme="majorHAnsi" w:cs="Times New Roman"/>
          <w:lang w:val="sq-AL"/>
        </w:rPr>
        <w:t xml:space="preserve">gjatë vitit që lamë pas, kanë shënuar një realizim në masën rreth 45.5 miliardë LEK, ose 100 përqind të planit vjetor fillestar </w:t>
      </w:r>
      <w:r w:rsidR="00E84DCD">
        <w:rPr>
          <w:rFonts w:asciiTheme="majorHAnsi" w:eastAsia="SimSun" w:hAnsiTheme="majorHAnsi" w:cs="Times New Roman"/>
          <w:lang w:val="sq-AL"/>
        </w:rPr>
        <w:t>(</w:t>
      </w:r>
      <w:r w:rsidRPr="002E06C4">
        <w:rPr>
          <w:rFonts w:asciiTheme="majorHAnsi" w:eastAsia="SimSun" w:hAnsiTheme="majorHAnsi" w:cs="Times New Roman"/>
          <w:lang w:val="sq-AL"/>
        </w:rPr>
        <w:t>98.5 përqind të planit vjetor sipas AN nr.2</w:t>
      </w:r>
      <w:r w:rsidR="00E84DCD">
        <w:rPr>
          <w:rFonts w:asciiTheme="majorHAnsi" w:eastAsia="SimSun" w:hAnsiTheme="majorHAnsi" w:cs="Times New Roman"/>
          <w:lang w:val="sq-AL"/>
        </w:rPr>
        <w:t>)</w:t>
      </w:r>
      <w:r w:rsidRPr="002E06C4">
        <w:rPr>
          <w:rFonts w:asciiTheme="majorHAnsi" w:eastAsia="SimSun" w:hAnsiTheme="majorHAnsi" w:cs="Times New Roman"/>
          <w:lang w:val="sq-AL"/>
        </w:rPr>
        <w:t xml:space="preserve">. Krahasuar me të njëjtën periudhë të vitit 2017, ky zë ka rezultuar 4.7 përqind më i lartë, ose rreth 2.06 miliard LEK më shumë.      </w:t>
      </w:r>
    </w:p>
    <w:p w14:paraId="6C2F75BB" w14:textId="77777777" w:rsidR="00AC045F" w:rsidRPr="002E06C4" w:rsidRDefault="00AC045F" w:rsidP="00AC045F">
      <w:pPr>
        <w:spacing w:line="276" w:lineRule="auto"/>
        <w:rPr>
          <w:rFonts w:asciiTheme="majorHAnsi" w:eastAsia="SimSun" w:hAnsiTheme="majorHAnsi" w:cs="Times New Roman"/>
          <w:i/>
          <w:sz w:val="8"/>
          <w:szCs w:val="8"/>
          <w:lang w:val="sq-AL"/>
        </w:rPr>
      </w:pPr>
    </w:p>
    <w:p w14:paraId="73C4747A" w14:textId="77777777" w:rsidR="00D978DA" w:rsidRPr="002E06C4" w:rsidRDefault="00D978DA" w:rsidP="002B34A1">
      <w:pPr>
        <w:pStyle w:val="Caption"/>
        <w:keepNext/>
        <w:spacing w:after="0"/>
        <w:rPr>
          <w:rFonts w:asciiTheme="majorHAnsi" w:hAnsiTheme="majorHAnsi"/>
          <w:lang w:val="sq-AL"/>
        </w:rPr>
      </w:pPr>
      <w:bookmarkStart w:id="123" w:name="_Toc11141707"/>
      <w:r w:rsidRPr="002E06C4">
        <w:rPr>
          <w:rFonts w:asciiTheme="majorHAnsi" w:hAnsiTheme="majorHAnsi"/>
          <w:lang w:val="sq-AL"/>
        </w:rPr>
        <w:t xml:space="preserve">Grafiku </w:t>
      </w:r>
      <w:r w:rsidR="00377806" w:rsidRPr="002E06C4">
        <w:rPr>
          <w:rFonts w:asciiTheme="majorHAnsi" w:hAnsiTheme="majorHAnsi"/>
          <w:noProof/>
          <w:lang w:val="sq-AL"/>
        </w:rPr>
        <w:fldChar w:fldCharType="begin"/>
      </w:r>
      <w:r w:rsidR="00377806" w:rsidRPr="002E06C4">
        <w:rPr>
          <w:rFonts w:asciiTheme="majorHAnsi" w:hAnsiTheme="majorHAnsi"/>
          <w:noProof/>
          <w:lang w:val="sq-AL"/>
        </w:rPr>
        <w:instrText xml:space="preserve"> SEQ Grafiku \* ARABIC </w:instrText>
      </w:r>
      <w:r w:rsidR="00377806" w:rsidRPr="002E06C4">
        <w:rPr>
          <w:rFonts w:asciiTheme="majorHAnsi" w:hAnsiTheme="majorHAnsi"/>
          <w:noProof/>
          <w:lang w:val="sq-AL"/>
        </w:rPr>
        <w:fldChar w:fldCharType="separate"/>
      </w:r>
      <w:r w:rsidR="006A57F3">
        <w:rPr>
          <w:rFonts w:asciiTheme="majorHAnsi" w:hAnsiTheme="majorHAnsi"/>
          <w:noProof/>
          <w:lang w:val="sq-AL"/>
        </w:rPr>
        <w:t>31</w:t>
      </w:r>
      <w:r w:rsidR="00377806" w:rsidRPr="002E06C4">
        <w:rPr>
          <w:rFonts w:asciiTheme="majorHAnsi" w:hAnsiTheme="majorHAnsi"/>
          <w:noProof/>
          <w:lang w:val="sq-AL"/>
        </w:rPr>
        <w:fldChar w:fldCharType="end"/>
      </w:r>
      <w:r w:rsidRPr="002E06C4">
        <w:rPr>
          <w:rFonts w:asciiTheme="majorHAnsi" w:hAnsiTheme="majorHAnsi"/>
          <w:lang w:val="sq-AL"/>
        </w:rPr>
        <w:t xml:space="preserve"> Shpenzimet operative </w:t>
      </w:r>
      <w:r w:rsidR="00B33EAF" w:rsidRPr="002E06C4">
        <w:rPr>
          <w:rFonts w:asciiTheme="majorHAnsi" w:hAnsiTheme="majorHAnsi"/>
          <w:lang w:val="sq-AL"/>
        </w:rPr>
        <w:t>e t</w:t>
      </w:r>
      <w:r w:rsidR="00824B19" w:rsidRPr="002E06C4">
        <w:rPr>
          <w:rFonts w:asciiTheme="majorHAnsi" w:hAnsiTheme="majorHAnsi"/>
          <w:lang w:val="sq-AL"/>
        </w:rPr>
        <w:t>ë</w:t>
      </w:r>
      <w:r w:rsidR="00B33EAF" w:rsidRPr="002E06C4">
        <w:rPr>
          <w:rFonts w:asciiTheme="majorHAnsi" w:hAnsiTheme="majorHAnsi"/>
          <w:lang w:val="sq-AL"/>
        </w:rPr>
        <w:t xml:space="preserve"> mir</w:t>
      </w:r>
      <w:r w:rsidR="00824B19" w:rsidRPr="002E06C4">
        <w:rPr>
          <w:rFonts w:asciiTheme="majorHAnsi" w:hAnsiTheme="majorHAnsi"/>
          <w:lang w:val="sq-AL"/>
        </w:rPr>
        <w:t>ë</w:t>
      </w:r>
      <w:r w:rsidR="00B33EAF" w:rsidRPr="002E06C4">
        <w:rPr>
          <w:rFonts w:asciiTheme="majorHAnsi" w:hAnsiTheme="majorHAnsi"/>
          <w:lang w:val="sq-AL"/>
        </w:rPr>
        <w:t xml:space="preserve">mbajtjes </w:t>
      </w:r>
      <w:r w:rsidRPr="002E06C4">
        <w:rPr>
          <w:rFonts w:asciiTheme="majorHAnsi" w:hAnsiTheme="majorHAnsi"/>
          <w:lang w:val="sq-AL"/>
        </w:rPr>
        <w:t xml:space="preserve">dhe ritmi i rritjes </w:t>
      </w:r>
      <w:r w:rsidR="00B33EAF" w:rsidRPr="002E06C4">
        <w:rPr>
          <w:rFonts w:asciiTheme="majorHAnsi" w:hAnsiTheme="majorHAnsi"/>
          <w:lang w:val="sq-AL"/>
        </w:rPr>
        <w:t xml:space="preserve">vjetore </w:t>
      </w:r>
      <w:r w:rsidR="001F4829" w:rsidRPr="002E06C4">
        <w:rPr>
          <w:rFonts w:asciiTheme="majorHAnsi" w:hAnsiTheme="majorHAnsi"/>
          <w:lang w:val="sq-AL"/>
        </w:rPr>
        <w:t>(miliard</w:t>
      </w:r>
      <w:r w:rsidRPr="002E06C4">
        <w:rPr>
          <w:rFonts w:asciiTheme="majorHAnsi" w:hAnsiTheme="majorHAnsi"/>
          <w:lang w:val="sq-AL"/>
        </w:rPr>
        <w:t xml:space="preserve"> lekë)</w:t>
      </w:r>
      <w:bookmarkEnd w:id="123"/>
    </w:p>
    <w:p w14:paraId="52B55BBD" w14:textId="77777777" w:rsidR="00AC045F" w:rsidRPr="002E06C4" w:rsidRDefault="008A2AE6" w:rsidP="00AC045F">
      <w:pPr>
        <w:spacing w:line="276" w:lineRule="auto"/>
        <w:jc w:val="center"/>
        <w:rPr>
          <w:rFonts w:asciiTheme="majorHAnsi" w:eastAsia="SimSun" w:hAnsiTheme="majorHAnsi" w:cs="Times New Roman"/>
          <w:lang w:val="sq-AL"/>
        </w:rPr>
      </w:pPr>
      <w:r w:rsidRPr="002E06C4">
        <w:rPr>
          <w:noProof/>
        </w:rPr>
        <w:drawing>
          <wp:inline distT="0" distB="0" distL="0" distR="0" wp14:anchorId="011CDA02" wp14:editId="4AE43AE5">
            <wp:extent cx="5374640" cy="1935480"/>
            <wp:effectExtent l="0" t="0" r="16510"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8D3F66" w14:textId="77777777" w:rsidR="00AC045F" w:rsidRPr="002E06C4" w:rsidRDefault="00AC045F" w:rsidP="00AC045F">
      <w:pPr>
        <w:spacing w:line="276" w:lineRule="auto"/>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 xml:space="preserve">          </w:t>
      </w:r>
      <w:r w:rsidRPr="002E06C4">
        <w:rPr>
          <w:rFonts w:asciiTheme="majorHAnsi" w:eastAsia="SimSun" w:hAnsiTheme="majorHAnsi" w:cs="Times New Roman"/>
          <w:i/>
          <w:sz w:val="20"/>
          <w:lang w:val="sq-AL"/>
        </w:rPr>
        <w:tab/>
        <w:t>Burimi: Ministria e Financave dhe Ekonomisë (2019)</w:t>
      </w:r>
    </w:p>
    <w:p w14:paraId="4FC5E872" w14:textId="77777777" w:rsidR="00AC045F" w:rsidRPr="002E06C4" w:rsidRDefault="00AC045F" w:rsidP="00AC045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i/>
          <w:lang w:val="sq-AL"/>
        </w:rPr>
        <w:t>Shpenzimet për Subvencione,</w:t>
      </w:r>
      <w:r w:rsidRPr="002E06C4">
        <w:rPr>
          <w:rFonts w:asciiTheme="majorHAnsi" w:eastAsia="SimSun" w:hAnsiTheme="majorHAnsi" w:cs="Times New Roman"/>
          <w:lang w:val="sq-AL"/>
        </w:rPr>
        <w:t xml:space="preserve"> në fund të vitit 2018, arritën nivelin rreth 1.88 miliardë LEK, me një realizim në masën 90.1 përqind të planit vjetor fillestar </w:t>
      </w:r>
      <w:r w:rsidR="00E84DCD">
        <w:rPr>
          <w:rFonts w:asciiTheme="majorHAnsi" w:eastAsia="SimSun" w:hAnsiTheme="majorHAnsi" w:cs="Times New Roman"/>
          <w:lang w:val="sq-AL"/>
        </w:rPr>
        <w:t>(</w:t>
      </w:r>
      <w:r w:rsidRPr="002E06C4">
        <w:rPr>
          <w:rFonts w:asciiTheme="majorHAnsi" w:eastAsia="SimSun" w:hAnsiTheme="majorHAnsi" w:cs="Times New Roman"/>
          <w:lang w:val="sq-AL"/>
        </w:rPr>
        <w:t>100 përqind të planit vjetor sipas AN nr.2</w:t>
      </w:r>
      <w:r w:rsidR="00E84DCD">
        <w:rPr>
          <w:rFonts w:asciiTheme="majorHAnsi" w:eastAsia="SimSun" w:hAnsiTheme="majorHAnsi" w:cs="Times New Roman"/>
          <w:lang w:val="sq-AL"/>
        </w:rPr>
        <w:t>)</w:t>
      </w:r>
      <w:r w:rsidRPr="002E06C4">
        <w:rPr>
          <w:rFonts w:asciiTheme="majorHAnsi" w:eastAsia="SimSun" w:hAnsiTheme="majorHAnsi" w:cs="Times New Roman"/>
          <w:lang w:val="sq-AL"/>
        </w:rPr>
        <w:t>. Kundrejt të njëjtës periudhë të vitit 2017 shpenzimet për subvencione rezultojnë 18.5 përqind më të ulëta ose 428 milion LEK më pak.</w:t>
      </w:r>
      <w:r w:rsidR="00326412" w:rsidRPr="002E06C4">
        <w:rPr>
          <w:rFonts w:asciiTheme="majorHAnsi" w:eastAsia="SimSun" w:hAnsiTheme="majorHAnsi" w:cs="Times New Roman"/>
          <w:lang w:val="sq-AL"/>
        </w:rPr>
        <w:t xml:space="preserve"> </w:t>
      </w:r>
    </w:p>
    <w:p w14:paraId="767346AF" w14:textId="77777777" w:rsidR="00AC045F" w:rsidRPr="002E06C4" w:rsidRDefault="00AC045F" w:rsidP="00AC045F">
      <w:pPr>
        <w:spacing w:line="276" w:lineRule="auto"/>
        <w:rPr>
          <w:rFonts w:asciiTheme="majorHAnsi" w:eastAsia="SimSun" w:hAnsiTheme="majorHAnsi" w:cs="Times New Roman"/>
          <w:i/>
          <w:sz w:val="8"/>
          <w:szCs w:val="8"/>
          <w:lang w:val="sq-AL"/>
        </w:rPr>
      </w:pPr>
    </w:p>
    <w:p w14:paraId="3F6BAFA5" w14:textId="77777777" w:rsidR="00D978DA" w:rsidRPr="002E06C4" w:rsidRDefault="00D978DA" w:rsidP="002B34A1">
      <w:pPr>
        <w:pStyle w:val="Caption"/>
        <w:keepNext/>
        <w:spacing w:after="0"/>
        <w:rPr>
          <w:rFonts w:asciiTheme="majorHAnsi" w:hAnsiTheme="majorHAnsi"/>
          <w:lang w:val="sq-AL"/>
        </w:rPr>
      </w:pPr>
      <w:bookmarkStart w:id="124" w:name="_Toc11141708"/>
      <w:r w:rsidRPr="002E06C4">
        <w:rPr>
          <w:rFonts w:asciiTheme="majorHAnsi" w:hAnsiTheme="majorHAnsi"/>
          <w:lang w:val="sq-AL"/>
        </w:rPr>
        <w:t xml:space="preserve">Grafiku </w:t>
      </w:r>
      <w:r w:rsidR="00377806" w:rsidRPr="002E06C4">
        <w:rPr>
          <w:rFonts w:asciiTheme="majorHAnsi" w:hAnsiTheme="majorHAnsi"/>
          <w:noProof/>
          <w:lang w:val="sq-AL"/>
        </w:rPr>
        <w:fldChar w:fldCharType="begin"/>
      </w:r>
      <w:r w:rsidR="00377806" w:rsidRPr="002E06C4">
        <w:rPr>
          <w:rFonts w:asciiTheme="majorHAnsi" w:hAnsiTheme="majorHAnsi"/>
          <w:noProof/>
          <w:lang w:val="sq-AL"/>
        </w:rPr>
        <w:instrText xml:space="preserve"> SEQ Grafiku \* ARABIC </w:instrText>
      </w:r>
      <w:r w:rsidR="00377806" w:rsidRPr="002E06C4">
        <w:rPr>
          <w:rFonts w:asciiTheme="majorHAnsi" w:hAnsiTheme="majorHAnsi"/>
          <w:noProof/>
          <w:lang w:val="sq-AL"/>
        </w:rPr>
        <w:fldChar w:fldCharType="separate"/>
      </w:r>
      <w:r w:rsidR="006A57F3">
        <w:rPr>
          <w:rFonts w:asciiTheme="majorHAnsi" w:hAnsiTheme="majorHAnsi"/>
          <w:noProof/>
          <w:lang w:val="sq-AL"/>
        </w:rPr>
        <w:t>32</w:t>
      </w:r>
      <w:r w:rsidR="00377806" w:rsidRPr="002E06C4">
        <w:rPr>
          <w:rFonts w:asciiTheme="majorHAnsi" w:hAnsiTheme="majorHAnsi"/>
          <w:noProof/>
          <w:lang w:val="sq-AL"/>
        </w:rPr>
        <w:fldChar w:fldCharType="end"/>
      </w:r>
      <w:r w:rsidRPr="002E06C4">
        <w:rPr>
          <w:rFonts w:asciiTheme="majorHAnsi" w:hAnsiTheme="majorHAnsi"/>
          <w:lang w:val="sq-AL"/>
        </w:rPr>
        <w:t xml:space="preserve"> Shpenzimet per subvencione dhe ritmi i rritjes (miliard lekë)</w:t>
      </w:r>
      <w:bookmarkEnd w:id="124"/>
    </w:p>
    <w:p w14:paraId="213E2163" w14:textId="77777777" w:rsidR="00AC045F" w:rsidRPr="002E06C4" w:rsidRDefault="00326412" w:rsidP="000C7A4E">
      <w:pPr>
        <w:spacing w:line="276" w:lineRule="auto"/>
        <w:jc w:val="center"/>
        <w:rPr>
          <w:rFonts w:asciiTheme="majorHAnsi" w:eastAsia="SimSun" w:hAnsiTheme="majorHAnsi" w:cs="Times New Roman"/>
          <w:lang w:val="sq-AL"/>
        </w:rPr>
      </w:pPr>
      <w:r w:rsidRPr="002E06C4">
        <w:rPr>
          <w:rFonts w:asciiTheme="majorHAnsi" w:hAnsiTheme="majorHAnsi"/>
          <w:noProof/>
        </w:rPr>
        <w:drawing>
          <wp:inline distT="0" distB="0" distL="0" distR="0" wp14:anchorId="30B43790" wp14:editId="0CC4627D">
            <wp:extent cx="5486400" cy="1844040"/>
            <wp:effectExtent l="0" t="0" r="0" b="3810"/>
            <wp:docPr id="37" name="Chart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93A1A3" w14:textId="77777777" w:rsidR="00AC045F" w:rsidRPr="002E06C4" w:rsidRDefault="00AC045F" w:rsidP="00AC045F">
      <w:pPr>
        <w:spacing w:line="276" w:lineRule="auto"/>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 xml:space="preserve">           </w:t>
      </w:r>
      <w:r w:rsidRPr="002E06C4">
        <w:rPr>
          <w:rFonts w:asciiTheme="majorHAnsi" w:eastAsia="SimSun" w:hAnsiTheme="majorHAnsi" w:cs="Times New Roman"/>
          <w:i/>
          <w:sz w:val="20"/>
          <w:lang w:val="sq-AL"/>
        </w:rPr>
        <w:tab/>
        <w:t>Burimi: Ministria e Financave dhe Ekonomisë (2019)</w:t>
      </w:r>
    </w:p>
    <w:p w14:paraId="25ACDFC7" w14:textId="77777777" w:rsidR="00AC045F" w:rsidRPr="002E06C4" w:rsidRDefault="00AC045F" w:rsidP="00AC045F">
      <w:pPr>
        <w:spacing w:before="240" w:line="276" w:lineRule="auto"/>
        <w:jc w:val="both"/>
        <w:rPr>
          <w:rFonts w:asciiTheme="majorHAnsi" w:hAnsiTheme="majorHAnsi" w:cs="Times New Roman"/>
          <w:lang w:val="sq-AL"/>
        </w:rPr>
      </w:pPr>
      <w:r w:rsidRPr="002E06C4">
        <w:rPr>
          <w:rFonts w:asciiTheme="majorHAnsi" w:eastAsia="SimSun" w:hAnsiTheme="majorHAnsi" w:cs="Times New Roman"/>
          <w:i/>
          <w:lang w:val="sq-AL"/>
        </w:rPr>
        <w:lastRenderedPageBreak/>
        <w:t>Shpenzimet për Fondet Speciale</w:t>
      </w:r>
      <w:r w:rsidRPr="002E06C4">
        <w:rPr>
          <w:rFonts w:asciiTheme="majorHAnsi" w:eastAsia="SimSun" w:hAnsiTheme="majorHAnsi" w:cs="Times New Roman"/>
          <w:lang w:val="sq-AL"/>
        </w:rPr>
        <w:t xml:space="preserve"> </w:t>
      </w:r>
      <w:r w:rsidRPr="002E06C4">
        <w:rPr>
          <w:rFonts w:asciiTheme="majorHAnsi" w:hAnsiTheme="majorHAnsi" w:cs="Times New Roman"/>
          <w:lang w:val="sq-AL"/>
        </w:rPr>
        <w:t xml:space="preserve">për vitin 2018 rezultuan në nivelin 168.25 miliardë LEK, me një realizim 98.7 përqind kundrejt planit vjetor fillestar </w:t>
      </w:r>
      <w:r w:rsidR="00E84DCD">
        <w:rPr>
          <w:rFonts w:asciiTheme="majorHAnsi" w:hAnsiTheme="majorHAnsi" w:cs="Times New Roman"/>
          <w:lang w:val="sq-AL"/>
        </w:rPr>
        <w:t>(</w:t>
      </w:r>
      <w:r w:rsidRPr="002E06C4">
        <w:rPr>
          <w:rFonts w:asciiTheme="majorHAnsi" w:hAnsiTheme="majorHAnsi" w:cs="Times New Roman"/>
          <w:lang w:val="sq-AL"/>
        </w:rPr>
        <w:t>98 përqind kund</w:t>
      </w:r>
      <w:r w:rsidR="00E84DCD">
        <w:rPr>
          <w:rFonts w:asciiTheme="majorHAnsi" w:hAnsiTheme="majorHAnsi" w:cs="Times New Roman"/>
          <w:lang w:val="sq-AL"/>
        </w:rPr>
        <w:t>rejt planit vjetor sipas AN nr.</w:t>
      </w:r>
      <w:r w:rsidRPr="002E06C4">
        <w:rPr>
          <w:rFonts w:asciiTheme="majorHAnsi" w:hAnsiTheme="majorHAnsi" w:cs="Times New Roman"/>
          <w:lang w:val="sq-AL"/>
        </w:rPr>
        <w:t>2</w:t>
      </w:r>
      <w:r w:rsidR="00E84DCD">
        <w:rPr>
          <w:rFonts w:asciiTheme="majorHAnsi" w:hAnsiTheme="majorHAnsi" w:cs="Times New Roman"/>
          <w:lang w:val="sq-AL"/>
        </w:rPr>
        <w:t>)</w:t>
      </w:r>
      <w:r w:rsidRPr="002E06C4">
        <w:rPr>
          <w:rFonts w:asciiTheme="majorHAnsi" w:hAnsiTheme="majorHAnsi" w:cs="Times New Roman"/>
          <w:lang w:val="sq-AL"/>
        </w:rPr>
        <w:t>. Përkatësisht:</w:t>
      </w:r>
    </w:p>
    <w:p w14:paraId="7411AEE8" w14:textId="77777777" w:rsidR="00AC045F" w:rsidRPr="002E06C4" w:rsidRDefault="00AC045F" w:rsidP="00A2716B">
      <w:pPr>
        <w:numPr>
          <w:ilvl w:val="0"/>
          <w:numId w:val="3"/>
        </w:numPr>
        <w:spacing w:line="276" w:lineRule="auto"/>
        <w:jc w:val="both"/>
        <w:rPr>
          <w:rFonts w:asciiTheme="majorHAnsi" w:hAnsiTheme="majorHAnsi" w:cs="Times New Roman"/>
          <w:bCs/>
          <w:i/>
          <w:iCs/>
          <w:lang w:val="sq-AL"/>
        </w:rPr>
      </w:pPr>
      <w:r w:rsidRPr="002E06C4">
        <w:rPr>
          <w:rFonts w:asciiTheme="majorHAnsi" w:hAnsiTheme="majorHAnsi" w:cs="Times New Roman"/>
          <w:bCs/>
          <w:i/>
          <w:iCs/>
          <w:lang w:val="sq-AL"/>
        </w:rPr>
        <w:t>Shpenzimet për sigurime shoqërore arritën në vlerën rreth 125.4 miliardë LEK, duke rezultuar me një realizim 100.9 përq</w:t>
      </w:r>
      <w:r w:rsidR="00087712">
        <w:rPr>
          <w:rFonts w:asciiTheme="majorHAnsi" w:hAnsiTheme="majorHAnsi" w:cs="Times New Roman"/>
          <w:bCs/>
          <w:i/>
          <w:iCs/>
          <w:lang w:val="sq-AL"/>
        </w:rPr>
        <w:t>ind të planit vjetor fillestar (</w:t>
      </w:r>
      <w:r w:rsidRPr="002E06C4">
        <w:rPr>
          <w:rFonts w:asciiTheme="majorHAnsi" w:hAnsiTheme="majorHAnsi" w:cs="Times New Roman"/>
          <w:bCs/>
          <w:i/>
          <w:iCs/>
          <w:lang w:val="sq-AL"/>
        </w:rPr>
        <w:t>102.3 përqind sipas AN nr.2</w:t>
      </w:r>
      <w:r w:rsidR="00087712">
        <w:rPr>
          <w:rFonts w:asciiTheme="majorHAnsi" w:hAnsiTheme="majorHAnsi" w:cs="Times New Roman"/>
          <w:bCs/>
          <w:i/>
          <w:iCs/>
          <w:lang w:val="sq-AL"/>
        </w:rPr>
        <w:t>).</w:t>
      </w:r>
    </w:p>
    <w:p w14:paraId="656FDD69" w14:textId="77777777" w:rsidR="00AC045F" w:rsidRPr="002E06C4" w:rsidRDefault="00AC045F" w:rsidP="00A2716B">
      <w:pPr>
        <w:numPr>
          <w:ilvl w:val="0"/>
          <w:numId w:val="3"/>
        </w:numPr>
        <w:spacing w:line="276" w:lineRule="auto"/>
        <w:jc w:val="both"/>
        <w:rPr>
          <w:rFonts w:asciiTheme="majorHAnsi" w:hAnsiTheme="majorHAnsi" w:cs="Times New Roman"/>
          <w:bCs/>
          <w:i/>
          <w:iCs/>
          <w:lang w:val="sq-AL"/>
        </w:rPr>
      </w:pPr>
      <w:r w:rsidRPr="002E06C4">
        <w:rPr>
          <w:rFonts w:asciiTheme="majorHAnsi" w:hAnsiTheme="majorHAnsi" w:cs="Times New Roman"/>
          <w:bCs/>
          <w:i/>
          <w:iCs/>
          <w:lang w:val="sq-AL"/>
        </w:rPr>
        <w:t xml:space="preserve">Shpenzimet për sigurime shëndetësore arritën në vlerën rreth 40.2 miliardë LEK, duke rezultuar me një realizim 99.4 përqind të planit vjetor fillestar </w:t>
      </w:r>
      <w:r w:rsidR="00087712">
        <w:rPr>
          <w:rFonts w:asciiTheme="majorHAnsi" w:hAnsiTheme="majorHAnsi" w:cs="Times New Roman"/>
          <w:bCs/>
          <w:i/>
          <w:iCs/>
          <w:lang w:val="sq-AL"/>
        </w:rPr>
        <w:t>(</w:t>
      </w:r>
      <w:r w:rsidRPr="002E06C4">
        <w:rPr>
          <w:rFonts w:asciiTheme="majorHAnsi" w:hAnsiTheme="majorHAnsi" w:cs="Times New Roman"/>
          <w:bCs/>
          <w:i/>
          <w:iCs/>
          <w:lang w:val="sq-AL"/>
        </w:rPr>
        <w:t>dhe AN nr.2</w:t>
      </w:r>
      <w:r w:rsidR="00087712">
        <w:rPr>
          <w:rFonts w:asciiTheme="majorHAnsi" w:hAnsiTheme="majorHAnsi" w:cs="Times New Roman"/>
          <w:bCs/>
          <w:i/>
          <w:iCs/>
          <w:lang w:val="sq-AL"/>
        </w:rPr>
        <w:t>)</w:t>
      </w:r>
      <w:r w:rsidRPr="002E06C4">
        <w:rPr>
          <w:rFonts w:asciiTheme="majorHAnsi" w:hAnsiTheme="majorHAnsi" w:cs="Times New Roman"/>
          <w:bCs/>
          <w:i/>
          <w:iCs/>
          <w:lang w:val="sq-AL"/>
        </w:rPr>
        <w:t>.</w:t>
      </w:r>
    </w:p>
    <w:p w14:paraId="0F8DEAFA" w14:textId="77777777" w:rsidR="00AC045F" w:rsidRPr="002E06C4" w:rsidRDefault="00AC045F" w:rsidP="00A2716B">
      <w:pPr>
        <w:numPr>
          <w:ilvl w:val="0"/>
          <w:numId w:val="3"/>
        </w:numPr>
        <w:spacing w:line="276" w:lineRule="auto"/>
        <w:jc w:val="both"/>
        <w:rPr>
          <w:rFonts w:asciiTheme="majorHAnsi" w:hAnsiTheme="majorHAnsi" w:cs="Times New Roman"/>
          <w:bCs/>
          <w:i/>
          <w:iCs/>
          <w:lang w:val="sq-AL"/>
        </w:rPr>
      </w:pPr>
      <w:r w:rsidRPr="002E06C4">
        <w:rPr>
          <w:rFonts w:asciiTheme="majorHAnsi" w:hAnsiTheme="majorHAnsi" w:cs="Times New Roman"/>
          <w:bCs/>
          <w:i/>
          <w:iCs/>
          <w:lang w:val="sq-AL"/>
        </w:rPr>
        <w:t xml:space="preserve"> Shpenzimet për kompensimin </w:t>
      </w:r>
      <w:r w:rsidR="00087712">
        <w:rPr>
          <w:rFonts w:asciiTheme="majorHAnsi" w:hAnsiTheme="majorHAnsi" w:cs="Times New Roman"/>
          <w:bCs/>
          <w:i/>
          <w:iCs/>
          <w:lang w:val="sq-AL"/>
        </w:rPr>
        <w:t>e ish-</w:t>
      </w:r>
      <w:r w:rsidRPr="002E06C4">
        <w:rPr>
          <w:rFonts w:asciiTheme="majorHAnsi" w:hAnsiTheme="majorHAnsi" w:cs="Times New Roman"/>
          <w:bCs/>
          <w:i/>
          <w:iCs/>
          <w:lang w:val="sq-AL"/>
        </w:rPr>
        <w:t>pronarë</w:t>
      </w:r>
      <w:r w:rsidR="00087712">
        <w:rPr>
          <w:rFonts w:asciiTheme="majorHAnsi" w:hAnsiTheme="majorHAnsi" w:cs="Times New Roman"/>
          <w:bCs/>
          <w:i/>
          <w:iCs/>
          <w:lang w:val="sq-AL"/>
        </w:rPr>
        <w:t>ve</w:t>
      </w:r>
      <w:r w:rsidRPr="002E06C4">
        <w:rPr>
          <w:rFonts w:asciiTheme="majorHAnsi" w:hAnsiTheme="majorHAnsi" w:cs="Times New Roman"/>
          <w:bCs/>
          <w:i/>
          <w:iCs/>
          <w:lang w:val="sq-AL"/>
        </w:rPr>
        <w:t xml:space="preserve"> arritën në vlerën rreth 2.73 miliardë LEK, duke rezultuar me një realizim 68.3 përq</w:t>
      </w:r>
      <w:r w:rsidR="00087712">
        <w:rPr>
          <w:rFonts w:asciiTheme="majorHAnsi" w:hAnsiTheme="majorHAnsi" w:cs="Times New Roman"/>
          <w:bCs/>
          <w:i/>
          <w:iCs/>
          <w:lang w:val="sq-AL"/>
        </w:rPr>
        <w:t>ind të planit vjetor fillestar (</w:t>
      </w:r>
      <w:r w:rsidRPr="002E06C4">
        <w:rPr>
          <w:rFonts w:asciiTheme="majorHAnsi" w:hAnsiTheme="majorHAnsi" w:cs="Times New Roman"/>
          <w:bCs/>
          <w:i/>
          <w:iCs/>
          <w:lang w:val="sq-AL"/>
        </w:rPr>
        <w:t>dhe AN nr.2</w:t>
      </w:r>
      <w:r w:rsidR="00087712">
        <w:rPr>
          <w:rFonts w:asciiTheme="majorHAnsi" w:hAnsiTheme="majorHAnsi" w:cs="Times New Roman"/>
          <w:bCs/>
          <w:i/>
          <w:iCs/>
          <w:lang w:val="sq-AL"/>
        </w:rPr>
        <w:t>)</w:t>
      </w:r>
      <w:r w:rsidRPr="002E06C4">
        <w:rPr>
          <w:rFonts w:asciiTheme="majorHAnsi" w:hAnsiTheme="majorHAnsi" w:cs="Times New Roman"/>
          <w:bCs/>
          <w:i/>
          <w:iCs/>
          <w:lang w:val="sq-AL"/>
        </w:rPr>
        <w:t>.</w:t>
      </w:r>
    </w:p>
    <w:p w14:paraId="527C2687" w14:textId="77777777" w:rsidR="00AC045F" w:rsidRPr="002E06C4" w:rsidRDefault="00AC045F" w:rsidP="00AC045F">
      <w:p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Kundrejt të njëjtës periudhë të vitit 2017, shpenzimet për sigurime shoqërore janë rreth 6.3 miliardë LEK më të larta, shpenzimet për sigurime shëndetësore janë rreth 1.06 miliard lekë më të larta dhe shpenzimet për kompensimin e pronarëve janë rreth 1.24 miliardë LEK më të ulëta. </w:t>
      </w:r>
    </w:p>
    <w:p w14:paraId="7FDEDB3C" w14:textId="77777777" w:rsidR="002B34A1" w:rsidRPr="002E06C4" w:rsidRDefault="002B34A1" w:rsidP="002B34A1">
      <w:pPr>
        <w:pStyle w:val="Caption"/>
        <w:keepNext/>
        <w:spacing w:after="0"/>
        <w:rPr>
          <w:rFonts w:asciiTheme="majorHAnsi" w:hAnsiTheme="majorHAnsi"/>
          <w:sz w:val="12"/>
          <w:lang w:val="sq-AL"/>
        </w:rPr>
      </w:pPr>
    </w:p>
    <w:p w14:paraId="238D96F7" w14:textId="77777777" w:rsidR="00D978DA" w:rsidRPr="002E06C4" w:rsidRDefault="00D978DA" w:rsidP="002B34A1">
      <w:pPr>
        <w:pStyle w:val="Caption"/>
        <w:keepNext/>
        <w:spacing w:after="0"/>
        <w:rPr>
          <w:rFonts w:asciiTheme="majorHAnsi" w:hAnsiTheme="majorHAnsi"/>
          <w:lang w:val="sq-AL"/>
        </w:rPr>
      </w:pPr>
      <w:bookmarkStart w:id="125" w:name="_Toc11141709"/>
      <w:r w:rsidRPr="002E06C4">
        <w:rPr>
          <w:rFonts w:asciiTheme="majorHAnsi" w:hAnsiTheme="majorHAnsi"/>
          <w:lang w:val="sq-AL"/>
        </w:rPr>
        <w:t xml:space="preserve">Grafiku </w:t>
      </w:r>
      <w:r w:rsidR="00377806" w:rsidRPr="002E06C4">
        <w:rPr>
          <w:rFonts w:asciiTheme="majorHAnsi" w:hAnsiTheme="majorHAnsi"/>
          <w:noProof/>
          <w:lang w:val="sq-AL"/>
        </w:rPr>
        <w:fldChar w:fldCharType="begin"/>
      </w:r>
      <w:r w:rsidR="00377806" w:rsidRPr="002E06C4">
        <w:rPr>
          <w:rFonts w:asciiTheme="majorHAnsi" w:hAnsiTheme="majorHAnsi"/>
          <w:noProof/>
          <w:lang w:val="sq-AL"/>
        </w:rPr>
        <w:instrText xml:space="preserve"> SEQ Grafiku \* ARABIC </w:instrText>
      </w:r>
      <w:r w:rsidR="00377806" w:rsidRPr="002E06C4">
        <w:rPr>
          <w:rFonts w:asciiTheme="majorHAnsi" w:hAnsiTheme="majorHAnsi"/>
          <w:noProof/>
          <w:lang w:val="sq-AL"/>
        </w:rPr>
        <w:fldChar w:fldCharType="separate"/>
      </w:r>
      <w:r w:rsidR="006A57F3">
        <w:rPr>
          <w:rFonts w:asciiTheme="majorHAnsi" w:hAnsiTheme="majorHAnsi"/>
          <w:noProof/>
          <w:lang w:val="sq-AL"/>
        </w:rPr>
        <w:t>33</w:t>
      </w:r>
      <w:r w:rsidR="00377806" w:rsidRPr="002E06C4">
        <w:rPr>
          <w:rFonts w:asciiTheme="majorHAnsi" w:hAnsiTheme="majorHAnsi"/>
          <w:noProof/>
          <w:lang w:val="sq-AL"/>
        </w:rPr>
        <w:fldChar w:fldCharType="end"/>
      </w:r>
      <w:r w:rsidRPr="002E06C4">
        <w:rPr>
          <w:rFonts w:asciiTheme="majorHAnsi" w:hAnsiTheme="majorHAnsi"/>
          <w:lang w:val="sq-AL"/>
        </w:rPr>
        <w:t xml:space="preserve"> Shpenzimet per sigurimet shoq</w:t>
      </w:r>
      <w:r w:rsidR="001F4829" w:rsidRPr="002E06C4">
        <w:rPr>
          <w:rFonts w:asciiTheme="majorHAnsi" w:hAnsiTheme="majorHAnsi"/>
          <w:lang w:val="sq-AL"/>
        </w:rPr>
        <w:t>ërore dhe shëndetësore (miliard</w:t>
      </w:r>
      <w:r w:rsidRPr="002E06C4">
        <w:rPr>
          <w:rFonts w:asciiTheme="majorHAnsi" w:hAnsiTheme="majorHAnsi"/>
          <w:lang w:val="sq-AL"/>
        </w:rPr>
        <w:t xml:space="preserve"> lekë)</w:t>
      </w:r>
      <w:bookmarkEnd w:id="125"/>
    </w:p>
    <w:p w14:paraId="09E5597A" w14:textId="77777777" w:rsidR="00AC045F" w:rsidRPr="002E06C4" w:rsidRDefault="008A2AE6" w:rsidP="000C7A4E">
      <w:pPr>
        <w:spacing w:line="276" w:lineRule="auto"/>
        <w:jc w:val="center"/>
        <w:rPr>
          <w:rFonts w:asciiTheme="majorHAnsi" w:eastAsia="SimSun" w:hAnsiTheme="majorHAnsi" w:cs="Times New Roman"/>
          <w:lang w:val="sq-AL"/>
        </w:rPr>
      </w:pPr>
      <w:r w:rsidRPr="002E06C4">
        <w:rPr>
          <w:noProof/>
        </w:rPr>
        <w:drawing>
          <wp:inline distT="0" distB="0" distL="0" distR="0" wp14:anchorId="6502FA59" wp14:editId="3E4B173A">
            <wp:extent cx="5358765" cy="1965960"/>
            <wp:effectExtent l="0" t="0" r="13335"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EA64555" w14:textId="77777777" w:rsidR="00AC045F" w:rsidRPr="002E06C4" w:rsidRDefault="00AC045F" w:rsidP="00AC045F">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0BBEA792" w14:textId="77777777" w:rsidR="00AC045F" w:rsidRPr="002E06C4" w:rsidRDefault="00AC045F" w:rsidP="00AC045F">
      <w:pPr>
        <w:spacing w:before="240" w:line="276" w:lineRule="auto"/>
        <w:jc w:val="both"/>
        <w:rPr>
          <w:rFonts w:asciiTheme="majorHAnsi" w:eastAsia="SimSun" w:hAnsiTheme="majorHAnsi" w:cs="Times New Roman"/>
          <w:lang w:val="sq-AL"/>
        </w:rPr>
      </w:pPr>
      <w:r w:rsidRPr="00E84DCD">
        <w:rPr>
          <w:rFonts w:asciiTheme="majorHAnsi" w:eastAsia="SimSun" w:hAnsiTheme="majorHAnsi" w:cs="Times New Roman"/>
          <w:i/>
          <w:lang w:val="sq-AL"/>
        </w:rPr>
        <w:t>Shpenzimet për Papunësinë</w:t>
      </w:r>
      <w:r w:rsidRPr="00E84DCD">
        <w:rPr>
          <w:rFonts w:asciiTheme="majorHAnsi" w:eastAsia="SimSun" w:hAnsiTheme="majorHAnsi" w:cs="Times New Roman"/>
          <w:lang w:val="sq-AL"/>
        </w:rPr>
        <w:t xml:space="preserve"> për vitin 2018 janë realizuar në masën 42 përqind e planit vjetor fillestar </w:t>
      </w:r>
      <w:r w:rsidR="000077B5" w:rsidRPr="00E84DCD">
        <w:rPr>
          <w:rFonts w:asciiTheme="majorHAnsi" w:eastAsia="SimSun" w:hAnsiTheme="majorHAnsi" w:cs="Times New Roman"/>
          <w:lang w:val="sq-AL"/>
        </w:rPr>
        <w:t>(</w:t>
      </w:r>
      <w:r w:rsidRPr="00E84DCD">
        <w:rPr>
          <w:rFonts w:asciiTheme="majorHAnsi" w:eastAsia="SimSun" w:hAnsiTheme="majorHAnsi" w:cs="Times New Roman"/>
          <w:lang w:val="sq-AL"/>
        </w:rPr>
        <w:t>95.9 përqin</w:t>
      </w:r>
      <w:r w:rsidR="00087712">
        <w:rPr>
          <w:rFonts w:asciiTheme="majorHAnsi" w:eastAsia="SimSun" w:hAnsiTheme="majorHAnsi" w:cs="Times New Roman"/>
          <w:lang w:val="sq-AL"/>
        </w:rPr>
        <w:t>d të planit vjetor sipas AN nr.</w:t>
      </w:r>
      <w:r w:rsidRPr="00E84DCD">
        <w:rPr>
          <w:rFonts w:asciiTheme="majorHAnsi" w:eastAsia="SimSun" w:hAnsiTheme="majorHAnsi" w:cs="Times New Roman"/>
          <w:lang w:val="sq-AL"/>
        </w:rPr>
        <w:t>2</w:t>
      </w:r>
      <w:r w:rsidR="000077B5" w:rsidRPr="00E84DCD">
        <w:rPr>
          <w:rFonts w:asciiTheme="majorHAnsi" w:eastAsia="SimSun" w:hAnsiTheme="majorHAnsi" w:cs="Times New Roman"/>
          <w:lang w:val="sq-AL"/>
        </w:rPr>
        <w:t>), gjë që dëshmon për kursimin e evidentuar në këtë zë, si rrjedhojë e uljes së numrit të përfituesve të papunë nga kjo pagesë</w:t>
      </w:r>
      <w:r w:rsidRPr="00E84DCD">
        <w:rPr>
          <w:rFonts w:asciiTheme="majorHAnsi" w:eastAsia="SimSun" w:hAnsiTheme="majorHAnsi" w:cs="Times New Roman"/>
          <w:lang w:val="sq-AL"/>
        </w:rPr>
        <w:t>. Kundrejt të njëjtës periudhë të vitit 2017 shpenzimet për këtë zë rezultojnë me një ulje në masën 2.9 përqind, ose 10 milion LEK më pak në terma nominalë.</w:t>
      </w:r>
      <w:r w:rsidRPr="002E06C4">
        <w:rPr>
          <w:rFonts w:asciiTheme="majorHAnsi" w:eastAsia="SimSun" w:hAnsiTheme="majorHAnsi" w:cs="Times New Roman"/>
          <w:lang w:val="sq-AL"/>
        </w:rPr>
        <w:t xml:space="preserve"> </w:t>
      </w:r>
    </w:p>
    <w:p w14:paraId="2C2F4FC7" w14:textId="77777777" w:rsidR="00AC045F" w:rsidRPr="002E06C4" w:rsidRDefault="00AC045F" w:rsidP="00AC045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i/>
          <w:lang w:val="sq-AL"/>
        </w:rPr>
        <w:t>Shpenzimet për Ndihmën Ekonomike dhe Pagesën e Paaftësisë (PAK)</w:t>
      </w:r>
      <w:r w:rsidRPr="002E06C4">
        <w:rPr>
          <w:rFonts w:asciiTheme="majorHAnsi" w:eastAsia="SimSun" w:hAnsiTheme="majorHAnsi" w:cs="Times New Roman"/>
          <w:lang w:val="sq-AL"/>
        </w:rPr>
        <w:t xml:space="preserve"> për vitin 2018 u realizuan në masën 100.8 përqind të planit vjetor fillestar </w:t>
      </w:r>
      <w:r w:rsidR="00E84DCD">
        <w:rPr>
          <w:rFonts w:asciiTheme="majorHAnsi" w:eastAsia="SimSun" w:hAnsiTheme="majorHAnsi" w:cs="Times New Roman"/>
          <w:lang w:val="sq-AL"/>
        </w:rPr>
        <w:t>(dhe sipas AN</w:t>
      </w:r>
      <w:r w:rsidRPr="002E06C4">
        <w:rPr>
          <w:rFonts w:asciiTheme="majorHAnsi" w:eastAsia="SimSun" w:hAnsiTheme="majorHAnsi" w:cs="Times New Roman"/>
          <w:lang w:val="sq-AL"/>
        </w:rPr>
        <w:t xml:space="preserve"> nr.2</w:t>
      </w:r>
      <w:r w:rsidR="00E84DCD">
        <w:rPr>
          <w:rFonts w:asciiTheme="majorHAnsi" w:eastAsia="SimSun" w:hAnsiTheme="majorHAnsi" w:cs="Times New Roman"/>
          <w:lang w:val="sq-AL"/>
        </w:rPr>
        <w:t>)</w:t>
      </w:r>
      <w:r w:rsidRPr="002E06C4">
        <w:rPr>
          <w:rFonts w:asciiTheme="majorHAnsi" w:eastAsia="SimSun" w:hAnsiTheme="majorHAnsi" w:cs="Times New Roman"/>
          <w:lang w:val="sq-AL"/>
        </w:rPr>
        <w:t>. Kundrejt të njëjtës periudhë të vitit 2017 shpenzimet për këtë zë rezultojnë me një ulje në masën 0.2 përqind ose 43 milion LEK më pak në terma nominalë.</w:t>
      </w:r>
    </w:p>
    <w:p w14:paraId="2E144090" w14:textId="77777777" w:rsidR="00AC045F" w:rsidRPr="002E06C4" w:rsidRDefault="00AC045F" w:rsidP="00AC045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i/>
          <w:lang w:val="sq-AL"/>
        </w:rPr>
        <w:t>Kompensimi për ish-të Përndjekurit Politikë</w:t>
      </w:r>
      <w:r w:rsidRPr="002E06C4">
        <w:rPr>
          <w:rFonts w:asciiTheme="majorHAnsi" w:eastAsia="SimSun" w:hAnsiTheme="majorHAnsi" w:cs="Times New Roman"/>
          <w:lang w:val="sq-AL"/>
        </w:rPr>
        <w:t xml:space="preserve">, për vitin 2018 u realizua në masën 49.9 përqind të planit vjetor fillestar </w:t>
      </w:r>
      <w:r w:rsidR="00E84DCD">
        <w:rPr>
          <w:rFonts w:asciiTheme="majorHAnsi" w:eastAsia="SimSun" w:hAnsiTheme="majorHAnsi" w:cs="Times New Roman"/>
          <w:lang w:val="sq-AL"/>
        </w:rPr>
        <w:t>(</w:t>
      </w:r>
      <w:r w:rsidRPr="002E06C4">
        <w:rPr>
          <w:rFonts w:asciiTheme="majorHAnsi" w:eastAsia="SimSun" w:hAnsiTheme="majorHAnsi" w:cs="Times New Roman"/>
          <w:lang w:val="sq-AL"/>
        </w:rPr>
        <w:t xml:space="preserve">99.7 përqind sipas </w:t>
      </w:r>
      <w:r w:rsidR="00E84DCD">
        <w:rPr>
          <w:rFonts w:asciiTheme="majorHAnsi" w:eastAsia="SimSun" w:hAnsiTheme="majorHAnsi" w:cs="Times New Roman"/>
          <w:lang w:val="sq-AL"/>
        </w:rPr>
        <w:t>nr.</w:t>
      </w:r>
      <w:r w:rsidRPr="002E06C4">
        <w:rPr>
          <w:rFonts w:asciiTheme="majorHAnsi" w:eastAsia="SimSun" w:hAnsiTheme="majorHAnsi" w:cs="Times New Roman"/>
          <w:lang w:val="sq-AL"/>
        </w:rPr>
        <w:t>2</w:t>
      </w:r>
      <w:r w:rsidR="00E84DCD">
        <w:rPr>
          <w:rFonts w:asciiTheme="majorHAnsi" w:eastAsia="SimSun" w:hAnsiTheme="majorHAnsi" w:cs="Times New Roman"/>
          <w:lang w:val="sq-AL"/>
        </w:rPr>
        <w:t>)</w:t>
      </w:r>
      <w:r w:rsidRPr="002E06C4">
        <w:rPr>
          <w:rFonts w:asciiTheme="majorHAnsi" w:eastAsia="SimSun" w:hAnsiTheme="majorHAnsi" w:cs="Times New Roman"/>
          <w:lang w:val="sq-AL"/>
        </w:rPr>
        <w:t xml:space="preserve">. Kundrejt të njëjtës periudhë të vitit 2017 shpenzimet për këtë zë rezultojnë me një ulje në masën 56.6 përqind ose rreth 1.3 miliardë LEK më pak në terma nominalë. Kjo reflekton ndryshimet e reja në bazën ligjore respektive, të cilat u miratuan vetëm gjatë gjysmës së dytë të vitit 2018 dhe për rrjedhojë ngadalësuan ekzekutimin e fondit për vitin 2018.  </w:t>
      </w:r>
    </w:p>
    <w:p w14:paraId="59FDA1C9" w14:textId="77777777" w:rsidR="00D978DA" w:rsidRPr="002E06C4" w:rsidRDefault="00D978DA" w:rsidP="002B34A1">
      <w:pPr>
        <w:pStyle w:val="Caption"/>
        <w:keepNext/>
        <w:spacing w:after="0"/>
        <w:rPr>
          <w:rFonts w:asciiTheme="majorHAnsi" w:hAnsiTheme="majorHAnsi"/>
          <w:lang w:val="sq-AL"/>
        </w:rPr>
      </w:pPr>
      <w:bookmarkStart w:id="126" w:name="_Toc11141710"/>
      <w:r w:rsidRPr="002E06C4">
        <w:rPr>
          <w:rFonts w:asciiTheme="majorHAnsi" w:hAnsiTheme="majorHAnsi"/>
          <w:lang w:val="sq-AL"/>
        </w:rPr>
        <w:lastRenderedPageBreak/>
        <w:t xml:space="preserve">Grafiku </w:t>
      </w:r>
      <w:r w:rsidR="00377806" w:rsidRPr="002E06C4">
        <w:rPr>
          <w:rFonts w:asciiTheme="majorHAnsi" w:hAnsiTheme="majorHAnsi"/>
          <w:noProof/>
          <w:lang w:val="sq-AL"/>
        </w:rPr>
        <w:fldChar w:fldCharType="begin"/>
      </w:r>
      <w:r w:rsidR="00377806" w:rsidRPr="002E06C4">
        <w:rPr>
          <w:rFonts w:asciiTheme="majorHAnsi" w:hAnsiTheme="majorHAnsi"/>
          <w:noProof/>
          <w:lang w:val="sq-AL"/>
        </w:rPr>
        <w:instrText xml:space="preserve"> SEQ Grafiku \* ARABIC </w:instrText>
      </w:r>
      <w:r w:rsidR="00377806" w:rsidRPr="002E06C4">
        <w:rPr>
          <w:rFonts w:asciiTheme="majorHAnsi" w:hAnsiTheme="majorHAnsi"/>
          <w:noProof/>
          <w:lang w:val="sq-AL"/>
        </w:rPr>
        <w:fldChar w:fldCharType="separate"/>
      </w:r>
      <w:r w:rsidR="006A57F3">
        <w:rPr>
          <w:rFonts w:asciiTheme="majorHAnsi" w:hAnsiTheme="majorHAnsi"/>
          <w:noProof/>
          <w:lang w:val="sq-AL"/>
        </w:rPr>
        <w:t>34</w:t>
      </w:r>
      <w:r w:rsidR="00377806" w:rsidRPr="002E06C4">
        <w:rPr>
          <w:rFonts w:asciiTheme="majorHAnsi" w:hAnsiTheme="majorHAnsi"/>
          <w:noProof/>
          <w:lang w:val="sq-AL"/>
        </w:rPr>
        <w:fldChar w:fldCharType="end"/>
      </w:r>
      <w:r w:rsidRPr="002E06C4">
        <w:rPr>
          <w:rFonts w:asciiTheme="majorHAnsi" w:hAnsiTheme="majorHAnsi"/>
          <w:lang w:val="sq-AL"/>
        </w:rPr>
        <w:t xml:space="preserve"> Shpenzimet per ndihmën ekonomi</w:t>
      </w:r>
      <w:r w:rsidR="001F4829" w:rsidRPr="002E06C4">
        <w:rPr>
          <w:rFonts w:asciiTheme="majorHAnsi" w:hAnsiTheme="majorHAnsi"/>
          <w:lang w:val="sq-AL"/>
        </w:rPr>
        <w:t>ke, PAK dhe papunësinë (miliard</w:t>
      </w:r>
      <w:r w:rsidRPr="002E06C4">
        <w:rPr>
          <w:rFonts w:asciiTheme="majorHAnsi" w:hAnsiTheme="majorHAnsi"/>
          <w:lang w:val="sq-AL"/>
        </w:rPr>
        <w:t xml:space="preserve"> lekë)</w:t>
      </w:r>
      <w:bookmarkEnd w:id="126"/>
    </w:p>
    <w:p w14:paraId="7234952D" w14:textId="77777777" w:rsidR="00AC045F" w:rsidRPr="002E06C4" w:rsidRDefault="004D5C3A" w:rsidP="000C7A4E">
      <w:pPr>
        <w:spacing w:line="276" w:lineRule="auto"/>
        <w:jc w:val="center"/>
        <w:rPr>
          <w:rFonts w:asciiTheme="majorHAnsi" w:eastAsia="SimSun" w:hAnsiTheme="majorHAnsi" w:cs="Times New Roman"/>
          <w:lang w:val="sq-AL"/>
        </w:rPr>
      </w:pPr>
      <w:r w:rsidRPr="002E06C4">
        <w:rPr>
          <w:rFonts w:asciiTheme="majorHAnsi" w:hAnsiTheme="majorHAnsi"/>
          <w:noProof/>
        </w:rPr>
        <w:drawing>
          <wp:inline distT="0" distB="0" distL="0" distR="0" wp14:anchorId="61C6DF50" wp14:editId="2571F8B3">
            <wp:extent cx="5486400" cy="1805940"/>
            <wp:effectExtent l="0" t="0" r="0" b="3810"/>
            <wp:docPr id="40" name="Chart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4BD489" w14:textId="77777777" w:rsidR="00AC045F" w:rsidRPr="002E06C4" w:rsidRDefault="00AC045F" w:rsidP="00AC045F">
      <w:pPr>
        <w:spacing w:line="276" w:lineRule="auto"/>
        <w:ind w:firstLine="720"/>
        <w:jc w:val="both"/>
        <w:rPr>
          <w:rFonts w:asciiTheme="majorHAnsi" w:eastAsia="SimSun" w:hAnsiTheme="majorHAnsi" w:cs="Times New Roman"/>
          <w:sz w:val="20"/>
          <w:lang w:val="sq-AL"/>
        </w:rPr>
      </w:pPr>
      <w:r w:rsidRPr="002E06C4">
        <w:rPr>
          <w:rFonts w:asciiTheme="majorHAnsi" w:eastAsia="SimSun" w:hAnsiTheme="majorHAnsi" w:cs="Times New Roman"/>
          <w:sz w:val="20"/>
          <w:lang w:val="sq-AL"/>
        </w:rPr>
        <w:t xml:space="preserve"> Burimi: Ministria e Financave dhe Ekonomisë (2019)</w:t>
      </w:r>
    </w:p>
    <w:p w14:paraId="062568E9" w14:textId="77777777" w:rsidR="00AC045F" w:rsidRPr="002E06C4" w:rsidRDefault="00AC045F" w:rsidP="00AC045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b/>
          <w:i/>
          <w:lang w:val="sq-AL"/>
        </w:rPr>
        <w:t>Shpenzimet kapitale</w:t>
      </w:r>
      <w:r w:rsidRPr="002E06C4">
        <w:rPr>
          <w:rFonts w:asciiTheme="majorHAnsi" w:eastAsia="SimSun" w:hAnsiTheme="majorHAnsi" w:cs="Times New Roman"/>
          <w:lang w:val="sq-AL"/>
        </w:rPr>
        <w:t xml:space="preserve">, në vijim të analizës së ecurisë së realizimit të investimeve publike, për vitin 2018 janë konstatuar me një realizim në masën rreth 78.4 miliardë LEK ose 90.8 përqind në raport me planin vjetor fillestar </w:t>
      </w:r>
      <w:r w:rsidR="00A679FE">
        <w:rPr>
          <w:rFonts w:asciiTheme="majorHAnsi" w:eastAsia="SimSun" w:hAnsiTheme="majorHAnsi" w:cs="Times New Roman"/>
          <w:lang w:val="sq-AL"/>
        </w:rPr>
        <w:t>(</w:t>
      </w:r>
      <w:r w:rsidRPr="002E06C4">
        <w:rPr>
          <w:rFonts w:asciiTheme="majorHAnsi" w:eastAsia="SimSun" w:hAnsiTheme="majorHAnsi" w:cs="Times New Roman"/>
          <w:lang w:val="sq-AL"/>
        </w:rPr>
        <w:t>93.2 përqind të planit vjetor sipas</w:t>
      </w:r>
      <w:r w:rsidR="004D5C3A" w:rsidRPr="002E06C4">
        <w:rPr>
          <w:rFonts w:asciiTheme="majorHAnsi" w:eastAsia="SimSun" w:hAnsiTheme="majorHAnsi" w:cs="Times New Roman"/>
          <w:lang w:val="sq-AL"/>
        </w:rPr>
        <w:t xml:space="preserve"> </w:t>
      </w:r>
      <w:r w:rsidRPr="002E06C4">
        <w:rPr>
          <w:rFonts w:asciiTheme="majorHAnsi" w:eastAsia="SimSun" w:hAnsiTheme="majorHAnsi" w:cs="Times New Roman"/>
          <w:lang w:val="sq-AL"/>
        </w:rPr>
        <w:t>AN nr.2</w:t>
      </w:r>
      <w:r w:rsidR="00A679FE">
        <w:rPr>
          <w:rFonts w:asciiTheme="majorHAnsi" w:eastAsia="SimSun" w:hAnsiTheme="majorHAnsi" w:cs="Times New Roman"/>
          <w:lang w:val="sq-AL"/>
        </w:rPr>
        <w:t>)</w:t>
      </w:r>
      <w:r w:rsidRPr="002E06C4">
        <w:rPr>
          <w:rFonts w:asciiTheme="majorHAnsi" w:eastAsia="SimSun" w:hAnsiTheme="majorHAnsi" w:cs="Times New Roman"/>
          <w:lang w:val="sq-AL"/>
        </w:rPr>
        <w:t>. Respektivisht:</w:t>
      </w:r>
    </w:p>
    <w:p w14:paraId="64365DA7" w14:textId="77777777" w:rsidR="00AC045F" w:rsidRPr="002E06C4" w:rsidRDefault="00AC045F" w:rsidP="00A2716B">
      <w:pPr>
        <w:numPr>
          <w:ilvl w:val="0"/>
          <w:numId w:val="3"/>
        </w:numPr>
        <w:spacing w:line="276" w:lineRule="auto"/>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Projektet e investimeve me financim të brendshëm kanë shënuar një realizim në masën rreth 51.6 miliardë LEK ose 93.4 përqind në raport me planin vjetor fillestar </w:t>
      </w:r>
      <w:r w:rsidR="00A679FE">
        <w:rPr>
          <w:rFonts w:asciiTheme="majorHAnsi" w:hAnsiTheme="majorHAnsi" w:cs="Times New Roman"/>
          <w:bCs/>
          <w:i/>
          <w:iCs/>
          <w:lang w:val="sq-AL"/>
        </w:rPr>
        <w:t>(</w:t>
      </w:r>
      <w:r w:rsidRPr="002E06C4">
        <w:rPr>
          <w:rFonts w:asciiTheme="majorHAnsi" w:hAnsiTheme="majorHAnsi" w:cs="Times New Roman"/>
          <w:bCs/>
          <w:i/>
          <w:iCs/>
          <w:lang w:val="sq-AL"/>
        </w:rPr>
        <w:t>97.4 përqin</w:t>
      </w:r>
      <w:r w:rsidR="00A679FE">
        <w:rPr>
          <w:rFonts w:asciiTheme="majorHAnsi" w:hAnsiTheme="majorHAnsi" w:cs="Times New Roman"/>
          <w:bCs/>
          <w:i/>
          <w:iCs/>
          <w:lang w:val="sq-AL"/>
        </w:rPr>
        <w:t>d të planit vjetor sipas AN nr.</w:t>
      </w:r>
      <w:r w:rsidRPr="002E06C4">
        <w:rPr>
          <w:rFonts w:asciiTheme="majorHAnsi" w:hAnsiTheme="majorHAnsi" w:cs="Times New Roman"/>
          <w:bCs/>
          <w:i/>
          <w:iCs/>
          <w:lang w:val="sq-AL"/>
        </w:rPr>
        <w:t>2</w:t>
      </w:r>
      <w:r w:rsidR="00A679FE">
        <w:rPr>
          <w:rFonts w:asciiTheme="majorHAnsi" w:hAnsiTheme="majorHAnsi" w:cs="Times New Roman"/>
          <w:bCs/>
          <w:i/>
          <w:iCs/>
          <w:lang w:val="sq-AL"/>
        </w:rPr>
        <w:t>)</w:t>
      </w:r>
      <w:r w:rsidRPr="002E06C4">
        <w:rPr>
          <w:rFonts w:asciiTheme="majorHAnsi" w:hAnsiTheme="majorHAnsi" w:cs="Times New Roman"/>
          <w:bCs/>
          <w:i/>
          <w:iCs/>
          <w:lang w:val="sq-AL"/>
        </w:rPr>
        <w:t>. Investimet nga të ardhurat e Arsimit të Lartë kanë shënuar një realizim në masën 672 milionë lekë. Pra, së bashku me këtë zë, në total realizimi për financimin e brendshëm është 52.5 miliardë lekë.</w:t>
      </w:r>
    </w:p>
    <w:p w14:paraId="14B3B38D" w14:textId="77777777" w:rsidR="00AC045F" w:rsidRPr="002E06C4" w:rsidRDefault="00AC045F" w:rsidP="00A2716B">
      <w:pPr>
        <w:numPr>
          <w:ilvl w:val="0"/>
          <w:numId w:val="3"/>
        </w:numPr>
        <w:spacing w:line="276" w:lineRule="auto"/>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Projektet e investimeve me financim të huaj janë realizuar në masën 26.2 miliardë LEK ose 85.9 përqind në raport me planin vjetor fillestar </w:t>
      </w:r>
      <w:r w:rsidR="00A679FE">
        <w:rPr>
          <w:rFonts w:asciiTheme="majorHAnsi" w:hAnsiTheme="majorHAnsi" w:cs="Times New Roman"/>
          <w:bCs/>
          <w:i/>
          <w:iCs/>
          <w:lang w:val="sq-AL"/>
        </w:rPr>
        <w:t>(</w:t>
      </w:r>
      <w:r w:rsidRPr="002E06C4">
        <w:rPr>
          <w:rFonts w:asciiTheme="majorHAnsi" w:hAnsiTheme="majorHAnsi" w:cs="Times New Roman"/>
          <w:bCs/>
          <w:i/>
          <w:iCs/>
          <w:lang w:val="sq-AL"/>
        </w:rPr>
        <w:t xml:space="preserve">85.7 përqind të planit vjetor sipas </w:t>
      </w:r>
      <w:r w:rsidR="00A679FE">
        <w:rPr>
          <w:rFonts w:asciiTheme="majorHAnsi" w:hAnsiTheme="majorHAnsi" w:cs="Times New Roman"/>
          <w:bCs/>
          <w:i/>
          <w:iCs/>
          <w:lang w:val="sq-AL"/>
        </w:rPr>
        <w:t>AN nr.</w:t>
      </w:r>
      <w:r w:rsidRPr="002E06C4">
        <w:rPr>
          <w:rFonts w:asciiTheme="majorHAnsi" w:hAnsiTheme="majorHAnsi" w:cs="Times New Roman"/>
          <w:bCs/>
          <w:i/>
          <w:iCs/>
          <w:lang w:val="sq-AL"/>
        </w:rPr>
        <w:t>2</w:t>
      </w:r>
      <w:r w:rsidR="00A679FE">
        <w:rPr>
          <w:rFonts w:asciiTheme="majorHAnsi" w:hAnsiTheme="majorHAnsi" w:cs="Times New Roman"/>
          <w:bCs/>
          <w:i/>
          <w:iCs/>
          <w:lang w:val="sq-AL"/>
        </w:rPr>
        <w:t>)</w:t>
      </w:r>
      <w:r w:rsidRPr="002E06C4">
        <w:rPr>
          <w:rFonts w:asciiTheme="majorHAnsi" w:hAnsiTheme="majorHAnsi" w:cs="Times New Roman"/>
          <w:bCs/>
          <w:i/>
          <w:iCs/>
          <w:lang w:val="sq-AL"/>
        </w:rPr>
        <w:t>.</w:t>
      </w:r>
    </w:p>
    <w:p w14:paraId="4CFBE091" w14:textId="77777777" w:rsidR="000C7A4E" w:rsidRPr="002E06C4" w:rsidRDefault="000C7A4E" w:rsidP="000C7A4E">
      <w:pPr>
        <w:pStyle w:val="Caption"/>
        <w:keepNext/>
        <w:spacing w:after="0"/>
        <w:rPr>
          <w:rFonts w:asciiTheme="majorHAnsi" w:hAnsiTheme="majorHAnsi"/>
          <w:sz w:val="8"/>
          <w:szCs w:val="8"/>
          <w:lang w:val="sq-AL"/>
        </w:rPr>
      </w:pPr>
    </w:p>
    <w:p w14:paraId="75E30B4A" w14:textId="77777777" w:rsidR="00D978DA" w:rsidRPr="002E06C4" w:rsidRDefault="00D978DA" w:rsidP="002B34A1">
      <w:pPr>
        <w:pStyle w:val="Caption"/>
        <w:keepNext/>
        <w:spacing w:after="0"/>
        <w:rPr>
          <w:rFonts w:asciiTheme="majorHAnsi" w:hAnsiTheme="majorHAnsi"/>
          <w:lang w:val="sq-AL"/>
        </w:rPr>
      </w:pPr>
      <w:bookmarkStart w:id="127" w:name="_Toc11141711"/>
      <w:r w:rsidRPr="002E06C4">
        <w:rPr>
          <w:rFonts w:asciiTheme="majorHAnsi" w:hAnsiTheme="majorHAnsi"/>
          <w:lang w:val="sq-AL"/>
        </w:rPr>
        <w:t xml:space="preserve">Grafiku </w:t>
      </w:r>
      <w:r w:rsidR="00377806" w:rsidRPr="002E06C4">
        <w:rPr>
          <w:rFonts w:asciiTheme="majorHAnsi" w:hAnsiTheme="majorHAnsi"/>
          <w:noProof/>
          <w:lang w:val="sq-AL"/>
        </w:rPr>
        <w:fldChar w:fldCharType="begin"/>
      </w:r>
      <w:r w:rsidR="00377806" w:rsidRPr="002E06C4">
        <w:rPr>
          <w:rFonts w:asciiTheme="majorHAnsi" w:hAnsiTheme="majorHAnsi"/>
          <w:noProof/>
          <w:lang w:val="sq-AL"/>
        </w:rPr>
        <w:instrText xml:space="preserve"> SEQ Grafiku \* ARABIC </w:instrText>
      </w:r>
      <w:r w:rsidR="00377806" w:rsidRPr="002E06C4">
        <w:rPr>
          <w:rFonts w:asciiTheme="majorHAnsi" w:hAnsiTheme="majorHAnsi"/>
          <w:noProof/>
          <w:lang w:val="sq-AL"/>
        </w:rPr>
        <w:fldChar w:fldCharType="separate"/>
      </w:r>
      <w:r w:rsidR="006A57F3">
        <w:rPr>
          <w:rFonts w:asciiTheme="majorHAnsi" w:hAnsiTheme="majorHAnsi"/>
          <w:noProof/>
          <w:lang w:val="sq-AL"/>
        </w:rPr>
        <w:t>35</w:t>
      </w:r>
      <w:r w:rsidR="00377806" w:rsidRPr="002E06C4">
        <w:rPr>
          <w:rFonts w:asciiTheme="majorHAnsi" w:hAnsiTheme="majorHAnsi"/>
          <w:noProof/>
          <w:lang w:val="sq-AL"/>
        </w:rPr>
        <w:fldChar w:fldCharType="end"/>
      </w:r>
      <w:r w:rsidRPr="002E06C4">
        <w:rPr>
          <w:rFonts w:asciiTheme="majorHAnsi" w:hAnsiTheme="majorHAnsi"/>
          <w:lang w:val="sq-AL"/>
        </w:rPr>
        <w:t xml:space="preserve"> S</w:t>
      </w:r>
      <w:r w:rsidRPr="002E06C4">
        <w:rPr>
          <w:rFonts w:asciiTheme="majorHAnsi" w:eastAsia="SimSun" w:hAnsiTheme="majorHAnsi" w:cs="Times New Roman"/>
          <w:i w:val="0"/>
          <w:lang w:val="sq-AL"/>
        </w:rPr>
        <w:t>hpenzimet Kapitale dhe burimi i</w:t>
      </w:r>
      <w:r w:rsidR="001F4829" w:rsidRPr="002E06C4">
        <w:rPr>
          <w:rFonts w:asciiTheme="majorHAnsi" w:eastAsia="SimSun" w:hAnsiTheme="majorHAnsi" w:cs="Times New Roman"/>
          <w:i w:val="0"/>
          <w:lang w:val="sq-AL"/>
        </w:rPr>
        <w:t xml:space="preserve"> financimit të tyre (në miliard</w:t>
      </w:r>
      <w:r w:rsidRPr="002E06C4">
        <w:rPr>
          <w:rFonts w:asciiTheme="majorHAnsi" w:eastAsia="SimSun" w:hAnsiTheme="majorHAnsi" w:cs="Times New Roman"/>
          <w:i w:val="0"/>
          <w:lang w:val="sq-AL"/>
        </w:rPr>
        <w:t xml:space="preserve"> </w:t>
      </w:r>
      <w:r w:rsidR="00801A1A" w:rsidRPr="002E06C4">
        <w:rPr>
          <w:rFonts w:asciiTheme="majorHAnsi" w:eastAsia="SimSun" w:hAnsiTheme="majorHAnsi" w:cs="Times New Roman"/>
          <w:i w:val="0"/>
          <w:lang w:val="sq-AL"/>
        </w:rPr>
        <w:t>lekë</w:t>
      </w:r>
      <w:r w:rsidRPr="002E06C4">
        <w:rPr>
          <w:rFonts w:asciiTheme="majorHAnsi" w:eastAsia="SimSun" w:hAnsiTheme="majorHAnsi" w:cs="Times New Roman"/>
          <w:i w:val="0"/>
          <w:lang w:val="sq-AL"/>
        </w:rPr>
        <w:t>)</w:t>
      </w:r>
      <w:bookmarkEnd w:id="127"/>
    </w:p>
    <w:p w14:paraId="22351650" w14:textId="77777777" w:rsidR="00AC045F" w:rsidRPr="002E06C4" w:rsidRDefault="008A2AE6" w:rsidP="000C7A4E">
      <w:pPr>
        <w:jc w:val="center"/>
        <w:rPr>
          <w:rFonts w:asciiTheme="majorHAnsi" w:eastAsia="SimSun" w:hAnsiTheme="majorHAnsi" w:cs="Times New Roman"/>
          <w:b/>
          <w:lang w:val="sq-AL"/>
        </w:rPr>
      </w:pPr>
      <w:r w:rsidRPr="002E06C4">
        <w:rPr>
          <w:noProof/>
        </w:rPr>
        <w:drawing>
          <wp:inline distT="0" distB="0" distL="0" distR="0" wp14:anchorId="205EAF70" wp14:editId="6B7D2F4E">
            <wp:extent cx="5613400" cy="2240280"/>
            <wp:effectExtent l="0" t="0" r="6350" b="762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9A5BB6C" w14:textId="77777777" w:rsidR="00AC045F" w:rsidRPr="002E06C4" w:rsidRDefault="00AC045F" w:rsidP="001F256B">
      <w:pPr>
        <w:ind w:left="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 xml:space="preserve">      Burimi: Ministria e Financave dhe Ekonomisë (2019)</w:t>
      </w:r>
    </w:p>
    <w:p w14:paraId="16141F90" w14:textId="77777777" w:rsidR="00AC045F" w:rsidRPr="002E06C4" w:rsidRDefault="00AC045F" w:rsidP="00AC045F">
      <w:pPr>
        <w:spacing w:before="240" w:line="276" w:lineRule="auto"/>
        <w:jc w:val="both"/>
        <w:rPr>
          <w:rFonts w:asciiTheme="majorHAnsi" w:eastAsia="SimSun" w:hAnsiTheme="majorHAnsi" w:cs="Times New Roman"/>
          <w:lang w:val="sq-AL"/>
        </w:rPr>
      </w:pPr>
      <w:bookmarkStart w:id="128" w:name="_Toc8810310"/>
      <w:r w:rsidRPr="002E06C4">
        <w:rPr>
          <w:rFonts w:asciiTheme="majorHAnsi" w:eastAsia="SimSun" w:hAnsiTheme="majorHAnsi" w:cs="Times New Roman"/>
          <w:lang w:val="sq-AL"/>
        </w:rPr>
        <w:t>Fondet buxhetore të alokuara për investime kanë prekur fushat më të rëndësishme të ekonomisë: Infrastruktura, Arsimi, Shëndetësia, Turizmi, Rendi dhe Siguria Publike etj. Realizimi i investimeve në total ka qenë në nivele të larta, veçanërisht për financimin e brendshëm. Kjo dëshmon për një menaxhim eficient të fondeve buxhetore nga ana e Ministrisë së Financave dhe Ekonomisë</w:t>
      </w:r>
      <w:r w:rsidR="00801A1A" w:rsidRPr="002E06C4">
        <w:rPr>
          <w:rFonts w:asciiTheme="majorHAnsi" w:eastAsia="SimSun" w:hAnsiTheme="majorHAnsi" w:cs="Times New Roman"/>
          <w:lang w:val="sq-AL"/>
        </w:rPr>
        <w:t>. Megjithat</w:t>
      </w:r>
      <w:r w:rsidR="00824B19" w:rsidRPr="002E06C4">
        <w:rPr>
          <w:rFonts w:asciiTheme="majorHAnsi" w:eastAsia="SimSun" w:hAnsiTheme="majorHAnsi" w:cs="Times New Roman"/>
          <w:lang w:val="sq-AL"/>
        </w:rPr>
        <w:t>ë</w:t>
      </w:r>
      <w:r w:rsidR="00801A1A" w:rsidRPr="002E06C4">
        <w:rPr>
          <w:rFonts w:asciiTheme="majorHAnsi" w:eastAsia="SimSun" w:hAnsiTheme="majorHAnsi" w:cs="Times New Roman"/>
          <w:lang w:val="sq-AL"/>
        </w:rPr>
        <w:t xml:space="preserve">, </w:t>
      </w:r>
      <w:r w:rsidR="00B33EAF" w:rsidRPr="002E06C4">
        <w:rPr>
          <w:rFonts w:asciiTheme="majorHAnsi" w:eastAsia="SimSun" w:hAnsiTheme="majorHAnsi" w:cs="Times New Roman"/>
          <w:lang w:val="sq-AL"/>
        </w:rPr>
        <w:t>diferencat n</w:t>
      </w:r>
      <w:r w:rsidR="00824B19" w:rsidRPr="002E06C4">
        <w:rPr>
          <w:rFonts w:asciiTheme="majorHAnsi" w:eastAsia="SimSun" w:hAnsiTheme="majorHAnsi" w:cs="Times New Roman"/>
          <w:lang w:val="sq-AL"/>
        </w:rPr>
        <w:t>ë</w:t>
      </w:r>
      <w:r w:rsidR="00B33EAF" w:rsidRPr="002E06C4">
        <w:rPr>
          <w:rFonts w:asciiTheme="majorHAnsi" w:eastAsia="SimSun" w:hAnsiTheme="majorHAnsi" w:cs="Times New Roman"/>
          <w:lang w:val="sq-AL"/>
        </w:rPr>
        <w:t xml:space="preserve"> realizimin me planin fillestar lidhen kryesisht me mos</w:t>
      </w:r>
      <w:r w:rsidRPr="002E06C4">
        <w:rPr>
          <w:rFonts w:asciiTheme="majorHAnsi" w:eastAsia="SimSun" w:hAnsiTheme="majorHAnsi" w:cs="Times New Roman"/>
          <w:lang w:val="sq-AL"/>
        </w:rPr>
        <w:t>realizimin në kohë të procedurave të prokurimit</w:t>
      </w:r>
      <w:r w:rsidR="00B33EAF" w:rsidRPr="002E06C4">
        <w:rPr>
          <w:rFonts w:asciiTheme="majorHAnsi" w:eastAsia="SimSun" w:hAnsiTheme="majorHAnsi" w:cs="Times New Roman"/>
          <w:lang w:val="sq-AL"/>
        </w:rPr>
        <w:t>, pavar</w:t>
      </w:r>
      <w:r w:rsidR="00824B19" w:rsidRPr="002E06C4">
        <w:rPr>
          <w:rFonts w:asciiTheme="majorHAnsi" w:eastAsia="SimSun" w:hAnsiTheme="majorHAnsi" w:cs="Times New Roman"/>
          <w:lang w:val="sq-AL"/>
        </w:rPr>
        <w:t>ë</w:t>
      </w:r>
      <w:r w:rsidR="00B33EAF" w:rsidRPr="002E06C4">
        <w:rPr>
          <w:rFonts w:asciiTheme="majorHAnsi" w:eastAsia="SimSun" w:hAnsiTheme="majorHAnsi" w:cs="Times New Roman"/>
          <w:lang w:val="sq-AL"/>
        </w:rPr>
        <w:t>sisht angazhimit nga institucionet buxhetore dhe p</w:t>
      </w:r>
      <w:r w:rsidR="00824B19" w:rsidRPr="002E06C4">
        <w:rPr>
          <w:rFonts w:asciiTheme="majorHAnsi" w:eastAsia="SimSun" w:hAnsiTheme="majorHAnsi" w:cs="Times New Roman"/>
          <w:lang w:val="sq-AL"/>
        </w:rPr>
        <w:t>ë</w:t>
      </w:r>
      <w:r w:rsidR="00B33EAF" w:rsidRPr="002E06C4">
        <w:rPr>
          <w:rFonts w:asciiTheme="majorHAnsi" w:eastAsia="SimSun" w:hAnsiTheme="majorHAnsi" w:cs="Times New Roman"/>
          <w:lang w:val="sq-AL"/>
        </w:rPr>
        <w:t>rmir</w:t>
      </w:r>
      <w:r w:rsidR="00824B19" w:rsidRPr="002E06C4">
        <w:rPr>
          <w:rFonts w:asciiTheme="majorHAnsi" w:eastAsia="SimSun" w:hAnsiTheme="majorHAnsi" w:cs="Times New Roman"/>
          <w:lang w:val="sq-AL"/>
        </w:rPr>
        <w:t>ë</w:t>
      </w:r>
      <w:r w:rsidR="00B33EAF" w:rsidRPr="002E06C4">
        <w:rPr>
          <w:rFonts w:asciiTheme="majorHAnsi" w:eastAsia="SimSun" w:hAnsiTheme="majorHAnsi" w:cs="Times New Roman"/>
          <w:lang w:val="sq-AL"/>
        </w:rPr>
        <w:t>simin e performanc</w:t>
      </w:r>
      <w:r w:rsidR="00824B19" w:rsidRPr="002E06C4">
        <w:rPr>
          <w:rFonts w:asciiTheme="majorHAnsi" w:eastAsia="SimSun" w:hAnsiTheme="majorHAnsi" w:cs="Times New Roman"/>
          <w:lang w:val="sq-AL"/>
        </w:rPr>
        <w:t>ë</w:t>
      </w:r>
      <w:r w:rsidR="00B33EAF" w:rsidRPr="002E06C4">
        <w:rPr>
          <w:rFonts w:asciiTheme="majorHAnsi" w:eastAsia="SimSun" w:hAnsiTheme="majorHAnsi" w:cs="Times New Roman"/>
          <w:lang w:val="sq-AL"/>
        </w:rPr>
        <w:t>s me rreth 15% n</w:t>
      </w:r>
      <w:r w:rsidR="00824B19" w:rsidRPr="002E06C4">
        <w:rPr>
          <w:rFonts w:asciiTheme="majorHAnsi" w:eastAsia="SimSun" w:hAnsiTheme="majorHAnsi" w:cs="Times New Roman"/>
          <w:lang w:val="sq-AL"/>
        </w:rPr>
        <w:t>ë</w:t>
      </w:r>
      <w:r w:rsidR="00B33EAF" w:rsidRPr="002E06C4">
        <w:rPr>
          <w:rFonts w:asciiTheme="majorHAnsi" w:eastAsia="SimSun" w:hAnsiTheme="majorHAnsi" w:cs="Times New Roman"/>
          <w:lang w:val="sq-AL"/>
        </w:rPr>
        <w:t xml:space="preserve"> krahasim me vitin paraardh</w:t>
      </w:r>
      <w:r w:rsidR="00824B19" w:rsidRPr="002E06C4">
        <w:rPr>
          <w:rFonts w:asciiTheme="majorHAnsi" w:eastAsia="SimSun" w:hAnsiTheme="majorHAnsi" w:cs="Times New Roman"/>
          <w:lang w:val="sq-AL"/>
        </w:rPr>
        <w:t>ë</w:t>
      </w:r>
      <w:r w:rsidR="00B33EAF" w:rsidRPr="002E06C4">
        <w:rPr>
          <w:rFonts w:asciiTheme="majorHAnsi" w:eastAsia="SimSun" w:hAnsiTheme="majorHAnsi" w:cs="Times New Roman"/>
          <w:lang w:val="sq-AL"/>
        </w:rPr>
        <w:t>s</w:t>
      </w:r>
      <w:r w:rsidRPr="002E06C4">
        <w:rPr>
          <w:rFonts w:asciiTheme="majorHAnsi" w:eastAsia="SimSun" w:hAnsiTheme="majorHAnsi" w:cs="Times New Roman"/>
          <w:lang w:val="sq-AL"/>
        </w:rPr>
        <w:t>.</w:t>
      </w:r>
      <w:r w:rsidR="00801A1A" w:rsidRPr="002E06C4">
        <w:rPr>
          <w:rFonts w:asciiTheme="majorHAnsi" w:eastAsia="SimSun" w:hAnsiTheme="majorHAnsi" w:cs="Times New Roman"/>
          <w:lang w:val="sq-AL"/>
        </w:rPr>
        <w:t xml:space="preserve"> </w:t>
      </w:r>
    </w:p>
    <w:p w14:paraId="1D0B9E6C" w14:textId="77777777" w:rsidR="00130577" w:rsidRPr="002E06C4" w:rsidRDefault="00AC045F" w:rsidP="00130577">
      <w:pPr>
        <w:spacing w:before="240" w:line="276" w:lineRule="auto"/>
        <w:jc w:val="both"/>
        <w:rPr>
          <w:rFonts w:asciiTheme="majorHAnsi" w:eastAsia="SimSun" w:hAnsiTheme="majorHAnsi" w:cs="Times New Roman"/>
          <w:highlight w:val="yellow"/>
          <w:lang w:val="sq-AL"/>
        </w:rPr>
      </w:pPr>
      <w:r w:rsidRPr="002E06C4">
        <w:rPr>
          <w:rFonts w:asciiTheme="majorHAnsi" w:eastAsia="SimSun" w:hAnsiTheme="majorHAnsi" w:cs="Times New Roman"/>
          <w:b/>
          <w:lang w:val="sq-AL"/>
        </w:rPr>
        <w:lastRenderedPageBreak/>
        <w:t>Projektet me financim të brendshëm</w:t>
      </w:r>
      <w:r w:rsidRPr="002E06C4">
        <w:rPr>
          <w:rFonts w:asciiTheme="majorHAnsi" w:eastAsia="SimSun" w:hAnsiTheme="majorHAnsi" w:cs="Times New Roman"/>
          <w:lang w:val="sq-AL"/>
        </w:rPr>
        <w:t xml:space="preserve"> janë realizuar mesatarisht në mbi 90%, nga të gjitha institucionet kryesore buxhetore. Rishikimet e kryera nëpërmjet </w:t>
      </w:r>
      <w:hyperlink r:id="rId48" w:history="1">
        <w:r w:rsidRPr="002E06C4">
          <w:rPr>
            <w:rFonts w:asciiTheme="majorHAnsi" w:eastAsia="SimSun" w:hAnsiTheme="majorHAnsi" w:cs="Times New Roman"/>
            <w:lang w:val="sq-AL"/>
          </w:rPr>
          <w:t>AN nr.1 datë 26.07.2018</w:t>
        </w:r>
      </w:hyperlink>
      <w:r w:rsidRPr="002E06C4">
        <w:rPr>
          <w:rFonts w:asciiTheme="majorHAnsi" w:eastAsia="SimSun" w:hAnsiTheme="majorHAnsi" w:cs="Times New Roman"/>
          <w:lang w:val="sq-AL"/>
        </w:rPr>
        <w:t xml:space="preserve"> dhe </w:t>
      </w:r>
      <w:hyperlink r:id="rId49" w:history="1">
        <w:r w:rsidRPr="002E06C4">
          <w:rPr>
            <w:rFonts w:asciiTheme="majorHAnsi" w:eastAsia="SimSun" w:hAnsiTheme="majorHAnsi" w:cs="Times New Roman"/>
            <w:lang w:val="sq-AL"/>
          </w:rPr>
          <w:t>AN nr.2 datë 19.12.2018</w:t>
        </w:r>
      </w:hyperlink>
      <w:r w:rsidRPr="002E06C4">
        <w:rPr>
          <w:rFonts w:asciiTheme="majorHAnsi" w:eastAsia="SimSun" w:hAnsiTheme="majorHAnsi" w:cs="Times New Roman"/>
          <w:lang w:val="sq-AL"/>
        </w:rPr>
        <w:t xml:space="preserve">, kanë synuar rialokimin e fondeve buxhetore, nga projektet me ecuri më të ulët, në ato me ecuri më të lartë. Me buxhetin e vitit 2018 </w:t>
      </w:r>
      <w:r w:rsidR="00130577" w:rsidRPr="002E06C4">
        <w:rPr>
          <w:rFonts w:asciiTheme="majorHAnsi" w:eastAsia="SimSun" w:hAnsiTheme="majorHAnsi" w:cs="Times New Roman"/>
          <w:b/>
          <w:lang w:val="sq-AL"/>
        </w:rPr>
        <w:t>vlerësohet të jenë rreth 111 kontrata investimesh të mbyllura dhe konkretisht:</w:t>
      </w:r>
      <w:r w:rsidR="00EB250F" w:rsidRPr="002E06C4">
        <w:rPr>
          <w:rFonts w:asciiTheme="majorHAnsi" w:eastAsia="SimSun" w:hAnsiTheme="majorHAnsi" w:cs="Times New Roman"/>
          <w:highlight w:val="yellow"/>
          <w:lang w:val="sq-AL"/>
        </w:rPr>
        <w:t xml:space="preserve"> </w:t>
      </w:r>
    </w:p>
    <w:p w14:paraId="61C9572B" w14:textId="77777777" w:rsidR="00130577" w:rsidRPr="002E06C4" w:rsidRDefault="00130577" w:rsidP="00130577">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Janë mbyllur 29 kontrata për investime (rikonstruksione dhe ndërtime) për shumë shkolla 9-vjeçare dhe të mesme në qytete të ndryshme në të gjithë vendin. </w:t>
      </w:r>
    </w:p>
    <w:p w14:paraId="042206D5" w14:textId="77777777" w:rsidR="00130577" w:rsidRPr="002E06C4" w:rsidRDefault="00130577" w:rsidP="00130577">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Janë mbyllur 6 kontrata të rëndësishme për rikonstruksione/ndërtime të bazave prodhuese në 6 shkolla profesionale në vend. </w:t>
      </w:r>
    </w:p>
    <w:p w14:paraId="286CD6AC" w14:textId="77777777" w:rsidR="00130577" w:rsidRPr="002E06C4" w:rsidRDefault="00130577" w:rsidP="00130577">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Janë mbyllur 18 kontrata punimesh të transportit rrugor që i takojnë akseve kryesore si Plepa-Kavajë-Rrogozhinë, Fushë Krujë-Milot-Morinë, Kardhiq-Delvinë etj.  </w:t>
      </w:r>
    </w:p>
    <w:p w14:paraId="72744E49" w14:textId="77777777" w:rsidR="00130577" w:rsidRPr="002E06C4" w:rsidRDefault="00130577" w:rsidP="00130577">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Janë mbyllur 11 kontrata për investime në ujësjellësa dhe kanalizime, një pjesë e të cilave në zona me rëndësi të veçantë turistike, si Golem dhe Gjirit i Lalzit. </w:t>
      </w:r>
    </w:p>
    <w:p w14:paraId="72EC437F" w14:textId="77777777" w:rsidR="00130577" w:rsidRPr="002E06C4" w:rsidRDefault="00130577" w:rsidP="00130577">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Gjithashtu janë realizuar 17 kontrata investimesh për argjinaturat e lumenjve dhe mbrojtjen prej tyre. Janë financuar rreth 16 kontrata të rëndësishme për Policinë e Shtetit dhe modernizimin e infrastrukturës që ka Garda në përdorim. </w:t>
      </w:r>
    </w:p>
    <w:p w14:paraId="6CE65E70" w14:textId="77777777" w:rsidR="00130577" w:rsidRPr="002E06C4" w:rsidRDefault="00130577" w:rsidP="00130577">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Janë financuar 3 projekte të rëndësishme për forcat e armatosura dhe Sistemet e Integruara të Vëzhgimit të Hapësirës Ajrore e Detare. Kanë përfunduar 11 projekte të rëndësishme në fushën e trashëgimisë kulturore ku veçojmë projektin “ Teatri i Ri Turbina”, hartimin e projektit për Rikonstruksionin e Muzeut Historik Kombëtar dhe hartimin i projektit për Galerinë e Arteve.</w:t>
      </w:r>
    </w:p>
    <w:p w14:paraId="5CC1DFE7" w14:textId="77777777" w:rsidR="00AC7CD6" w:rsidRPr="00AC7CD6" w:rsidRDefault="00AC7CD6" w:rsidP="00AC7CD6">
      <w:pPr>
        <w:spacing w:line="276" w:lineRule="auto"/>
        <w:jc w:val="both"/>
        <w:rPr>
          <w:rFonts w:asciiTheme="majorHAnsi" w:eastAsia="SimSun" w:hAnsiTheme="majorHAnsi" w:cs="Times New Roman"/>
          <w:b/>
          <w:sz w:val="8"/>
          <w:szCs w:val="12"/>
          <w:lang w:val="sq-AL"/>
        </w:rPr>
      </w:pPr>
    </w:p>
    <w:p w14:paraId="14B78C71" w14:textId="77777777" w:rsidR="00AC045F" w:rsidRPr="002E06C4" w:rsidRDefault="00AC045F" w:rsidP="00AC7CD6">
      <w:pPr>
        <w:spacing w:line="276" w:lineRule="auto"/>
        <w:jc w:val="both"/>
        <w:rPr>
          <w:rFonts w:asciiTheme="majorHAnsi" w:eastAsia="SimSun" w:hAnsiTheme="majorHAnsi" w:cs="Times New Roman"/>
          <w:lang w:val="sq-AL"/>
        </w:rPr>
      </w:pPr>
      <w:r w:rsidRPr="002E06C4">
        <w:rPr>
          <w:rFonts w:asciiTheme="majorHAnsi" w:eastAsia="SimSun" w:hAnsiTheme="majorHAnsi" w:cs="Times New Roman"/>
          <w:b/>
          <w:lang w:val="sq-AL"/>
        </w:rPr>
        <w:t>Për sa i përket financimit të huaj</w:t>
      </w:r>
      <w:r w:rsidRPr="002E06C4">
        <w:rPr>
          <w:rFonts w:asciiTheme="majorHAnsi" w:eastAsia="SimSun" w:hAnsiTheme="majorHAnsi" w:cs="Times New Roman"/>
          <w:lang w:val="sq-AL"/>
        </w:rPr>
        <w:t xml:space="preserve">, </w:t>
      </w:r>
      <w:r w:rsidR="00EB250F" w:rsidRPr="002E06C4">
        <w:rPr>
          <w:rFonts w:asciiTheme="majorHAnsi" w:eastAsia="SimSun" w:hAnsiTheme="majorHAnsi" w:cs="Times New Roman"/>
          <w:u w:val="single"/>
          <w:lang w:val="sq-AL"/>
        </w:rPr>
        <w:t>vetëm</w:t>
      </w:r>
      <w:r w:rsidR="00EB250F" w:rsidRPr="002E06C4">
        <w:rPr>
          <w:rFonts w:asciiTheme="majorHAnsi" w:eastAsia="SimSun" w:hAnsiTheme="majorHAnsi" w:cs="Times New Roman"/>
          <w:lang w:val="sq-AL"/>
        </w:rPr>
        <w:t xml:space="preserve"> </w:t>
      </w:r>
      <w:r w:rsidRPr="002E06C4">
        <w:rPr>
          <w:rFonts w:asciiTheme="majorHAnsi" w:eastAsia="SimSun" w:hAnsiTheme="majorHAnsi" w:cs="Times New Roman"/>
          <w:lang w:val="sq-AL"/>
        </w:rPr>
        <w:t xml:space="preserve">projektet e kredive janë realizuar në masën 96.4%. Këtu veçojmë fondet e akorduara për mbështetjen e sektorit energjetik të cilat janë realizuar në masën 95.1%. Nëpërmjet buxhetit për investime për vitin 2018, janë mbyllur edhe shumë kontrata në akse rrugore të rëndësishme si: </w:t>
      </w:r>
    </w:p>
    <w:p w14:paraId="609397A0" w14:textId="77777777" w:rsidR="00AC045F" w:rsidRPr="002E06C4" w:rsidRDefault="00AC045F" w:rsidP="00A2716B">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Plepa-Kavajë-Rrogozhinë, </w:t>
      </w:r>
    </w:p>
    <w:p w14:paraId="192CC765" w14:textId="77777777" w:rsidR="00AC045F" w:rsidRPr="002E06C4" w:rsidRDefault="00AC045F" w:rsidP="00A2716B">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Fushë Krujë-Milot-Morinë, </w:t>
      </w:r>
    </w:p>
    <w:p w14:paraId="65EA213D" w14:textId="77777777" w:rsidR="00AC045F" w:rsidRPr="002E06C4" w:rsidRDefault="00AC045F" w:rsidP="00A2716B">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Qafë Thanë-Lin-Pogradec, </w:t>
      </w:r>
    </w:p>
    <w:p w14:paraId="620A2029" w14:textId="77777777" w:rsidR="00AC045F" w:rsidRPr="002E06C4" w:rsidRDefault="00AC045F" w:rsidP="00A2716B">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Rrugët Lidhëse me Bregdetin Jon, </w:t>
      </w:r>
    </w:p>
    <w:p w14:paraId="3980C087" w14:textId="77777777" w:rsidR="00AC045F" w:rsidRPr="002E06C4" w:rsidRDefault="00AC045F" w:rsidP="00A2716B">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Elbasan-Banjë            dhe </w:t>
      </w:r>
    </w:p>
    <w:p w14:paraId="1B66C9A5" w14:textId="77777777" w:rsidR="00AC045F" w:rsidRPr="002E06C4" w:rsidRDefault="00AC045F" w:rsidP="00A2716B">
      <w:pPr>
        <w:numPr>
          <w:ilvl w:val="0"/>
          <w:numId w:val="3"/>
        </w:numPr>
        <w:ind w:left="630" w:hanging="450"/>
        <w:jc w:val="both"/>
        <w:rPr>
          <w:rFonts w:asciiTheme="majorHAnsi" w:hAnsiTheme="majorHAnsi" w:cs="Times New Roman"/>
          <w:bCs/>
          <w:i/>
          <w:iCs/>
          <w:lang w:val="sq-AL"/>
        </w:rPr>
      </w:pPr>
      <w:r w:rsidRPr="002E06C4">
        <w:rPr>
          <w:rFonts w:asciiTheme="majorHAnsi" w:hAnsiTheme="majorHAnsi" w:cs="Times New Roman"/>
          <w:bCs/>
          <w:i/>
          <w:iCs/>
          <w:lang w:val="sq-AL"/>
        </w:rPr>
        <w:t xml:space="preserve">Kardhiq-Delvinë. </w:t>
      </w:r>
    </w:p>
    <w:p w14:paraId="5152872C" w14:textId="77777777" w:rsidR="00130577" w:rsidRPr="002E06C4" w:rsidRDefault="00130577" w:rsidP="00D359FF">
      <w:pPr>
        <w:spacing w:line="276" w:lineRule="auto"/>
        <w:jc w:val="both"/>
        <w:rPr>
          <w:rFonts w:asciiTheme="majorHAnsi" w:eastAsia="SimSun" w:hAnsiTheme="majorHAnsi" w:cs="Times New Roman"/>
          <w:sz w:val="8"/>
          <w:szCs w:val="8"/>
          <w:lang w:val="sq-AL"/>
        </w:rPr>
      </w:pPr>
    </w:p>
    <w:p w14:paraId="661880B8" w14:textId="77777777" w:rsidR="00AC045F" w:rsidRPr="002E06C4" w:rsidRDefault="00AC045F" w:rsidP="00D359FF">
      <w:pPr>
        <w:spacing w:line="276" w:lineRule="auto"/>
        <w:jc w:val="both"/>
        <w:rPr>
          <w:rFonts w:asciiTheme="majorHAnsi" w:eastAsia="SimSun" w:hAnsiTheme="majorHAnsi" w:cs="Times New Roman"/>
          <w:lang w:val="sq-AL"/>
        </w:rPr>
      </w:pPr>
      <w:r w:rsidRPr="002E06C4">
        <w:rPr>
          <w:rFonts w:asciiTheme="majorHAnsi" w:eastAsia="SimSun" w:hAnsiTheme="majorHAnsi" w:cs="Times New Roman"/>
          <w:lang w:val="sq-AL"/>
        </w:rPr>
        <w:t xml:space="preserve">Investime të konsiderueshme ka patur </w:t>
      </w:r>
      <w:r w:rsidRPr="002E06C4">
        <w:rPr>
          <w:rFonts w:asciiTheme="majorHAnsi" w:eastAsia="SimSun" w:hAnsiTheme="majorHAnsi" w:cs="Times New Roman"/>
          <w:b/>
          <w:lang w:val="sq-AL"/>
        </w:rPr>
        <w:t>edhe në sektorin e Ujësjellës-Kanalizimeve, duke mundësuar</w:t>
      </w:r>
      <w:r w:rsidRPr="002E06C4">
        <w:rPr>
          <w:rFonts w:asciiTheme="majorHAnsi" w:eastAsia="SimSun" w:hAnsiTheme="majorHAnsi" w:cs="Times New Roman"/>
          <w:lang w:val="sq-AL"/>
        </w:rPr>
        <w:t xml:space="preserve"> furnizimin me ujë në shumë zona, një pjesë e të cilave me rëndësi të veçantë turistike, si Golem dhe Gjirit i Lalzit. Gjithashtu janë realizuar disa projekte investimesh për argjinaturat e lumenjve dhe mbrojtjen prej tyre.</w:t>
      </w:r>
    </w:p>
    <w:bookmarkEnd w:id="128"/>
    <w:p w14:paraId="550EF599" w14:textId="77777777" w:rsidR="00AC045F" w:rsidRPr="00AC7CD6" w:rsidRDefault="00AC045F" w:rsidP="00AC045F">
      <w:pPr>
        <w:rPr>
          <w:rFonts w:asciiTheme="majorHAnsi" w:hAnsiTheme="majorHAnsi" w:cs="Times New Roman"/>
          <w:i/>
          <w:sz w:val="16"/>
          <w:lang w:val="sq-AL"/>
        </w:rPr>
      </w:pPr>
    </w:p>
    <w:p w14:paraId="39F0D7DB" w14:textId="77777777" w:rsidR="00AC045F" w:rsidRPr="002E06C4" w:rsidRDefault="006E4EB6" w:rsidP="002B34A1">
      <w:pPr>
        <w:pStyle w:val="Heading2"/>
        <w:numPr>
          <w:ilvl w:val="1"/>
          <w:numId w:val="4"/>
        </w:numPr>
        <w:ind w:left="630" w:hanging="630"/>
        <w:rPr>
          <w:rFonts w:cs="Times New Roman"/>
          <w:noProof/>
          <w:color w:val="4F81BD" w:themeColor="accent1"/>
          <w:lang w:val="sq-AL"/>
        </w:rPr>
      </w:pPr>
      <w:bookmarkStart w:id="129" w:name="_Toc10033279"/>
      <w:bookmarkStart w:id="130" w:name="_Toc10721416"/>
      <w:bookmarkStart w:id="131" w:name="_Toc11134222"/>
      <w:r w:rsidRPr="002E06C4">
        <w:rPr>
          <w:rFonts w:cs="Times New Roman"/>
          <w:noProof/>
          <w:color w:val="4F81BD" w:themeColor="accent1"/>
          <w:lang w:val="sq-AL"/>
        </w:rPr>
        <w:t>Shp</w:t>
      </w:r>
      <w:r w:rsidR="005C6E2E" w:rsidRPr="002E06C4">
        <w:rPr>
          <w:rFonts w:cs="Times New Roman"/>
          <w:noProof/>
          <w:color w:val="4F81BD" w:themeColor="accent1"/>
          <w:lang w:val="sq-AL"/>
        </w:rPr>
        <w:t>e</w:t>
      </w:r>
      <w:r w:rsidRPr="002E06C4">
        <w:rPr>
          <w:rFonts w:cs="Times New Roman"/>
          <w:noProof/>
          <w:color w:val="4F81BD" w:themeColor="accent1"/>
          <w:lang w:val="sq-AL"/>
        </w:rPr>
        <w:t>nzimet sipas natyr</w:t>
      </w:r>
      <w:r w:rsidR="00C33B16" w:rsidRPr="002E06C4">
        <w:rPr>
          <w:rFonts w:cs="Times New Roman"/>
          <w:noProof/>
          <w:color w:val="4F81BD" w:themeColor="accent1"/>
          <w:lang w:val="sq-AL"/>
        </w:rPr>
        <w:t>ë</w:t>
      </w:r>
      <w:r w:rsidRPr="002E06C4">
        <w:rPr>
          <w:rFonts w:cs="Times New Roman"/>
          <w:noProof/>
          <w:color w:val="4F81BD" w:themeColor="accent1"/>
          <w:lang w:val="sq-AL"/>
        </w:rPr>
        <w:t>s funksionale</w:t>
      </w:r>
      <w:bookmarkEnd w:id="129"/>
      <w:bookmarkEnd w:id="130"/>
      <w:bookmarkEnd w:id="131"/>
    </w:p>
    <w:p w14:paraId="6795CE43" w14:textId="77777777" w:rsidR="00EF645B" w:rsidRPr="002E06C4" w:rsidRDefault="00EF645B" w:rsidP="00AC7CD6">
      <w:pPr>
        <w:jc w:val="both"/>
        <w:rPr>
          <w:rFonts w:asciiTheme="majorHAnsi" w:eastAsia="SimSun" w:hAnsiTheme="majorHAnsi" w:cs="Times New Roman"/>
          <w:lang w:val="sq-AL"/>
        </w:rPr>
      </w:pPr>
      <w:r w:rsidRPr="002E06C4">
        <w:rPr>
          <w:rFonts w:asciiTheme="majorHAnsi" w:eastAsia="SimSun" w:hAnsiTheme="majorHAnsi" w:cs="Times New Roman"/>
          <w:lang w:val="sq-AL"/>
        </w:rPr>
        <w:t>Sektori me pesh</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n m</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lart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n</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shpenzimet buxhetore </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sht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mbrojtja sociale, me 32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rqind 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shpenzimeve 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rgjithshme publike n</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vitin 2018, e dominuar nga shpenzimet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 fondin e pensioneve si edhe programet n</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mb</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shtetje 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familjeve dhe individ</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ve n</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nevoj</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(ndihma ekonomike dhe aft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sia e kufizuar). Arsimi dhe sh</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ndet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sia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rb</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jn</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rkat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sisht 11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rqind dhe 10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rqind 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shpenzimeve 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rgjithshme publike n</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vitin 2018. </w:t>
      </w:r>
      <w:r w:rsidR="00810C22" w:rsidRPr="002E06C4">
        <w:rPr>
          <w:rFonts w:asciiTheme="majorHAnsi" w:eastAsia="SimSun" w:hAnsiTheme="majorHAnsi" w:cs="Times New Roman"/>
          <w:lang w:val="sq-AL"/>
        </w:rPr>
        <w:t>Ç</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shtjet ekonomike dhe strehimi dhe komoditetet e komunitetit (ku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rfshihen infrastruktura rrugore, uj</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sjell</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s kanalizime, mbetjet urbane si dhe planifikimi urban) z</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n</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rkat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sisht 11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rqind dhe 10% 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shpenzimeve 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rgjithshme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 vitin 2018. Shpenzimet e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rgjithshme publike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rb</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jn</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18% t</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buxhetit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 vitin 2018, p</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rfshir</w:t>
      </w:r>
      <w:r w:rsidR="00C33B16" w:rsidRPr="002E06C4">
        <w:rPr>
          <w:rFonts w:asciiTheme="majorHAnsi" w:eastAsia="SimSun" w:hAnsiTheme="majorHAnsi" w:cs="Times New Roman"/>
          <w:lang w:val="sq-AL"/>
        </w:rPr>
        <w:t>ë</w:t>
      </w:r>
      <w:r w:rsidRPr="002E06C4">
        <w:rPr>
          <w:rFonts w:asciiTheme="majorHAnsi" w:eastAsia="SimSun" w:hAnsiTheme="majorHAnsi" w:cs="Times New Roman"/>
          <w:lang w:val="sq-AL"/>
        </w:rPr>
        <w:t xml:space="preserve"> edhe pagesat e borxhit. </w:t>
      </w:r>
    </w:p>
    <w:p w14:paraId="7916DB25" w14:textId="77777777" w:rsidR="00C87F41" w:rsidRPr="002E06C4" w:rsidRDefault="006D577E" w:rsidP="006D577E">
      <w:pPr>
        <w:pStyle w:val="Caption"/>
        <w:spacing w:after="0"/>
        <w:rPr>
          <w:rFonts w:asciiTheme="majorHAnsi" w:hAnsiTheme="majorHAnsi" w:cs="Times New Roman"/>
          <w:lang w:val="sq-AL"/>
        </w:rPr>
      </w:pPr>
      <w:bookmarkStart w:id="132" w:name="_Toc11135125"/>
      <w:r>
        <w:lastRenderedPageBreak/>
        <w:t xml:space="preserve">Tabela </w:t>
      </w:r>
      <w:r w:rsidR="003D3813">
        <w:fldChar w:fldCharType="begin"/>
      </w:r>
      <w:r w:rsidR="003D3813">
        <w:instrText xml:space="preserve"> SEQ Tabela \* ARABIC </w:instrText>
      </w:r>
      <w:r w:rsidR="003D3813">
        <w:fldChar w:fldCharType="separate"/>
      </w:r>
      <w:r w:rsidR="006A57F3">
        <w:rPr>
          <w:noProof/>
        </w:rPr>
        <w:t>11</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Shpenzimet sipas funksionit</w:t>
      </w:r>
      <w:bookmarkEnd w:id="132"/>
    </w:p>
    <w:tbl>
      <w:tblPr>
        <w:tblStyle w:val="GridTable4-Accent51"/>
        <w:tblW w:w="5056" w:type="pct"/>
        <w:jc w:val="center"/>
        <w:tblLook w:val="04A0" w:firstRow="1" w:lastRow="0" w:firstColumn="1" w:lastColumn="0" w:noHBand="0" w:noVBand="1"/>
      </w:tblPr>
      <w:tblGrid>
        <w:gridCol w:w="450"/>
        <w:gridCol w:w="3448"/>
        <w:gridCol w:w="883"/>
        <w:gridCol w:w="748"/>
        <w:gridCol w:w="883"/>
        <w:gridCol w:w="809"/>
        <w:gridCol w:w="1292"/>
        <w:gridCol w:w="1042"/>
        <w:gridCol w:w="1038"/>
      </w:tblGrid>
      <w:tr w:rsidR="005139C5" w:rsidRPr="002E06C4" w14:paraId="72143B7C" w14:textId="77777777" w:rsidTr="005139C5">
        <w:trPr>
          <w:cnfStyle w:val="100000000000" w:firstRow="1" w:lastRow="0" w:firstColumn="0" w:lastColumn="0" w:oddVBand="0" w:evenVBand="0" w:oddHBand="0"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7CE20F7A" w14:textId="77777777" w:rsidR="005A0F02" w:rsidRPr="002E06C4" w:rsidRDefault="005A0F02" w:rsidP="005A0F02">
            <w:pPr>
              <w:rPr>
                <w:rFonts w:asciiTheme="majorHAnsi" w:eastAsia="Times New Roman" w:hAnsiTheme="majorHAnsi" w:cs="Calibri"/>
                <w:color w:val="FFFFFF"/>
                <w:sz w:val="16"/>
                <w:szCs w:val="16"/>
                <w:lang w:val="sq-AL"/>
              </w:rPr>
            </w:pPr>
            <w:r w:rsidRPr="002E06C4">
              <w:rPr>
                <w:rFonts w:asciiTheme="majorHAnsi" w:eastAsia="Times New Roman" w:hAnsiTheme="majorHAnsi" w:cs="Calibri"/>
                <w:color w:val="FFFFFF"/>
                <w:sz w:val="16"/>
                <w:szCs w:val="16"/>
                <w:lang w:val="sq-AL"/>
              </w:rPr>
              <w:t> </w:t>
            </w:r>
          </w:p>
        </w:tc>
        <w:tc>
          <w:tcPr>
            <w:tcW w:w="1627" w:type="pct"/>
            <w:hideMark/>
          </w:tcPr>
          <w:p w14:paraId="0778B109" w14:textId="77777777" w:rsidR="005A0F02" w:rsidRPr="002E06C4" w:rsidRDefault="005A0F02" w:rsidP="005A0F0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p>
        </w:tc>
        <w:tc>
          <w:tcPr>
            <w:tcW w:w="417" w:type="pct"/>
            <w:hideMark/>
          </w:tcPr>
          <w:p w14:paraId="3C2C6788" w14:textId="77777777" w:rsidR="00C2766F" w:rsidRPr="002E06C4" w:rsidRDefault="00C2766F"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p>
          <w:p w14:paraId="0E8CAE44" w14:textId="77777777" w:rsidR="005A0F02" w:rsidRPr="002E06C4" w:rsidRDefault="005A0F02"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r w:rsidRPr="002E06C4">
              <w:rPr>
                <w:rFonts w:asciiTheme="majorHAnsi" w:eastAsia="Times New Roman" w:hAnsiTheme="majorHAnsi" w:cs="Calibri"/>
                <w:color w:val="FFFFFF"/>
                <w:sz w:val="18"/>
                <w:szCs w:val="16"/>
                <w:lang w:val="sq-AL"/>
              </w:rPr>
              <w:t>2018 (plan)</w:t>
            </w:r>
          </w:p>
        </w:tc>
        <w:tc>
          <w:tcPr>
            <w:tcW w:w="353" w:type="pct"/>
            <w:hideMark/>
          </w:tcPr>
          <w:p w14:paraId="460622B8" w14:textId="77777777" w:rsidR="005A0F02" w:rsidRPr="002E06C4" w:rsidRDefault="005A0F02"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r w:rsidRPr="002E06C4">
              <w:rPr>
                <w:rFonts w:asciiTheme="majorHAnsi" w:eastAsia="Times New Roman" w:hAnsiTheme="majorHAnsi" w:cs="Calibri"/>
                <w:color w:val="FFFFFF"/>
                <w:sz w:val="18"/>
                <w:szCs w:val="16"/>
                <w:lang w:val="sq-AL"/>
              </w:rPr>
              <w:t>Plani nē % ndaj totalit</w:t>
            </w:r>
          </w:p>
        </w:tc>
        <w:tc>
          <w:tcPr>
            <w:tcW w:w="417" w:type="pct"/>
            <w:hideMark/>
          </w:tcPr>
          <w:p w14:paraId="746ED9A3" w14:textId="77777777" w:rsidR="00C2766F" w:rsidRPr="002E06C4" w:rsidRDefault="00C2766F"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p>
          <w:p w14:paraId="5BA03886" w14:textId="77777777" w:rsidR="005A0F02" w:rsidRPr="002E06C4" w:rsidRDefault="005A0F02"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r w:rsidRPr="002E06C4">
              <w:rPr>
                <w:rFonts w:asciiTheme="majorHAnsi" w:eastAsia="Times New Roman" w:hAnsiTheme="majorHAnsi" w:cs="Calibri"/>
                <w:color w:val="FFFFFF"/>
                <w:sz w:val="18"/>
                <w:szCs w:val="16"/>
                <w:lang w:val="sq-AL"/>
              </w:rPr>
              <w:t>2018 (fakt)</w:t>
            </w:r>
          </w:p>
        </w:tc>
        <w:tc>
          <w:tcPr>
            <w:tcW w:w="382" w:type="pct"/>
            <w:hideMark/>
          </w:tcPr>
          <w:p w14:paraId="2CA565B1" w14:textId="77777777" w:rsidR="00C2766F" w:rsidRPr="002E06C4" w:rsidRDefault="00C2766F"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r w:rsidRPr="002E06C4">
              <w:rPr>
                <w:rFonts w:asciiTheme="majorHAnsi" w:eastAsia="Times New Roman" w:hAnsiTheme="majorHAnsi" w:cs="Calibri"/>
                <w:color w:val="FFFFFF"/>
                <w:sz w:val="18"/>
                <w:szCs w:val="16"/>
                <w:lang w:val="sq-AL"/>
              </w:rPr>
              <w:t>F</w:t>
            </w:r>
            <w:r w:rsidR="005A0F02" w:rsidRPr="002E06C4">
              <w:rPr>
                <w:rFonts w:asciiTheme="majorHAnsi" w:eastAsia="Times New Roman" w:hAnsiTheme="majorHAnsi" w:cs="Calibri"/>
                <w:color w:val="FFFFFF"/>
                <w:sz w:val="18"/>
                <w:szCs w:val="16"/>
                <w:lang w:val="sq-AL"/>
              </w:rPr>
              <w:t>akt</w:t>
            </w:r>
            <w:r w:rsidRPr="002E06C4">
              <w:rPr>
                <w:rFonts w:asciiTheme="majorHAnsi" w:eastAsia="Times New Roman" w:hAnsiTheme="majorHAnsi" w:cs="Calibri"/>
                <w:color w:val="FFFFFF"/>
                <w:sz w:val="18"/>
                <w:szCs w:val="16"/>
                <w:lang w:val="sq-AL"/>
              </w:rPr>
              <w:t>i</w:t>
            </w:r>
          </w:p>
          <w:p w14:paraId="603AF830" w14:textId="77777777" w:rsidR="005A0F02" w:rsidRPr="002E06C4" w:rsidRDefault="00C2766F"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r w:rsidRPr="002E06C4">
              <w:rPr>
                <w:rFonts w:asciiTheme="majorHAnsi" w:eastAsia="Times New Roman" w:hAnsiTheme="majorHAnsi" w:cs="Calibri"/>
                <w:color w:val="FFFFFF"/>
                <w:sz w:val="18"/>
                <w:szCs w:val="16"/>
                <w:lang w:val="sq-AL"/>
              </w:rPr>
              <w:t>nē % ndaj totalit</w:t>
            </w:r>
          </w:p>
        </w:tc>
        <w:tc>
          <w:tcPr>
            <w:tcW w:w="610" w:type="pct"/>
            <w:hideMark/>
          </w:tcPr>
          <w:p w14:paraId="51502ED1" w14:textId="77777777" w:rsidR="00C2766F" w:rsidRPr="002E06C4" w:rsidRDefault="00C2766F"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p>
          <w:p w14:paraId="0C20D88D" w14:textId="77777777" w:rsidR="005A0F02" w:rsidRPr="002E06C4" w:rsidRDefault="005A0F02"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r w:rsidRPr="002E06C4">
              <w:rPr>
                <w:rFonts w:asciiTheme="majorHAnsi" w:eastAsia="Times New Roman" w:hAnsiTheme="majorHAnsi" w:cs="Calibri"/>
                <w:color w:val="FFFFFF"/>
                <w:sz w:val="18"/>
                <w:szCs w:val="16"/>
                <w:lang w:val="sq-AL"/>
              </w:rPr>
              <w:t>2018 (fakt i korrigjuar)**</w:t>
            </w:r>
          </w:p>
        </w:tc>
        <w:tc>
          <w:tcPr>
            <w:tcW w:w="492" w:type="pct"/>
            <w:hideMark/>
          </w:tcPr>
          <w:p w14:paraId="63205DC8" w14:textId="77777777" w:rsidR="005A0F02" w:rsidRPr="002E06C4" w:rsidRDefault="00C2766F"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r w:rsidRPr="002E06C4">
              <w:rPr>
                <w:rFonts w:asciiTheme="majorHAnsi" w:eastAsia="Times New Roman" w:hAnsiTheme="majorHAnsi" w:cs="Calibri"/>
                <w:color w:val="FFFFFF"/>
                <w:sz w:val="18"/>
                <w:szCs w:val="16"/>
                <w:lang w:val="sq-AL"/>
              </w:rPr>
              <w:t>F</w:t>
            </w:r>
            <w:r w:rsidR="005A0F02" w:rsidRPr="002E06C4">
              <w:rPr>
                <w:rFonts w:asciiTheme="majorHAnsi" w:eastAsia="Times New Roman" w:hAnsiTheme="majorHAnsi" w:cs="Calibri"/>
                <w:color w:val="FFFFFF"/>
                <w:sz w:val="18"/>
                <w:szCs w:val="16"/>
                <w:lang w:val="sq-AL"/>
              </w:rPr>
              <w:t>akt</w:t>
            </w:r>
            <w:r w:rsidRPr="002E06C4">
              <w:rPr>
                <w:rFonts w:asciiTheme="majorHAnsi" w:eastAsia="Times New Roman" w:hAnsiTheme="majorHAnsi" w:cs="Calibri"/>
                <w:color w:val="FFFFFF"/>
                <w:sz w:val="18"/>
                <w:szCs w:val="16"/>
                <w:lang w:val="sq-AL"/>
              </w:rPr>
              <w:t>i</w:t>
            </w:r>
            <w:r w:rsidR="005A0F02" w:rsidRPr="002E06C4">
              <w:rPr>
                <w:rFonts w:asciiTheme="majorHAnsi" w:eastAsia="Times New Roman" w:hAnsiTheme="majorHAnsi" w:cs="Calibri"/>
                <w:b w:val="0"/>
                <w:bCs w:val="0"/>
                <w:color w:val="FFFFFF"/>
                <w:sz w:val="18"/>
                <w:szCs w:val="16"/>
                <w:lang w:val="sq-AL"/>
              </w:rPr>
              <w:t xml:space="preserve"> </w:t>
            </w:r>
            <w:r w:rsidRPr="002E06C4">
              <w:rPr>
                <w:rFonts w:asciiTheme="majorHAnsi" w:eastAsia="Times New Roman" w:hAnsiTheme="majorHAnsi" w:cs="Calibri"/>
                <w:b w:val="0"/>
                <w:bCs w:val="0"/>
                <w:color w:val="FFFFFF"/>
                <w:sz w:val="18"/>
                <w:szCs w:val="16"/>
                <w:lang w:val="sq-AL"/>
              </w:rPr>
              <w:t>i</w:t>
            </w:r>
            <w:r w:rsidR="005A0F02" w:rsidRPr="002E06C4">
              <w:rPr>
                <w:rFonts w:asciiTheme="majorHAnsi" w:eastAsia="Times New Roman" w:hAnsiTheme="majorHAnsi" w:cs="Calibri"/>
                <w:b w:val="0"/>
                <w:bCs w:val="0"/>
                <w:color w:val="FFFFFF"/>
                <w:sz w:val="18"/>
                <w:szCs w:val="16"/>
                <w:lang w:val="sq-AL"/>
              </w:rPr>
              <w:t xml:space="preserve"> </w:t>
            </w:r>
            <w:r w:rsidR="005A0F02" w:rsidRPr="002E06C4">
              <w:rPr>
                <w:rFonts w:asciiTheme="majorHAnsi" w:eastAsia="Times New Roman" w:hAnsiTheme="majorHAnsi" w:cs="Calibri"/>
                <w:color w:val="FFFFFF"/>
                <w:sz w:val="18"/>
                <w:szCs w:val="16"/>
                <w:lang w:val="sq-AL"/>
              </w:rPr>
              <w:t>korrigjuar (në % ndaj totalit)</w:t>
            </w:r>
          </w:p>
        </w:tc>
        <w:tc>
          <w:tcPr>
            <w:tcW w:w="490" w:type="pct"/>
            <w:hideMark/>
          </w:tcPr>
          <w:p w14:paraId="6BBAA336" w14:textId="77777777" w:rsidR="005A0F02" w:rsidRPr="002E06C4" w:rsidRDefault="00C2766F" w:rsidP="00C2766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8"/>
                <w:szCs w:val="16"/>
                <w:lang w:val="sq-AL"/>
              </w:rPr>
            </w:pPr>
            <w:r w:rsidRPr="002E06C4">
              <w:rPr>
                <w:rFonts w:asciiTheme="majorHAnsi" w:eastAsia="Times New Roman" w:hAnsiTheme="majorHAnsi" w:cs="Calibri"/>
                <w:color w:val="FFFFFF"/>
                <w:sz w:val="18"/>
                <w:szCs w:val="16"/>
                <w:lang w:val="sq-AL"/>
              </w:rPr>
              <w:t>F</w:t>
            </w:r>
            <w:r w:rsidR="005A0F02" w:rsidRPr="002E06C4">
              <w:rPr>
                <w:rFonts w:asciiTheme="majorHAnsi" w:eastAsia="Times New Roman" w:hAnsiTheme="majorHAnsi" w:cs="Calibri"/>
                <w:color w:val="FFFFFF"/>
                <w:sz w:val="18"/>
                <w:szCs w:val="16"/>
                <w:lang w:val="sq-AL"/>
              </w:rPr>
              <w:t>akti</w:t>
            </w:r>
            <w:r w:rsidRPr="002E06C4">
              <w:rPr>
                <w:rFonts w:asciiTheme="majorHAnsi" w:eastAsia="Times New Roman" w:hAnsiTheme="majorHAnsi" w:cs="Calibri"/>
                <w:color w:val="FFFFFF"/>
                <w:sz w:val="18"/>
                <w:szCs w:val="16"/>
                <w:lang w:val="sq-AL"/>
              </w:rPr>
              <w:t xml:space="preserve"> </w:t>
            </w:r>
            <w:r w:rsidR="005A0F02" w:rsidRPr="002E06C4">
              <w:rPr>
                <w:rFonts w:asciiTheme="majorHAnsi" w:eastAsia="Times New Roman" w:hAnsiTheme="majorHAnsi" w:cs="Calibri"/>
                <w:color w:val="FFFFFF"/>
                <w:sz w:val="18"/>
                <w:szCs w:val="16"/>
                <w:lang w:val="sq-AL"/>
              </w:rPr>
              <w:t xml:space="preserve">i korrigjuar </w:t>
            </w:r>
            <w:r w:rsidRPr="002E06C4">
              <w:rPr>
                <w:rFonts w:asciiTheme="majorHAnsi" w:eastAsia="Times New Roman" w:hAnsiTheme="majorHAnsi" w:cs="Calibri"/>
                <w:color w:val="FFFFFF"/>
                <w:sz w:val="18"/>
                <w:szCs w:val="16"/>
                <w:lang w:val="sq-AL"/>
              </w:rPr>
              <w:t>(</w:t>
            </w:r>
            <w:r w:rsidR="005A0F02" w:rsidRPr="002E06C4">
              <w:rPr>
                <w:rFonts w:asciiTheme="majorHAnsi" w:eastAsia="Times New Roman" w:hAnsiTheme="majorHAnsi" w:cs="Calibri"/>
                <w:color w:val="FFFFFF"/>
                <w:sz w:val="18"/>
                <w:szCs w:val="16"/>
                <w:lang w:val="sq-AL"/>
              </w:rPr>
              <w:t>nê % tē planit)</w:t>
            </w:r>
          </w:p>
        </w:tc>
      </w:tr>
      <w:tr w:rsidR="005139C5" w:rsidRPr="002E06C4" w14:paraId="12F1F3A9" w14:textId="77777777" w:rsidTr="005139C5">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0D3B0168"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w:t>
            </w:r>
          </w:p>
        </w:tc>
        <w:tc>
          <w:tcPr>
            <w:tcW w:w="1627" w:type="pct"/>
            <w:hideMark/>
          </w:tcPr>
          <w:p w14:paraId="2BB1A1EA" w14:textId="77777777" w:rsidR="005A0F02" w:rsidRPr="002E06C4" w:rsidRDefault="005A0F02" w:rsidP="005A0F0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Sherbimet e Pergjithshme Publike</w:t>
            </w:r>
          </w:p>
        </w:tc>
        <w:tc>
          <w:tcPr>
            <w:tcW w:w="417" w:type="pct"/>
            <w:noWrap/>
            <w:hideMark/>
          </w:tcPr>
          <w:p w14:paraId="589D4B26"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36 979</w:t>
            </w:r>
          </w:p>
        </w:tc>
        <w:tc>
          <w:tcPr>
            <w:tcW w:w="353" w:type="pct"/>
            <w:noWrap/>
            <w:hideMark/>
          </w:tcPr>
          <w:p w14:paraId="2558D30A"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7%</w:t>
            </w:r>
          </w:p>
        </w:tc>
        <w:tc>
          <w:tcPr>
            <w:tcW w:w="417" w:type="pct"/>
            <w:noWrap/>
            <w:hideMark/>
          </w:tcPr>
          <w:p w14:paraId="5BA4DF21"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86 132</w:t>
            </w:r>
          </w:p>
        </w:tc>
        <w:tc>
          <w:tcPr>
            <w:tcW w:w="382" w:type="pct"/>
            <w:noWrap/>
            <w:hideMark/>
          </w:tcPr>
          <w:p w14:paraId="5F10CD2D"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18%</w:t>
            </w:r>
          </w:p>
        </w:tc>
        <w:tc>
          <w:tcPr>
            <w:tcW w:w="610" w:type="pct"/>
            <w:noWrap/>
            <w:hideMark/>
          </w:tcPr>
          <w:p w14:paraId="229C2F89"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40 192</w:t>
            </w:r>
          </w:p>
        </w:tc>
        <w:tc>
          <w:tcPr>
            <w:tcW w:w="492" w:type="pct"/>
            <w:noWrap/>
            <w:hideMark/>
          </w:tcPr>
          <w:p w14:paraId="5CD85BBB"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10%</w:t>
            </w:r>
          </w:p>
        </w:tc>
        <w:tc>
          <w:tcPr>
            <w:tcW w:w="490" w:type="pct"/>
            <w:noWrap/>
            <w:hideMark/>
          </w:tcPr>
          <w:p w14:paraId="73440147"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109%</w:t>
            </w:r>
          </w:p>
        </w:tc>
      </w:tr>
      <w:tr w:rsidR="005139C5" w:rsidRPr="002E06C4" w14:paraId="1834362E" w14:textId="77777777" w:rsidTr="005139C5">
        <w:trPr>
          <w:trHeight w:val="46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671D5F67"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2</w:t>
            </w:r>
          </w:p>
        </w:tc>
        <w:tc>
          <w:tcPr>
            <w:tcW w:w="1627" w:type="pct"/>
            <w:hideMark/>
          </w:tcPr>
          <w:p w14:paraId="6CE1D76B" w14:textId="77777777" w:rsidR="005A0F02" w:rsidRPr="002E06C4" w:rsidRDefault="005A0F02" w:rsidP="005A0F0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Mbrojtja</w:t>
            </w:r>
          </w:p>
        </w:tc>
        <w:tc>
          <w:tcPr>
            <w:tcW w:w="417" w:type="pct"/>
            <w:noWrap/>
            <w:hideMark/>
          </w:tcPr>
          <w:p w14:paraId="2F121E61"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11 671</w:t>
            </w:r>
          </w:p>
        </w:tc>
        <w:tc>
          <w:tcPr>
            <w:tcW w:w="353" w:type="pct"/>
            <w:noWrap/>
            <w:hideMark/>
          </w:tcPr>
          <w:p w14:paraId="6524487A"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2%</w:t>
            </w:r>
          </w:p>
        </w:tc>
        <w:tc>
          <w:tcPr>
            <w:tcW w:w="417" w:type="pct"/>
            <w:noWrap/>
            <w:hideMark/>
          </w:tcPr>
          <w:p w14:paraId="3BFD56F9"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11 109</w:t>
            </w:r>
          </w:p>
        </w:tc>
        <w:tc>
          <w:tcPr>
            <w:tcW w:w="382" w:type="pct"/>
            <w:noWrap/>
            <w:hideMark/>
          </w:tcPr>
          <w:p w14:paraId="00FE6275"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2%</w:t>
            </w:r>
          </w:p>
        </w:tc>
        <w:tc>
          <w:tcPr>
            <w:tcW w:w="610" w:type="pct"/>
            <w:noWrap/>
            <w:hideMark/>
          </w:tcPr>
          <w:p w14:paraId="3A13C75F"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11 109</w:t>
            </w:r>
          </w:p>
        </w:tc>
        <w:tc>
          <w:tcPr>
            <w:tcW w:w="492" w:type="pct"/>
            <w:noWrap/>
            <w:hideMark/>
          </w:tcPr>
          <w:p w14:paraId="23D44914"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3%</w:t>
            </w:r>
          </w:p>
        </w:tc>
        <w:tc>
          <w:tcPr>
            <w:tcW w:w="490" w:type="pct"/>
            <w:noWrap/>
            <w:hideMark/>
          </w:tcPr>
          <w:p w14:paraId="220440BC"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95%</w:t>
            </w:r>
          </w:p>
        </w:tc>
      </w:tr>
      <w:tr w:rsidR="005139C5" w:rsidRPr="002E06C4" w14:paraId="62FCA3C6" w14:textId="77777777" w:rsidTr="005139C5">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260F39EF"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3</w:t>
            </w:r>
          </w:p>
        </w:tc>
        <w:tc>
          <w:tcPr>
            <w:tcW w:w="1627" w:type="pct"/>
            <w:hideMark/>
          </w:tcPr>
          <w:p w14:paraId="312E5AA5" w14:textId="77777777" w:rsidR="005A0F02" w:rsidRPr="002E06C4" w:rsidRDefault="005A0F02" w:rsidP="005A0F0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Rendi dhe Siguria Publike</w:t>
            </w:r>
          </w:p>
        </w:tc>
        <w:tc>
          <w:tcPr>
            <w:tcW w:w="417" w:type="pct"/>
            <w:noWrap/>
            <w:hideMark/>
          </w:tcPr>
          <w:p w14:paraId="5A583718"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29 200</w:t>
            </w:r>
          </w:p>
        </w:tc>
        <w:tc>
          <w:tcPr>
            <w:tcW w:w="353" w:type="pct"/>
            <w:noWrap/>
            <w:hideMark/>
          </w:tcPr>
          <w:p w14:paraId="054674AE"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6%</w:t>
            </w:r>
          </w:p>
        </w:tc>
        <w:tc>
          <w:tcPr>
            <w:tcW w:w="417" w:type="pct"/>
            <w:noWrap/>
            <w:hideMark/>
          </w:tcPr>
          <w:p w14:paraId="7AF6EC55"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28 526</w:t>
            </w:r>
          </w:p>
        </w:tc>
        <w:tc>
          <w:tcPr>
            <w:tcW w:w="382" w:type="pct"/>
            <w:noWrap/>
            <w:hideMark/>
          </w:tcPr>
          <w:p w14:paraId="6DD570C3"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6%</w:t>
            </w:r>
          </w:p>
        </w:tc>
        <w:tc>
          <w:tcPr>
            <w:tcW w:w="610" w:type="pct"/>
            <w:noWrap/>
            <w:hideMark/>
          </w:tcPr>
          <w:p w14:paraId="3053DAA8"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28 030</w:t>
            </w:r>
          </w:p>
        </w:tc>
        <w:tc>
          <w:tcPr>
            <w:tcW w:w="492" w:type="pct"/>
            <w:noWrap/>
            <w:hideMark/>
          </w:tcPr>
          <w:p w14:paraId="1BF83593"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7%</w:t>
            </w:r>
          </w:p>
        </w:tc>
        <w:tc>
          <w:tcPr>
            <w:tcW w:w="490" w:type="pct"/>
            <w:noWrap/>
            <w:hideMark/>
          </w:tcPr>
          <w:p w14:paraId="1C2C1A60"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96%</w:t>
            </w:r>
          </w:p>
        </w:tc>
      </w:tr>
      <w:tr w:rsidR="005139C5" w:rsidRPr="002E06C4" w14:paraId="05CA3635" w14:textId="77777777" w:rsidTr="005139C5">
        <w:trPr>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1123C709"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4</w:t>
            </w:r>
          </w:p>
        </w:tc>
        <w:tc>
          <w:tcPr>
            <w:tcW w:w="1627" w:type="pct"/>
            <w:hideMark/>
          </w:tcPr>
          <w:p w14:paraId="24977186" w14:textId="77777777" w:rsidR="005A0F02" w:rsidRPr="002E06C4" w:rsidRDefault="005A0F02" w:rsidP="005A0F0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Ceshtjet Ekonomike</w:t>
            </w:r>
          </w:p>
        </w:tc>
        <w:tc>
          <w:tcPr>
            <w:tcW w:w="417" w:type="pct"/>
            <w:noWrap/>
            <w:hideMark/>
          </w:tcPr>
          <w:p w14:paraId="60EADF92"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45 598</w:t>
            </w:r>
          </w:p>
        </w:tc>
        <w:tc>
          <w:tcPr>
            <w:tcW w:w="353" w:type="pct"/>
            <w:noWrap/>
            <w:hideMark/>
          </w:tcPr>
          <w:p w14:paraId="2D8FBF3A"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9%</w:t>
            </w:r>
          </w:p>
        </w:tc>
        <w:tc>
          <w:tcPr>
            <w:tcW w:w="417" w:type="pct"/>
            <w:noWrap/>
            <w:hideMark/>
          </w:tcPr>
          <w:p w14:paraId="7EA7F014"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50 577</w:t>
            </w:r>
          </w:p>
        </w:tc>
        <w:tc>
          <w:tcPr>
            <w:tcW w:w="382" w:type="pct"/>
            <w:noWrap/>
            <w:hideMark/>
          </w:tcPr>
          <w:p w14:paraId="0BB23192"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11%</w:t>
            </w:r>
          </w:p>
        </w:tc>
        <w:tc>
          <w:tcPr>
            <w:tcW w:w="610" w:type="pct"/>
            <w:noWrap/>
            <w:hideMark/>
          </w:tcPr>
          <w:p w14:paraId="4E245CB8"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38 173</w:t>
            </w:r>
          </w:p>
        </w:tc>
        <w:tc>
          <w:tcPr>
            <w:tcW w:w="492" w:type="pct"/>
            <w:noWrap/>
            <w:hideMark/>
          </w:tcPr>
          <w:p w14:paraId="6405DEE6"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10%</w:t>
            </w:r>
          </w:p>
        </w:tc>
        <w:tc>
          <w:tcPr>
            <w:tcW w:w="490" w:type="pct"/>
            <w:noWrap/>
            <w:hideMark/>
          </w:tcPr>
          <w:p w14:paraId="50451883"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84%</w:t>
            </w:r>
          </w:p>
        </w:tc>
      </w:tr>
      <w:tr w:rsidR="005139C5" w:rsidRPr="002E06C4" w14:paraId="011FAA2F" w14:textId="77777777" w:rsidTr="005139C5">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398E2FD9"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5</w:t>
            </w:r>
          </w:p>
        </w:tc>
        <w:tc>
          <w:tcPr>
            <w:tcW w:w="1627" w:type="pct"/>
            <w:hideMark/>
          </w:tcPr>
          <w:p w14:paraId="1ECE7233" w14:textId="77777777" w:rsidR="005A0F02" w:rsidRPr="002E06C4" w:rsidRDefault="005A0F02" w:rsidP="005A0F0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Mbrojtja e Mjedisit</w:t>
            </w:r>
          </w:p>
        </w:tc>
        <w:tc>
          <w:tcPr>
            <w:tcW w:w="417" w:type="pct"/>
            <w:noWrap/>
            <w:hideMark/>
          </w:tcPr>
          <w:p w14:paraId="70FFC440"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1 273</w:t>
            </w:r>
          </w:p>
        </w:tc>
        <w:tc>
          <w:tcPr>
            <w:tcW w:w="353" w:type="pct"/>
            <w:noWrap/>
            <w:hideMark/>
          </w:tcPr>
          <w:p w14:paraId="1F18AE28"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0%</w:t>
            </w:r>
          </w:p>
        </w:tc>
        <w:tc>
          <w:tcPr>
            <w:tcW w:w="417" w:type="pct"/>
            <w:noWrap/>
            <w:hideMark/>
          </w:tcPr>
          <w:p w14:paraId="10DE0562"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1 416</w:t>
            </w:r>
          </w:p>
        </w:tc>
        <w:tc>
          <w:tcPr>
            <w:tcW w:w="382" w:type="pct"/>
            <w:noWrap/>
            <w:hideMark/>
          </w:tcPr>
          <w:p w14:paraId="308133B4"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0%</w:t>
            </w:r>
          </w:p>
        </w:tc>
        <w:tc>
          <w:tcPr>
            <w:tcW w:w="610" w:type="pct"/>
            <w:noWrap/>
            <w:hideMark/>
          </w:tcPr>
          <w:p w14:paraId="67A95595"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1 416</w:t>
            </w:r>
          </w:p>
        </w:tc>
        <w:tc>
          <w:tcPr>
            <w:tcW w:w="492" w:type="pct"/>
            <w:noWrap/>
            <w:hideMark/>
          </w:tcPr>
          <w:p w14:paraId="6645231F"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0%</w:t>
            </w:r>
          </w:p>
        </w:tc>
        <w:tc>
          <w:tcPr>
            <w:tcW w:w="490" w:type="pct"/>
            <w:noWrap/>
            <w:hideMark/>
          </w:tcPr>
          <w:p w14:paraId="05614EFB"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111%</w:t>
            </w:r>
          </w:p>
        </w:tc>
      </w:tr>
      <w:tr w:rsidR="005139C5" w:rsidRPr="002E06C4" w14:paraId="731B4118" w14:textId="77777777" w:rsidTr="005139C5">
        <w:trPr>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36D08CFD"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6</w:t>
            </w:r>
          </w:p>
        </w:tc>
        <w:tc>
          <w:tcPr>
            <w:tcW w:w="1627" w:type="pct"/>
            <w:hideMark/>
          </w:tcPr>
          <w:p w14:paraId="79BD9D6D" w14:textId="77777777" w:rsidR="005A0F02" w:rsidRPr="002E06C4" w:rsidRDefault="005A0F02" w:rsidP="005A0F0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Strehimi dhe Komoditetet e Komunitetit</w:t>
            </w:r>
          </w:p>
        </w:tc>
        <w:tc>
          <w:tcPr>
            <w:tcW w:w="417" w:type="pct"/>
            <w:noWrap/>
            <w:hideMark/>
          </w:tcPr>
          <w:p w14:paraId="7A4D49E4"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31 216</w:t>
            </w:r>
          </w:p>
        </w:tc>
        <w:tc>
          <w:tcPr>
            <w:tcW w:w="353" w:type="pct"/>
            <w:noWrap/>
            <w:hideMark/>
          </w:tcPr>
          <w:p w14:paraId="0218B43B"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6%</w:t>
            </w:r>
          </w:p>
        </w:tc>
        <w:tc>
          <w:tcPr>
            <w:tcW w:w="417" w:type="pct"/>
            <w:noWrap/>
            <w:hideMark/>
          </w:tcPr>
          <w:p w14:paraId="08C6ED6A"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39 249</w:t>
            </w:r>
          </w:p>
        </w:tc>
        <w:tc>
          <w:tcPr>
            <w:tcW w:w="382" w:type="pct"/>
            <w:noWrap/>
            <w:hideMark/>
          </w:tcPr>
          <w:p w14:paraId="528EB4E8"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8%</w:t>
            </w:r>
          </w:p>
        </w:tc>
        <w:tc>
          <w:tcPr>
            <w:tcW w:w="610" w:type="pct"/>
            <w:noWrap/>
            <w:hideMark/>
          </w:tcPr>
          <w:p w14:paraId="47BEF7FF"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24 861</w:t>
            </w:r>
          </w:p>
        </w:tc>
        <w:tc>
          <w:tcPr>
            <w:tcW w:w="492" w:type="pct"/>
            <w:noWrap/>
            <w:hideMark/>
          </w:tcPr>
          <w:p w14:paraId="043CC662"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6%</w:t>
            </w:r>
          </w:p>
        </w:tc>
        <w:tc>
          <w:tcPr>
            <w:tcW w:w="490" w:type="pct"/>
            <w:noWrap/>
            <w:hideMark/>
          </w:tcPr>
          <w:p w14:paraId="2A9361CA"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80%</w:t>
            </w:r>
          </w:p>
        </w:tc>
      </w:tr>
      <w:tr w:rsidR="005139C5" w:rsidRPr="002E06C4" w14:paraId="67C4F99E" w14:textId="77777777" w:rsidTr="005139C5">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779D3731"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7</w:t>
            </w:r>
          </w:p>
        </w:tc>
        <w:tc>
          <w:tcPr>
            <w:tcW w:w="1627" w:type="pct"/>
            <w:hideMark/>
          </w:tcPr>
          <w:p w14:paraId="655B4E35" w14:textId="77777777" w:rsidR="005A0F02" w:rsidRPr="002E06C4" w:rsidRDefault="005A0F02" w:rsidP="005A0F0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Shendetesia</w:t>
            </w:r>
          </w:p>
        </w:tc>
        <w:tc>
          <w:tcPr>
            <w:tcW w:w="417" w:type="pct"/>
            <w:noWrap/>
            <w:hideMark/>
          </w:tcPr>
          <w:p w14:paraId="7AD42762"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48 647</w:t>
            </w:r>
          </w:p>
        </w:tc>
        <w:tc>
          <w:tcPr>
            <w:tcW w:w="353" w:type="pct"/>
            <w:noWrap/>
            <w:hideMark/>
          </w:tcPr>
          <w:p w14:paraId="37F7DC87"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10%</w:t>
            </w:r>
          </w:p>
        </w:tc>
        <w:tc>
          <w:tcPr>
            <w:tcW w:w="417" w:type="pct"/>
            <w:noWrap/>
            <w:hideMark/>
          </w:tcPr>
          <w:p w14:paraId="3AD3FFAF"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49 004</w:t>
            </w:r>
          </w:p>
        </w:tc>
        <w:tc>
          <w:tcPr>
            <w:tcW w:w="382" w:type="pct"/>
            <w:noWrap/>
            <w:hideMark/>
          </w:tcPr>
          <w:p w14:paraId="7204B1D7"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10%</w:t>
            </w:r>
          </w:p>
        </w:tc>
        <w:tc>
          <w:tcPr>
            <w:tcW w:w="610" w:type="pct"/>
            <w:noWrap/>
            <w:hideMark/>
          </w:tcPr>
          <w:p w14:paraId="39277A12"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49 004</w:t>
            </w:r>
          </w:p>
        </w:tc>
        <w:tc>
          <w:tcPr>
            <w:tcW w:w="492" w:type="pct"/>
            <w:noWrap/>
            <w:hideMark/>
          </w:tcPr>
          <w:p w14:paraId="3A82CCD8"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13%</w:t>
            </w:r>
          </w:p>
        </w:tc>
        <w:tc>
          <w:tcPr>
            <w:tcW w:w="490" w:type="pct"/>
            <w:noWrap/>
            <w:hideMark/>
          </w:tcPr>
          <w:p w14:paraId="46F95F2C"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101%</w:t>
            </w:r>
          </w:p>
        </w:tc>
      </w:tr>
      <w:tr w:rsidR="005139C5" w:rsidRPr="002E06C4" w14:paraId="5FEE3EC5" w14:textId="77777777" w:rsidTr="005139C5">
        <w:trPr>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0AA90C0D"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8</w:t>
            </w:r>
          </w:p>
        </w:tc>
        <w:tc>
          <w:tcPr>
            <w:tcW w:w="1627" w:type="pct"/>
            <w:hideMark/>
          </w:tcPr>
          <w:p w14:paraId="1240068C" w14:textId="77777777" w:rsidR="005A0F02" w:rsidRPr="002E06C4" w:rsidRDefault="005A0F02" w:rsidP="005A0F0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Argetimi, Kultura dhe Ceshtjet Fetare</w:t>
            </w:r>
          </w:p>
        </w:tc>
        <w:tc>
          <w:tcPr>
            <w:tcW w:w="417" w:type="pct"/>
            <w:noWrap/>
            <w:hideMark/>
          </w:tcPr>
          <w:p w14:paraId="3D47E8B3"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3 403</w:t>
            </w:r>
          </w:p>
        </w:tc>
        <w:tc>
          <w:tcPr>
            <w:tcW w:w="353" w:type="pct"/>
            <w:noWrap/>
            <w:hideMark/>
          </w:tcPr>
          <w:p w14:paraId="0AB6EB94"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w:t>
            </w:r>
          </w:p>
        </w:tc>
        <w:tc>
          <w:tcPr>
            <w:tcW w:w="417" w:type="pct"/>
            <w:noWrap/>
            <w:hideMark/>
          </w:tcPr>
          <w:p w14:paraId="26784A5C"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7 382</w:t>
            </w:r>
          </w:p>
        </w:tc>
        <w:tc>
          <w:tcPr>
            <w:tcW w:w="382" w:type="pct"/>
            <w:noWrap/>
            <w:hideMark/>
          </w:tcPr>
          <w:p w14:paraId="6FC96ABC"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2%</w:t>
            </w:r>
          </w:p>
        </w:tc>
        <w:tc>
          <w:tcPr>
            <w:tcW w:w="610" w:type="pct"/>
            <w:noWrap/>
            <w:hideMark/>
          </w:tcPr>
          <w:p w14:paraId="1D109ACC"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5 894</w:t>
            </w:r>
          </w:p>
        </w:tc>
        <w:tc>
          <w:tcPr>
            <w:tcW w:w="492" w:type="pct"/>
            <w:noWrap/>
            <w:hideMark/>
          </w:tcPr>
          <w:p w14:paraId="210F3830"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2%</w:t>
            </w:r>
          </w:p>
        </w:tc>
        <w:tc>
          <w:tcPr>
            <w:tcW w:w="490" w:type="pct"/>
            <w:noWrap/>
            <w:hideMark/>
          </w:tcPr>
          <w:p w14:paraId="5FEB4621"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173%</w:t>
            </w:r>
          </w:p>
        </w:tc>
      </w:tr>
      <w:tr w:rsidR="005139C5" w:rsidRPr="002E06C4" w14:paraId="56AC4123" w14:textId="77777777" w:rsidTr="005139C5">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51EB0327"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9</w:t>
            </w:r>
          </w:p>
        </w:tc>
        <w:tc>
          <w:tcPr>
            <w:tcW w:w="1627" w:type="pct"/>
            <w:hideMark/>
          </w:tcPr>
          <w:p w14:paraId="3FE4C51C" w14:textId="77777777" w:rsidR="005A0F02" w:rsidRPr="002E06C4" w:rsidRDefault="005A0F02" w:rsidP="005A0F0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Arsimi</w:t>
            </w:r>
          </w:p>
        </w:tc>
        <w:tc>
          <w:tcPr>
            <w:tcW w:w="417" w:type="pct"/>
            <w:noWrap/>
            <w:hideMark/>
          </w:tcPr>
          <w:p w14:paraId="466AAA20"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40 771</w:t>
            </w:r>
          </w:p>
        </w:tc>
        <w:tc>
          <w:tcPr>
            <w:tcW w:w="353" w:type="pct"/>
            <w:noWrap/>
            <w:hideMark/>
          </w:tcPr>
          <w:p w14:paraId="050D5722"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8%</w:t>
            </w:r>
          </w:p>
        </w:tc>
        <w:tc>
          <w:tcPr>
            <w:tcW w:w="417" w:type="pct"/>
            <w:noWrap/>
            <w:hideMark/>
          </w:tcPr>
          <w:p w14:paraId="6BD46E18"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51 605</w:t>
            </w:r>
          </w:p>
        </w:tc>
        <w:tc>
          <w:tcPr>
            <w:tcW w:w="382" w:type="pct"/>
            <w:noWrap/>
            <w:hideMark/>
          </w:tcPr>
          <w:p w14:paraId="4F907824"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11%</w:t>
            </w:r>
          </w:p>
        </w:tc>
        <w:tc>
          <w:tcPr>
            <w:tcW w:w="610" w:type="pct"/>
            <w:noWrap/>
            <w:hideMark/>
          </w:tcPr>
          <w:p w14:paraId="745DECCB"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43 667</w:t>
            </w:r>
          </w:p>
        </w:tc>
        <w:tc>
          <w:tcPr>
            <w:tcW w:w="492" w:type="pct"/>
            <w:noWrap/>
            <w:hideMark/>
          </w:tcPr>
          <w:p w14:paraId="52522147"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11%</w:t>
            </w:r>
          </w:p>
        </w:tc>
        <w:tc>
          <w:tcPr>
            <w:tcW w:w="490" w:type="pct"/>
            <w:noWrap/>
            <w:hideMark/>
          </w:tcPr>
          <w:p w14:paraId="33D3929C"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107%</w:t>
            </w:r>
          </w:p>
        </w:tc>
      </w:tr>
      <w:tr w:rsidR="005139C5" w:rsidRPr="002E06C4" w14:paraId="4B5B822E" w14:textId="77777777" w:rsidTr="005139C5">
        <w:trPr>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294BCD15" w14:textId="77777777" w:rsidR="005A0F02" w:rsidRPr="002E06C4" w:rsidRDefault="005A0F02" w:rsidP="00C2766F">
            <w:pPr>
              <w:jc w:val="center"/>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10</w:t>
            </w:r>
          </w:p>
        </w:tc>
        <w:tc>
          <w:tcPr>
            <w:tcW w:w="1627" w:type="pct"/>
            <w:hideMark/>
          </w:tcPr>
          <w:p w14:paraId="5C0771A6" w14:textId="77777777" w:rsidR="005A0F02" w:rsidRPr="002E06C4" w:rsidRDefault="005A0F02" w:rsidP="005A0F0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Mbrojtja Sociale</w:t>
            </w:r>
          </w:p>
        </w:tc>
        <w:tc>
          <w:tcPr>
            <w:tcW w:w="417" w:type="pct"/>
            <w:noWrap/>
            <w:hideMark/>
          </w:tcPr>
          <w:p w14:paraId="249FD109"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148 603</w:t>
            </w:r>
          </w:p>
        </w:tc>
        <w:tc>
          <w:tcPr>
            <w:tcW w:w="353" w:type="pct"/>
            <w:noWrap/>
            <w:hideMark/>
          </w:tcPr>
          <w:p w14:paraId="2223170B"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30%</w:t>
            </w:r>
          </w:p>
        </w:tc>
        <w:tc>
          <w:tcPr>
            <w:tcW w:w="417" w:type="pct"/>
            <w:noWrap/>
            <w:hideMark/>
          </w:tcPr>
          <w:p w14:paraId="3737D37E"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151 148</w:t>
            </w:r>
          </w:p>
        </w:tc>
        <w:tc>
          <w:tcPr>
            <w:tcW w:w="382" w:type="pct"/>
            <w:noWrap/>
            <w:hideMark/>
          </w:tcPr>
          <w:p w14:paraId="73B96216"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32%</w:t>
            </w:r>
          </w:p>
        </w:tc>
        <w:tc>
          <w:tcPr>
            <w:tcW w:w="610" w:type="pct"/>
            <w:noWrap/>
            <w:hideMark/>
          </w:tcPr>
          <w:p w14:paraId="29F4D39D"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147 179</w:t>
            </w:r>
          </w:p>
        </w:tc>
        <w:tc>
          <w:tcPr>
            <w:tcW w:w="492" w:type="pct"/>
            <w:noWrap/>
            <w:hideMark/>
          </w:tcPr>
          <w:p w14:paraId="3066FDFC"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38%</w:t>
            </w:r>
          </w:p>
        </w:tc>
        <w:tc>
          <w:tcPr>
            <w:tcW w:w="490" w:type="pct"/>
            <w:noWrap/>
            <w:hideMark/>
          </w:tcPr>
          <w:p w14:paraId="7A2A7F1D"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99%</w:t>
            </w:r>
          </w:p>
        </w:tc>
      </w:tr>
      <w:tr w:rsidR="005139C5" w:rsidRPr="002E06C4" w14:paraId="7DF1255B" w14:textId="77777777" w:rsidTr="005139C5">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109E084A" w14:textId="77777777" w:rsidR="005A0F02" w:rsidRPr="002E06C4" w:rsidRDefault="005A0F02" w:rsidP="00C2766F">
            <w:pPr>
              <w:jc w:val="center"/>
              <w:rPr>
                <w:rFonts w:asciiTheme="majorHAnsi" w:eastAsia="Times New Roman" w:hAnsiTheme="majorHAnsi" w:cs="Calibri"/>
                <w:color w:val="002060"/>
                <w:sz w:val="18"/>
                <w:szCs w:val="16"/>
                <w:lang w:val="sq-AL"/>
              </w:rPr>
            </w:pPr>
          </w:p>
        </w:tc>
        <w:tc>
          <w:tcPr>
            <w:tcW w:w="1627" w:type="pct"/>
            <w:hideMark/>
          </w:tcPr>
          <w:p w14:paraId="19B0AFBD" w14:textId="77777777" w:rsidR="005A0F02" w:rsidRPr="002E06C4" w:rsidRDefault="005A0F02" w:rsidP="005A0F0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Të paklasifikuara*</w:t>
            </w:r>
          </w:p>
        </w:tc>
        <w:tc>
          <w:tcPr>
            <w:tcW w:w="417" w:type="pct"/>
            <w:noWrap/>
            <w:hideMark/>
          </w:tcPr>
          <w:p w14:paraId="2A52A99F"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99 708</w:t>
            </w:r>
          </w:p>
        </w:tc>
        <w:tc>
          <w:tcPr>
            <w:tcW w:w="353" w:type="pct"/>
            <w:noWrap/>
            <w:hideMark/>
          </w:tcPr>
          <w:p w14:paraId="404208EF"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20%</w:t>
            </w:r>
          </w:p>
        </w:tc>
        <w:tc>
          <w:tcPr>
            <w:tcW w:w="417" w:type="pct"/>
            <w:hideMark/>
          </w:tcPr>
          <w:p w14:paraId="405DA04D"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p>
        </w:tc>
        <w:tc>
          <w:tcPr>
            <w:tcW w:w="382" w:type="pct"/>
            <w:noWrap/>
            <w:hideMark/>
          </w:tcPr>
          <w:p w14:paraId="62DB7DE4"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eastAsia="Times New Roman" w:hAnsiTheme="majorHAnsi" w:cs="Calibri"/>
                <w:color w:val="002060"/>
                <w:sz w:val="18"/>
                <w:szCs w:val="16"/>
                <w:lang w:val="sq-AL"/>
              </w:rPr>
              <w:t>0%</w:t>
            </w:r>
          </w:p>
        </w:tc>
        <w:tc>
          <w:tcPr>
            <w:tcW w:w="610" w:type="pct"/>
            <w:noWrap/>
            <w:hideMark/>
          </w:tcPr>
          <w:p w14:paraId="19797E74"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p>
        </w:tc>
        <w:tc>
          <w:tcPr>
            <w:tcW w:w="492" w:type="pct"/>
            <w:noWrap/>
            <w:hideMark/>
          </w:tcPr>
          <w:p w14:paraId="64F4EDD2"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r w:rsidRPr="002E06C4">
              <w:rPr>
                <w:rFonts w:asciiTheme="majorHAnsi" w:hAnsiTheme="majorHAnsi" w:cs="Calibri"/>
                <w:color w:val="002060"/>
                <w:sz w:val="18"/>
                <w:szCs w:val="16"/>
                <w:lang w:val="sq-AL"/>
              </w:rPr>
              <w:t>0%</w:t>
            </w:r>
          </w:p>
        </w:tc>
        <w:tc>
          <w:tcPr>
            <w:tcW w:w="490" w:type="pct"/>
            <w:noWrap/>
            <w:hideMark/>
          </w:tcPr>
          <w:p w14:paraId="23548EA5" w14:textId="77777777" w:rsidR="005A0F02" w:rsidRPr="002E06C4" w:rsidRDefault="005A0F02" w:rsidP="00C2766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2060"/>
                <w:sz w:val="18"/>
                <w:szCs w:val="16"/>
                <w:lang w:val="sq-AL"/>
              </w:rPr>
            </w:pPr>
          </w:p>
        </w:tc>
      </w:tr>
      <w:tr w:rsidR="005139C5" w:rsidRPr="002E06C4" w14:paraId="3BA7289D" w14:textId="77777777" w:rsidTr="005139C5">
        <w:trPr>
          <w:trHeight w:val="434"/>
          <w:jc w:val="center"/>
        </w:trPr>
        <w:tc>
          <w:tcPr>
            <w:cnfStyle w:val="001000000000" w:firstRow="0" w:lastRow="0" w:firstColumn="1" w:lastColumn="0" w:oddVBand="0" w:evenVBand="0" w:oddHBand="0" w:evenHBand="0" w:firstRowFirstColumn="0" w:firstRowLastColumn="0" w:lastRowFirstColumn="0" w:lastRowLastColumn="0"/>
            <w:tcW w:w="212" w:type="pct"/>
            <w:hideMark/>
          </w:tcPr>
          <w:p w14:paraId="273316F6" w14:textId="77777777" w:rsidR="005A0F02" w:rsidRPr="002E06C4" w:rsidRDefault="005A0F02" w:rsidP="00C2766F">
            <w:pPr>
              <w:jc w:val="center"/>
              <w:rPr>
                <w:rFonts w:asciiTheme="majorHAnsi" w:eastAsia="Times New Roman" w:hAnsiTheme="majorHAnsi" w:cs="Calibri"/>
                <w:color w:val="002060"/>
                <w:sz w:val="18"/>
                <w:szCs w:val="16"/>
                <w:lang w:val="sq-AL"/>
              </w:rPr>
            </w:pPr>
          </w:p>
        </w:tc>
        <w:tc>
          <w:tcPr>
            <w:tcW w:w="1627" w:type="pct"/>
            <w:hideMark/>
          </w:tcPr>
          <w:p w14:paraId="6E049B6E" w14:textId="77777777" w:rsidR="005A0F02" w:rsidRPr="002E06C4" w:rsidRDefault="00C2766F"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2060"/>
                <w:sz w:val="18"/>
                <w:szCs w:val="16"/>
                <w:lang w:val="sq-AL"/>
              </w:rPr>
            </w:pPr>
            <w:r w:rsidRPr="002E06C4">
              <w:rPr>
                <w:rFonts w:asciiTheme="majorHAnsi" w:eastAsia="Times New Roman" w:hAnsiTheme="majorHAnsi" w:cs="Calibri"/>
                <w:b/>
                <w:color w:val="002060"/>
                <w:sz w:val="18"/>
                <w:szCs w:val="16"/>
                <w:lang w:val="sq-AL"/>
              </w:rPr>
              <w:t>TOTALI</w:t>
            </w:r>
          </w:p>
        </w:tc>
        <w:tc>
          <w:tcPr>
            <w:tcW w:w="417" w:type="pct"/>
            <w:hideMark/>
          </w:tcPr>
          <w:p w14:paraId="41CBB06A"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2060"/>
                <w:sz w:val="18"/>
                <w:szCs w:val="16"/>
                <w:lang w:val="sq-AL"/>
              </w:rPr>
            </w:pPr>
            <w:r w:rsidRPr="002E06C4">
              <w:rPr>
                <w:rFonts w:asciiTheme="majorHAnsi" w:hAnsiTheme="majorHAnsi" w:cs="Calibri"/>
                <w:b/>
                <w:color w:val="002060"/>
                <w:sz w:val="18"/>
                <w:szCs w:val="16"/>
                <w:lang w:val="sq-AL"/>
              </w:rPr>
              <w:t>497 069</w:t>
            </w:r>
          </w:p>
        </w:tc>
        <w:tc>
          <w:tcPr>
            <w:tcW w:w="353" w:type="pct"/>
            <w:hideMark/>
          </w:tcPr>
          <w:p w14:paraId="3E3BAA40"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2060"/>
                <w:sz w:val="18"/>
                <w:szCs w:val="16"/>
                <w:lang w:val="sq-AL"/>
              </w:rPr>
            </w:pPr>
            <w:r w:rsidRPr="002E06C4">
              <w:rPr>
                <w:rFonts w:asciiTheme="majorHAnsi" w:eastAsia="Times New Roman" w:hAnsiTheme="majorHAnsi" w:cs="Calibri"/>
                <w:b/>
                <w:color w:val="002060"/>
                <w:sz w:val="18"/>
                <w:szCs w:val="16"/>
                <w:lang w:val="sq-AL"/>
              </w:rPr>
              <w:t>100%</w:t>
            </w:r>
          </w:p>
        </w:tc>
        <w:tc>
          <w:tcPr>
            <w:tcW w:w="417" w:type="pct"/>
            <w:noWrap/>
            <w:hideMark/>
          </w:tcPr>
          <w:p w14:paraId="11FF27A1"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2060"/>
                <w:sz w:val="18"/>
                <w:szCs w:val="16"/>
                <w:lang w:val="sq-AL"/>
              </w:rPr>
            </w:pPr>
            <w:r w:rsidRPr="002E06C4">
              <w:rPr>
                <w:rFonts w:asciiTheme="majorHAnsi" w:hAnsiTheme="majorHAnsi" w:cs="Calibri"/>
                <w:b/>
                <w:color w:val="002060"/>
                <w:sz w:val="18"/>
                <w:szCs w:val="16"/>
                <w:lang w:val="sq-AL"/>
              </w:rPr>
              <w:t>476 148</w:t>
            </w:r>
          </w:p>
        </w:tc>
        <w:tc>
          <w:tcPr>
            <w:tcW w:w="382" w:type="pct"/>
            <w:noWrap/>
            <w:hideMark/>
          </w:tcPr>
          <w:p w14:paraId="049FFED1"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2060"/>
                <w:sz w:val="18"/>
                <w:szCs w:val="16"/>
                <w:lang w:val="sq-AL"/>
              </w:rPr>
            </w:pPr>
            <w:r w:rsidRPr="002E06C4">
              <w:rPr>
                <w:rFonts w:asciiTheme="majorHAnsi" w:eastAsia="Times New Roman" w:hAnsiTheme="majorHAnsi" w:cs="Calibri"/>
                <w:b/>
                <w:color w:val="002060"/>
                <w:sz w:val="18"/>
                <w:szCs w:val="16"/>
                <w:lang w:val="sq-AL"/>
              </w:rPr>
              <w:t>100%</w:t>
            </w:r>
          </w:p>
        </w:tc>
        <w:tc>
          <w:tcPr>
            <w:tcW w:w="610" w:type="pct"/>
            <w:noWrap/>
            <w:hideMark/>
          </w:tcPr>
          <w:p w14:paraId="08FF5BAA"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2060"/>
                <w:sz w:val="18"/>
                <w:szCs w:val="16"/>
                <w:lang w:val="sq-AL"/>
              </w:rPr>
            </w:pPr>
            <w:r w:rsidRPr="002E06C4">
              <w:rPr>
                <w:rFonts w:asciiTheme="majorHAnsi" w:hAnsiTheme="majorHAnsi" w:cs="Calibri"/>
                <w:b/>
                <w:color w:val="002060"/>
                <w:sz w:val="18"/>
                <w:szCs w:val="16"/>
                <w:lang w:val="sq-AL"/>
              </w:rPr>
              <w:t>389 524</w:t>
            </w:r>
          </w:p>
        </w:tc>
        <w:tc>
          <w:tcPr>
            <w:tcW w:w="492" w:type="pct"/>
            <w:noWrap/>
            <w:hideMark/>
          </w:tcPr>
          <w:p w14:paraId="476C4407"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2060"/>
                <w:sz w:val="18"/>
                <w:szCs w:val="16"/>
                <w:lang w:val="sq-AL"/>
              </w:rPr>
            </w:pPr>
            <w:r w:rsidRPr="002E06C4">
              <w:rPr>
                <w:rFonts w:asciiTheme="majorHAnsi" w:eastAsia="Times New Roman" w:hAnsiTheme="majorHAnsi" w:cs="Calibri"/>
                <w:b/>
                <w:color w:val="002060"/>
                <w:sz w:val="18"/>
                <w:szCs w:val="16"/>
                <w:lang w:val="sq-AL"/>
              </w:rPr>
              <w:t>100%</w:t>
            </w:r>
          </w:p>
        </w:tc>
        <w:tc>
          <w:tcPr>
            <w:tcW w:w="490" w:type="pct"/>
            <w:noWrap/>
            <w:hideMark/>
          </w:tcPr>
          <w:p w14:paraId="1F7A8E05" w14:textId="77777777" w:rsidR="005A0F02" w:rsidRPr="002E06C4" w:rsidRDefault="005A0F02" w:rsidP="00C2766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2060"/>
                <w:sz w:val="18"/>
                <w:szCs w:val="16"/>
                <w:lang w:val="sq-AL"/>
              </w:rPr>
            </w:pPr>
            <w:r w:rsidRPr="002E06C4">
              <w:rPr>
                <w:rFonts w:asciiTheme="majorHAnsi" w:eastAsia="Times New Roman" w:hAnsiTheme="majorHAnsi" w:cs="Calibri"/>
                <w:b/>
                <w:color w:val="002060"/>
                <w:sz w:val="18"/>
                <w:szCs w:val="16"/>
                <w:lang w:val="sq-AL"/>
              </w:rPr>
              <w:t>98%</w:t>
            </w:r>
          </w:p>
        </w:tc>
      </w:tr>
    </w:tbl>
    <w:p w14:paraId="16CDDDDD" w14:textId="77777777" w:rsidR="00F04B32" w:rsidRPr="002E06C4" w:rsidRDefault="005A0F02" w:rsidP="00F04B32">
      <w:pPr>
        <w:rPr>
          <w:rFonts w:asciiTheme="majorHAnsi" w:hAnsiTheme="majorHAnsi"/>
          <w:i/>
          <w:sz w:val="18"/>
          <w:szCs w:val="18"/>
          <w:lang w:val="sq-AL"/>
        </w:rPr>
      </w:pPr>
      <w:r w:rsidRPr="002E06C4">
        <w:rPr>
          <w:rFonts w:asciiTheme="majorHAnsi" w:hAnsiTheme="majorHAnsi"/>
          <w:i/>
          <w:sz w:val="18"/>
          <w:szCs w:val="18"/>
          <w:lang w:val="sq-AL"/>
        </w:rPr>
        <w:t>* Ne zerin "Shpenzime te tjera te paklasifikuara" (Totali) jane perfshire: (i) pagesat per sherbimin e borxhit, (ii) kontigjenca per politika pagash dhe pensionesh, (iii) fondi rezerve, dhe (iv) shpenzimet e pushtetit vendor</w:t>
      </w:r>
    </w:p>
    <w:p w14:paraId="72C51E0E" w14:textId="77777777" w:rsidR="005A0F02" w:rsidRPr="002E06C4" w:rsidRDefault="000C7A4E" w:rsidP="005A0F02">
      <w:pPr>
        <w:rPr>
          <w:rFonts w:asciiTheme="majorHAnsi" w:hAnsiTheme="majorHAnsi"/>
          <w:i/>
          <w:sz w:val="18"/>
          <w:szCs w:val="18"/>
          <w:lang w:val="sq-AL"/>
        </w:rPr>
      </w:pPr>
      <w:r w:rsidRPr="002E06C4">
        <w:rPr>
          <w:rFonts w:asciiTheme="majorHAnsi" w:hAnsiTheme="majorHAnsi"/>
          <w:i/>
          <w:sz w:val="18"/>
          <w:szCs w:val="18"/>
          <w:lang w:val="sq-AL"/>
        </w:rPr>
        <w:t>** Vlerësim i</w:t>
      </w:r>
      <w:r w:rsidR="005A0F02" w:rsidRPr="002E06C4">
        <w:rPr>
          <w:rFonts w:asciiTheme="majorHAnsi" w:hAnsiTheme="majorHAnsi"/>
          <w:i/>
          <w:sz w:val="18"/>
          <w:szCs w:val="18"/>
          <w:lang w:val="sq-AL"/>
        </w:rPr>
        <w:t xml:space="preserve"> p</w:t>
      </w:r>
      <w:r w:rsidR="00824B19" w:rsidRPr="002E06C4">
        <w:rPr>
          <w:rFonts w:asciiTheme="majorHAnsi" w:hAnsiTheme="majorHAnsi"/>
          <w:i/>
          <w:sz w:val="18"/>
          <w:szCs w:val="18"/>
          <w:lang w:val="sq-AL"/>
        </w:rPr>
        <w:t>ë</w:t>
      </w:r>
      <w:r w:rsidR="005A0F02" w:rsidRPr="002E06C4">
        <w:rPr>
          <w:rFonts w:asciiTheme="majorHAnsi" w:hAnsiTheme="majorHAnsi"/>
          <w:i/>
          <w:sz w:val="18"/>
          <w:szCs w:val="18"/>
          <w:lang w:val="sq-AL"/>
        </w:rPr>
        <w:t>raf</w:t>
      </w:r>
      <w:r w:rsidR="00824B19" w:rsidRPr="002E06C4">
        <w:rPr>
          <w:rFonts w:asciiTheme="majorHAnsi" w:hAnsiTheme="majorHAnsi"/>
          <w:i/>
          <w:sz w:val="18"/>
          <w:szCs w:val="18"/>
          <w:lang w:val="sq-AL"/>
        </w:rPr>
        <w:t>ë</w:t>
      </w:r>
      <w:r w:rsidR="005A0F02" w:rsidRPr="002E06C4">
        <w:rPr>
          <w:rFonts w:asciiTheme="majorHAnsi" w:hAnsiTheme="majorHAnsi"/>
          <w:i/>
          <w:sz w:val="18"/>
          <w:szCs w:val="18"/>
          <w:lang w:val="sq-AL"/>
        </w:rPr>
        <w:t>rt, korrigjuar vet</w:t>
      </w:r>
      <w:r w:rsidR="00824B19" w:rsidRPr="002E06C4">
        <w:rPr>
          <w:rFonts w:asciiTheme="majorHAnsi" w:hAnsiTheme="majorHAnsi"/>
          <w:i/>
          <w:sz w:val="18"/>
          <w:szCs w:val="18"/>
          <w:lang w:val="sq-AL"/>
        </w:rPr>
        <w:t>ë</w:t>
      </w:r>
      <w:r w:rsidR="005A0F02" w:rsidRPr="002E06C4">
        <w:rPr>
          <w:rFonts w:asciiTheme="majorHAnsi" w:hAnsiTheme="majorHAnsi"/>
          <w:i/>
          <w:sz w:val="18"/>
          <w:szCs w:val="18"/>
          <w:lang w:val="sq-AL"/>
        </w:rPr>
        <w:t>m p</w:t>
      </w:r>
      <w:r w:rsidR="00824B19" w:rsidRPr="002E06C4">
        <w:rPr>
          <w:rFonts w:asciiTheme="majorHAnsi" w:hAnsiTheme="majorHAnsi"/>
          <w:i/>
          <w:sz w:val="18"/>
          <w:szCs w:val="18"/>
          <w:lang w:val="sq-AL"/>
        </w:rPr>
        <w:t>ë</w:t>
      </w:r>
      <w:r w:rsidR="005A0F02" w:rsidRPr="002E06C4">
        <w:rPr>
          <w:rFonts w:asciiTheme="majorHAnsi" w:hAnsiTheme="majorHAnsi"/>
          <w:i/>
          <w:sz w:val="18"/>
          <w:szCs w:val="18"/>
          <w:lang w:val="sq-AL"/>
        </w:rPr>
        <w:t>r interesat dhe shpenzimet e buxhetit vendor</w:t>
      </w:r>
    </w:p>
    <w:p w14:paraId="0F1EF6D3" w14:textId="77777777" w:rsidR="00EB250F" w:rsidRDefault="00EB250F" w:rsidP="00EB250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lang w:val="sq-AL"/>
        </w:rPr>
        <w:t>Plani fillestar i vitit 2018 kishte parashikuar po këto nivele, pak a shumë të ngjashme, të peshave relative të shpenzimeve sipas klasifikimit funksional. Në shmangien përgjithësisht të lehtë të rezultatit faktik, ka ndikuar shpërndarja gjatë vitit 2018 e atyre shpenzime të paklasifikuara, të lidhura respektivisht fondin rezervë, kontigjencat, shërbimin e borxhit dhe shpenzimet e pushtetit vendor. Në çdo rast, rezultati faktik tregon nivele të kënaqshme të realizimit të planit sipas funskioneve për vitin 2018.</w:t>
      </w:r>
    </w:p>
    <w:p w14:paraId="31EFBA52" w14:textId="77777777" w:rsidR="00E83343" w:rsidRPr="002E06C4" w:rsidRDefault="00E83343" w:rsidP="00E83343">
      <w:pPr>
        <w:spacing w:line="276" w:lineRule="auto"/>
        <w:jc w:val="both"/>
        <w:rPr>
          <w:rFonts w:asciiTheme="majorHAnsi" w:eastAsia="SimSun" w:hAnsiTheme="majorHAnsi" w:cs="Times New Roman"/>
          <w:lang w:val="sq-AL"/>
        </w:rPr>
      </w:pPr>
    </w:p>
    <w:p w14:paraId="54CBA212" w14:textId="77777777" w:rsidR="006E4EB6" w:rsidRPr="002E06C4" w:rsidRDefault="006E4EB6" w:rsidP="006E4EB6">
      <w:pPr>
        <w:rPr>
          <w:rFonts w:asciiTheme="majorHAnsi" w:hAnsiTheme="majorHAnsi" w:cs="Times New Roman"/>
          <w:lang w:val="sq-AL"/>
        </w:rPr>
      </w:pPr>
    </w:p>
    <w:p w14:paraId="231574EB" w14:textId="77777777" w:rsidR="006D089B" w:rsidRPr="00AC7CD6" w:rsidRDefault="006D089B" w:rsidP="006D089B">
      <w:pPr>
        <w:pStyle w:val="Heading2"/>
        <w:numPr>
          <w:ilvl w:val="1"/>
          <w:numId w:val="4"/>
        </w:numPr>
        <w:spacing w:before="0" w:line="276" w:lineRule="auto"/>
        <w:ind w:hanging="720"/>
        <w:rPr>
          <w:rFonts w:cs="Times New Roman"/>
          <w:noProof/>
          <w:color w:val="4F81BD" w:themeColor="accent1"/>
          <w:szCs w:val="24"/>
          <w:lang w:val="sq-AL"/>
        </w:rPr>
      </w:pPr>
      <w:bookmarkStart w:id="133" w:name="_Toc11134223"/>
      <w:bookmarkStart w:id="134" w:name="_Toc10033293"/>
      <w:bookmarkStart w:id="135" w:name="_Ref10193976"/>
      <w:bookmarkStart w:id="136" w:name="_Toc10721430"/>
      <w:bookmarkStart w:id="137" w:name="_Toc10033280"/>
      <w:bookmarkStart w:id="138" w:name="_Toc10721417"/>
      <w:r w:rsidRPr="00AC7CD6">
        <w:rPr>
          <w:noProof/>
          <w:color w:val="4F81BD" w:themeColor="accent1"/>
          <w:szCs w:val="24"/>
          <w:lang w:val="sq-AL"/>
        </w:rPr>
        <w:t xml:space="preserve">Ndryshimet në </w:t>
      </w:r>
      <w:r w:rsidR="00AC7CD6">
        <w:rPr>
          <w:noProof/>
          <w:color w:val="4F81BD" w:themeColor="accent1"/>
          <w:szCs w:val="24"/>
          <w:lang w:val="sq-AL"/>
        </w:rPr>
        <w:t xml:space="preserve">ligjin e </w:t>
      </w:r>
      <w:r w:rsidRPr="00AC7CD6">
        <w:rPr>
          <w:noProof/>
          <w:color w:val="4F81BD" w:themeColor="accent1"/>
          <w:szCs w:val="24"/>
          <w:lang w:val="sq-AL"/>
        </w:rPr>
        <w:t>buxheti</w:t>
      </w:r>
      <w:r w:rsidR="00AC7CD6">
        <w:rPr>
          <w:noProof/>
          <w:color w:val="4F81BD" w:themeColor="accent1"/>
          <w:szCs w:val="24"/>
          <w:lang w:val="sq-AL"/>
        </w:rPr>
        <w:t>t</w:t>
      </w:r>
      <w:r w:rsidRPr="00AC7CD6">
        <w:rPr>
          <w:noProof/>
          <w:color w:val="4F81BD" w:themeColor="accent1"/>
          <w:szCs w:val="24"/>
          <w:lang w:val="sq-AL"/>
        </w:rPr>
        <w:t xml:space="preserve"> 2018</w:t>
      </w:r>
      <w:bookmarkEnd w:id="133"/>
    </w:p>
    <w:p w14:paraId="09330FD3" w14:textId="77777777" w:rsidR="006D089B" w:rsidRPr="006D089B" w:rsidRDefault="006D089B" w:rsidP="006D089B">
      <w:pPr>
        <w:spacing w:before="240" w:line="276" w:lineRule="auto"/>
        <w:jc w:val="both"/>
        <w:rPr>
          <w:rFonts w:asciiTheme="majorHAnsi" w:hAnsiTheme="majorHAnsi"/>
          <w:lang w:val="sq-AL"/>
        </w:rPr>
      </w:pPr>
      <w:r w:rsidRPr="006D089B">
        <w:rPr>
          <w:rFonts w:asciiTheme="majorHAnsi" w:hAnsiTheme="majorHAnsi"/>
          <w:lang w:val="sq-AL"/>
        </w:rPr>
        <w:t>Gjatë vitit 2018, buxheti i shtetit u ndryshua me dy Akte Normative dhe më specifikisht:</w:t>
      </w:r>
    </w:p>
    <w:p w14:paraId="06F2CAD4" w14:textId="77777777" w:rsidR="006D089B" w:rsidRPr="006D089B" w:rsidRDefault="006D089B" w:rsidP="006D089B">
      <w:pPr>
        <w:pStyle w:val="ListParagraph"/>
        <w:numPr>
          <w:ilvl w:val="0"/>
          <w:numId w:val="50"/>
        </w:numPr>
        <w:spacing w:line="276" w:lineRule="auto"/>
        <w:ind w:left="360"/>
        <w:jc w:val="both"/>
        <w:rPr>
          <w:rFonts w:asciiTheme="majorHAnsi" w:hAnsiTheme="majorHAnsi"/>
          <w:i/>
          <w:u w:val="single"/>
          <w:lang w:val="sq-AL"/>
        </w:rPr>
      </w:pPr>
      <w:r w:rsidRPr="00AC7CD6">
        <w:rPr>
          <w:rFonts w:asciiTheme="majorHAnsi" w:hAnsiTheme="majorHAnsi"/>
          <w:b/>
          <w:u w:val="single"/>
          <w:lang w:val="sq-AL"/>
        </w:rPr>
        <w:t xml:space="preserve">Akti Normativ Nr.1 </w:t>
      </w:r>
      <w:r w:rsidRPr="00AC7CD6">
        <w:rPr>
          <w:rFonts w:asciiTheme="majorHAnsi" w:hAnsiTheme="majorHAnsi"/>
          <w:b/>
          <w:spacing w:val="-1"/>
          <w:u w:val="single"/>
          <w:lang w:val="sq-AL"/>
        </w:rPr>
        <w:t xml:space="preserve">datë </w:t>
      </w:r>
      <w:r w:rsidR="000E6D69" w:rsidRPr="00AC7CD6">
        <w:rPr>
          <w:rFonts w:asciiTheme="majorHAnsi" w:hAnsiTheme="majorHAnsi"/>
          <w:b/>
          <w:spacing w:val="-1"/>
          <w:u w:val="single"/>
          <w:lang w:val="sq-AL"/>
        </w:rPr>
        <w:t>2</w:t>
      </w:r>
      <w:r w:rsidRPr="00AC7CD6">
        <w:rPr>
          <w:rFonts w:asciiTheme="majorHAnsi" w:hAnsiTheme="majorHAnsi"/>
          <w:b/>
          <w:spacing w:val="-1"/>
          <w:u w:val="single"/>
          <w:lang w:val="sq-AL"/>
        </w:rPr>
        <w:t>6.0</w:t>
      </w:r>
      <w:r w:rsidR="000E6D69" w:rsidRPr="00AC7CD6">
        <w:rPr>
          <w:rFonts w:asciiTheme="majorHAnsi" w:hAnsiTheme="majorHAnsi"/>
          <w:b/>
          <w:spacing w:val="-1"/>
          <w:u w:val="single"/>
          <w:lang w:val="sq-AL"/>
        </w:rPr>
        <w:t>7</w:t>
      </w:r>
      <w:r w:rsidRPr="00AC7CD6">
        <w:rPr>
          <w:rFonts w:asciiTheme="majorHAnsi" w:hAnsiTheme="majorHAnsi"/>
          <w:b/>
          <w:spacing w:val="-1"/>
          <w:u w:val="single"/>
          <w:lang w:val="sq-AL"/>
        </w:rPr>
        <w:t>.201</w:t>
      </w:r>
      <w:r w:rsidR="000E6D69" w:rsidRPr="00AC7CD6">
        <w:rPr>
          <w:rFonts w:asciiTheme="majorHAnsi" w:hAnsiTheme="majorHAnsi"/>
          <w:b/>
          <w:spacing w:val="-1"/>
          <w:u w:val="single"/>
          <w:lang w:val="sq-AL"/>
        </w:rPr>
        <w:t>8</w:t>
      </w:r>
      <w:r w:rsidRPr="006D089B">
        <w:rPr>
          <w:rFonts w:asciiTheme="majorHAnsi" w:hAnsiTheme="majorHAnsi"/>
          <w:spacing w:val="-1"/>
          <w:u w:val="single"/>
          <w:lang w:val="sq-AL"/>
        </w:rPr>
        <w:t xml:space="preserve"> </w:t>
      </w:r>
      <w:r w:rsidRPr="006D089B">
        <w:rPr>
          <w:rFonts w:asciiTheme="majorHAnsi" w:hAnsiTheme="majorHAnsi"/>
          <w:i/>
          <w:spacing w:val="-1"/>
          <w:u w:val="single"/>
          <w:lang w:val="sq-AL"/>
        </w:rPr>
        <w:t>“Për disa ndryshime në Ligjin nr.1</w:t>
      </w:r>
      <w:r w:rsidR="000E6D69">
        <w:rPr>
          <w:rFonts w:asciiTheme="majorHAnsi" w:hAnsiTheme="majorHAnsi"/>
          <w:i/>
          <w:spacing w:val="-1"/>
          <w:u w:val="single"/>
          <w:lang w:val="sq-AL"/>
        </w:rPr>
        <w:t>09</w:t>
      </w:r>
      <w:r w:rsidRPr="006D089B">
        <w:rPr>
          <w:rFonts w:asciiTheme="majorHAnsi" w:hAnsiTheme="majorHAnsi"/>
          <w:i/>
          <w:spacing w:val="-1"/>
          <w:u w:val="single"/>
          <w:lang w:val="sq-AL"/>
        </w:rPr>
        <w:t>/201</w:t>
      </w:r>
      <w:r w:rsidR="000E6D69">
        <w:rPr>
          <w:rFonts w:asciiTheme="majorHAnsi" w:hAnsiTheme="majorHAnsi"/>
          <w:i/>
          <w:spacing w:val="-1"/>
          <w:u w:val="single"/>
          <w:lang w:val="sq-AL"/>
        </w:rPr>
        <w:t>7</w:t>
      </w:r>
      <w:r w:rsidRPr="006D089B">
        <w:rPr>
          <w:rFonts w:asciiTheme="majorHAnsi" w:hAnsiTheme="majorHAnsi"/>
          <w:i/>
          <w:spacing w:val="-1"/>
          <w:u w:val="single"/>
          <w:lang w:val="sq-AL"/>
        </w:rPr>
        <w:t xml:space="preserve"> “Për buxhetin e vitit 201</w:t>
      </w:r>
      <w:r w:rsidR="000E6D69">
        <w:rPr>
          <w:rFonts w:asciiTheme="majorHAnsi" w:hAnsiTheme="majorHAnsi"/>
          <w:i/>
          <w:spacing w:val="-1"/>
          <w:u w:val="single"/>
          <w:lang w:val="sq-AL"/>
        </w:rPr>
        <w:t>8</w:t>
      </w:r>
      <w:r w:rsidRPr="006D089B">
        <w:rPr>
          <w:rFonts w:asciiTheme="majorHAnsi" w:hAnsiTheme="majorHAnsi"/>
          <w:i/>
          <w:spacing w:val="-1"/>
          <w:u w:val="single"/>
          <w:lang w:val="sq-AL"/>
        </w:rPr>
        <w:t>”</w:t>
      </w:r>
      <w:r w:rsidRPr="006D089B">
        <w:rPr>
          <w:rFonts w:asciiTheme="majorHAnsi" w:hAnsiTheme="majorHAnsi"/>
          <w:i/>
          <w:u w:val="single"/>
          <w:lang w:val="sq-AL"/>
        </w:rPr>
        <w:t>:</w:t>
      </w:r>
    </w:p>
    <w:p w14:paraId="2B5BCAD5" w14:textId="77777777" w:rsidR="006D089B" w:rsidRPr="006D089B" w:rsidRDefault="006D089B" w:rsidP="006D089B">
      <w:pPr>
        <w:pStyle w:val="ListParagraph"/>
        <w:numPr>
          <w:ilvl w:val="0"/>
          <w:numId w:val="51"/>
        </w:numPr>
        <w:spacing w:before="240" w:line="276" w:lineRule="auto"/>
        <w:jc w:val="both"/>
        <w:rPr>
          <w:rFonts w:asciiTheme="majorHAnsi" w:hAnsiTheme="majorHAnsi"/>
          <w:lang w:val="sq-AL"/>
        </w:rPr>
      </w:pPr>
      <w:r w:rsidRPr="006D089B">
        <w:rPr>
          <w:rFonts w:asciiTheme="majorHAnsi" w:hAnsiTheme="majorHAnsi"/>
          <w:lang w:val="sq-AL"/>
        </w:rPr>
        <w:t>Hartimi i këtij akti normativ u bazua në performancën makro-fiskale e buxhetore të 6mujorit të parë të vitit 201</w:t>
      </w:r>
      <w:r w:rsidR="000E6D69">
        <w:rPr>
          <w:rFonts w:asciiTheme="majorHAnsi" w:hAnsiTheme="majorHAnsi"/>
          <w:lang w:val="sq-AL"/>
        </w:rPr>
        <w:t>8</w:t>
      </w:r>
      <w:r w:rsidRPr="006D089B">
        <w:rPr>
          <w:rFonts w:asciiTheme="majorHAnsi" w:hAnsiTheme="majorHAnsi"/>
          <w:lang w:val="sq-AL"/>
        </w:rPr>
        <w:t>, si edhe në parashikimin e pritshëm të treguesve deri në fund të vitit buxhetor 201</w:t>
      </w:r>
      <w:r w:rsidR="000E6D69">
        <w:rPr>
          <w:rFonts w:asciiTheme="majorHAnsi" w:hAnsiTheme="majorHAnsi"/>
          <w:lang w:val="sq-AL"/>
        </w:rPr>
        <w:t>8</w:t>
      </w:r>
      <w:r w:rsidRPr="006D089B">
        <w:rPr>
          <w:rFonts w:asciiTheme="majorHAnsi" w:hAnsiTheme="majorHAnsi"/>
          <w:lang w:val="sq-AL"/>
        </w:rPr>
        <w:t>. Ai siguroi ruajtjen e parametrave kryesore të buxhetit fillestar, përsa kohë që deficiti buxhetor mbeti i pandryshuar. Njëkohësisht, bëri të mundur arritjen e tre objektivave të rëndësishëm lidhur me: (i) garantimin e ofrimit të shërbimeve publike, (ii) rritjen e efiçencës së përdorimit të burimeve publike, (iii) rritjen e sigurisë në rea</w:t>
      </w:r>
      <w:r w:rsidR="000E6D69">
        <w:rPr>
          <w:rFonts w:asciiTheme="majorHAnsi" w:hAnsiTheme="majorHAnsi"/>
          <w:lang w:val="sq-AL"/>
        </w:rPr>
        <w:t>lizimin e treguesve të buxhetit.</w:t>
      </w:r>
      <w:r w:rsidRPr="006D089B">
        <w:rPr>
          <w:rFonts w:asciiTheme="majorHAnsi" w:hAnsiTheme="majorHAnsi"/>
          <w:lang w:val="sq-AL"/>
        </w:rPr>
        <w:t xml:space="preserve"> </w:t>
      </w:r>
      <w:r w:rsidRPr="006D089B">
        <w:rPr>
          <w:rFonts w:asciiTheme="majorHAnsi" w:hAnsiTheme="majorHAnsi"/>
          <w:lang w:val="sq-AL"/>
        </w:rPr>
        <w:lastRenderedPageBreak/>
        <w:t>Synimet kryesore që kerkonte të realizonte dhe realizoi Qeveria nëpërmjet këtij Akti Normativ, konsistuan kryesisht në:</w:t>
      </w:r>
    </w:p>
    <w:p w14:paraId="7B812079" w14:textId="77777777" w:rsidR="000E6D69" w:rsidRPr="008E3F31" w:rsidRDefault="000E6D69" w:rsidP="000E6D69">
      <w:pPr>
        <w:pStyle w:val="ListParagraph"/>
        <w:numPr>
          <w:ilvl w:val="1"/>
          <w:numId w:val="51"/>
        </w:numPr>
        <w:tabs>
          <w:tab w:val="left" w:pos="426"/>
        </w:tabs>
        <w:spacing w:after="200" w:line="276" w:lineRule="auto"/>
        <w:jc w:val="both"/>
        <w:rPr>
          <w:rFonts w:ascii="Times New Roman" w:hAnsi="Times New Roman"/>
          <w:i/>
          <w:noProof/>
          <w:szCs w:val="26"/>
        </w:rPr>
      </w:pPr>
      <w:r>
        <w:rPr>
          <w:rFonts w:ascii="Times New Roman" w:hAnsi="Times New Roman"/>
          <w:i/>
          <w:noProof/>
          <w:szCs w:val="26"/>
        </w:rPr>
        <w:t>Sigurimin e një shpërblimi për pensionistët dhe familjet në nevojë në fund të vitit</w:t>
      </w:r>
      <w:r w:rsidRPr="008E3F31">
        <w:rPr>
          <w:rFonts w:ascii="Times New Roman" w:hAnsi="Times New Roman"/>
          <w:i/>
          <w:noProof/>
          <w:szCs w:val="26"/>
        </w:rPr>
        <w:t>;</w:t>
      </w:r>
    </w:p>
    <w:p w14:paraId="23C7ACA8" w14:textId="77777777" w:rsidR="000E6D69" w:rsidRPr="008E3F31" w:rsidRDefault="000E6D69" w:rsidP="000E6D69">
      <w:pPr>
        <w:pStyle w:val="ListParagraph"/>
        <w:numPr>
          <w:ilvl w:val="1"/>
          <w:numId w:val="51"/>
        </w:numPr>
        <w:tabs>
          <w:tab w:val="left" w:pos="426"/>
        </w:tabs>
        <w:spacing w:after="200" w:line="276" w:lineRule="auto"/>
        <w:jc w:val="both"/>
        <w:rPr>
          <w:rFonts w:ascii="Times New Roman" w:hAnsi="Times New Roman"/>
          <w:i/>
          <w:noProof/>
          <w:szCs w:val="26"/>
        </w:rPr>
      </w:pPr>
      <w:r>
        <w:rPr>
          <w:rFonts w:ascii="Times New Roman" w:hAnsi="Times New Roman"/>
          <w:i/>
          <w:noProof/>
          <w:szCs w:val="26"/>
        </w:rPr>
        <w:t>R</w:t>
      </w:r>
      <w:r w:rsidRPr="008E3F31">
        <w:rPr>
          <w:rFonts w:ascii="Times New Roman" w:hAnsi="Times New Roman"/>
          <w:i/>
          <w:noProof/>
          <w:szCs w:val="26"/>
        </w:rPr>
        <w:t>ritjen e efiçencës së përdorimit të burimeve publike</w:t>
      </w:r>
      <w:r>
        <w:rPr>
          <w:rFonts w:ascii="Times New Roman" w:hAnsi="Times New Roman"/>
          <w:i/>
          <w:noProof/>
          <w:szCs w:val="26"/>
        </w:rPr>
        <w:t xml:space="preserve"> për rialokimeve drejt projekteve të investimeve me progres të mirë deri tani</w:t>
      </w:r>
      <w:r w:rsidRPr="008E3F31">
        <w:rPr>
          <w:rFonts w:ascii="Times New Roman" w:hAnsi="Times New Roman"/>
          <w:i/>
          <w:noProof/>
          <w:szCs w:val="26"/>
        </w:rPr>
        <w:t>;</w:t>
      </w:r>
    </w:p>
    <w:p w14:paraId="3E3775AF" w14:textId="77777777" w:rsidR="000E6D69" w:rsidRPr="008E3F31" w:rsidRDefault="000E6D69" w:rsidP="000E6D69">
      <w:pPr>
        <w:pStyle w:val="ListParagraph"/>
        <w:numPr>
          <w:ilvl w:val="1"/>
          <w:numId w:val="51"/>
        </w:numPr>
        <w:tabs>
          <w:tab w:val="left" w:pos="426"/>
        </w:tabs>
        <w:spacing w:after="200" w:line="276" w:lineRule="auto"/>
        <w:jc w:val="both"/>
        <w:rPr>
          <w:rFonts w:ascii="Times New Roman" w:hAnsi="Times New Roman"/>
          <w:i/>
          <w:noProof/>
          <w:szCs w:val="26"/>
        </w:rPr>
      </w:pPr>
      <w:r>
        <w:rPr>
          <w:rFonts w:ascii="Times New Roman" w:hAnsi="Times New Roman"/>
          <w:i/>
          <w:noProof/>
          <w:szCs w:val="26"/>
        </w:rPr>
        <w:t>R</w:t>
      </w:r>
      <w:r w:rsidRPr="008E3F31">
        <w:rPr>
          <w:rFonts w:ascii="Times New Roman" w:hAnsi="Times New Roman"/>
          <w:i/>
          <w:noProof/>
          <w:szCs w:val="26"/>
        </w:rPr>
        <w:t xml:space="preserve">ritjen e sigurisë në realizimin e treguesve të buxhetit; </w:t>
      </w:r>
    </w:p>
    <w:p w14:paraId="70AA8D71" w14:textId="77777777" w:rsidR="006D089B" w:rsidRPr="006D089B" w:rsidRDefault="006D089B" w:rsidP="006D089B">
      <w:pPr>
        <w:pStyle w:val="ListParagraph"/>
        <w:spacing w:before="240" w:line="276" w:lineRule="auto"/>
        <w:ind w:left="360"/>
        <w:jc w:val="both"/>
        <w:rPr>
          <w:rFonts w:asciiTheme="majorHAnsi" w:hAnsiTheme="majorHAnsi"/>
          <w:i/>
          <w:u w:val="single"/>
          <w:lang w:val="sq-AL"/>
        </w:rPr>
      </w:pPr>
    </w:p>
    <w:p w14:paraId="5A012435" w14:textId="77777777" w:rsidR="006D089B" w:rsidRPr="00543C81" w:rsidRDefault="006D089B" w:rsidP="006D089B">
      <w:pPr>
        <w:pStyle w:val="ListParagraph"/>
        <w:numPr>
          <w:ilvl w:val="0"/>
          <w:numId w:val="50"/>
        </w:numPr>
        <w:spacing w:before="240" w:after="240" w:line="276" w:lineRule="auto"/>
        <w:ind w:left="360"/>
        <w:jc w:val="both"/>
        <w:rPr>
          <w:rFonts w:asciiTheme="majorHAnsi" w:hAnsiTheme="majorHAnsi"/>
          <w:lang w:val="sq-AL"/>
        </w:rPr>
      </w:pPr>
      <w:r w:rsidRPr="00AC7CD6">
        <w:rPr>
          <w:rFonts w:asciiTheme="majorHAnsi" w:hAnsiTheme="majorHAnsi"/>
          <w:b/>
          <w:u w:val="single"/>
          <w:lang w:val="sq-AL"/>
        </w:rPr>
        <w:t>Akti Normativ Nr.</w:t>
      </w:r>
      <w:r w:rsidR="000E6D69" w:rsidRPr="00AC7CD6">
        <w:rPr>
          <w:rFonts w:asciiTheme="majorHAnsi" w:hAnsiTheme="majorHAnsi"/>
          <w:b/>
          <w:spacing w:val="-1"/>
          <w:u w:val="single"/>
          <w:lang w:val="sq-AL"/>
        </w:rPr>
        <w:t>2</w:t>
      </w:r>
      <w:r w:rsidRPr="00AC7CD6">
        <w:rPr>
          <w:rFonts w:asciiTheme="majorHAnsi" w:hAnsiTheme="majorHAnsi"/>
          <w:b/>
          <w:spacing w:val="-1"/>
          <w:u w:val="single"/>
          <w:lang w:val="sq-AL"/>
        </w:rPr>
        <w:t xml:space="preserve"> datë </w:t>
      </w:r>
      <w:r w:rsidR="000E6D69" w:rsidRPr="00AC7CD6">
        <w:rPr>
          <w:rFonts w:asciiTheme="majorHAnsi" w:hAnsiTheme="majorHAnsi"/>
          <w:b/>
          <w:spacing w:val="-1"/>
          <w:u w:val="single"/>
          <w:lang w:val="sq-AL"/>
        </w:rPr>
        <w:t>19</w:t>
      </w:r>
      <w:r w:rsidRPr="00AC7CD6">
        <w:rPr>
          <w:rFonts w:asciiTheme="majorHAnsi" w:hAnsiTheme="majorHAnsi"/>
          <w:b/>
          <w:spacing w:val="-1"/>
          <w:u w:val="single"/>
          <w:lang w:val="sq-AL"/>
        </w:rPr>
        <w:t>.1</w:t>
      </w:r>
      <w:r w:rsidR="000E6D69" w:rsidRPr="00AC7CD6">
        <w:rPr>
          <w:rFonts w:asciiTheme="majorHAnsi" w:hAnsiTheme="majorHAnsi"/>
          <w:b/>
          <w:spacing w:val="-1"/>
          <w:u w:val="single"/>
          <w:lang w:val="sq-AL"/>
        </w:rPr>
        <w:t>2</w:t>
      </w:r>
      <w:r w:rsidRPr="00AC7CD6">
        <w:rPr>
          <w:rFonts w:asciiTheme="majorHAnsi" w:hAnsiTheme="majorHAnsi"/>
          <w:b/>
          <w:spacing w:val="-1"/>
          <w:u w:val="single"/>
          <w:lang w:val="sq-AL"/>
        </w:rPr>
        <w:t>.201</w:t>
      </w:r>
      <w:r w:rsidR="000E6D69" w:rsidRPr="00AC7CD6">
        <w:rPr>
          <w:rFonts w:asciiTheme="majorHAnsi" w:hAnsiTheme="majorHAnsi"/>
          <w:b/>
          <w:spacing w:val="-1"/>
          <w:u w:val="single"/>
          <w:lang w:val="sq-AL"/>
        </w:rPr>
        <w:t>8</w:t>
      </w:r>
      <w:r w:rsidRPr="006D089B">
        <w:rPr>
          <w:rFonts w:asciiTheme="majorHAnsi" w:hAnsiTheme="majorHAnsi"/>
          <w:i/>
          <w:spacing w:val="-1"/>
          <w:u w:val="single"/>
          <w:lang w:val="sq-AL"/>
        </w:rPr>
        <w:t xml:space="preserve"> “Për disa ndryshime në Ligjin nr.</w:t>
      </w:r>
      <w:r w:rsidR="000E6D69">
        <w:rPr>
          <w:rFonts w:asciiTheme="majorHAnsi" w:hAnsiTheme="majorHAnsi"/>
          <w:i/>
          <w:spacing w:val="-1"/>
          <w:u w:val="single"/>
          <w:lang w:val="sq-AL"/>
        </w:rPr>
        <w:t>109</w:t>
      </w:r>
      <w:r w:rsidRPr="006D089B">
        <w:rPr>
          <w:rFonts w:asciiTheme="majorHAnsi" w:hAnsiTheme="majorHAnsi"/>
          <w:i/>
          <w:spacing w:val="-1"/>
          <w:u w:val="single"/>
          <w:lang w:val="sq-AL"/>
        </w:rPr>
        <w:t>/201</w:t>
      </w:r>
      <w:r w:rsidR="000E6D69">
        <w:rPr>
          <w:rFonts w:asciiTheme="majorHAnsi" w:hAnsiTheme="majorHAnsi"/>
          <w:i/>
          <w:spacing w:val="-1"/>
          <w:u w:val="single"/>
          <w:lang w:val="sq-AL"/>
        </w:rPr>
        <w:t>7</w:t>
      </w:r>
      <w:r w:rsidRPr="006D089B">
        <w:rPr>
          <w:rFonts w:asciiTheme="majorHAnsi" w:hAnsiTheme="majorHAnsi"/>
          <w:i/>
          <w:spacing w:val="-1"/>
          <w:u w:val="single"/>
          <w:lang w:val="sq-AL"/>
        </w:rPr>
        <w:t xml:space="preserve"> “Për buxhetin e vitit 201</w:t>
      </w:r>
      <w:r w:rsidR="000E6D69">
        <w:rPr>
          <w:rFonts w:asciiTheme="majorHAnsi" w:hAnsiTheme="majorHAnsi"/>
          <w:i/>
          <w:spacing w:val="-1"/>
          <w:u w:val="single"/>
          <w:lang w:val="sq-AL"/>
        </w:rPr>
        <w:t>8</w:t>
      </w:r>
      <w:r w:rsidRPr="006D089B">
        <w:rPr>
          <w:rFonts w:asciiTheme="majorHAnsi" w:hAnsiTheme="majorHAnsi"/>
          <w:i/>
          <w:spacing w:val="-1"/>
          <w:u w:val="single"/>
          <w:lang w:val="sq-AL"/>
        </w:rPr>
        <w:t xml:space="preserve">, </w:t>
      </w:r>
      <w:r w:rsidRPr="00543C81">
        <w:rPr>
          <w:rFonts w:asciiTheme="majorHAnsi" w:hAnsiTheme="majorHAnsi"/>
          <w:lang w:val="sq-AL"/>
        </w:rPr>
        <w:t>të ndryshuar”:</w:t>
      </w:r>
    </w:p>
    <w:p w14:paraId="78D6DE57" w14:textId="77777777" w:rsidR="00543C81" w:rsidRPr="00543C81" w:rsidRDefault="00543C81" w:rsidP="00543C81">
      <w:pPr>
        <w:pStyle w:val="ListParagraph"/>
        <w:numPr>
          <w:ilvl w:val="0"/>
          <w:numId w:val="51"/>
        </w:numPr>
        <w:spacing w:before="240" w:line="276" w:lineRule="auto"/>
        <w:jc w:val="both"/>
        <w:rPr>
          <w:rFonts w:asciiTheme="majorHAnsi" w:hAnsiTheme="majorHAnsi"/>
          <w:lang w:val="sq-AL"/>
        </w:rPr>
      </w:pPr>
      <w:r w:rsidRPr="00543C81">
        <w:rPr>
          <w:rFonts w:asciiTheme="majorHAnsi" w:hAnsiTheme="majorHAnsi"/>
          <w:lang w:val="sq-AL"/>
        </w:rPr>
        <w:t xml:space="preserve">Bazuar në performancën makro-fiskale e buxhetore të 11-mujorit 2018, Akti Normativ </w:t>
      </w:r>
      <w:r>
        <w:rPr>
          <w:rFonts w:asciiTheme="majorHAnsi" w:hAnsiTheme="majorHAnsi"/>
          <w:lang w:val="sq-AL"/>
        </w:rPr>
        <w:t xml:space="preserve">i dha </w:t>
      </w:r>
      <w:r w:rsidRPr="00543C81">
        <w:rPr>
          <w:rFonts w:asciiTheme="majorHAnsi" w:hAnsiTheme="majorHAnsi"/>
          <w:lang w:val="sq-AL"/>
        </w:rPr>
        <w:t>zgjidhje disa problematikave të hasuar</w:t>
      </w:r>
      <w:r>
        <w:rPr>
          <w:rFonts w:asciiTheme="majorHAnsi" w:hAnsiTheme="majorHAnsi"/>
          <w:lang w:val="sq-AL"/>
        </w:rPr>
        <w:t>a</w:t>
      </w:r>
      <w:r w:rsidRPr="00543C81">
        <w:rPr>
          <w:rFonts w:asciiTheme="majorHAnsi" w:hAnsiTheme="majorHAnsi"/>
          <w:lang w:val="sq-AL"/>
        </w:rPr>
        <w:t xml:space="preserve"> gjatë implementimit të buxhetit të shtetit për vitin 2018, duke rritur efiçiencën në përdorimin e fondeve publike, duke bërë të mundur arritjen e tre objektivave të rëndësishëm si: </w:t>
      </w:r>
    </w:p>
    <w:p w14:paraId="661CAEAF" w14:textId="77777777" w:rsidR="00543C81" w:rsidRPr="00543C81" w:rsidRDefault="00543C81" w:rsidP="00543C81">
      <w:pPr>
        <w:pStyle w:val="ListParagraph"/>
        <w:numPr>
          <w:ilvl w:val="1"/>
          <w:numId w:val="56"/>
        </w:numPr>
        <w:tabs>
          <w:tab w:val="left" w:pos="426"/>
        </w:tabs>
        <w:spacing w:after="200" w:line="276" w:lineRule="auto"/>
        <w:jc w:val="both"/>
        <w:rPr>
          <w:rFonts w:ascii="Times New Roman" w:hAnsi="Times New Roman"/>
          <w:i/>
          <w:noProof/>
          <w:szCs w:val="26"/>
        </w:rPr>
      </w:pPr>
      <w:r w:rsidRPr="00543C81">
        <w:rPr>
          <w:rFonts w:ascii="Times New Roman" w:hAnsi="Times New Roman"/>
          <w:i/>
          <w:noProof/>
          <w:szCs w:val="26"/>
        </w:rPr>
        <w:t xml:space="preserve">ruajtjen të pandryshuar të nivelit të planifikuar të parametrave kryesorë makroekonomikë; </w:t>
      </w:r>
    </w:p>
    <w:p w14:paraId="75664BCF" w14:textId="77777777" w:rsidR="00543C81" w:rsidRPr="00BB6872" w:rsidRDefault="00543C81" w:rsidP="00543C81">
      <w:pPr>
        <w:pStyle w:val="ListParagraph"/>
        <w:numPr>
          <w:ilvl w:val="1"/>
          <w:numId w:val="56"/>
        </w:numPr>
        <w:tabs>
          <w:tab w:val="left" w:pos="426"/>
        </w:tabs>
        <w:spacing w:after="200" w:line="276" w:lineRule="auto"/>
        <w:jc w:val="both"/>
        <w:rPr>
          <w:rFonts w:ascii="Times New Roman" w:hAnsi="Times New Roman"/>
          <w:i/>
          <w:noProof/>
          <w:szCs w:val="26"/>
        </w:rPr>
      </w:pPr>
      <w:r w:rsidRPr="00BB6872">
        <w:rPr>
          <w:rFonts w:ascii="Times New Roman" w:hAnsi="Times New Roman"/>
          <w:i/>
          <w:noProof/>
          <w:szCs w:val="26"/>
        </w:rPr>
        <w:t>garantimin e financimit të nevojave të pushtetit vendor;</w:t>
      </w:r>
      <w:r w:rsidRPr="00543C81">
        <w:rPr>
          <w:rFonts w:ascii="Times New Roman" w:hAnsi="Times New Roman"/>
          <w:i/>
          <w:noProof/>
          <w:szCs w:val="26"/>
        </w:rPr>
        <w:t xml:space="preserve"> </w:t>
      </w:r>
    </w:p>
    <w:p w14:paraId="7077350A" w14:textId="77777777" w:rsidR="00543C81" w:rsidRDefault="00543C81" w:rsidP="00543C81">
      <w:pPr>
        <w:pStyle w:val="ListParagraph"/>
        <w:numPr>
          <w:ilvl w:val="1"/>
          <w:numId w:val="56"/>
        </w:numPr>
        <w:tabs>
          <w:tab w:val="left" w:pos="426"/>
        </w:tabs>
        <w:spacing w:after="200" w:line="276" w:lineRule="auto"/>
        <w:jc w:val="both"/>
        <w:rPr>
          <w:rFonts w:ascii="Times New Roman" w:hAnsi="Times New Roman"/>
          <w:i/>
          <w:noProof/>
          <w:szCs w:val="26"/>
        </w:rPr>
      </w:pPr>
      <w:r w:rsidRPr="00543C81">
        <w:rPr>
          <w:rFonts w:ascii="Times New Roman" w:hAnsi="Times New Roman"/>
          <w:i/>
          <w:noProof/>
          <w:szCs w:val="26"/>
        </w:rPr>
        <w:t>‘pastrimin’e detyrimeve të prapambetura</w:t>
      </w:r>
      <w:r w:rsidRPr="00BB6872">
        <w:rPr>
          <w:rFonts w:ascii="Times New Roman" w:hAnsi="Times New Roman"/>
          <w:i/>
          <w:noProof/>
          <w:szCs w:val="26"/>
        </w:rPr>
        <w:t>.</w:t>
      </w:r>
    </w:p>
    <w:p w14:paraId="283AAFC1" w14:textId="77777777" w:rsidR="00543C81" w:rsidRPr="00543C81" w:rsidRDefault="00543C81" w:rsidP="00543C81">
      <w:pPr>
        <w:pStyle w:val="ListParagraph"/>
        <w:numPr>
          <w:ilvl w:val="0"/>
          <w:numId w:val="51"/>
        </w:numPr>
        <w:spacing w:before="240" w:line="276" w:lineRule="auto"/>
        <w:jc w:val="both"/>
        <w:rPr>
          <w:rFonts w:asciiTheme="majorHAnsi" w:hAnsiTheme="majorHAnsi"/>
          <w:lang w:val="sq-AL"/>
        </w:rPr>
      </w:pPr>
      <w:r>
        <w:rPr>
          <w:rFonts w:asciiTheme="majorHAnsi" w:hAnsiTheme="majorHAnsi"/>
          <w:lang w:val="sq-AL"/>
        </w:rPr>
        <w:t>N</w:t>
      </w:r>
      <w:r w:rsidR="00FE523F">
        <w:rPr>
          <w:rFonts w:asciiTheme="majorHAnsi" w:hAnsiTheme="majorHAnsi"/>
          <w:lang w:val="sq-AL"/>
        </w:rPr>
        <w:t>ë</w:t>
      </w:r>
      <w:r>
        <w:rPr>
          <w:rFonts w:asciiTheme="majorHAnsi" w:hAnsiTheme="majorHAnsi"/>
          <w:lang w:val="sq-AL"/>
        </w:rPr>
        <w:t xml:space="preserve"> terma m</w:t>
      </w:r>
      <w:r w:rsidR="00FE523F">
        <w:rPr>
          <w:rFonts w:asciiTheme="majorHAnsi" w:hAnsiTheme="majorHAnsi"/>
          <w:lang w:val="sq-AL"/>
        </w:rPr>
        <w:t>ë</w:t>
      </w:r>
      <w:r>
        <w:rPr>
          <w:rFonts w:asciiTheme="majorHAnsi" w:hAnsiTheme="majorHAnsi"/>
          <w:lang w:val="sq-AL"/>
        </w:rPr>
        <w:t xml:space="preserve"> konkret</w:t>
      </w:r>
      <w:r w:rsidR="00FE523F">
        <w:rPr>
          <w:rFonts w:asciiTheme="majorHAnsi" w:hAnsiTheme="majorHAnsi"/>
          <w:lang w:val="sq-AL"/>
        </w:rPr>
        <w:t>ë</w:t>
      </w:r>
      <w:r>
        <w:rPr>
          <w:rFonts w:asciiTheme="majorHAnsi" w:hAnsiTheme="majorHAnsi"/>
          <w:lang w:val="sq-AL"/>
        </w:rPr>
        <w:t>, p</w:t>
      </w:r>
      <w:r w:rsidR="00FE523F">
        <w:rPr>
          <w:rFonts w:asciiTheme="majorHAnsi" w:hAnsiTheme="majorHAnsi"/>
          <w:lang w:val="sq-AL"/>
        </w:rPr>
        <w:t>ë</w:t>
      </w:r>
      <w:r>
        <w:rPr>
          <w:rFonts w:asciiTheme="majorHAnsi" w:hAnsiTheme="majorHAnsi"/>
          <w:lang w:val="sq-AL"/>
        </w:rPr>
        <w:t>rmes tij u mund</w:t>
      </w:r>
      <w:r w:rsidR="00FE523F">
        <w:rPr>
          <w:rFonts w:asciiTheme="majorHAnsi" w:hAnsiTheme="majorHAnsi"/>
          <w:lang w:val="sq-AL"/>
        </w:rPr>
        <w:t>ë</w:t>
      </w:r>
      <w:r>
        <w:rPr>
          <w:rFonts w:asciiTheme="majorHAnsi" w:hAnsiTheme="majorHAnsi"/>
          <w:lang w:val="sq-AL"/>
        </w:rPr>
        <w:t>sua:</w:t>
      </w:r>
    </w:p>
    <w:p w14:paraId="6E7540F9" w14:textId="77777777" w:rsidR="000E6D69" w:rsidRPr="009C7AF0" w:rsidRDefault="000E6D69" w:rsidP="00AC7CD6">
      <w:pPr>
        <w:pStyle w:val="ListParagraph"/>
        <w:numPr>
          <w:ilvl w:val="1"/>
          <w:numId w:val="56"/>
        </w:numPr>
        <w:tabs>
          <w:tab w:val="left" w:pos="426"/>
        </w:tabs>
        <w:spacing w:before="240" w:after="200" w:line="276" w:lineRule="auto"/>
        <w:jc w:val="both"/>
        <w:rPr>
          <w:rFonts w:ascii="Times New Roman" w:hAnsi="Times New Roman"/>
          <w:i/>
          <w:noProof/>
          <w:szCs w:val="26"/>
        </w:rPr>
      </w:pPr>
      <w:r>
        <w:rPr>
          <w:rFonts w:ascii="Times New Roman" w:hAnsi="Times New Roman"/>
          <w:i/>
          <w:noProof/>
          <w:szCs w:val="26"/>
        </w:rPr>
        <w:t>R</w:t>
      </w:r>
      <w:r w:rsidRPr="009C7AF0">
        <w:rPr>
          <w:rFonts w:ascii="Times New Roman" w:hAnsi="Times New Roman"/>
          <w:i/>
          <w:noProof/>
          <w:szCs w:val="26"/>
        </w:rPr>
        <w:t>uaj</w:t>
      </w:r>
      <w:r>
        <w:rPr>
          <w:rFonts w:ascii="Times New Roman" w:hAnsi="Times New Roman"/>
          <w:i/>
          <w:noProof/>
          <w:szCs w:val="26"/>
        </w:rPr>
        <w:t>tja</w:t>
      </w:r>
      <w:r w:rsidRPr="009C7AF0">
        <w:rPr>
          <w:rFonts w:ascii="Times New Roman" w:hAnsi="Times New Roman"/>
          <w:i/>
          <w:noProof/>
          <w:szCs w:val="26"/>
        </w:rPr>
        <w:t xml:space="preserve"> </w:t>
      </w:r>
      <w:r>
        <w:rPr>
          <w:rFonts w:ascii="Times New Roman" w:hAnsi="Times New Roman"/>
          <w:i/>
          <w:noProof/>
          <w:szCs w:val="26"/>
        </w:rPr>
        <w:t>e nivelit</w:t>
      </w:r>
      <w:r w:rsidRPr="009C7AF0">
        <w:rPr>
          <w:rFonts w:ascii="Times New Roman" w:hAnsi="Times New Roman"/>
          <w:i/>
          <w:noProof/>
          <w:szCs w:val="26"/>
        </w:rPr>
        <w:t xml:space="preserve"> </w:t>
      </w:r>
      <w:r>
        <w:rPr>
          <w:rFonts w:ascii="Times New Roman" w:hAnsi="Times New Roman"/>
          <w:i/>
          <w:noProof/>
          <w:szCs w:val="26"/>
        </w:rPr>
        <w:t>të</w:t>
      </w:r>
      <w:r w:rsidRPr="009C7AF0">
        <w:rPr>
          <w:rFonts w:ascii="Times New Roman" w:hAnsi="Times New Roman"/>
          <w:i/>
          <w:noProof/>
          <w:szCs w:val="26"/>
        </w:rPr>
        <w:t xml:space="preserve"> planifikuar të parametrave kryesorë makroekonomikë 2018, të tillë si: niveli i defiçitit buxhetor, si edhe niveli i sufiçitit primar në terma pozitivë, si nominalë ashtu edhe kundrejt PBB-së.</w:t>
      </w:r>
    </w:p>
    <w:p w14:paraId="234A83B3" w14:textId="77777777" w:rsidR="00AC7CD6" w:rsidRPr="00AC7CD6" w:rsidRDefault="00AC7CD6" w:rsidP="00AC7CD6">
      <w:pPr>
        <w:pStyle w:val="ListParagraph"/>
        <w:tabs>
          <w:tab w:val="left" w:pos="426"/>
        </w:tabs>
        <w:spacing w:before="240" w:after="200" w:line="276" w:lineRule="auto"/>
        <w:ind w:left="1440"/>
        <w:jc w:val="both"/>
        <w:rPr>
          <w:rFonts w:ascii="Times New Roman" w:hAnsi="Times New Roman"/>
          <w:i/>
          <w:noProof/>
          <w:sz w:val="4"/>
          <w:szCs w:val="4"/>
        </w:rPr>
      </w:pPr>
    </w:p>
    <w:p w14:paraId="7CAB2B96" w14:textId="77777777" w:rsidR="000E6D69" w:rsidRPr="00FB6AE6" w:rsidRDefault="000E6D69" w:rsidP="00AC7CD6">
      <w:pPr>
        <w:pStyle w:val="ListParagraph"/>
        <w:numPr>
          <w:ilvl w:val="1"/>
          <w:numId w:val="56"/>
        </w:numPr>
        <w:tabs>
          <w:tab w:val="left" w:pos="426"/>
        </w:tabs>
        <w:spacing w:before="240" w:after="200" w:line="276" w:lineRule="auto"/>
        <w:jc w:val="both"/>
        <w:rPr>
          <w:rFonts w:ascii="Times New Roman" w:hAnsi="Times New Roman"/>
          <w:i/>
          <w:noProof/>
          <w:szCs w:val="26"/>
        </w:rPr>
      </w:pPr>
      <w:r>
        <w:rPr>
          <w:rFonts w:ascii="Times New Roman" w:hAnsi="Times New Roman"/>
          <w:i/>
          <w:noProof/>
          <w:szCs w:val="26"/>
        </w:rPr>
        <w:t>S</w:t>
      </w:r>
      <w:r w:rsidRPr="00FB6AE6">
        <w:rPr>
          <w:rFonts w:ascii="Times New Roman" w:hAnsi="Times New Roman"/>
          <w:i/>
          <w:noProof/>
          <w:szCs w:val="26"/>
        </w:rPr>
        <w:t>igur</w:t>
      </w:r>
      <w:r>
        <w:rPr>
          <w:rFonts w:ascii="Times New Roman" w:hAnsi="Times New Roman"/>
          <w:i/>
          <w:noProof/>
          <w:szCs w:val="26"/>
        </w:rPr>
        <w:t>imi</w:t>
      </w:r>
      <w:r w:rsidRPr="00FB6AE6">
        <w:rPr>
          <w:rFonts w:ascii="Times New Roman" w:hAnsi="Times New Roman"/>
          <w:i/>
          <w:noProof/>
          <w:szCs w:val="26"/>
        </w:rPr>
        <w:t xml:space="preserve"> </w:t>
      </w:r>
      <w:r>
        <w:rPr>
          <w:rFonts w:ascii="Times New Roman" w:hAnsi="Times New Roman"/>
          <w:i/>
          <w:noProof/>
          <w:szCs w:val="26"/>
        </w:rPr>
        <w:t xml:space="preserve">i </w:t>
      </w:r>
      <w:r w:rsidRPr="00FB6AE6">
        <w:rPr>
          <w:rFonts w:ascii="Times New Roman" w:hAnsi="Times New Roman"/>
          <w:i/>
          <w:noProof/>
          <w:szCs w:val="26"/>
        </w:rPr>
        <w:t>hapësirën financiare shtesë për njësitë e vetëqeverisjes vendore</w:t>
      </w:r>
      <w:r>
        <w:rPr>
          <w:rFonts w:ascii="Times New Roman" w:hAnsi="Times New Roman"/>
          <w:i/>
          <w:noProof/>
          <w:szCs w:val="26"/>
        </w:rPr>
        <w:t xml:space="preserve">, </w:t>
      </w:r>
      <w:r w:rsidRPr="009C7AF0">
        <w:rPr>
          <w:rFonts w:ascii="Times New Roman" w:hAnsi="Times New Roman"/>
          <w:i/>
          <w:noProof/>
          <w:szCs w:val="26"/>
        </w:rPr>
        <w:t xml:space="preserve">përmes rritjes së tavanit të shpenzimeve tyre me </w:t>
      </w:r>
      <w:r>
        <w:rPr>
          <w:rFonts w:ascii="Times New Roman" w:hAnsi="Times New Roman"/>
          <w:i/>
          <w:noProof/>
          <w:szCs w:val="26"/>
        </w:rPr>
        <w:t>3.4 miliardë lekë</w:t>
      </w:r>
      <w:r w:rsidRPr="00FB6AE6">
        <w:rPr>
          <w:rFonts w:ascii="Times New Roman" w:hAnsi="Times New Roman"/>
          <w:i/>
          <w:noProof/>
          <w:szCs w:val="26"/>
        </w:rPr>
        <w:t>, në perputhje me ecurinë pozitive të mbledhjes së të ardhurave vendore.</w:t>
      </w:r>
    </w:p>
    <w:p w14:paraId="4DB41739" w14:textId="77777777" w:rsidR="00AC7CD6" w:rsidRPr="00AC7CD6" w:rsidRDefault="00AC7CD6" w:rsidP="00AC7CD6">
      <w:pPr>
        <w:pStyle w:val="ListParagraph"/>
        <w:tabs>
          <w:tab w:val="left" w:pos="426"/>
        </w:tabs>
        <w:spacing w:before="240" w:after="200" w:line="276" w:lineRule="auto"/>
        <w:ind w:left="1440"/>
        <w:jc w:val="both"/>
        <w:rPr>
          <w:rFonts w:ascii="Times New Roman" w:hAnsi="Times New Roman"/>
          <w:i/>
          <w:noProof/>
          <w:sz w:val="4"/>
          <w:szCs w:val="4"/>
        </w:rPr>
      </w:pPr>
    </w:p>
    <w:p w14:paraId="10EBB7C2" w14:textId="77777777" w:rsidR="000E6D69" w:rsidRDefault="000E6D69" w:rsidP="00AC7CD6">
      <w:pPr>
        <w:pStyle w:val="ListParagraph"/>
        <w:numPr>
          <w:ilvl w:val="1"/>
          <w:numId w:val="56"/>
        </w:numPr>
        <w:tabs>
          <w:tab w:val="left" w:pos="426"/>
        </w:tabs>
        <w:spacing w:before="240" w:after="200" w:line="276" w:lineRule="auto"/>
        <w:jc w:val="both"/>
        <w:rPr>
          <w:rFonts w:ascii="Times New Roman" w:hAnsi="Times New Roman"/>
          <w:i/>
          <w:noProof/>
          <w:szCs w:val="26"/>
        </w:rPr>
      </w:pPr>
      <w:r w:rsidRPr="00FB6AE6">
        <w:rPr>
          <w:rFonts w:ascii="Times New Roman" w:hAnsi="Times New Roman"/>
          <w:i/>
          <w:noProof/>
          <w:szCs w:val="26"/>
        </w:rPr>
        <w:t>‘</w:t>
      </w:r>
      <w:r>
        <w:rPr>
          <w:rFonts w:ascii="Times New Roman" w:hAnsi="Times New Roman"/>
          <w:i/>
          <w:noProof/>
          <w:szCs w:val="26"/>
        </w:rPr>
        <w:t>P</w:t>
      </w:r>
      <w:r w:rsidRPr="00FB6AE6">
        <w:rPr>
          <w:rFonts w:ascii="Times New Roman" w:hAnsi="Times New Roman"/>
          <w:i/>
          <w:noProof/>
          <w:szCs w:val="26"/>
        </w:rPr>
        <w:t>astrimi’</w:t>
      </w:r>
      <w:r>
        <w:rPr>
          <w:rFonts w:ascii="Times New Roman" w:hAnsi="Times New Roman"/>
          <w:i/>
          <w:noProof/>
          <w:szCs w:val="26"/>
        </w:rPr>
        <w:t xml:space="preserve"> i</w:t>
      </w:r>
      <w:r w:rsidRPr="00FB6AE6">
        <w:rPr>
          <w:rFonts w:ascii="Times New Roman" w:hAnsi="Times New Roman"/>
          <w:i/>
          <w:noProof/>
          <w:szCs w:val="26"/>
        </w:rPr>
        <w:t xml:space="preserve"> detyrimeve të prapambetura në sektorin e infrastrukturës, </w:t>
      </w:r>
      <w:r>
        <w:rPr>
          <w:rFonts w:ascii="Times New Roman" w:hAnsi="Times New Roman"/>
          <w:i/>
          <w:noProof/>
          <w:szCs w:val="26"/>
        </w:rPr>
        <w:t>në masën 2.2 miliardë lekë,</w:t>
      </w:r>
      <w:r w:rsidRPr="00FB6AE6">
        <w:rPr>
          <w:rFonts w:ascii="Times New Roman" w:hAnsi="Times New Roman"/>
          <w:i/>
          <w:noProof/>
          <w:szCs w:val="26"/>
        </w:rPr>
        <w:t xml:space="preserve"> në përputhje me angazhim</w:t>
      </w:r>
      <w:r>
        <w:rPr>
          <w:rFonts w:ascii="Times New Roman" w:hAnsi="Times New Roman"/>
          <w:i/>
          <w:noProof/>
          <w:szCs w:val="26"/>
        </w:rPr>
        <w:t xml:space="preserve">in e marrë edhe kundrejt FMN-së. </w:t>
      </w:r>
    </w:p>
    <w:p w14:paraId="3DF53CFB" w14:textId="77777777" w:rsidR="00AC7CD6" w:rsidRPr="00AC7CD6" w:rsidRDefault="00AC7CD6" w:rsidP="00AC7CD6">
      <w:pPr>
        <w:pStyle w:val="ListParagraph"/>
        <w:tabs>
          <w:tab w:val="left" w:pos="426"/>
        </w:tabs>
        <w:spacing w:before="240" w:after="200" w:line="276" w:lineRule="auto"/>
        <w:ind w:left="1440"/>
        <w:jc w:val="both"/>
        <w:rPr>
          <w:rFonts w:ascii="Times New Roman" w:hAnsi="Times New Roman"/>
          <w:i/>
          <w:noProof/>
          <w:sz w:val="4"/>
          <w:szCs w:val="4"/>
        </w:rPr>
      </w:pPr>
    </w:p>
    <w:p w14:paraId="0431492C" w14:textId="77777777" w:rsidR="000E6D69" w:rsidRPr="008E3F31" w:rsidRDefault="000E6D69" w:rsidP="00AC7CD6">
      <w:pPr>
        <w:pStyle w:val="ListParagraph"/>
        <w:numPr>
          <w:ilvl w:val="1"/>
          <w:numId w:val="56"/>
        </w:numPr>
        <w:tabs>
          <w:tab w:val="left" w:pos="426"/>
        </w:tabs>
        <w:spacing w:before="240" w:after="200" w:line="276" w:lineRule="auto"/>
        <w:jc w:val="both"/>
        <w:rPr>
          <w:rFonts w:ascii="Times New Roman" w:hAnsi="Times New Roman"/>
          <w:i/>
          <w:noProof/>
          <w:szCs w:val="26"/>
        </w:rPr>
      </w:pPr>
      <w:r>
        <w:rPr>
          <w:rFonts w:ascii="Times New Roman" w:hAnsi="Times New Roman"/>
          <w:i/>
          <w:noProof/>
          <w:szCs w:val="26"/>
        </w:rPr>
        <w:t>R</w:t>
      </w:r>
      <w:r w:rsidRPr="008E3F31">
        <w:rPr>
          <w:rFonts w:ascii="Times New Roman" w:hAnsi="Times New Roman"/>
          <w:i/>
          <w:noProof/>
          <w:szCs w:val="26"/>
        </w:rPr>
        <w:t>ritj</w:t>
      </w:r>
      <w:r>
        <w:rPr>
          <w:rFonts w:ascii="Times New Roman" w:hAnsi="Times New Roman"/>
          <w:i/>
          <w:noProof/>
          <w:szCs w:val="26"/>
        </w:rPr>
        <w:t>a</w:t>
      </w:r>
      <w:r w:rsidRPr="008E3F31">
        <w:rPr>
          <w:rFonts w:ascii="Times New Roman" w:hAnsi="Times New Roman"/>
          <w:i/>
          <w:noProof/>
          <w:szCs w:val="26"/>
        </w:rPr>
        <w:t xml:space="preserve"> e efiçencës së përdorimit të burimeve publike</w:t>
      </w:r>
      <w:r>
        <w:rPr>
          <w:rFonts w:ascii="Times New Roman" w:hAnsi="Times New Roman"/>
          <w:i/>
          <w:noProof/>
          <w:szCs w:val="26"/>
        </w:rPr>
        <w:t xml:space="preserve"> për rialokimeve drejt projekteve të investimeve me progres të mirë deri tani</w:t>
      </w:r>
      <w:r w:rsidRPr="008E3F31">
        <w:rPr>
          <w:rFonts w:ascii="Times New Roman" w:hAnsi="Times New Roman"/>
          <w:i/>
          <w:noProof/>
          <w:szCs w:val="26"/>
        </w:rPr>
        <w:t>;</w:t>
      </w:r>
    </w:p>
    <w:p w14:paraId="71D0C43E" w14:textId="77777777" w:rsidR="00AC7CD6" w:rsidRPr="00AC7CD6" w:rsidRDefault="00AC7CD6" w:rsidP="00AC7CD6">
      <w:pPr>
        <w:pStyle w:val="ListParagraph"/>
        <w:tabs>
          <w:tab w:val="left" w:pos="426"/>
        </w:tabs>
        <w:spacing w:before="240" w:after="200" w:line="276" w:lineRule="auto"/>
        <w:ind w:left="1440"/>
        <w:jc w:val="both"/>
        <w:rPr>
          <w:rFonts w:ascii="Times New Roman" w:hAnsi="Times New Roman"/>
          <w:i/>
          <w:noProof/>
          <w:sz w:val="4"/>
          <w:szCs w:val="4"/>
        </w:rPr>
      </w:pPr>
    </w:p>
    <w:p w14:paraId="7105859E" w14:textId="77777777" w:rsidR="000E6D69" w:rsidRPr="008E3F31" w:rsidRDefault="000E6D69" w:rsidP="00AC7CD6">
      <w:pPr>
        <w:pStyle w:val="ListParagraph"/>
        <w:numPr>
          <w:ilvl w:val="1"/>
          <w:numId w:val="56"/>
        </w:numPr>
        <w:tabs>
          <w:tab w:val="left" w:pos="426"/>
        </w:tabs>
        <w:spacing w:before="240" w:after="200" w:line="276" w:lineRule="auto"/>
        <w:jc w:val="both"/>
        <w:rPr>
          <w:rFonts w:ascii="Times New Roman" w:hAnsi="Times New Roman"/>
          <w:i/>
          <w:noProof/>
          <w:szCs w:val="26"/>
        </w:rPr>
      </w:pPr>
      <w:r>
        <w:rPr>
          <w:rFonts w:ascii="Times New Roman" w:hAnsi="Times New Roman"/>
          <w:i/>
          <w:noProof/>
          <w:szCs w:val="26"/>
        </w:rPr>
        <w:t>R</w:t>
      </w:r>
      <w:r w:rsidRPr="008E3F31">
        <w:rPr>
          <w:rFonts w:ascii="Times New Roman" w:hAnsi="Times New Roman"/>
          <w:i/>
          <w:noProof/>
          <w:szCs w:val="26"/>
        </w:rPr>
        <w:t>ritj</w:t>
      </w:r>
      <w:r>
        <w:rPr>
          <w:rFonts w:ascii="Times New Roman" w:hAnsi="Times New Roman"/>
          <w:i/>
          <w:noProof/>
          <w:szCs w:val="26"/>
        </w:rPr>
        <w:t>a</w:t>
      </w:r>
      <w:r w:rsidRPr="008E3F31">
        <w:rPr>
          <w:rFonts w:ascii="Times New Roman" w:hAnsi="Times New Roman"/>
          <w:i/>
          <w:noProof/>
          <w:szCs w:val="26"/>
        </w:rPr>
        <w:t xml:space="preserve"> e sigurisë në realizimin e treguesve të buxhetit</w:t>
      </w:r>
      <w:r>
        <w:rPr>
          <w:rFonts w:ascii="Times New Roman" w:hAnsi="Times New Roman"/>
          <w:i/>
          <w:noProof/>
          <w:szCs w:val="26"/>
        </w:rPr>
        <w:t xml:space="preserve"> të shtetit, në tërësi</w:t>
      </w:r>
      <w:r w:rsidRPr="008E3F31">
        <w:rPr>
          <w:rFonts w:ascii="Times New Roman" w:hAnsi="Times New Roman"/>
          <w:i/>
          <w:noProof/>
          <w:szCs w:val="26"/>
        </w:rPr>
        <w:t xml:space="preserve">; </w:t>
      </w:r>
    </w:p>
    <w:p w14:paraId="7BE3EB6A" w14:textId="77777777" w:rsidR="006D089B" w:rsidRPr="006D089B" w:rsidRDefault="006D089B" w:rsidP="006D089B">
      <w:pPr>
        <w:spacing w:before="240" w:line="276" w:lineRule="auto"/>
        <w:jc w:val="both"/>
        <w:rPr>
          <w:rFonts w:asciiTheme="majorHAnsi" w:hAnsiTheme="majorHAnsi"/>
          <w:lang w:val="sq-AL"/>
        </w:rPr>
      </w:pPr>
      <w:r w:rsidRPr="006D089B">
        <w:rPr>
          <w:rFonts w:asciiTheme="majorHAnsi" w:hAnsiTheme="majorHAnsi"/>
          <w:lang w:val="sq-AL"/>
        </w:rPr>
        <w:t>Është me rëndësi të theksohet që ndryshimet e propozuara, nuk cënuan nivelin e planifkuar të treguesve kryesorë makroekonomik dhe fiskal, duke ruajtuar deficitin në nivele të pandryshueshme e duke garantuar objektivin e Qeverisë për qëndrueshmëri fiskale.</w:t>
      </w:r>
    </w:p>
    <w:p w14:paraId="71CB4CCC" w14:textId="77777777" w:rsidR="006D089B" w:rsidRDefault="006D089B" w:rsidP="006D089B">
      <w:pPr>
        <w:pStyle w:val="Heading2"/>
        <w:numPr>
          <w:ilvl w:val="0"/>
          <w:numId w:val="0"/>
        </w:numPr>
        <w:spacing w:before="0" w:line="276" w:lineRule="auto"/>
        <w:rPr>
          <w:rFonts w:cs="Times New Roman"/>
          <w:noProof/>
          <w:color w:val="4F81BD" w:themeColor="accent1"/>
          <w:sz w:val="26"/>
          <w:lang w:val="sq-AL"/>
        </w:rPr>
      </w:pPr>
    </w:p>
    <w:p w14:paraId="1F4E21BA" w14:textId="77777777" w:rsidR="00130577" w:rsidRPr="002E06C4" w:rsidRDefault="005139C5" w:rsidP="00130577">
      <w:pPr>
        <w:pStyle w:val="Heading2"/>
        <w:numPr>
          <w:ilvl w:val="1"/>
          <w:numId w:val="4"/>
        </w:numPr>
        <w:spacing w:before="0" w:line="276" w:lineRule="auto"/>
        <w:ind w:hanging="720"/>
        <w:rPr>
          <w:rFonts w:cs="Times New Roman"/>
          <w:noProof/>
          <w:color w:val="4F81BD" w:themeColor="accent1"/>
          <w:sz w:val="26"/>
          <w:lang w:val="sq-AL"/>
        </w:rPr>
      </w:pPr>
      <w:bookmarkStart w:id="139" w:name="_Toc11134224"/>
      <w:r w:rsidRPr="002E06C4">
        <w:rPr>
          <w:rFonts w:cs="Times New Roman"/>
          <w:noProof/>
          <w:color w:val="4F81BD" w:themeColor="accent1"/>
          <w:sz w:val="26"/>
          <w:lang w:val="sq-AL"/>
        </w:rPr>
        <w:t>Treguesit kryesorë të performancës sipas ministrive të linjës</w:t>
      </w:r>
      <w:bookmarkEnd w:id="134"/>
      <w:bookmarkEnd w:id="135"/>
      <w:bookmarkEnd w:id="136"/>
      <w:bookmarkEnd w:id="139"/>
      <w:r w:rsidRPr="002E06C4">
        <w:rPr>
          <w:rFonts w:cs="Times New Roman"/>
          <w:noProof/>
          <w:color w:val="4F81BD" w:themeColor="accent1"/>
          <w:sz w:val="26"/>
          <w:lang w:val="sq-AL"/>
        </w:rPr>
        <w:t xml:space="preserve"> </w:t>
      </w:r>
    </w:p>
    <w:p w14:paraId="13709A8A" w14:textId="77777777" w:rsidR="00130577" w:rsidRPr="002E06C4" w:rsidRDefault="00130577" w:rsidP="00130577">
      <w:pPr>
        <w:rPr>
          <w:sz w:val="8"/>
          <w:szCs w:val="8"/>
          <w:lang w:val="sq-AL"/>
        </w:rPr>
      </w:pPr>
    </w:p>
    <w:p w14:paraId="61E55BED" w14:textId="77777777" w:rsidR="001F256B" w:rsidRPr="002E06C4" w:rsidRDefault="005139C5" w:rsidP="001F256B">
      <w:p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Buxheti i vitit 2018, ka financuar 127 programe buxhetore dhe ka synuar realizimin e 819 produkteve të 11 ministrive të linjës dhe fondeve speciale. Gjithashtu, këto shpenzime kanë financuar edhe buxhetin e 61 bashkive dhe 12 qarqeve. Në përgjithësi evidentohet një performancë relativisht e mirë e realizimit të produkteve buxhetore nga ministritë e linjës. Nga 819 produkte të parashikuara për vitin 2019, janë realizuar plotësisht 618 produkte ose 75.45 përqind; realizuar pjesërisht 141 produkte ose 17.22 përqind dhe nuk janë realizuar vëtëm 60 produkte ose 7.3 përqind nga të planifikuarat në vitin 2018. </w:t>
      </w:r>
    </w:p>
    <w:p w14:paraId="37046AFD" w14:textId="77777777" w:rsidR="00AC7CD6" w:rsidRDefault="00AC7CD6" w:rsidP="0044331B">
      <w:pPr>
        <w:jc w:val="both"/>
        <w:rPr>
          <w:rFonts w:asciiTheme="majorHAnsi" w:hAnsiTheme="majorHAnsi" w:cs="Times New Roman"/>
          <w:lang w:val="sq-AL"/>
        </w:rPr>
      </w:pPr>
    </w:p>
    <w:p w14:paraId="3F894839" w14:textId="77777777" w:rsidR="005139C5" w:rsidRPr="002E06C4" w:rsidRDefault="005139C5" w:rsidP="0044331B">
      <w:pPr>
        <w:jc w:val="both"/>
        <w:rPr>
          <w:rFonts w:asciiTheme="majorHAnsi" w:hAnsiTheme="majorHAnsi" w:cs="Times New Roman"/>
          <w:lang w:val="sq-AL"/>
        </w:rPr>
      </w:pPr>
      <w:r w:rsidRPr="002E06C4">
        <w:rPr>
          <w:rFonts w:asciiTheme="majorHAnsi" w:hAnsiTheme="majorHAnsi" w:cs="Times New Roman"/>
          <w:lang w:val="sq-AL"/>
        </w:rPr>
        <w:lastRenderedPageBreak/>
        <w:t>Tabela në vijim jep në mënyrë të përmbledhur, sa mësipër cituar:</w:t>
      </w:r>
    </w:p>
    <w:p w14:paraId="10A48428" w14:textId="77777777" w:rsidR="005139C5" w:rsidRPr="002E06C4" w:rsidRDefault="005139C5" w:rsidP="0044331B">
      <w:pPr>
        <w:jc w:val="both"/>
        <w:rPr>
          <w:rFonts w:asciiTheme="majorHAnsi" w:hAnsiTheme="majorHAnsi" w:cs="Times New Roman"/>
          <w:sz w:val="12"/>
          <w:lang w:val="sq-AL"/>
        </w:rPr>
      </w:pPr>
    </w:p>
    <w:tbl>
      <w:tblPr>
        <w:tblStyle w:val="TableGridLight1"/>
        <w:tblW w:w="996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57"/>
        <w:gridCol w:w="3887"/>
        <w:gridCol w:w="1352"/>
        <w:gridCol w:w="1352"/>
        <w:gridCol w:w="1349"/>
        <w:gridCol w:w="1472"/>
      </w:tblGrid>
      <w:tr w:rsidR="005139C5" w:rsidRPr="002E06C4" w14:paraId="39BE70C5" w14:textId="77777777" w:rsidTr="0080499B">
        <w:trPr>
          <w:trHeight w:val="242"/>
          <w:jc w:val="center"/>
        </w:trPr>
        <w:tc>
          <w:tcPr>
            <w:tcW w:w="557" w:type="dxa"/>
            <w:vMerge w:val="restart"/>
            <w:noWrap/>
            <w:hideMark/>
          </w:tcPr>
          <w:p w14:paraId="126EB705" w14:textId="77777777" w:rsidR="005139C5" w:rsidRPr="002E06C4" w:rsidRDefault="005139C5" w:rsidP="00130577">
            <w:pPr>
              <w:jc w:val="center"/>
              <w:rPr>
                <w:rFonts w:asciiTheme="majorHAnsi" w:hAnsiTheme="majorHAnsi" w:cs="Times New Roman"/>
                <w:b/>
                <w:bCs/>
                <w:sz w:val="18"/>
                <w:lang w:val="sq-AL"/>
              </w:rPr>
            </w:pPr>
          </w:p>
          <w:p w14:paraId="3C6FEF0B"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Nr</w:t>
            </w:r>
          </w:p>
        </w:tc>
        <w:tc>
          <w:tcPr>
            <w:tcW w:w="3887" w:type="dxa"/>
            <w:vMerge w:val="restart"/>
            <w:noWrap/>
            <w:hideMark/>
          </w:tcPr>
          <w:p w14:paraId="2D3243A0" w14:textId="77777777" w:rsidR="005139C5" w:rsidRPr="002E06C4" w:rsidRDefault="005139C5" w:rsidP="00130577">
            <w:pPr>
              <w:jc w:val="center"/>
              <w:rPr>
                <w:rFonts w:asciiTheme="majorHAnsi" w:hAnsiTheme="majorHAnsi" w:cs="Times New Roman"/>
                <w:b/>
                <w:bCs/>
                <w:sz w:val="18"/>
                <w:lang w:val="sq-AL"/>
              </w:rPr>
            </w:pPr>
          </w:p>
          <w:p w14:paraId="7C5927AA"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Ministria e Linjës</w:t>
            </w:r>
          </w:p>
        </w:tc>
        <w:tc>
          <w:tcPr>
            <w:tcW w:w="5525" w:type="dxa"/>
            <w:gridSpan w:val="4"/>
            <w:noWrap/>
            <w:hideMark/>
          </w:tcPr>
          <w:p w14:paraId="03539D19"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Produktet (në numër)</w:t>
            </w:r>
          </w:p>
        </w:tc>
      </w:tr>
      <w:tr w:rsidR="005139C5" w:rsidRPr="002E06C4" w14:paraId="705838FD" w14:textId="77777777" w:rsidTr="0080499B">
        <w:trPr>
          <w:trHeight w:val="233"/>
          <w:jc w:val="center"/>
        </w:trPr>
        <w:tc>
          <w:tcPr>
            <w:tcW w:w="557" w:type="dxa"/>
            <w:vMerge/>
            <w:hideMark/>
          </w:tcPr>
          <w:p w14:paraId="59F9013F" w14:textId="77777777" w:rsidR="005139C5" w:rsidRPr="002E06C4" w:rsidRDefault="005139C5" w:rsidP="00130577">
            <w:pPr>
              <w:rPr>
                <w:rFonts w:asciiTheme="majorHAnsi" w:hAnsiTheme="majorHAnsi" w:cs="Times New Roman"/>
                <w:b/>
                <w:bCs/>
                <w:sz w:val="18"/>
                <w:lang w:val="sq-AL"/>
              </w:rPr>
            </w:pPr>
          </w:p>
        </w:tc>
        <w:tc>
          <w:tcPr>
            <w:tcW w:w="3887" w:type="dxa"/>
            <w:vMerge/>
            <w:hideMark/>
          </w:tcPr>
          <w:p w14:paraId="40B1A9E6" w14:textId="77777777" w:rsidR="005139C5" w:rsidRPr="002E06C4" w:rsidRDefault="005139C5" w:rsidP="00130577">
            <w:pPr>
              <w:rPr>
                <w:rFonts w:asciiTheme="majorHAnsi" w:hAnsiTheme="majorHAnsi" w:cs="Times New Roman"/>
                <w:b/>
                <w:bCs/>
                <w:sz w:val="18"/>
                <w:lang w:val="sq-AL"/>
              </w:rPr>
            </w:pPr>
          </w:p>
        </w:tc>
        <w:tc>
          <w:tcPr>
            <w:tcW w:w="1352" w:type="dxa"/>
            <w:noWrap/>
            <w:hideMark/>
          </w:tcPr>
          <w:p w14:paraId="7ACFB87D" w14:textId="77777777" w:rsidR="005139C5" w:rsidRPr="002E06C4" w:rsidRDefault="005139C5" w:rsidP="00130577">
            <w:pPr>
              <w:rPr>
                <w:rFonts w:asciiTheme="majorHAnsi" w:hAnsiTheme="majorHAnsi" w:cs="Times New Roman"/>
                <w:b/>
                <w:bCs/>
                <w:sz w:val="18"/>
                <w:lang w:val="sq-AL"/>
              </w:rPr>
            </w:pPr>
            <w:r w:rsidRPr="002E06C4">
              <w:rPr>
                <w:rFonts w:asciiTheme="majorHAnsi" w:hAnsiTheme="majorHAnsi" w:cs="Times New Roman"/>
                <w:b/>
                <w:bCs/>
                <w:sz w:val="18"/>
                <w:lang w:val="sq-AL"/>
              </w:rPr>
              <w:t> </w:t>
            </w:r>
          </w:p>
        </w:tc>
        <w:tc>
          <w:tcPr>
            <w:tcW w:w="2701" w:type="dxa"/>
            <w:gridSpan w:val="2"/>
            <w:noWrap/>
            <w:hideMark/>
          </w:tcPr>
          <w:p w14:paraId="0DE58EBF"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Realizuar</w:t>
            </w:r>
          </w:p>
        </w:tc>
        <w:tc>
          <w:tcPr>
            <w:tcW w:w="1471" w:type="dxa"/>
            <w:noWrap/>
            <w:hideMark/>
          </w:tcPr>
          <w:p w14:paraId="3AA1E844"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 </w:t>
            </w:r>
          </w:p>
        </w:tc>
      </w:tr>
      <w:tr w:rsidR="005139C5" w:rsidRPr="002E06C4" w14:paraId="27ACC3F0" w14:textId="77777777" w:rsidTr="0080499B">
        <w:trPr>
          <w:trHeight w:val="242"/>
          <w:jc w:val="center"/>
        </w:trPr>
        <w:tc>
          <w:tcPr>
            <w:tcW w:w="557" w:type="dxa"/>
            <w:vMerge/>
            <w:hideMark/>
          </w:tcPr>
          <w:p w14:paraId="038F3C46" w14:textId="77777777" w:rsidR="005139C5" w:rsidRPr="002E06C4" w:rsidRDefault="005139C5" w:rsidP="00130577">
            <w:pPr>
              <w:rPr>
                <w:rFonts w:asciiTheme="majorHAnsi" w:hAnsiTheme="majorHAnsi" w:cs="Times New Roman"/>
                <w:b/>
                <w:bCs/>
                <w:sz w:val="18"/>
                <w:lang w:val="sq-AL"/>
              </w:rPr>
            </w:pPr>
          </w:p>
        </w:tc>
        <w:tc>
          <w:tcPr>
            <w:tcW w:w="3887" w:type="dxa"/>
            <w:vMerge/>
            <w:hideMark/>
          </w:tcPr>
          <w:p w14:paraId="2907EE5F" w14:textId="77777777" w:rsidR="005139C5" w:rsidRPr="002E06C4" w:rsidRDefault="005139C5" w:rsidP="00130577">
            <w:pPr>
              <w:rPr>
                <w:rFonts w:asciiTheme="majorHAnsi" w:hAnsiTheme="majorHAnsi" w:cs="Times New Roman"/>
                <w:b/>
                <w:bCs/>
                <w:sz w:val="18"/>
                <w:lang w:val="sq-AL"/>
              </w:rPr>
            </w:pPr>
          </w:p>
        </w:tc>
        <w:tc>
          <w:tcPr>
            <w:tcW w:w="1352" w:type="dxa"/>
            <w:noWrap/>
            <w:hideMark/>
          </w:tcPr>
          <w:p w14:paraId="30507B0B"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Planifikuar</w:t>
            </w:r>
          </w:p>
        </w:tc>
        <w:tc>
          <w:tcPr>
            <w:tcW w:w="1352" w:type="dxa"/>
            <w:hideMark/>
          </w:tcPr>
          <w:p w14:paraId="1A8D283E"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Plotesisht</w:t>
            </w:r>
          </w:p>
        </w:tc>
        <w:tc>
          <w:tcPr>
            <w:tcW w:w="1348" w:type="dxa"/>
            <w:hideMark/>
          </w:tcPr>
          <w:p w14:paraId="344DA4CC"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Pjeserisht</w:t>
            </w:r>
          </w:p>
        </w:tc>
        <w:tc>
          <w:tcPr>
            <w:tcW w:w="1471" w:type="dxa"/>
            <w:noWrap/>
            <w:hideMark/>
          </w:tcPr>
          <w:p w14:paraId="21B7EA85"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 xml:space="preserve">Pa realizuar </w:t>
            </w:r>
          </w:p>
        </w:tc>
      </w:tr>
      <w:tr w:rsidR="005139C5" w:rsidRPr="002E06C4" w14:paraId="136CE9F1" w14:textId="77777777" w:rsidTr="0080499B">
        <w:trPr>
          <w:trHeight w:val="225"/>
          <w:jc w:val="center"/>
        </w:trPr>
        <w:tc>
          <w:tcPr>
            <w:tcW w:w="557" w:type="dxa"/>
            <w:noWrap/>
            <w:hideMark/>
          </w:tcPr>
          <w:p w14:paraId="29E59CF0"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1</w:t>
            </w:r>
          </w:p>
        </w:tc>
        <w:tc>
          <w:tcPr>
            <w:tcW w:w="3887" w:type="dxa"/>
            <w:noWrap/>
            <w:hideMark/>
          </w:tcPr>
          <w:p w14:paraId="68C2795A"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 xml:space="preserve">Ministria e Bujqesise dhe Zhvillimit Rural </w:t>
            </w:r>
          </w:p>
        </w:tc>
        <w:tc>
          <w:tcPr>
            <w:tcW w:w="1352" w:type="dxa"/>
            <w:noWrap/>
            <w:hideMark/>
          </w:tcPr>
          <w:p w14:paraId="07B66D8E"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67</w:t>
            </w:r>
          </w:p>
        </w:tc>
        <w:tc>
          <w:tcPr>
            <w:tcW w:w="1352" w:type="dxa"/>
            <w:noWrap/>
            <w:hideMark/>
          </w:tcPr>
          <w:p w14:paraId="7C959DB9"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57</w:t>
            </w:r>
          </w:p>
        </w:tc>
        <w:tc>
          <w:tcPr>
            <w:tcW w:w="1348" w:type="dxa"/>
            <w:noWrap/>
            <w:hideMark/>
          </w:tcPr>
          <w:p w14:paraId="12D0CACE"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10</w:t>
            </w:r>
          </w:p>
        </w:tc>
        <w:tc>
          <w:tcPr>
            <w:tcW w:w="1471" w:type="dxa"/>
            <w:noWrap/>
            <w:hideMark/>
          </w:tcPr>
          <w:p w14:paraId="6F00F967"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w:t>
            </w:r>
          </w:p>
        </w:tc>
      </w:tr>
      <w:tr w:rsidR="005139C5" w:rsidRPr="002E06C4" w14:paraId="1A71552C" w14:textId="77777777" w:rsidTr="0080499B">
        <w:trPr>
          <w:trHeight w:val="215"/>
          <w:jc w:val="center"/>
        </w:trPr>
        <w:tc>
          <w:tcPr>
            <w:tcW w:w="557" w:type="dxa"/>
            <w:noWrap/>
            <w:hideMark/>
          </w:tcPr>
          <w:p w14:paraId="54579066"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2</w:t>
            </w:r>
          </w:p>
        </w:tc>
        <w:tc>
          <w:tcPr>
            <w:tcW w:w="3887" w:type="dxa"/>
            <w:hideMark/>
          </w:tcPr>
          <w:p w14:paraId="3E4B8EB1"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e Infrastruktures dhe Energjise</w:t>
            </w:r>
          </w:p>
        </w:tc>
        <w:tc>
          <w:tcPr>
            <w:tcW w:w="1352" w:type="dxa"/>
            <w:noWrap/>
            <w:hideMark/>
          </w:tcPr>
          <w:p w14:paraId="73ADFCE1"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122</w:t>
            </w:r>
          </w:p>
        </w:tc>
        <w:tc>
          <w:tcPr>
            <w:tcW w:w="1352" w:type="dxa"/>
            <w:noWrap/>
            <w:hideMark/>
          </w:tcPr>
          <w:p w14:paraId="74CB491C"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57</w:t>
            </w:r>
          </w:p>
        </w:tc>
        <w:tc>
          <w:tcPr>
            <w:tcW w:w="1348" w:type="dxa"/>
            <w:noWrap/>
            <w:hideMark/>
          </w:tcPr>
          <w:p w14:paraId="35C09D4D"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41</w:t>
            </w:r>
          </w:p>
        </w:tc>
        <w:tc>
          <w:tcPr>
            <w:tcW w:w="1471" w:type="dxa"/>
            <w:noWrap/>
            <w:hideMark/>
          </w:tcPr>
          <w:p w14:paraId="395F5CA1"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24</w:t>
            </w:r>
          </w:p>
        </w:tc>
      </w:tr>
      <w:tr w:rsidR="005139C5" w:rsidRPr="002E06C4" w14:paraId="7CCBCEE7" w14:textId="77777777" w:rsidTr="0080499B">
        <w:trPr>
          <w:trHeight w:val="215"/>
          <w:jc w:val="center"/>
        </w:trPr>
        <w:tc>
          <w:tcPr>
            <w:tcW w:w="557" w:type="dxa"/>
            <w:noWrap/>
            <w:hideMark/>
          </w:tcPr>
          <w:p w14:paraId="08DD33CF"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3</w:t>
            </w:r>
          </w:p>
        </w:tc>
        <w:tc>
          <w:tcPr>
            <w:tcW w:w="3887" w:type="dxa"/>
            <w:hideMark/>
          </w:tcPr>
          <w:p w14:paraId="29192FDE"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e Financave dhe Ekonomise</w:t>
            </w:r>
          </w:p>
        </w:tc>
        <w:tc>
          <w:tcPr>
            <w:tcW w:w="1352" w:type="dxa"/>
            <w:noWrap/>
            <w:hideMark/>
          </w:tcPr>
          <w:p w14:paraId="464E1CCF"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135</w:t>
            </w:r>
          </w:p>
        </w:tc>
        <w:tc>
          <w:tcPr>
            <w:tcW w:w="1352" w:type="dxa"/>
            <w:noWrap/>
          </w:tcPr>
          <w:p w14:paraId="3DB3FDC7"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102</w:t>
            </w:r>
          </w:p>
        </w:tc>
        <w:tc>
          <w:tcPr>
            <w:tcW w:w="1348" w:type="dxa"/>
            <w:noWrap/>
          </w:tcPr>
          <w:p w14:paraId="3D1B8732"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29</w:t>
            </w:r>
          </w:p>
        </w:tc>
        <w:tc>
          <w:tcPr>
            <w:tcW w:w="1471" w:type="dxa"/>
            <w:noWrap/>
          </w:tcPr>
          <w:p w14:paraId="641E6313"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4</w:t>
            </w:r>
          </w:p>
        </w:tc>
      </w:tr>
      <w:tr w:rsidR="005139C5" w:rsidRPr="002E06C4" w14:paraId="3C324BAA" w14:textId="77777777" w:rsidTr="0080499B">
        <w:trPr>
          <w:trHeight w:val="215"/>
          <w:jc w:val="center"/>
        </w:trPr>
        <w:tc>
          <w:tcPr>
            <w:tcW w:w="557" w:type="dxa"/>
            <w:noWrap/>
            <w:hideMark/>
          </w:tcPr>
          <w:p w14:paraId="31CD6F8D"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4</w:t>
            </w:r>
          </w:p>
        </w:tc>
        <w:tc>
          <w:tcPr>
            <w:tcW w:w="3887" w:type="dxa"/>
            <w:hideMark/>
          </w:tcPr>
          <w:p w14:paraId="313D42F9"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e Arsimit, Sportit dhe Rinise</w:t>
            </w:r>
          </w:p>
        </w:tc>
        <w:tc>
          <w:tcPr>
            <w:tcW w:w="1352" w:type="dxa"/>
            <w:noWrap/>
            <w:hideMark/>
          </w:tcPr>
          <w:p w14:paraId="163F20A1"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77</w:t>
            </w:r>
          </w:p>
        </w:tc>
        <w:tc>
          <w:tcPr>
            <w:tcW w:w="1352" w:type="dxa"/>
            <w:noWrap/>
            <w:hideMark/>
          </w:tcPr>
          <w:p w14:paraId="0ED36F9F"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60</w:t>
            </w:r>
          </w:p>
        </w:tc>
        <w:tc>
          <w:tcPr>
            <w:tcW w:w="1348" w:type="dxa"/>
            <w:noWrap/>
            <w:hideMark/>
          </w:tcPr>
          <w:p w14:paraId="606DE3E7"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9</w:t>
            </w:r>
          </w:p>
        </w:tc>
        <w:tc>
          <w:tcPr>
            <w:tcW w:w="1471" w:type="dxa"/>
            <w:noWrap/>
            <w:hideMark/>
          </w:tcPr>
          <w:p w14:paraId="72CCF725"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8</w:t>
            </w:r>
          </w:p>
        </w:tc>
      </w:tr>
      <w:tr w:rsidR="005139C5" w:rsidRPr="002E06C4" w14:paraId="6299BB29" w14:textId="77777777" w:rsidTr="0080499B">
        <w:trPr>
          <w:trHeight w:val="215"/>
          <w:jc w:val="center"/>
        </w:trPr>
        <w:tc>
          <w:tcPr>
            <w:tcW w:w="557" w:type="dxa"/>
            <w:noWrap/>
            <w:hideMark/>
          </w:tcPr>
          <w:p w14:paraId="708D9118"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5</w:t>
            </w:r>
          </w:p>
        </w:tc>
        <w:tc>
          <w:tcPr>
            <w:tcW w:w="3887" w:type="dxa"/>
            <w:hideMark/>
          </w:tcPr>
          <w:p w14:paraId="02044BD8"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e Kultures</w:t>
            </w:r>
          </w:p>
        </w:tc>
        <w:tc>
          <w:tcPr>
            <w:tcW w:w="1352" w:type="dxa"/>
            <w:noWrap/>
            <w:hideMark/>
          </w:tcPr>
          <w:p w14:paraId="79DE5656"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15</w:t>
            </w:r>
          </w:p>
        </w:tc>
        <w:tc>
          <w:tcPr>
            <w:tcW w:w="1352" w:type="dxa"/>
            <w:noWrap/>
            <w:hideMark/>
          </w:tcPr>
          <w:p w14:paraId="61A31C46"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4</w:t>
            </w:r>
          </w:p>
        </w:tc>
        <w:tc>
          <w:tcPr>
            <w:tcW w:w="1348" w:type="dxa"/>
            <w:noWrap/>
            <w:hideMark/>
          </w:tcPr>
          <w:p w14:paraId="4980A416"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11</w:t>
            </w:r>
          </w:p>
        </w:tc>
        <w:tc>
          <w:tcPr>
            <w:tcW w:w="1471" w:type="dxa"/>
            <w:noWrap/>
            <w:hideMark/>
          </w:tcPr>
          <w:p w14:paraId="6723C717"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w:t>
            </w:r>
          </w:p>
        </w:tc>
      </w:tr>
      <w:tr w:rsidR="005139C5" w:rsidRPr="002E06C4" w14:paraId="2E963D99" w14:textId="77777777" w:rsidTr="0080499B">
        <w:trPr>
          <w:trHeight w:val="260"/>
          <w:jc w:val="center"/>
        </w:trPr>
        <w:tc>
          <w:tcPr>
            <w:tcW w:w="557" w:type="dxa"/>
            <w:noWrap/>
            <w:hideMark/>
          </w:tcPr>
          <w:p w14:paraId="3EADECC3"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6</w:t>
            </w:r>
          </w:p>
        </w:tc>
        <w:tc>
          <w:tcPr>
            <w:tcW w:w="3887" w:type="dxa"/>
            <w:hideMark/>
          </w:tcPr>
          <w:p w14:paraId="3160B8A7"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e Shendetesise dhe Mbrotjes Sociale</w:t>
            </w:r>
          </w:p>
        </w:tc>
        <w:tc>
          <w:tcPr>
            <w:tcW w:w="1352" w:type="dxa"/>
            <w:noWrap/>
            <w:hideMark/>
          </w:tcPr>
          <w:p w14:paraId="6698A0E7"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74</w:t>
            </w:r>
          </w:p>
        </w:tc>
        <w:tc>
          <w:tcPr>
            <w:tcW w:w="1352" w:type="dxa"/>
            <w:noWrap/>
            <w:hideMark/>
          </w:tcPr>
          <w:p w14:paraId="0861ADA4"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50</w:t>
            </w:r>
          </w:p>
        </w:tc>
        <w:tc>
          <w:tcPr>
            <w:tcW w:w="1348" w:type="dxa"/>
            <w:noWrap/>
            <w:hideMark/>
          </w:tcPr>
          <w:p w14:paraId="264F1963"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9</w:t>
            </w:r>
          </w:p>
        </w:tc>
        <w:tc>
          <w:tcPr>
            <w:tcW w:w="1471" w:type="dxa"/>
            <w:noWrap/>
            <w:hideMark/>
          </w:tcPr>
          <w:p w14:paraId="438DB645"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15</w:t>
            </w:r>
          </w:p>
        </w:tc>
      </w:tr>
      <w:tr w:rsidR="005139C5" w:rsidRPr="002E06C4" w14:paraId="6F793533" w14:textId="77777777" w:rsidTr="0080499B">
        <w:trPr>
          <w:trHeight w:val="215"/>
          <w:jc w:val="center"/>
        </w:trPr>
        <w:tc>
          <w:tcPr>
            <w:tcW w:w="557" w:type="dxa"/>
            <w:noWrap/>
            <w:hideMark/>
          </w:tcPr>
          <w:p w14:paraId="54C5E9D4"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7</w:t>
            </w:r>
          </w:p>
        </w:tc>
        <w:tc>
          <w:tcPr>
            <w:tcW w:w="3887" w:type="dxa"/>
            <w:hideMark/>
          </w:tcPr>
          <w:p w14:paraId="47A83C49"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e Drejtesise</w:t>
            </w:r>
          </w:p>
        </w:tc>
        <w:tc>
          <w:tcPr>
            <w:tcW w:w="1352" w:type="dxa"/>
            <w:noWrap/>
            <w:hideMark/>
          </w:tcPr>
          <w:p w14:paraId="1C1DA74B"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43</w:t>
            </w:r>
          </w:p>
        </w:tc>
        <w:tc>
          <w:tcPr>
            <w:tcW w:w="1352" w:type="dxa"/>
            <w:noWrap/>
            <w:hideMark/>
          </w:tcPr>
          <w:p w14:paraId="38A7BBDE"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31</w:t>
            </w:r>
          </w:p>
        </w:tc>
        <w:tc>
          <w:tcPr>
            <w:tcW w:w="1348" w:type="dxa"/>
            <w:noWrap/>
            <w:hideMark/>
          </w:tcPr>
          <w:p w14:paraId="15DF0267"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10</w:t>
            </w:r>
          </w:p>
        </w:tc>
        <w:tc>
          <w:tcPr>
            <w:tcW w:w="1471" w:type="dxa"/>
            <w:noWrap/>
            <w:hideMark/>
          </w:tcPr>
          <w:p w14:paraId="276BD939"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2</w:t>
            </w:r>
          </w:p>
        </w:tc>
      </w:tr>
      <w:tr w:rsidR="005139C5" w:rsidRPr="002E06C4" w14:paraId="0660361E" w14:textId="77777777" w:rsidTr="0080499B">
        <w:trPr>
          <w:trHeight w:val="215"/>
          <w:jc w:val="center"/>
        </w:trPr>
        <w:tc>
          <w:tcPr>
            <w:tcW w:w="557" w:type="dxa"/>
            <w:noWrap/>
            <w:hideMark/>
          </w:tcPr>
          <w:p w14:paraId="17FAC909"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8</w:t>
            </w:r>
          </w:p>
        </w:tc>
        <w:tc>
          <w:tcPr>
            <w:tcW w:w="3887" w:type="dxa"/>
            <w:hideMark/>
          </w:tcPr>
          <w:p w14:paraId="0AFF1A24"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per Evropen dhe Punet e Jashtme</w:t>
            </w:r>
          </w:p>
        </w:tc>
        <w:tc>
          <w:tcPr>
            <w:tcW w:w="1352" w:type="dxa"/>
            <w:noWrap/>
            <w:hideMark/>
          </w:tcPr>
          <w:p w14:paraId="779A8F92"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44</w:t>
            </w:r>
          </w:p>
        </w:tc>
        <w:tc>
          <w:tcPr>
            <w:tcW w:w="1352" w:type="dxa"/>
            <w:noWrap/>
            <w:hideMark/>
          </w:tcPr>
          <w:p w14:paraId="7F82D297"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42</w:t>
            </w:r>
          </w:p>
        </w:tc>
        <w:tc>
          <w:tcPr>
            <w:tcW w:w="1348" w:type="dxa"/>
            <w:noWrap/>
            <w:hideMark/>
          </w:tcPr>
          <w:p w14:paraId="58D5E31D"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2</w:t>
            </w:r>
          </w:p>
        </w:tc>
        <w:tc>
          <w:tcPr>
            <w:tcW w:w="1471" w:type="dxa"/>
            <w:noWrap/>
            <w:hideMark/>
          </w:tcPr>
          <w:p w14:paraId="2076BDE8"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w:t>
            </w:r>
          </w:p>
        </w:tc>
      </w:tr>
      <w:tr w:rsidR="005139C5" w:rsidRPr="002E06C4" w14:paraId="0D623E8F" w14:textId="77777777" w:rsidTr="0080499B">
        <w:trPr>
          <w:trHeight w:val="215"/>
          <w:jc w:val="center"/>
        </w:trPr>
        <w:tc>
          <w:tcPr>
            <w:tcW w:w="557" w:type="dxa"/>
            <w:noWrap/>
            <w:hideMark/>
          </w:tcPr>
          <w:p w14:paraId="3408BF4B"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9</w:t>
            </w:r>
          </w:p>
        </w:tc>
        <w:tc>
          <w:tcPr>
            <w:tcW w:w="3887" w:type="dxa"/>
            <w:hideMark/>
          </w:tcPr>
          <w:p w14:paraId="4E9F6208"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e Brendshme</w:t>
            </w:r>
          </w:p>
        </w:tc>
        <w:tc>
          <w:tcPr>
            <w:tcW w:w="1352" w:type="dxa"/>
            <w:noWrap/>
            <w:hideMark/>
          </w:tcPr>
          <w:p w14:paraId="5380B92D"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115</w:t>
            </w:r>
          </w:p>
        </w:tc>
        <w:tc>
          <w:tcPr>
            <w:tcW w:w="1352" w:type="dxa"/>
            <w:noWrap/>
            <w:hideMark/>
          </w:tcPr>
          <w:p w14:paraId="0C4CDF3F"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98</w:t>
            </w:r>
          </w:p>
        </w:tc>
        <w:tc>
          <w:tcPr>
            <w:tcW w:w="1348" w:type="dxa"/>
            <w:noWrap/>
            <w:hideMark/>
          </w:tcPr>
          <w:p w14:paraId="7C1D3CF0"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16</w:t>
            </w:r>
          </w:p>
        </w:tc>
        <w:tc>
          <w:tcPr>
            <w:tcW w:w="1471" w:type="dxa"/>
            <w:noWrap/>
            <w:hideMark/>
          </w:tcPr>
          <w:p w14:paraId="08B7C737"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w:t>
            </w:r>
          </w:p>
        </w:tc>
      </w:tr>
      <w:tr w:rsidR="005139C5" w:rsidRPr="002E06C4" w14:paraId="70DE27D9" w14:textId="77777777" w:rsidTr="0080499B">
        <w:trPr>
          <w:trHeight w:val="215"/>
          <w:jc w:val="center"/>
        </w:trPr>
        <w:tc>
          <w:tcPr>
            <w:tcW w:w="557" w:type="dxa"/>
            <w:noWrap/>
            <w:hideMark/>
          </w:tcPr>
          <w:p w14:paraId="0D06A28F"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10</w:t>
            </w:r>
          </w:p>
        </w:tc>
        <w:tc>
          <w:tcPr>
            <w:tcW w:w="3887" w:type="dxa"/>
            <w:hideMark/>
          </w:tcPr>
          <w:p w14:paraId="5296FAAD"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e Mbrojtjes</w:t>
            </w:r>
          </w:p>
        </w:tc>
        <w:tc>
          <w:tcPr>
            <w:tcW w:w="1352" w:type="dxa"/>
            <w:noWrap/>
            <w:hideMark/>
          </w:tcPr>
          <w:p w14:paraId="051B9791"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55</w:t>
            </w:r>
          </w:p>
        </w:tc>
        <w:tc>
          <w:tcPr>
            <w:tcW w:w="1352" w:type="dxa"/>
            <w:noWrap/>
            <w:hideMark/>
          </w:tcPr>
          <w:p w14:paraId="0E924B8D"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50</w:t>
            </w:r>
          </w:p>
        </w:tc>
        <w:tc>
          <w:tcPr>
            <w:tcW w:w="1348" w:type="dxa"/>
            <w:noWrap/>
            <w:hideMark/>
          </w:tcPr>
          <w:p w14:paraId="1D692AB4"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3</w:t>
            </w:r>
          </w:p>
        </w:tc>
        <w:tc>
          <w:tcPr>
            <w:tcW w:w="1471" w:type="dxa"/>
            <w:noWrap/>
            <w:hideMark/>
          </w:tcPr>
          <w:p w14:paraId="669803FE"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2</w:t>
            </w:r>
          </w:p>
        </w:tc>
      </w:tr>
      <w:tr w:rsidR="005139C5" w:rsidRPr="002E06C4" w14:paraId="25EBBE3C" w14:textId="77777777" w:rsidTr="0080499B">
        <w:trPr>
          <w:trHeight w:val="215"/>
          <w:jc w:val="center"/>
        </w:trPr>
        <w:tc>
          <w:tcPr>
            <w:tcW w:w="557" w:type="dxa"/>
            <w:noWrap/>
            <w:hideMark/>
          </w:tcPr>
          <w:p w14:paraId="15ABA459"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11</w:t>
            </w:r>
          </w:p>
        </w:tc>
        <w:tc>
          <w:tcPr>
            <w:tcW w:w="3887" w:type="dxa"/>
            <w:noWrap/>
            <w:hideMark/>
          </w:tcPr>
          <w:p w14:paraId="74CCAF30" w14:textId="77777777" w:rsidR="005139C5" w:rsidRPr="002E06C4" w:rsidRDefault="005139C5" w:rsidP="00130577">
            <w:pP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Ministria e Turizmit dhe Mjedisit</w:t>
            </w:r>
          </w:p>
        </w:tc>
        <w:tc>
          <w:tcPr>
            <w:tcW w:w="1352" w:type="dxa"/>
            <w:noWrap/>
            <w:hideMark/>
          </w:tcPr>
          <w:p w14:paraId="6B69C1DD"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72</w:t>
            </w:r>
          </w:p>
        </w:tc>
        <w:tc>
          <w:tcPr>
            <w:tcW w:w="1352" w:type="dxa"/>
            <w:noWrap/>
            <w:hideMark/>
          </w:tcPr>
          <w:p w14:paraId="533F3E2F"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67</w:t>
            </w:r>
          </w:p>
        </w:tc>
        <w:tc>
          <w:tcPr>
            <w:tcW w:w="1348" w:type="dxa"/>
            <w:noWrap/>
            <w:hideMark/>
          </w:tcPr>
          <w:p w14:paraId="3C417780"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1</w:t>
            </w:r>
          </w:p>
        </w:tc>
        <w:tc>
          <w:tcPr>
            <w:tcW w:w="1471" w:type="dxa"/>
            <w:noWrap/>
            <w:hideMark/>
          </w:tcPr>
          <w:p w14:paraId="36924EF4" w14:textId="77777777" w:rsidR="005139C5" w:rsidRPr="002E06C4" w:rsidRDefault="005139C5" w:rsidP="00130577">
            <w:pPr>
              <w:autoSpaceDE w:val="0"/>
              <w:autoSpaceDN w:val="0"/>
              <w:adjustRightInd w:val="0"/>
              <w:jc w:val="center"/>
              <w:rPr>
                <w:rFonts w:asciiTheme="majorHAnsi" w:hAnsiTheme="majorHAnsi" w:cs="Times New Roman"/>
                <w:sz w:val="18"/>
                <w:lang w:val="sq-AL"/>
              </w:rPr>
            </w:pPr>
            <w:r w:rsidRPr="002E06C4">
              <w:rPr>
                <w:rFonts w:asciiTheme="majorHAnsi" w:hAnsiTheme="majorHAnsi" w:cs="Times New Roman"/>
                <w:sz w:val="18"/>
                <w:lang w:val="sq-AL"/>
              </w:rPr>
              <w:t>4</w:t>
            </w:r>
          </w:p>
        </w:tc>
      </w:tr>
      <w:tr w:rsidR="005139C5" w:rsidRPr="002E06C4" w14:paraId="5B56A8CD" w14:textId="77777777" w:rsidTr="0080499B">
        <w:trPr>
          <w:trHeight w:val="225"/>
          <w:jc w:val="center"/>
        </w:trPr>
        <w:tc>
          <w:tcPr>
            <w:tcW w:w="557" w:type="dxa"/>
            <w:noWrap/>
            <w:hideMark/>
          </w:tcPr>
          <w:p w14:paraId="5FEDC43C" w14:textId="77777777" w:rsidR="005139C5" w:rsidRPr="002E06C4" w:rsidRDefault="005139C5" w:rsidP="00130577">
            <w:pPr>
              <w:jc w:val="center"/>
              <w:rPr>
                <w:rFonts w:asciiTheme="majorHAnsi" w:hAnsiTheme="majorHAnsi" w:cs="Times New Roman"/>
                <w:sz w:val="18"/>
                <w:lang w:val="sq-AL"/>
              </w:rPr>
            </w:pPr>
            <w:r w:rsidRPr="002E06C4">
              <w:rPr>
                <w:rFonts w:asciiTheme="majorHAnsi" w:hAnsiTheme="majorHAnsi" w:cs="Times New Roman"/>
                <w:sz w:val="18"/>
                <w:lang w:val="sq-AL"/>
              </w:rPr>
              <w:t> </w:t>
            </w:r>
          </w:p>
        </w:tc>
        <w:tc>
          <w:tcPr>
            <w:tcW w:w="3887" w:type="dxa"/>
            <w:noWrap/>
            <w:hideMark/>
          </w:tcPr>
          <w:p w14:paraId="3F8E13BA" w14:textId="77777777" w:rsidR="005139C5" w:rsidRPr="002E06C4" w:rsidRDefault="005139C5" w:rsidP="00130577">
            <w:pPr>
              <w:jc w:val="center"/>
              <w:rPr>
                <w:rFonts w:asciiTheme="majorHAnsi" w:hAnsiTheme="majorHAnsi" w:cs="Times New Roman"/>
                <w:b/>
                <w:bCs/>
                <w:sz w:val="18"/>
                <w:lang w:val="sq-AL"/>
              </w:rPr>
            </w:pPr>
            <w:r w:rsidRPr="002E06C4">
              <w:rPr>
                <w:rFonts w:asciiTheme="majorHAnsi" w:hAnsiTheme="majorHAnsi" w:cs="Times New Roman"/>
                <w:b/>
                <w:bCs/>
                <w:sz w:val="18"/>
                <w:lang w:val="sq-AL"/>
              </w:rPr>
              <w:t>TOTALI</w:t>
            </w:r>
          </w:p>
        </w:tc>
        <w:tc>
          <w:tcPr>
            <w:tcW w:w="1352" w:type="dxa"/>
            <w:noWrap/>
          </w:tcPr>
          <w:p w14:paraId="4897AFEB" w14:textId="77777777" w:rsidR="005139C5" w:rsidRPr="002E06C4" w:rsidRDefault="005139C5" w:rsidP="00130577">
            <w:pPr>
              <w:autoSpaceDE w:val="0"/>
              <w:autoSpaceDN w:val="0"/>
              <w:adjustRightInd w:val="0"/>
              <w:jc w:val="center"/>
              <w:rPr>
                <w:rFonts w:asciiTheme="majorHAnsi" w:hAnsiTheme="majorHAnsi" w:cs="Times New Roman"/>
                <w:b/>
                <w:bCs/>
                <w:sz w:val="18"/>
                <w:lang w:val="sq-AL"/>
              </w:rPr>
            </w:pPr>
            <w:r w:rsidRPr="002E06C4">
              <w:rPr>
                <w:rFonts w:asciiTheme="majorHAnsi" w:hAnsiTheme="majorHAnsi" w:cs="Times New Roman"/>
                <w:b/>
                <w:bCs/>
                <w:sz w:val="18"/>
                <w:lang w:val="sq-AL"/>
              </w:rPr>
              <w:t>819</w:t>
            </w:r>
          </w:p>
        </w:tc>
        <w:tc>
          <w:tcPr>
            <w:tcW w:w="1352" w:type="dxa"/>
            <w:noWrap/>
          </w:tcPr>
          <w:p w14:paraId="7E44B30B" w14:textId="77777777" w:rsidR="005139C5" w:rsidRPr="002E06C4" w:rsidRDefault="005139C5" w:rsidP="00130577">
            <w:pPr>
              <w:autoSpaceDE w:val="0"/>
              <w:autoSpaceDN w:val="0"/>
              <w:adjustRightInd w:val="0"/>
              <w:jc w:val="center"/>
              <w:rPr>
                <w:rFonts w:asciiTheme="majorHAnsi" w:hAnsiTheme="majorHAnsi" w:cs="Times New Roman"/>
                <w:b/>
                <w:bCs/>
                <w:sz w:val="18"/>
                <w:lang w:val="sq-AL"/>
              </w:rPr>
            </w:pPr>
            <w:r w:rsidRPr="002E06C4">
              <w:rPr>
                <w:rFonts w:asciiTheme="majorHAnsi" w:hAnsiTheme="majorHAnsi" w:cs="Times New Roman"/>
                <w:b/>
                <w:bCs/>
                <w:sz w:val="18"/>
                <w:lang w:val="sq-AL"/>
              </w:rPr>
              <w:t>618</w:t>
            </w:r>
          </w:p>
        </w:tc>
        <w:tc>
          <w:tcPr>
            <w:tcW w:w="1348" w:type="dxa"/>
            <w:noWrap/>
          </w:tcPr>
          <w:p w14:paraId="2C95A3AF" w14:textId="77777777" w:rsidR="005139C5" w:rsidRPr="002E06C4" w:rsidRDefault="005139C5" w:rsidP="00130577">
            <w:pPr>
              <w:autoSpaceDE w:val="0"/>
              <w:autoSpaceDN w:val="0"/>
              <w:adjustRightInd w:val="0"/>
              <w:jc w:val="center"/>
              <w:rPr>
                <w:rFonts w:asciiTheme="majorHAnsi" w:hAnsiTheme="majorHAnsi" w:cs="Times New Roman"/>
                <w:b/>
                <w:bCs/>
                <w:sz w:val="18"/>
                <w:lang w:val="sq-AL"/>
              </w:rPr>
            </w:pPr>
            <w:r w:rsidRPr="002E06C4">
              <w:rPr>
                <w:rFonts w:asciiTheme="majorHAnsi" w:hAnsiTheme="majorHAnsi" w:cs="Times New Roman"/>
                <w:b/>
                <w:bCs/>
                <w:sz w:val="18"/>
                <w:lang w:val="sq-AL"/>
              </w:rPr>
              <w:t>141</w:t>
            </w:r>
          </w:p>
        </w:tc>
        <w:tc>
          <w:tcPr>
            <w:tcW w:w="1471" w:type="dxa"/>
            <w:noWrap/>
          </w:tcPr>
          <w:p w14:paraId="03B53FA1" w14:textId="77777777" w:rsidR="005139C5" w:rsidRPr="002E06C4" w:rsidRDefault="005139C5" w:rsidP="00130577">
            <w:pPr>
              <w:autoSpaceDE w:val="0"/>
              <w:autoSpaceDN w:val="0"/>
              <w:adjustRightInd w:val="0"/>
              <w:jc w:val="center"/>
              <w:rPr>
                <w:rFonts w:asciiTheme="majorHAnsi" w:hAnsiTheme="majorHAnsi" w:cs="Times New Roman"/>
                <w:b/>
                <w:bCs/>
                <w:sz w:val="18"/>
                <w:lang w:val="sq-AL"/>
              </w:rPr>
            </w:pPr>
            <w:r w:rsidRPr="002E06C4">
              <w:rPr>
                <w:rFonts w:asciiTheme="majorHAnsi" w:hAnsiTheme="majorHAnsi" w:cs="Times New Roman"/>
                <w:b/>
                <w:bCs/>
                <w:sz w:val="18"/>
                <w:lang w:val="sq-AL"/>
              </w:rPr>
              <w:t>60</w:t>
            </w:r>
          </w:p>
        </w:tc>
      </w:tr>
    </w:tbl>
    <w:p w14:paraId="2696ABD9" w14:textId="77777777" w:rsidR="005139C5" w:rsidRPr="002E06C4" w:rsidRDefault="005139C5" w:rsidP="005139C5">
      <w:pPr>
        <w:pStyle w:val="Heading3"/>
        <w:numPr>
          <w:ilvl w:val="0"/>
          <w:numId w:val="0"/>
        </w:numPr>
        <w:ind w:left="1080"/>
        <w:rPr>
          <w:rFonts w:cs="Times New Roman"/>
          <w:b/>
          <w:sz w:val="16"/>
          <w:lang w:val="sq-AL"/>
        </w:rPr>
      </w:pPr>
      <w:bookmarkStart w:id="140" w:name="_Toc10033294"/>
      <w:bookmarkStart w:id="141" w:name="_Toc10033295"/>
      <w:bookmarkEnd w:id="140"/>
    </w:p>
    <w:p w14:paraId="7D4B6278" w14:textId="77777777" w:rsidR="005139C5" w:rsidRPr="002E06C4" w:rsidRDefault="006D577E" w:rsidP="006D577E">
      <w:pPr>
        <w:pStyle w:val="Caption"/>
        <w:rPr>
          <w:rFonts w:asciiTheme="majorHAnsi" w:hAnsiTheme="majorHAnsi"/>
          <w:lang w:val="sq-AL"/>
        </w:rPr>
      </w:pPr>
      <w:bookmarkStart w:id="142" w:name="_Toc11135126"/>
      <w:r>
        <w:t xml:space="preserve">Tabela </w:t>
      </w:r>
      <w:r w:rsidR="003D3813">
        <w:fldChar w:fldCharType="begin"/>
      </w:r>
      <w:r w:rsidR="003D3813">
        <w:instrText xml:space="preserve"> SEQ Tabela \* ARABIC </w:instrText>
      </w:r>
      <w:r w:rsidR="003D3813">
        <w:fldChar w:fldCharType="separate"/>
      </w:r>
      <w:r w:rsidR="006A57F3">
        <w:rPr>
          <w:noProof/>
        </w:rPr>
        <w:t>12</w:t>
      </w:r>
      <w:r w:rsidR="003D3813">
        <w:rPr>
          <w:noProof/>
        </w:rPr>
        <w:fldChar w:fldCharType="end"/>
      </w:r>
      <w:r w:rsidRPr="006D577E">
        <w:rPr>
          <w:rFonts w:asciiTheme="majorHAnsi" w:hAnsiTheme="majorHAnsi"/>
          <w:lang w:val="sq-AL"/>
        </w:rPr>
        <w:t xml:space="preserve"> </w:t>
      </w:r>
      <w:r w:rsidRPr="002E06C4">
        <w:rPr>
          <w:rFonts w:asciiTheme="majorHAnsi" w:hAnsiTheme="majorHAnsi"/>
          <w:lang w:val="sq-AL"/>
        </w:rPr>
        <w:t>Realizimi i buxhetit 2018 në disa institucione kryesore qendrore</w:t>
      </w:r>
      <w:bookmarkEnd w:id="142"/>
    </w:p>
    <w:tbl>
      <w:tblPr>
        <w:tblStyle w:val="GridTable4-Accent51"/>
        <w:tblW w:w="11390" w:type="dxa"/>
        <w:jc w:val="center"/>
        <w:tblLayout w:type="fixed"/>
        <w:tblLook w:val="04A0" w:firstRow="1" w:lastRow="0" w:firstColumn="1" w:lastColumn="0" w:noHBand="0" w:noVBand="1"/>
      </w:tblPr>
      <w:tblGrid>
        <w:gridCol w:w="2483"/>
        <w:gridCol w:w="1083"/>
        <w:gridCol w:w="1377"/>
        <w:gridCol w:w="1173"/>
        <w:gridCol w:w="1275"/>
        <w:gridCol w:w="999"/>
        <w:gridCol w:w="987"/>
        <w:gridCol w:w="923"/>
        <w:gridCol w:w="1090"/>
      </w:tblGrid>
      <w:tr w:rsidR="005139C5" w:rsidRPr="002E06C4" w14:paraId="0EA50854" w14:textId="77777777" w:rsidTr="001F256B">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500D901A" w14:textId="77777777" w:rsidR="005139C5" w:rsidRPr="002E06C4" w:rsidRDefault="005139C5" w:rsidP="0080499B">
            <w:pPr>
              <w:jc w:val="center"/>
              <w:rPr>
                <w:rFonts w:asciiTheme="majorHAnsi" w:eastAsia="Times New Roman" w:hAnsiTheme="majorHAnsi" w:cstheme="majorHAnsi"/>
                <w:sz w:val="16"/>
                <w:szCs w:val="16"/>
                <w:lang w:val="sq-AL"/>
              </w:rPr>
            </w:pPr>
          </w:p>
          <w:p w14:paraId="335E0EB0" w14:textId="77777777" w:rsidR="005139C5" w:rsidRPr="002E06C4" w:rsidRDefault="005139C5" w:rsidP="0080499B">
            <w:pPr>
              <w:jc w:val="center"/>
              <w:rPr>
                <w:rFonts w:asciiTheme="majorHAnsi" w:eastAsia="Times New Roman" w:hAnsiTheme="majorHAnsi" w:cstheme="majorHAnsi"/>
                <w:sz w:val="8"/>
                <w:szCs w:val="16"/>
                <w:lang w:val="sq-AL"/>
              </w:rPr>
            </w:pPr>
          </w:p>
          <w:p w14:paraId="3A66363A" w14:textId="77777777" w:rsidR="005139C5" w:rsidRPr="002E06C4" w:rsidRDefault="005139C5" w:rsidP="0080499B">
            <w:pPr>
              <w:jc w:val="cente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Institucionet</w:t>
            </w:r>
          </w:p>
        </w:tc>
        <w:tc>
          <w:tcPr>
            <w:tcW w:w="1083" w:type="dxa"/>
            <w:hideMark/>
          </w:tcPr>
          <w:p w14:paraId="7E3B2310"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p>
          <w:p w14:paraId="3DBD0E67"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2018</w:t>
            </w:r>
          </w:p>
          <w:p w14:paraId="18DE6D59"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 xml:space="preserve"> (plan fillestar)</w:t>
            </w:r>
          </w:p>
        </w:tc>
        <w:tc>
          <w:tcPr>
            <w:tcW w:w="1377" w:type="dxa"/>
            <w:hideMark/>
          </w:tcPr>
          <w:p w14:paraId="2815A056"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p>
          <w:p w14:paraId="60B4D523"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 xml:space="preserve">2018 </w:t>
            </w:r>
          </w:p>
          <w:p w14:paraId="14618E03" w14:textId="77777777" w:rsidR="005139C5" w:rsidRPr="002E06C4" w:rsidRDefault="005139C5" w:rsidP="0080499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(plan i rishikuar)</w:t>
            </w:r>
          </w:p>
        </w:tc>
        <w:tc>
          <w:tcPr>
            <w:tcW w:w="1173" w:type="dxa"/>
            <w:hideMark/>
          </w:tcPr>
          <w:p w14:paraId="7D91CAF3"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p>
          <w:p w14:paraId="5D23BF84"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2018 (fakt)</w:t>
            </w:r>
          </w:p>
        </w:tc>
        <w:tc>
          <w:tcPr>
            <w:tcW w:w="1275" w:type="dxa"/>
            <w:hideMark/>
          </w:tcPr>
          <w:p w14:paraId="3F7712E1"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p>
          <w:p w14:paraId="561C191B"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2017 (fakt)</w:t>
            </w:r>
          </w:p>
        </w:tc>
        <w:tc>
          <w:tcPr>
            <w:tcW w:w="999" w:type="dxa"/>
            <w:hideMark/>
          </w:tcPr>
          <w:p w14:paraId="0EFBF2B5"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p>
          <w:p w14:paraId="729AD1AF"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Shpenzime korrente (fakt/plan)</w:t>
            </w:r>
          </w:p>
        </w:tc>
        <w:tc>
          <w:tcPr>
            <w:tcW w:w="987" w:type="dxa"/>
            <w:hideMark/>
          </w:tcPr>
          <w:p w14:paraId="386B0ECD"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p>
          <w:p w14:paraId="7E239B6C"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Shpenzime kapitale (fakt/plan)</w:t>
            </w:r>
          </w:p>
        </w:tc>
        <w:tc>
          <w:tcPr>
            <w:tcW w:w="923" w:type="dxa"/>
            <w:hideMark/>
          </w:tcPr>
          <w:p w14:paraId="370E6CFB"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6"/>
                <w:szCs w:val="16"/>
                <w:lang w:val="sq-AL"/>
              </w:rPr>
            </w:pPr>
            <w:r w:rsidRPr="002E06C4">
              <w:rPr>
                <w:rFonts w:asciiTheme="majorHAnsi" w:eastAsia="Times New Roman" w:hAnsiTheme="majorHAnsi" w:cstheme="majorHAnsi"/>
                <w:sz w:val="16"/>
                <w:szCs w:val="16"/>
                <w:lang w:val="sq-AL"/>
              </w:rPr>
              <w:t>Total</w:t>
            </w:r>
          </w:p>
          <w:p w14:paraId="3F779EA4"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(fakt/plan 2018)</w:t>
            </w:r>
          </w:p>
        </w:tc>
        <w:tc>
          <w:tcPr>
            <w:tcW w:w="1090" w:type="dxa"/>
            <w:hideMark/>
          </w:tcPr>
          <w:p w14:paraId="6B0DE207" w14:textId="77777777" w:rsidR="005139C5" w:rsidRPr="002E06C4" w:rsidRDefault="005139C5" w:rsidP="008049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Fakti 2018/Fakti 2017</w:t>
            </w:r>
          </w:p>
        </w:tc>
      </w:tr>
      <w:tr w:rsidR="005139C5" w:rsidRPr="002E06C4" w14:paraId="779E5C6F" w14:textId="77777777" w:rsidTr="001F256B">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6C3D33A3"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Presidenca</w:t>
            </w:r>
          </w:p>
        </w:tc>
        <w:tc>
          <w:tcPr>
            <w:tcW w:w="1083" w:type="dxa"/>
            <w:noWrap/>
            <w:hideMark/>
          </w:tcPr>
          <w:p w14:paraId="02F2EC1B"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247 500</w:t>
            </w:r>
          </w:p>
        </w:tc>
        <w:tc>
          <w:tcPr>
            <w:tcW w:w="1377" w:type="dxa"/>
            <w:noWrap/>
            <w:hideMark/>
          </w:tcPr>
          <w:p w14:paraId="3C586CE6"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245 003</w:t>
            </w:r>
          </w:p>
        </w:tc>
        <w:tc>
          <w:tcPr>
            <w:tcW w:w="1173" w:type="dxa"/>
            <w:noWrap/>
            <w:hideMark/>
          </w:tcPr>
          <w:p w14:paraId="27568A07"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233 422</w:t>
            </w:r>
          </w:p>
        </w:tc>
        <w:tc>
          <w:tcPr>
            <w:tcW w:w="1275" w:type="dxa"/>
            <w:noWrap/>
            <w:hideMark/>
          </w:tcPr>
          <w:p w14:paraId="3DF9EA30"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211 000</w:t>
            </w:r>
          </w:p>
        </w:tc>
        <w:tc>
          <w:tcPr>
            <w:tcW w:w="999" w:type="dxa"/>
            <w:noWrap/>
            <w:hideMark/>
          </w:tcPr>
          <w:p w14:paraId="3799FD6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93%</w:t>
            </w:r>
          </w:p>
        </w:tc>
        <w:tc>
          <w:tcPr>
            <w:tcW w:w="987" w:type="dxa"/>
            <w:noWrap/>
            <w:hideMark/>
          </w:tcPr>
          <w:p w14:paraId="299AC9E2"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110%</w:t>
            </w:r>
          </w:p>
        </w:tc>
        <w:tc>
          <w:tcPr>
            <w:tcW w:w="923" w:type="dxa"/>
            <w:noWrap/>
            <w:hideMark/>
          </w:tcPr>
          <w:p w14:paraId="323FB3CD"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94%</w:t>
            </w:r>
          </w:p>
        </w:tc>
        <w:tc>
          <w:tcPr>
            <w:tcW w:w="1090" w:type="dxa"/>
            <w:noWrap/>
            <w:hideMark/>
          </w:tcPr>
          <w:p w14:paraId="50E18B00"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111%</w:t>
            </w:r>
          </w:p>
        </w:tc>
      </w:tr>
      <w:tr w:rsidR="005139C5" w:rsidRPr="002E06C4" w14:paraId="39389C1D"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114CFB93"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Kuvendi</w:t>
            </w:r>
          </w:p>
        </w:tc>
        <w:tc>
          <w:tcPr>
            <w:tcW w:w="1083" w:type="dxa"/>
            <w:noWrap/>
            <w:hideMark/>
          </w:tcPr>
          <w:p w14:paraId="515BE395"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1 193 200</w:t>
            </w:r>
          </w:p>
        </w:tc>
        <w:tc>
          <w:tcPr>
            <w:tcW w:w="1377" w:type="dxa"/>
            <w:noWrap/>
            <w:hideMark/>
          </w:tcPr>
          <w:p w14:paraId="4D36B946"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1 063 008</w:t>
            </w:r>
          </w:p>
        </w:tc>
        <w:tc>
          <w:tcPr>
            <w:tcW w:w="1173" w:type="dxa"/>
            <w:noWrap/>
            <w:hideMark/>
          </w:tcPr>
          <w:p w14:paraId="476E8CB8"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989 814</w:t>
            </w:r>
          </w:p>
        </w:tc>
        <w:tc>
          <w:tcPr>
            <w:tcW w:w="1275" w:type="dxa"/>
            <w:noWrap/>
            <w:hideMark/>
          </w:tcPr>
          <w:p w14:paraId="771943F6"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1 124 000</w:t>
            </w:r>
          </w:p>
        </w:tc>
        <w:tc>
          <w:tcPr>
            <w:tcW w:w="999" w:type="dxa"/>
            <w:noWrap/>
            <w:hideMark/>
          </w:tcPr>
          <w:p w14:paraId="1F511B65"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82%</w:t>
            </w:r>
          </w:p>
        </w:tc>
        <w:tc>
          <w:tcPr>
            <w:tcW w:w="987" w:type="dxa"/>
            <w:noWrap/>
            <w:hideMark/>
          </w:tcPr>
          <w:p w14:paraId="0594C23E"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94%</w:t>
            </w:r>
          </w:p>
        </w:tc>
        <w:tc>
          <w:tcPr>
            <w:tcW w:w="923" w:type="dxa"/>
            <w:noWrap/>
            <w:hideMark/>
          </w:tcPr>
          <w:p w14:paraId="36EC821E"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83%</w:t>
            </w:r>
          </w:p>
        </w:tc>
        <w:tc>
          <w:tcPr>
            <w:tcW w:w="1090" w:type="dxa"/>
            <w:noWrap/>
            <w:hideMark/>
          </w:tcPr>
          <w:p w14:paraId="2A487837"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88%</w:t>
            </w:r>
          </w:p>
        </w:tc>
      </w:tr>
      <w:tr w:rsidR="005139C5" w:rsidRPr="002E06C4" w14:paraId="60B74D5A"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4BC9DEF9"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Kryeministria</w:t>
            </w:r>
          </w:p>
        </w:tc>
        <w:tc>
          <w:tcPr>
            <w:tcW w:w="1083" w:type="dxa"/>
            <w:noWrap/>
            <w:hideMark/>
          </w:tcPr>
          <w:p w14:paraId="1A7BD98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960 000</w:t>
            </w:r>
          </w:p>
        </w:tc>
        <w:tc>
          <w:tcPr>
            <w:tcW w:w="1377" w:type="dxa"/>
            <w:noWrap/>
            <w:hideMark/>
          </w:tcPr>
          <w:p w14:paraId="1C545560"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1 138 254</w:t>
            </w:r>
          </w:p>
        </w:tc>
        <w:tc>
          <w:tcPr>
            <w:tcW w:w="1173" w:type="dxa"/>
            <w:noWrap/>
            <w:hideMark/>
          </w:tcPr>
          <w:p w14:paraId="6A5C1518"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593 430</w:t>
            </w:r>
          </w:p>
        </w:tc>
        <w:tc>
          <w:tcPr>
            <w:tcW w:w="1275" w:type="dxa"/>
            <w:noWrap/>
            <w:hideMark/>
          </w:tcPr>
          <w:p w14:paraId="69A23606"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1 221 706</w:t>
            </w:r>
          </w:p>
        </w:tc>
        <w:tc>
          <w:tcPr>
            <w:tcW w:w="999" w:type="dxa"/>
            <w:noWrap/>
            <w:hideMark/>
          </w:tcPr>
          <w:p w14:paraId="0EFF6B22"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93%</w:t>
            </w:r>
          </w:p>
        </w:tc>
        <w:tc>
          <w:tcPr>
            <w:tcW w:w="987" w:type="dxa"/>
            <w:noWrap/>
            <w:hideMark/>
          </w:tcPr>
          <w:p w14:paraId="77BDC0DA"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36%</w:t>
            </w:r>
          </w:p>
        </w:tc>
        <w:tc>
          <w:tcPr>
            <w:tcW w:w="923" w:type="dxa"/>
            <w:noWrap/>
            <w:hideMark/>
          </w:tcPr>
          <w:p w14:paraId="459C72AA"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62%</w:t>
            </w:r>
          </w:p>
        </w:tc>
        <w:tc>
          <w:tcPr>
            <w:tcW w:w="1090" w:type="dxa"/>
            <w:noWrap/>
            <w:hideMark/>
          </w:tcPr>
          <w:p w14:paraId="1DE7CD2F"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49%</w:t>
            </w:r>
          </w:p>
        </w:tc>
      </w:tr>
      <w:tr w:rsidR="005139C5" w:rsidRPr="002E06C4" w14:paraId="3A7C5DBD"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731F6842"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Bujqesise dhe Zhvillimit Rural</w:t>
            </w:r>
          </w:p>
        </w:tc>
        <w:tc>
          <w:tcPr>
            <w:tcW w:w="1083" w:type="dxa"/>
            <w:noWrap/>
            <w:hideMark/>
          </w:tcPr>
          <w:p w14:paraId="16EFA1C4"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10 944 628</w:t>
            </w:r>
          </w:p>
        </w:tc>
        <w:tc>
          <w:tcPr>
            <w:tcW w:w="1377" w:type="dxa"/>
            <w:noWrap/>
            <w:hideMark/>
          </w:tcPr>
          <w:p w14:paraId="021DA45D"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9 253 195</w:t>
            </w:r>
          </w:p>
        </w:tc>
        <w:tc>
          <w:tcPr>
            <w:tcW w:w="1173" w:type="dxa"/>
            <w:noWrap/>
            <w:hideMark/>
          </w:tcPr>
          <w:p w14:paraId="46373430"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8 193 954</w:t>
            </w:r>
          </w:p>
        </w:tc>
        <w:tc>
          <w:tcPr>
            <w:tcW w:w="1275" w:type="dxa"/>
            <w:noWrap/>
            <w:hideMark/>
          </w:tcPr>
          <w:p w14:paraId="4ED9FC51"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10 171 456</w:t>
            </w:r>
          </w:p>
        </w:tc>
        <w:tc>
          <w:tcPr>
            <w:tcW w:w="999" w:type="dxa"/>
            <w:noWrap/>
            <w:hideMark/>
          </w:tcPr>
          <w:p w14:paraId="1BB188F8"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78%</w:t>
            </w:r>
          </w:p>
        </w:tc>
        <w:tc>
          <w:tcPr>
            <w:tcW w:w="987" w:type="dxa"/>
            <w:noWrap/>
            <w:hideMark/>
          </w:tcPr>
          <w:p w14:paraId="04E047E5"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70%</w:t>
            </w:r>
          </w:p>
        </w:tc>
        <w:tc>
          <w:tcPr>
            <w:tcW w:w="923" w:type="dxa"/>
            <w:noWrap/>
            <w:hideMark/>
          </w:tcPr>
          <w:p w14:paraId="2B32DFB4"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75%</w:t>
            </w:r>
          </w:p>
        </w:tc>
        <w:tc>
          <w:tcPr>
            <w:tcW w:w="1090" w:type="dxa"/>
            <w:noWrap/>
            <w:hideMark/>
          </w:tcPr>
          <w:p w14:paraId="59BCC91E"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81%</w:t>
            </w:r>
          </w:p>
        </w:tc>
      </w:tr>
      <w:tr w:rsidR="005139C5" w:rsidRPr="002E06C4" w14:paraId="29D8245C"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5024ED55"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Infrastruktures dhe Energjise</w:t>
            </w:r>
          </w:p>
        </w:tc>
        <w:tc>
          <w:tcPr>
            <w:tcW w:w="1083" w:type="dxa"/>
            <w:noWrap/>
            <w:hideMark/>
          </w:tcPr>
          <w:p w14:paraId="33B1AF45"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47 542 630</w:t>
            </w:r>
          </w:p>
        </w:tc>
        <w:tc>
          <w:tcPr>
            <w:tcW w:w="1377" w:type="dxa"/>
            <w:noWrap/>
            <w:hideMark/>
          </w:tcPr>
          <w:p w14:paraId="429DB84B"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47 864 754</w:t>
            </w:r>
          </w:p>
        </w:tc>
        <w:tc>
          <w:tcPr>
            <w:tcW w:w="1173" w:type="dxa"/>
            <w:noWrap/>
            <w:hideMark/>
          </w:tcPr>
          <w:p w14:paraId="37B3E100"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44 955 260</w:t>
            </w:r>
          </w:p>
        </w:tc>
        <w:tc>
          <w:tcPr>
            <w:tcW w:w="1275" w:type="dxa"/>
            <w:noWrap/>
            <w:hideMark/>
          </w:tcPr>
          <w:p w14:paraId="0ACB88FB"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36 323 740</w:t>
            </w:r>
          </w:p>
        </w:tc>
        <w:tc>
          <w:tcPr>
            <w:tcW w:w="999" w:type="dxa"/>
            <w:noWrap/>
            <w:hideMark/>
          </w:tcPr>
          <w:p w14:paraId="3D52BFB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119%</w:t>
            </w:r>
          </w:p>
        </w:tc>
        <w:tc>
          <w:tcPr>
            <w:tcW w:w="987" w:type="dxa"/>
            <w:noWrap/>
            <w:hideMark/>
          </w:tcPr>
          <w:p w14:paraId="2A9130E9"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92%</w:t>
            </w:r>
          </w:p>
        </w:tc>
        <w:tc>
          <w:tcPr>
            <w:tcW w:w="923" w:type="dxa"/>
            <w:noWrap/>
            <w:hideMark/>
          </w:tcPr>
          <w:p w14:paraId="1F0E304A"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95%</w:t>
            </w:r>
          </w:p>
        </w:tc>
        <w:tc>
          <w:tcPr>
            <w:tcW w:w="1090" w:type="dxa"/>
            <w:noWrap/>
            <w:hideMark/>
          </w:tcPr>
          <w:p w14:paraId="7E5F51F5"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124%</w:t>
            </w:r>
          </w:p>
        </w:tc>
      </w:tr>
      <w:tr w:rsidR="005139C5" w:rsidRPr="002E06C4" w14:paraId="0562F211"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63F796BD"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Financave dhe Ekonomise</w:t>
            </w:r>
          </w:p>
        </w:tc>
        <w:tc>
          <w:tcPr>
            <w:tcW w:w="1083" w:type="dxa"/>
            <w:noWrap/>
            <w:hideMark/>
          </w:tcPr>
          <w:p w14:paraId="2C5ECF24"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60 868 921</w:t>
            </w:r>
          </w:p>
        </w:tc>
        <w:tc>
          <w:tcPr>
            <w:tcW w:w="1377" w:type="dxa"/>
            <w:noWrap/>
            <w:hideMark/>
          </w:tcPr>
          <w:p w14:paraId="4C3D62EE"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58 930 700</w:t>
            </w:r>
          </w:p>
        </w:tc>
        <w:tc>
          <w:tcPr>
            <w:tcW w:w="1173" w:type="dxa"/>
            <w:noWrap/>
            <w:hideMark/>
          </w:tcPr>
          <w:p w14:paraId="6A092FE8"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57 529 009</w:t>
            </w:r>
          </w:p>
        </w:tc>
        <w:tc>
          <w:tcPr>
            <w:tcW w:w="1275" w:type="dxa"/>
            <w:noWrap/>
            <w:hideMark/>
          </w:tcPr>
          <w:p w14:paraId="7D7FC340"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61 571 423</w:t>
            </w:r>
          </w:p>
        </w:tc>
        <w:tc>
          <w:tcPr>
            <w:tcW w:w="999" w:type="dxa"/>
            <w:noWrap/>
            <w:hideMark/>
          </w:tcPr>
          <w:p w14:paraId="297264A3"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97%</w:t>
            </w:r>
          </w:p>
        </w:tc>
        <w:tc>
          <w:tcPr>
            <w:tcW w:w="987" w:type="dxa"/>
            <w:noWrap/>
            <w:hideMark/>
          </w:tcPr>
          <w:p w14:paraId="248B9AC2"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67%</w:t>
            </w:r>
          </w:p>
        </w:tc>
        <w:tc>
          <w:tcPr>
            <w:tcW w:w="923" w:type="dxa"/>
            <w:noWrap/>
            <w:hideMark/>
          </w:tcPr>
          <w:p w14:paraId="1ABCBA47"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95%</w:t>
            </w:r>
          </w:p>
        </w:tc>
        <w:tc>
          <w:tcPr>
            <w:tcW w:w="1090" w:type="dxa"/>
            <w:noWrap/>
            <w:hideMark/>
          </w:tcPr>
          <w:p w14:paraId="5542F94D"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93%</w:t>
            </w:r>
          </w:p>
        </w:tc>
      </w:tr>
      <w:tr w:rsidR="005139C5" w:rsidRPr="002E06C4" w14:paraId="60F2DD83"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3FED29A7"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Arsimit Sportit dhe Rinise</w:t>
            </w:r>
          </w:p>
        </w:tc>
        <w:tc>
          <w:tcPr>
            <w:tcW w:w="1083" w:type="dxa"/>
            <w:noWrap/>
            <w:hideMark/>
          </w:tcPr>
          <w:p w14:paraId="0863BD58"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38 374 242</w:t>
            </w:r>
          </w:p>
        </w:tc>
        <w:tc>
          <w:tcPr>
            <w:tcW w:w="1377" w:type="dxa"/>
            <w:noWrap/>
            <w:hideMark/>
          </w:tcPr>
          <w:p w14:paraId="75638BFE"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38 322 781</w:t>
            </w:r>
          </w:p>
        </w:tc>
        <w:tc>
          <w:tcPr>
            <w:tcW w:w="1173" w:type="dxa"/>
            <w:noWrap/>
            <w:hideMark/>
          </w:tcPr>
          <w:p w14:paraId="06FE83DE"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37 234 965</w:t>
            </w:r>
          </w:p>
        </w:tc>
        <w:tc>
          <w:tcPr>
            <w:tcW w:w="1275" w:type="dxa"/>
            <w:noWrap/>
            <w:hideMark/>
          </w:tcPr>
          <w:p w14:paraId="6D158109"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34 721 042</w:t>
            </w:r>
          </w:p>
        </w:tc>
        <w:tc>
          <w:tcPr>
            <w:tcW w:w="999" w:type="dxa"/>
            <w:noWrap/>
            <w:hideMark/>
          </w:tcPr>
          <w:p w14:paraId="6D04289C"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99%</w:t>
            </w:r>
          </w:p>
        </w:tc>
        <w:tc>
          <w:tcPr>
            <w:tcW w:w="987" w:type="dxa"/>
            <w:noWrap/>
            <w:hideMark/>
          </w:tcPr>
          <w:p w14:paraId="5396C9B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79%</w:t>
            </w:r>
          </w:p>
        </w:tc>
        <w:tc>
          <w:tcPr>
            <w:tcW w:w="923" w:type="dxa"/>
            <w:noWrap/>
            <w:hideMark/>
          </w:tcPr>
          <w:p w14:paraId="5AC4E0EC"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97%</w:t>
            </w:r>
          </w:p>
        </w:tc>
        <w:tc>
          <w:tcPr>
            <w:tcW w:w="1090" w:type="dxa"/>
            <w:noWrap/>
            <w:hideMark/>
          </w:tcPr>
          <w:p w14:paraId="4DF5921A"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107%</w:t>
            </w:r>
          </w:p>
        </w:tc>
      </w:tr>
      <w:tr w:rsidR="005139C5" w:rsidRPr="002E06C4" w14:paraId="7C54D837"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6028E446"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Kultures</w:t>
            </w:r>
          </w:p>
        </w:tc>
        <w:tc>
          <w:tcPr>
            <w:tcW w:w="1083" w:type="dxa"/>
            <w:noWrap/>
            <w:hideMark/>
          </w:tcPr>
          <w:p w14:paraId="1BCA2AAC"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2 009 897</w:t>
            </w:r>
          </w:p>
        </w:tc>
        <w:tc>
          <w:tcPr>
            <w:tcW w:w="1377" w:type="dxa"/>
            <w:noWrap/>
            <w:hideMark/>
          </w:tcPr>
          <w:p w14:paraId="35D3C8C6"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2 282 152</w:t>
            </w:r>
          </w:p>
        </w:tc>
        <w:tc>
          <w:tcPr>
            <w:tcW w:w="1173" w:type="dxa"/>
            <w:noWrap/>
            <w:hideMark/>
          </w:tcPr>
          <w:p w14:paraId="18CA27ED"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2 257 490</w:t>
            </w:r>
          </w:p>
        </w:tc>
        <w:tc>
          <w:tcPr>
            <w:tcW w:w="1275" w:type="dxa"/>
            <w:noWrap/>
            <w:hideMark/>
          </w:tcPr>
          <w:p w14:paraId="1E6A7A54"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2 037 900</w:t>
            </w:r>
          </w:p>
        </w:tc>
        <w:tc>
          <w:tcPr>
            <w:tcW w:w="999" w:type="dxa"/>
            <w:noWrap/>
            <w:hideMark/>
          </w:tcPr>
          <w:p w14:paraId="75E3AA13"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103%</w:t>
            </w:r>
          </w:p>
        </w:tc>
        <w:tc>
          <w:tcPr>
            <w:tcW w:w="987" w:type="dxa"/>
            <w:noWrap/>
            <w:hideMark/>
          </w:tcPr>
          <w:p w14:paraId="3A0098A2"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131%</w:t>
            </w:r>
          </w:p>
        </w:tc>
        <w:tc>
          <w:tcPr>
            <w:tcW w:w="923" w:type="dxa"/>
            <w:noWrap/>
            <w:hideMark/>
          </w:tcPr>
          <w:p w14:paraId="43EC50E6"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112%</w:t>
            </w:r>
          </w:p>
        </w:tc>
        <w:tc>
          <w:tcPr>
            <w:tcW w:w="1090" w:type="dxa"/>
            <w:noWrap/>
            <w:hideMark/>
          </w:tcPr>
          <w:p w14:paraId="5BE85D6C"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111%</w:t>
            </w:r>
          </w:p>
        </w:tc>
      </w:tr>
      <w:tr w:rsidR="005139C5" w:rsidRPr="002E06C4" w14:paraId="06C13D9D"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5DF7A9F8"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Shendetesise</w:t>
            </w:r>
          </w:p>
        </w:tc>
        <w:tc>
          <w:tcPr>
            <w:tcW w:w="1083" w:type="dxa"/>
            <w:noWrap/>
            <w:hideMark/>
          </w:tcPr>
          <w:p w14:paraId="01406FD5"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60 116 852</w:t>
            </w:r>
          </w:p>
        </w:tc>
        <w:tc>
          <w:tcPr>
            <w:tcW w:w="1377" w:type="dxa"/>
            <w:noWrap/>
            <w:hideMark/>
          </w:tcPr>
          <w:p w14:paraId="200EDE9A"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59 106 690</w:t>
            </w:r>
          </w:p>
        </w:tc>
        <w:tc>
          <w:tcPr>
            <w:tcW w:w="1173" w:type="dxa"/>
            <w:noWrap/>
            <w:hideMark/>
          </w:tcPr>
          <w:p w14:paraId="757E7177"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58 444 203</w:t>
            </w:r>
          </w:p>
        </w:tc>
        <w:tc>
          <w:tcPr>
            <w:tcW w:w="1275" w:type="dxa"/>
            <w:noWrap/>
            <w:hideMark/>
          </w:tcPr>
          <w:p w14:paraId="0ED3DE6D"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57 273 940</w:t>
            </w:r>
          </w:p>
        </w:tc>
        <w:tc>
          <w:tcPr>
            <w:tcW w:w="999" w:type="dxa"/>
            <w:noWrap/>
            <w:hideMark/>
          </w:tcPr>
          <w:p w14:paraId="7108C4F3"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96%</w:t>
            </w:r>
          </w:p>
        </w:tc>
        <w:tc>
          <w:tcPr>
            <w:tcW w:w="987" w:type="dxa"/>
            <w:noWrap/>
            <w:hideMark/>
          </w:tcPr>
          <w:p w14:paraId="787897CF"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118%</w:t>
            </w:r>
          </w:p>
        </w:tc>
        <w:tc>
          <w:tcPr>
            <w:tcW w:w="923" w:type="dxa"/>
            <w:noWrap/>
            <w:hideMark/>
          </w:tcPr>
          <w:p w14:paraId="4564D20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97%</w:t>
            </w:r>
          </w:p>
        </w:tc>
        <w:tc>
          <w:tcPr>
            <w:tcW w:w="1090" w:type="dxa"/>
            <w:noWrap/>
            <w:hideMark/>
          </w:tcPr>
          <w:p w14:paraId="47D9B9FF"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102%</w:t>
            </w:r>
          </w:p>
        </w:tc>
      </w:tr>
      <w:tr w:rsidR="005139C5" w:rsidRPr="002E06C4" w14:paraId="793C163A"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3E655892"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Drejtesise</w:t>
            </w:r>
          </w:p>
        </w:tc>
        <w:tc>
          <w:tcPr>
            <w:tcW w:w="1083" w:type="dxa"/>
            <w:noWrap/>
            <w:hideMark/>
          </w:tcPr>
          <w:p w14:paraId="5103BD24"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10 446 100</w:t>
            </w:r>
          </w:p>
        </w:tc>
        <w:tc>
          <w:tcPr>
            <w:tcW w:w="1377" w:type="dxa"/>
            <w:noWrap/>
            <w:hideMark/>
          </w:tcPr>
          <w:p w14:paraId="177C01B2"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10 514 204</w:t>
            </w:r>
          </w:p>
        </w:tc>
        <w:tc>
          <w:tcPr>
            <w:tcW w:w="1173" w:type="dxa"/>
            <w:noWrap/>
            <w:hideMark/>
          </w:tcPr>
          <w:p w14:paraId="0B59C78F"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10 195 335</w:t>
            </w:r>
          </w:p>
        </w:tc>
        <w:tc>
          <w:tcPr>
            <w:tcW w:w="1275" w:type="dxa"/>
            <w:noWrap/>
            <w:hideMark/>
          </w:tcPr>
          <w:p w14:paraId="0E496DC7"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8 404 100</w:t>
            </w:r>
          </w:p>
        </w:tc>
        <w:tc>
          <w:tcPr>
            <w:tcW w:w="999" w:type="dxa"/>
            <w:noWrap/>
            <w:hideMark/>
          </w:tcPr>
          <w:p w14:paraId="320520F1"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95%</w:t>
            </w:r>
          </w:p>
        </w:tc>
        <w:tc>
          <w:tcPr>
            <w:tcW w:w="987" w:type="dxa"/>
            <w:noWrap/>
            <w:hideMark/>
          </w:tcPr>
          <w:p w14:paraId="09CD997E"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129%</w:t>
            </w:r>
          </w:p>
        </w:tc>
        <w:tc>
          <w:tcPr>
            <w:tcW w:w="923" w:type="dxa"/>
            <w:noWrap/>
            <w:hideMark/>
          </w:tcPr>
          <w:p w14:paraId="2F862561"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98%</w:t>
            </w:r>
          </w:p>
        </w:tc>
        <w:tc>
          <w:tcPr>
            <w:tcW w:w="1090" w:type="dxa"/>
            <w:noWrap/>
            <w:hideMark/>
          </w:tcPr>
          <w:p w14:paraId="4854D354"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121%</w:t>
            </w:r>
          </w:p>
        </w:tc>
      </w:tr>
      <w:tr w:rsidR="005139C5" w:rsidRPr="002E06C4" w14:paraId="2A2A5959"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112DB1AC"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per Evropen dhe Punet e Jashtme</w:t>
            </w:r>
          </w:p>
        </w:tc>
        <w:tc>
          <w:tcPr>
            <w:tcW w:w="1083" w:type="dxa"/>
            <w:noWrap/>
            <w:hideMark/>
          </w:tcPr>
          <w:p w14:paraId="2105DE0A"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2 997 180</w:t>
            </w:r>
          </w:p>
        </w:tc>
        <w:tc>
          <w:tcPr>
            <w:tcW w:w="1377" w:type="dxa"/>
            <w:noWrap/>
            <w:hideMark/>
          </w:tcPr>
          <w:p w14:paraId="7923F53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2 916 319</w:t>
            </w:r>
          </w:p>
        </w:tc>
        <w:tc>
          <w:tcPr>
            <w:tcW w:w="1173" w:type="dxa"/>
            <w:noWrap/>
            <w:hideMark/>
          </w:tcPr>
          <w:p w14:paraId="7382C858"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2 744 015</w:t>
            </w:r>
          </w:p>
        </w:tc>
        <w:tc>
          <w:tcPr>
            <w:tcW w:w="1275" w:type="dxa"/>
            <w:noWrap/>
            <w:hideMark/>
          </w:tcPr>
          <w:p w14:paraId="7B4CCCEE"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3 137 020</w:t>
            </w:r>
          </w:p>
        </w:tc>
        <w:tc>
          <w:tcPr>
            <w:tcW w:w="999" w:type="dxa"/>
            <w:noWrap/>
            <w:hideMark/>
          </w:tcPr>
          <w:p w14:paraId="4C5EB521"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100%</w:t>
            </w:r>
          </w:p>
        </w:tc>
        <w:tc>
          <w:tcPr>
            <w:tcW w:w="987" w:type="dxa"/>
            <w:noWrap/>
            <w:hideMark/>
          </w:tcPr>
          <w:p w14:paraId="685797C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41%</w:t>
            </w:r>
          </w:p>
        </w:tc>
        <w:tc>
          <w:tcPr>
            <w:tcW w:w="923" w:type="dxa"/>
            <w:noWrap/>
            <w:hideMark/>
          </w:tcPr>
          <w:p w14:paraId="03661FCF"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92%</w:t>
            </w:r>
          </w:p>
        </w:tc>
        <w:tc>
          <w:tcPr>
            <w:tcW w:w="1090" w:type="dxa"/>
            <w:noWrap/>
            <w:hideMark/>
          </w:tcPr>
          <w:p w14:paraId="7FDF075C"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87%</w:t>
            </w:r>
          </w:p>
        </w:tc>
      </w:tr>
      <w:tr w:rsidR="005139C5" w:rsidRPr="002E06C4" w14:paraId="6AFECD6A"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35B267CD"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Brendshme</w:t>
            </w:r>
          </w:p>
        </w:tc>
        <w:tc>
          <w:tcPr>
            <w:tcW w:w="1083" w:type="dxa"/>
            <w:noWrap/>
            <w:hideMark/>
          </w:tcPr>
          <w:p w14:paraId="1844ED5B"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21 110 038</w:t>
            </w:r>
          </w:p>
        </w:tc>
        <w:tc>
          <w:tcPr>
            <w:tcW w:w="1377" w:type="dxa"/>
            <w:noWrap/>
            <w:hideMark/>
          </w:tcPr>
          <w:p w14:paraId="27527348"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20 779 072</w:t>
            </w:r>
          </w:p>
        </w:tc>
        <w:tc>
          <w:tcPr>
            <w:tcW w:w="1173" w:type="dxa"/>
            <w:noWrap/>
            <w:hideMark/>
          </w:tcPr>
          <w:p w14:paraId="211D65FA"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20 619 600</w:t>
            </w:r>
          </w:p>
        </w:tc>
        <w:tc>
          <w:tcPr>
            <w:tcW w:w="1275" w:type="dxa"/>
            <w:noWrap/>
            <w:hideMark/>
          </w:tcPr>
          <w:p w14:paraId="7FDDF2F8"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19 476 101</w:t>
            </w:r>
          </w:p>
        </w:tc>
        <w:tc>
          <w:tcPr>
            <w:tcW w:w="999" w:type="dxa"/>
            <w:noWrap/>
            <w:hideMark/>
          </w:tcPr>
          <w:p w14:paraId="00BF1B6B"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99%</w:t>
            </w:r>
          </w:p>
        </w:tc>
        <w:tc>
          <w:tcPr>
            <w:tcW w:w="987" w:type="dxa"/>
            <w:noWrap/>
            <w:hideMark/>
          </w:tcPr>
          <w:p w14:paraId="3E8B8D25"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88%</w:t>
            </w:r>
          </w:p>
        </w:tc>
        <w:tc>
          <w:tcPr>
            <w:tcW w:w="923" w:type="dxa"/>
            <w:noWrap/>
            <w:hideMark/>
          </w:tcPr>
          <w:p w14:paraId="0AB2A3E8"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98%</w:t>
            </w:r>
          </w:p>
        </w:tc>
        <w:tc>
          <w:tcPr>
            <w:tcW w:w="1090" w:type="dxa"/>
            <w:noWrap/>
            <w:hideMark/>
          </w:tcPr>
          <w:p w14:paraId="0246A399"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106%</w:t>
            </w:r>
          </w:p>
        </w:tc>
      </w:tr>
      <w:tr w:rsidR="005139C5" w:rsidRPr="002E06C4" w14:paraId="08785B21"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4C1B5B7D"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Mbrojtjes</w:t>
            </w:r>
          </w:p>
        </w:tc>
        <w:tc>
          <w:tcPr>
            <w:tcW w:w="1083" w:type="dxa"/>
            <w:noWrap/>
            <w:hideMark/>
          </w:tcPr>
          <w:p w14:paraId="50919E41"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19 797 838</w:t>
            </w:r>
          </w:p>
        </w:tc>
        <w:tc>
          <w:tcPr>
            <w:tcW w:w="1377" w:type="dxa"/>
            <w:noWrap/>
            <w:hideMark/>
          </w:tcPr>
          <w:p w14:paraId="7D71074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19 312 005</w:t>
            </w:r>
          </w:p>
        </w:tc>
        <w:tc>
          <w:tcPr>
            <w:tcW w:w="1173" w:type="dxa"/>
            <w:noWrap/>
            <w:hideMark/>
          </w:tcPr>
          <w:p w14:paraId="7430ABDE"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18 994 755</w:t>
            </w:r>
          </w:p>
        </w:tc>
        <w:tc>
          <w:tcPr>
            <w:tcW w:w="1275" w:type="dxa"/>
            <w:noWrap/>
            <w:hideMark/>
          </w:tcPr>
          <w:p w14:paraId="0A3E60B5"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13 356 738</w:t>
            </w:r>
          </w:p>
        </w:tc>
        <w:tc>
          <w:tcPr>
            <w:tcW w:w="999" w:type="dxa"/>
            <w:noWrap/>
            <w:hideMark/>
          </w:tcPr>
          <w:p w14:paraId="1610B960"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97%</w:t>
            </w:r>
          </w:p>
        </w:tc>
        <w:tc>
          <w:tcPr>
            <w:tcW w:w="987" w:type="dxa"/>
            <w:noWrap/>
            <w:hideMark/>
          </w:tcPr>
          <w:p w14:paraId="1AA46581"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85%</w:t>
            </w:r>
          </w:p>
        </w:tc>
        <w:tc>
          <w:tcPr>
            <w:tcW w:w="923" w:type="dxa"/>
            <w:noWrap/>
            <w:hideMark/>
          </w:tcPr>
          <w:p w14:paraId="2FD6C03C"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96%</w:t>
            </w:r>
          </w:p>
        </w:tc>
        <w:tc>
          <w:tcPr>
            <w:tcW w:w="1090" w:type="dxa"/>
            <w:noWrap/>
            <w:hideMark/>
          </w:tcPr>
          <w:p w14:paraId="5C998461"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142%</w:t>
            </w:r>
          </w:p>
        </w:tc>
      </w:tr>
      <w:tr w:rsidR="005139C5" w:rsidRPr="002E06C4" w14:paraId="13EB8797"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0C4CA4F5"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Sherbimi Informativ Kombetar</w:t>
            </w:r>
          </w:p>
        </w:tc>
        <w:tc>
          <w:tcPr>
            <w:tcW w:w="1083" w:type="dxa"/>
            <w:noWrap/>
            <w:hideMark/>
          </w:tcPr>
          <w:p w14:paraId="736105AC"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1 544 000</w:t>
            </w:r>
          </w:p>
        </w:tc>
        <w:tc>
          <w:tcPr>
            <w:tcW w:w="1377" w:type="dxa"/>
            <w:noWrap/>
            <w:hideMark/>
          </w:tcPr>
          <w:p w14:paraId="6C2379F0"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1 481 039</w:t>
            </w:r>
          </w:p>
        </w:tc>
        <w:tc>
          <w:tcPr>
            <w:tcW w:w="1173" w:type="dxa"/>
            <w:noWrap/>
            <w:hideMark/>
          </w:tcPr>
          <w:p w14:paraId="2809E01A"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1 450 604</w:t>
            </w:r>
          </w:p>
        </w:tc>
        <w:tc>
          <w:tcPr>
            <w:tcW w:w="1275" w:type="dxa"/>
            <w:noWrap/>
            <w:hideMark/>
          </w:tcPr>
          <w:p w14:paraId="1DE71F49"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1 466 400</w:t>
            </w:r>
          </w:p>
        </w:tc>
        <w:tc>
          <w:tcPr>
            <w:tcW w:w="999" w:type="dxa"/>
            <w:noWrap/>
            <w:hideMark/>
          </w:tcPr>
          <w:p w14:paraId="46A80531"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94%</w:t>
            </w:r>
          </w:p>
        </w:tc>
        <w:tc>
          <w:tcPr>
            <w:tcW w:w="987" w:type="dxa"/>
            <w:noWrap/>
            <w:hideMark/>
          </w:tcPr>
          <w:p w14:paraId="36DC0231"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98%</w:t>
            </w:r>
          </w:p>
        </w:tc>
        <w:tc>
          <w:tcPr>
            <w:tcW w:w="923" w:type="dxa"/>
            <w:noWrap/>
            <w:hideMark/>
          </w:tcPr>
          <w:p w14:paraId="314CE007"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94%</w:t>
            </w:r>
          </w:p>
        </w:tc>
        <w:tc>
          <w:tcPr>
            <w:tcW w:w="1090" w:type="dxa"/>
            <w:noWrap/>
            <w:hideMark/>
          </w:tcPr>
          <w:p w14:paraId="6D3B384B"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99%</w:t>
            </w:r>
          </w:p>
        </w:tc>
      </w:tr>
      <w:tr w:rsidR="005139C5" w:rsidRPr="002E06C4" w14:paraId="0718C6FA"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4DBD6686"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Akademia e Shkencave</w:t>
            </w:r>
          </w:p>
        </w:tc>
        <w:tc>
          <w:tcPr>
            <w:tcW w:w="1083" w:type="dxa"/>
            <w:noWrap/>
            <w:hideMark/>
          </w:tcPr>
          <w:p w14:paraId="76130522"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110 550</w:t>
            </w:r>
          </w:p>
        </w:tc>
        <w:tc>
          <w:tcPr>
            <w:tcW w:w="1377" w:type="dxa"/>
            <w:noWrap/>
            <w:hideMark/>
          </w:tcPr>
          <w:p w14:paraId="52B8DD1D"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100 882</w:t>
            </w:r>
          </w:p>
        </w:tc>
        <w:tc>
          <w:tcPr>
            <w:tcW w:w="1173" w:type="dxa"/>
            <w:noWrap/>
            <w:hideMark/>
          </w:tcPr>
          <w:p w14:paraId="190793CE"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97 077</w:t>
            </w:r>
          </w:p>
        </w:tc>
        <w:tc>
          <w:tcPr>
            <w:tcW w:w="1275" w:type="dxa"/>
            <w:noWrap/>
            <w:hideMark/>
          </w:tcPr>
          <w:p w14:paraId="52BDF963"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112 000</w:t>
            </w:r>
          </w:p>
        </w:tc>
        <w:tc>
          <w:tcPr>
            <w:tcW w:w="999" w:type="dxa"/>
            <w:noWrap/>
            <w:hideMark/>
          </w:tcPr>
          <w:p w14:paraId="5D15239B"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89%</w:t>
            </w:r>
          </w:p>
        </w:tc>
        <w:tc>
          <w:tcPr>
            <w:tcW w:w="987" w:type="dxa"/>
            <w:noWrap/>
            <w:hideMark/>
          </w:tcPr>
          <w:p w14:paraId="0F03C695"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22%</w:t>
            </w:r>
          </w:p>
        </w:tc>
        <w:tc>
          <w:tcPr>
            <w:tcW w:w="923" w:type="dxa"/>
            <w:noWrap/>
            <w:hideMark/>
          </w:tcPr>
          <w:p w14:paraId="1EE5EA5E"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88%</w:t>
            </w:r>
          </w:p>
        </w:tc>
        <w:tc>
          <w:tcPr>
            <w:tcW w:w="1090" w:type="dxa"/>
            <w:noWrap/>
            <w:hideMark/>
          </w:tcPr>
          <w:p w14:paraId="755CE060"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87%</w:t>
            </w:r>
          </w:p>
        </w:tc>
      </w:tr>
      <w:tr w:rsidR="005139C5" w:rsidRPr="002E06C4" w14:paraId="01212AD7"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5C962149"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Kontrolli Larte i Shtetit</w:t>
            </w:r>
          </w:p>
        </w:tc>
        <w:tc>
          <w:tcPr>
            <w:tcW w:w="1083" w:type="dxa"/>
            <w:noWrap/>
            <w:hideMark/>
          </w:tcPr>
          <w:p w14:paraId="0687DDC4"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492 900</w:t>
            </w:r>
          </w:p>
        </w:tc>
        <w:tc>
          <w:tcPr>
            <w:tcW w:w="1377" w:type="dxa"/>
            <w:noWrap/>
            <w:hideMark/>
          </w:tcPr>
          <w:p w14:paraId="25535F6D"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432 643</w:t>
            </w:r>
          </w:p>
        </w:tc>
        <w:tc>
          <w:tcPr>
            <w:tcW w:w="1173" w:type="dxa"/>
            <w:noWrap/>
            <w:hideMark/>
          </w:tcPr>
          <w:p w14:paraId="0A80AD6C"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404 462</w:t>
            </w:r>
          </w:p>
        </w:tc>
        <w:tc>
          <w:tcPr>
            <w:tcW w:w="1275" w:type="dxa"/>
            <w:noWrap/>
            <w:hideMark/>
          </w:tcPr>
          <w:p w14:paraId="0589AD07"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576 200</w:t>
            </w:r>
          </w:p>
        </w:tc>
        <w:tc>
          <w:tcPr>
            <w:tcW w:w="999" w:type="dxa"/>
            <w:noWrap/>
            <w:hideMark/>
          </w:tcPr>
          <w:p w14:paraId="0DBFA024"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98%</w:t>
            </w:r>
          </w:p>
        </w:tc>
        <w:tc>
          <w:tcPr>
            <w:tcW w:w="987" w:type="dxa"/>
            <w:noWrap/>
            <w:hideMark/>
          </w:tcPr>
          <w:p w14:paraId="0B6F3A35"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32%</w:t>
            </w:r>
          </w:p>
        </w:tc>
        <w:tc>
          <w:tcPr>
            <w:tcW w:w="923" w:type="dxa"/>
            <w:noWrap/>
            <w:hideMark/>
          </w:tcPr>
          <w:p w14:paraId="4518AE6A"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82%</w:t>
            </w:r>
          </w:p>
        </w:tc>
        <w:tc>
          <w:tcPr>
            <w:tcW w:w="1090" w:type="dxa"/>
            <w:noWrap/>
            <w:hideMark/>
          </w:tcPr>
          <w:p w14:paraId="5EE7E3F6"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70%</w:t>
            </w:r>
          </w:p>
        </w:tc>
      </w:tr>
      <w:tr w:rsidR="005139C5" w:rsidRPr="002E06C4" w14:paraId="67FAEE74"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70751EBE"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Ministria e Turizmit dhe Mjedisit</w:t>
            </w:r>
          </w:p>
        </w:tc>
        <w:tc>
          <w:tcPr>
            <w:tcW w:w="1083" w:type="dxa"/>
            <w:noWrap/>
            <w:hideMark/>
          </w:tcPr>
          <w:p w14:paraId="58295868"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2 258 760</w:t>
            </w:r>
          </w:p>
        </w:tc>
        <w:tc>
          <w:tcPr>
            <w:tcW w:w="1377" w:type="dxa"/>
            <w:noWrap/>
            <w:hideMark/>
          </w:tcPr>
          <w:p w14:paraId="45317D0D"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2 284 761</w:t>
            </w:r>
          </w:p>
        </w:tc>
        <w:tc>
          <w:tcPr>
            <w:tcW w:w="1173" w:type="dxa"/>
            <w:noWrap/>
            <w:hideMark/>
          </w:tcPr>
          <w:p w14:paraId="16972B73"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2 221 833</w:t>
            </w:r>
          </w:p>
        </w:tc>
        <w:tc>
          <w:tcPr>
            <w:tcW w:w="1275" w:type="dxa"/>
            <w:noWrap/>
            <w:hideMark/>
          </w:tcPr>
          <w:p w14:paraId="406A9872"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3 770 000</w:t>
            </w:r>
          </w:p>
        </w:tc>
        <w:tc>
          <w:tcPr>
            <w:tcW w:w="999" w:type="dxa"/>
            <w:noWrap/>
            <w:hideMark/>
          </w:tcPr>
          <w:p w14:paraId="546713B2"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97%</w:t>
            </w:r>
          </w:p>
        </w:tc>
        <w:tc>
          <w:tcPr>
            <w:tcW w:w="987" w:type="dxa"/>
            <w:noWrap/>
            <w:hideMark/>
          </w:tcPr>
          <w:p w14:paraId="116B7C0B"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101%</w:t>
            </w:r>
          </w:p>
        </w:tc>
        <w:tc>
          <w:tcPr>
            <w:tcW w:w="923" w:type="dxa"/>
            <w:noWrap/>
            <w:hideMark/>
          </w:tcPr>
          <w:p w14:paraId="63826672"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98%</w:t>
            </w:r>
          </w:p>
        </w:tc>
        <w:tc>
          <w:tcPr>
            <w:tcW w:w="1090" w:type="dxa"/>
            <w:noWrap/>
            <w:hideMark/>
          </w:tcPr>
          <w:p w14:paraId="1CA102F3"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59%</w:t>
            </w:r>
          </w:p>
        </w:tc>
      </w:tr>
      <w:tr w:rsidR="005139C5" w:rsidRPr="002E06C4" w14:paraId="0FC7F4E3"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209AD19A"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Prokuroria e Pergjithshme</w:t>
            </w:r>
          </w:p>
        </w:tc>
        <w:tc>
          <w:tcPr>
            <w:tcW w:w="1083" w:type="dxa"/>
            <w:noWrap/>
            <w:hideMark/>
          </w:tcPr>
          <w:p w14:paraId="6E67C547"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1 679 000</w:t>
            </w:r>
          </w:p>
        </w:tc>
        <w:tc>
          <w:tcPr>
            <w:tcW w:w="1377" w:type="dxa"/>
            <w:noWrap/>
            <w:hideMark/>
          </w:tcPr>
          <w:p w14:paraId="1E0827CF"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1 605 654</w:t>
            </w:r>
          </w:p>
        </w:tc>
        <w:tc>
          <w:tcPr>
            <w:tcW w:w="1173" w:type="dxa"/>
            <w:noWrap/>
            <w:hideMark/>
          </w:tcPr>
          <w:p w14:paraId="39EC0325"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1 594 708</w:t>
            </w:r>
          </w:p>
        </w:tc>
        <w:tc>
          <w:tcPr>
            <w:tcW w:w="1275" w:type="dxa"/>
            <w:noWrap/>
            <w:hideMark/>
          </w:tcPr>
          <w:p w14:paraId="2E417F34"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1 659 100</w:t>
            </w:r>
          </w:p>
        </w:tc>
        <w:tc>
          <w:tcPr>
            <w:tcW w:w="999" w:type="dxa"/>
            <w:noWrap/>
            <w:hideMark/>
          </w:tcPr>
          <w:p w14:paraId="21B9C2C9"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97%</w:t>
            </w:r>
          </w:p>
        </w:tc>
        <w:tc>
          <w:tcPr>
            <w:tcW w:w="987" w:type="dxa"/>
            <w:noWrap/>
            <w:hideMark/>
          </w:tcPr>
          <w:p w14:paraId="6E726B23"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70%</w:t>
            </w:r>
          </w:p>
        </w:tc>
        <w:tc>
          <w:tcPr>
            <w:tcW w:w="923" w:type="dxa"/>
            <w:noWrap/>
            <w:hideMark/>
          </w:tcPr>
          <w:p w14:paraId="368520EA"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95%</w:t>
            </w:r>
          </w:p>
        </w:tc>
        <w:tc>
          <w:tcPr>
            <w:tcW w:w="1090" w:type="dxa"/>
            <w:noWrap/>
            <w:hideMark/>
          </w:tcPr>
          <w:p w14:paraId="2C4C8CF2"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96%</w:t>
            </w:r>
          </w:p>
        </w:tc>
      </w:tr>
      <w:tr w:rsidR="005139C5" w:rsidRPr="002E06C4" w14:paraId="1BF202D0"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050A5B32"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Zyra e Administrimit te Buxhetit Gjyqesor</w:t>
            </w:r>
          </w:p>
        </w:tc>
        <w:tc>
          <w:tcPr>
            <w:tcW w:w="1083" w:type="dxa"/>
            <w:noWrap/>
            <w:hideMark/>
          </w:tcPr>
          <w:p w14:paraId="79593F83"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2 300 700</w:t>
            </w:r>
          </w:p>
        </w:tc>
        <w:tc>
          <w:tcPr>
            <w:tcW w:w="1377" w:type="dxa"/>
            <w:noWrap/>
            <w:hideMark/>
          </w:tcPr>
          <w:p w14:paraId="6FE68730"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2 146 104</w:t>
            </w:r>
          </w:p>
        </w:tc>
        <w:tc>
          <w:tcPr>
            <w:tcW w:w="1173" w:type="dxa"/>
            <w:noWrap/>
            <w:hideMark/>
          </w:tcPr>
          <w:p w14:paraId="79DD2D5A"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2 109 558</w:t>
            </w:r>
          </w:p>
        </w:tc>
        <w:tc>
          <w:tcPr>
            <w:tcW w:w="1275" w:type="dxa"/>
            <w:noWrap/>
            <w:hideMark/>
          </w:tcPr>
          <w:p w14:paraId="3521CBB5"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2 188 000</w:t>
            </w:r>
          </w:p>
        </w:tc>
        <w:tc>
          <w:tcPr>
            <w:tcW w:w="999" w:type="dxa"/>
            <w:noWrap/>
            <w:hideMark/>
          </w:tcPr>
          <w:p w14:paraId="6C90BBE3"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91%</w:t>
            </w:r>
          </w:p>
        </w:tc>
        <w:tc>
          <w:tcPr>
            <w:tcW w:w="987" w:type="dxa"/>
            <w:noWrap/>
            <w:hideMark/>
          </w:tcPr>
          <w:p w14:paraId="0784EB3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97%</w:t>
            </w:r>
          </w:p>
        </w:tc>
        <w:tc>
          <w:tcPr>
            <w:tcW w:w="923" w:type="dxa"/>
            <w:noWrap/>
            <w:hideMark/>
          </w:tcPr>
          <w:p w14:paraId="113FE78F"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92%</w:t>
            </w:r>
          </w:p>
        </w:tc>
        <w:tc>
          <w:tcPr>
            <w:tcW w:w="1090" w:type="dxa"/>
            <w:noWrap/>
            <w:hideMark/>
          </w:tcPr>
          <w:p w14:paraId="5BA31F3B"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96%</w:t>
            </w:r>
          </w:p>
        </w:tc>
      </w:tr>
      <w:tr w:rsidR="005139C5" w:rsidRPr="002E06C4" w14:paraId="22C53486"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2E629A04"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Gjykata Kushtetuese</w:t>
            </w:r>
          </w:p>
        </w:tc>
        <w:tc>
          <w:tcPr>
            <w:tcW w:w="1083" w:type="dxa"/>
            <w:noWrap/>
            <w:hideMark/>
          </w:tcPr>
          <w:p w14:paraId="17BB44A0"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128 000</w:t>
            </w:r>
          </w:p>
        </w:tc>
        <w:tc>
          <w:tcPr>
            <w:tcW w:w="1377" w:type="dxa"/>
            <w:noWrap/>
            <w:hideMark/>
          </w:tcPr>
          <w:p w14:paraId="0644784F"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114 055</w:t>
            </w:r>
          </w:p>
        </w:tc>
        <w:tc>
          <w:tcPr>
            <w:tcW w:w="1173" w:type="dxa"/>
            <w:noWrap/>
            <w:hideMark/>
          </w:tcPr>
          <w:p w14:paraId="0BC81B6F"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102 928</w:t>
            </w:r>
          </w:p>
        </w:tc>
        <w:tc>
          <w:tcPr>
            <w:tcW w:w="1275" w:type="dxa"/>
            <w:noWrap/>
            <w:hideMark/>
          </w:tcPr>
          <w:p w14:paraId="16D135A9"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124 000</w:t>
            </w:r>
          </w:p>
        </w:tc>
        <w:tc>
          <w:tcPr>
            <w:tcW w:w="999" w:type="dxa"/>
            <w:noWrap/>
            <w:hideMark/>
          </w:tcPr>
          <w:p w14:paraId="7304610B"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80%</w:t>
            </w:r>
          </w:p>
        </w:tc>
        <w:tc>
          <w:tcPr>
            <w:tcW w:w="987" w:type="dxa"/>
            <w:noWrap/>
            <w:hideMark/>
          </w:tcPr>
          <w:p w14:paraId="0A0BDC3C"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99%</w:t>
            </w:r>
          </w:p>
        </w:tc>
        <w:tc>
          <w:tcPr>
            <w:tcW w:w="923" w:type="dxa"/>
            <w:noWrap/>
            <w:hideMark/>
          </w:tcPr>
          <w:p w14:paraId="040C9961"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80%</w:t>
            </w:r>
          </w:p>
        </w:tc>
        <w:tc>
          <w:tcPr>
            <w:tcW w:w="1090" w:type="dxa"/>
            <w:noWrap/>
            <w:hideMark/>
          </w:tcPr>
          <w:p w14:paraId="7264DED3"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83%</w:t>
            </w:r>
          </w:p>
        </w:tc>
      </w:tr>
      <w:tr w:rsidR="005139C5" w:rsidRPr="002E06C4" w14:paraId="606BE91B"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027CB381"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Fondi i Zhvillimit Shqipetar</w:t>
            </w:r>
          </w:p>
        </w:tc>
        <w:tc>
          <w:tcPr>
            <w:tcW w:w="1083" w:type="dxa"/>
            <w:noWrap/>
            <w:hideMark/>
          </w:tcPr>
          <w:p w14:paraId="04FEFF88"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16 738 000</w:t>
            </w:r>
          </w:p>
        </w:tc>
        <w:tc>
          <w:tcPr>
            <w:tcW w:w="1377" w:type="dxa"/>
            <w:noWrap/>
            <w:hideMark/>
          </w:tcPr>
          <w:p w14:paraId="459DC991"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16 452 868</w:t>
            </w:r>
          </w:p>
        </w:tc>
        <w:tc>
          <w:tcPr>
            <w:tcW w:w="1173" w:type="dxa"/>
            <w:noWrap/>
            <w:hideMark/>
          </w:tcPr>
          <w:p w14:paraId="514AA33F"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16 059 765</w:t>
            </w:r>
          </w:p>
        </w:tc>
        <w:tc>
          <w:tcPr>
            <w:tcW w:w="1275" w:type="dxa"/>
            <w:noWrap/>
            <w:hideMark/>
          </w:tcPr>
          <w:p w14:paraId="376581CD"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18 050 000</w:t>
            </w:r>
          </w:p>
        </w:tc>
        <w:tc>
          <w:tcPr>
            <w:tcW w:w="999" w:type="dxa"/>
            <w:noWrap/>
            <w:hideMark/>
          </w:tcPr>
          <w:p w14:paraId="4C316E1D"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#DIV/0!</w:t>
            </w:r>
          </w:p>
        </w:tc>
        <w:tc>
          <w:tcPr>
            <w:tcW w:w="987" w:type="dxa"/>
            <w:noWrap/>
            <w:hideMark/>
          </w:tcPr>
          <w:p w14:paraId="1F5A23CE"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96%</w:t>
            </w:r>
          </w:p>
        </w:tc>
        <w:tc>
          <w:tcPr>
            <w:tcW w:w="923" w:type="dxa"/>
            <w:noWrap/>
            <w:hideMark/>
          </w:tcPr>
          <w:p w14:paraId="601C646F"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96%</w:t>
            </w:r>
          </w:p>
        </w:tc>
        <w:tc>
          <w:tcPr>
            <w:tcW w:w="1090" w:type="dxa"/>
            <w:noWrap/>
            <w:hideMark/>
          </w:tcPr>
          <w:p w14:paraId="3C45E4EB"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89%</w:t>
            </w:r>
          </w:p>
        </w:tc>
      </w:tr>
      <w:tr w:rsidR="005139C5" w:rsidRPr="002E06C4" w14:paraId="0936530C" w14:textId="77777777" w:rsidTr="001F256B">
        <w:trPr>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26DA9391"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Veprimtaria e Mbikqyrjes dhe Rivleresimit ne sistemin e Drejtesise</w:t>
            </w:r>
          </w:p>
        </w:tc>
        <w:tc>
          <w:tcPr>
            <w:tcW w:w="1083" w:type="dxa"/>
            <w:noWrap/>
            <w:hideMark/>
          </w:tcPr>
          <w:p w14:paraId="2A5BE497"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513 400</w:t>
            </w:r>
          </w:p>
        </w:tc>
        <w:tc>
          <w:tcPr>
            <w:tcW w:w="1377" w:type="dxa"/>
            <w:noWrap/>
            <w:hideMark/>
          </w:tcPr>
          <w:p w14:paraId="225D3033"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401 059</w:t>
            </w:r>
          </w:p>
        </w:tc>
        <w:tc>
          <w:tcPr>
            <w:tcW w:w="1173" w:type="dxa"/>
            <w:noWrap/>
            <w:hideMark/>
          </w:tcPr>
          <w:p w14:paraId="6C0EE8F8"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376 994</w:t>
            </w:r>
          </w:p>
        </w:tc>
        <w:tc>
          <w:tcPr>
            <w:tcW w:w="1275" w:type="dxa"/>
            <w:noWrap/>
            <w:hideMark/>
          </w:tcPr>
          <w:p w14:paraId="130C6723"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93 000</w:t>
            </w:r>
          </w:p>
        </w:tc>
        <w:tc>
          <w:tcPr>
            <w:tcW w:w="999" w:type="dxa"/>
            <w:noWrap/>
            <w:hideMark/>
          </w:tcPr>
          <w:p w14:paraId="5DDD52B3"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77%</w:t>
            </w:r>
          </w:p>
        </w:tc>
        <w:tc>
          <w:tcPr>
            <w:tcW w:w="987" w:type="dxa"/>
            <w:noWrap/>
            <w:hideMark/>
          </w:tcPr>
          <w:p w14:paraId="0EBA8495"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41%</w:t>
            </w:r>
          </w:p>
        </w:tc>
        <w:tc>
          <w:tcPr>
            <w:tcW w:w="923" w:type="dxa"/>
            <w:noWrap/>
            <w:hideMark/>
          </w:tcPr>
          <w:p w14:paraId="247CFCA8"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73%</w:t>
            </w:r>
          </w:p>
        </w:tc>
        <w:tc>
          <w:tcPr>
            <w:tcW w:w="1090" w:type="dxa"/>
            <w:noWrap/>
            <w:hideMark/>
          </w:tcPr>
          <w:p w14:paraId="69F5792B" w14:textId="77777777" w:rsidR="005139C5" w:rsidRPr="002E06C4" w:rsidRDefault="005139C5" w:rsidP="008049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405%</w:t>
            </w:r>
          </w:p>
        </w:tc>
      </w:tr>
      <w:tr w:rsidR="005139C5" w:rsidRPr="002E06C4" w14:paraId="3CE1F6C2" w14:textId="77777777" w:rsidTr="001F256B">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483" w:type="dxa"/>
            <w:hideMark/>
          </w:tcPr>
          <w:p w14:paraId="041CA078" w14:textId="77777777" w:rsidR="005139C5" w:rsidRPr="002E06C4" w:rsidRDefault="005139C5" w:rsidP="0080499B">
            <w:pPr>
              <w:rPr>
                <w:rFonts w:asciiTheme="majorHAnsi" w:eastAsia="Times New Roman" w:hAnsiTheme="majorHAnsi" w:cstheme="majorHAnsi"/>
                <w:sz w:val="16"/>
                <w:szCs w:val="16"/>
                <w:lang w:val="sq-AL"/>
              </w:rPr>
            </w:pPr>
            <w:r w:rsidRPr="002E06C4">
              <w:rPr>
                <w:rFonts w:asciiTheme="majorHAnsi" w:eastAsia="Times New Roman" w:hAnsiTheme="majorHAnsi" w:cstheme="majorHAnsi"/>
                <w:sz w:val="16"/>
                <w:szCs w:val="16"/>
                <w:lang w:val="sq-AL"/>
              </w:rPr>
              <w:t>Institucione te tjera Qeveritare</w:t>
            </w:r>
          </w:p>
        </w:tc>
        <w:tc>
          <w:tcPr>
            <w:tcW w:w="1083" w:type="dxa"/>
            <w:noWrap/>
            <w:hideMark/>
          </w:tcPr>
          <w:p w14:paraId="5944DC68"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4 030 974</w:t>
            </w:r>
          </w:p>
        </w:tc>
        <w:tc>
          <w:tcPr>
            <w:tcW w:w="1377" w:type="dxa"/>
            <w:noWrap/>
            <w:hideMark/>
          </w:tcPr>
          <w:p w14:paraId="41C86031"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4 745 803</w:t>
            </w:r>
          </w:p>
        </w:tc>
        <w:tc>
          <w:tcPr>
            <w:tcW w:w="1173" w:type="dxa"/>
            <w:noWrap/>
            <w:hideMark/>
          </w:tcPr>
          <w:p w14:paraId="3F1F0C8C"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4 340 276</w:t>
            </w:r>
          </w:p>
        </w:tc>
        <w:tc>
          <w:tcPr>
            <w:tcW w:w="1275" w:type="dxa"/>
            <w:noWrap/>
            <w:hideMark/>
          </w:tcPr>
          <w:p w14:paraId="25311B0C"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2060"/>
                <w:sz w:val="16"/>
                <w:szCs w:val="16"/>
                <w:lang w:val="sq-AL"/>
              </w:rPr>
            </w:pPr>
            <w:r w:rsidRPr="002E06C4">
              <w:rPr>
                <w:rFonts w:asciiTheme="majorHAnsi" w:hAnsiTheme="majorHAnsi" w:cstheme="majorHAnsi"/>
                <w:color w:val="002060"/>
                <w:sz w:val="16"/>
                <w:szCs w:val="16"/>
                <w:lang w:val="sq-AL"/>
              </w:rPr>
              <w:t>3 473 405</w:t>
            </w:r>
          </w:p>
        </w:tc>
        <w:tc>
          <w:tcPr>
            <w:tcW w:w="999" w:type="dxa"/>
            <w:noWrap/>
            <w:hideMark/>
          </w:tcPr>
          <w:p w14:paraId="67E75A12"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113%</w:t>
            </w:r>
          </w:p>
        </w:tc>
        <w:tc>
          <w:tcPr>
            <w:tcW w:w="987" w:type="dxa"/>
            <w:noWrap/>
            <w:hideMark/>
          </w:tcPr>
          <w:p w14:paraId="31776604"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96%</w:t>
            </w:r>
          </w:p>
        </w:tc>
        <w:tc>
          <w:tcPr>
            <w:tcW w:w="923" w:type="dxa"/>
            <w:noWrap/>
            <w:hideMark/>
          </w:tcPr>
          <w:p w14:paraId="4C917C7F"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108%</w:t>
            </w:r>
          </w:p>
        </w:tc>
        <w:tc>
          <w:tcPr>
            <w:tcW w:w="1090" w:type="dxa"/>
            <w:noWrap/>
            <w:hideMark/>
          </w:tcPr>
          <w:p w14:paraId="0461F433" w14:textId="77777777" w:rsidR="005139C5" w:rsidRPr="002E06C4" w:rsidRDefault="005139C5" w:rsidP="008049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lang w:val="sq-AL"/>
              </w:rPr>
            </w:pPr>
            <w:r w:rsidRPr="002E06C4">
              <w:rPr>
                <w:rFonts w:asciiTheme="majorHAnsi" w:eastAsia="Times New Roman" w:hAnsiTheme="majorHAnsi" w:cstheme="majorHAnsi"/>
                <w:color w:val="000000"/>
                <w:sz w:val="16"/>
                <w:szCs w:val="16"/>
                <w:lang w:val="sq-AL"/>
              </w:rPr>
              <w:t>125%</w:t>
            </w:r>
          </w:p>
        </w:tc>
      </w:tr>
    </w:tbl>
    <w:p w14:paraId="43C44D17" w14:textId="77777777" w:rsidR="001F256B" w:rsidRPr="002E06C4" w:rsidRDefault="001F256B" w:rsidP="001F256B">
      <w:pPr>
        <w:pStyle w:val="Caption"/>
        <w:keepNext/>
        <w:spacing w:after="0"/>
        <w:rPr>
          <w:rFonts w:asciiTheme="majorHAnsi" w:hAnsiTheme="majorHAnsi" w:cs="Times New Roman"/>
          <w:i w:val="0"/>
          <w:iCs w:val="0"/>
          <w:color w:val="000000"/>
          <w:sz w:val="8"/>
          <w:szCs w:val="8"/>
          <w:lang w:val="sq-AL"/>
        </w:rPr>
      </w:pPr>
      <w:bookmarkStart w:id="143" w:name="_Toc10721431"/>
    </w:p>
    <w:p w14:paraId="5CCE3250" w14:textId="77777777" w:rsidR="001F256B" w:rsidRPr="002E06C4" w:rsidRDefault="001F256B" w:rsidP="001F256B">
      <w:pPr>
        <w:rPr>
          <w:lang w:val="sq-AL"/>
        </w:rPr>
      </w:pPr>
    </w:p>
    <w:p w14:paraId="6D6D016C" w14:textId="77777777" w:rsidR="005139C5" w:rsidRPr="002E06C4" w:rsidRDefault="005139C5" w:rsidP="005139C5">
      <w:pPr>
        <w:pStyle w:val="Heading3"/>
        <w:numPr>
          <w:ilvl w:val="2"/>
          <w:numId w:val="4"/>
        </w:numPr>
        <w:spacing w:after="240"/>
        <w:rPr>
          <w:rFonts w:cs="Times New Roman"/>
          <w:b/>
          <w:lang w:val="sq-AL"/>
        </w:rPr>
      </w:pPr>
      <w:bookmarkStart w:id="144" w:name="_Toc11134225"/>
      <w:r w:rsidRPr="002E06C4">
        <w:rPr>
          <w:rFonts w:cs="Times New Roman"/>
          <w:b/>
          <w:lang w:val="sq-AL"/>
        </w:rPr>
        <w:lastRenderedPageBreak/>
        <w:t>Shëndetësia dhe Mbrojtja Sociale</w:t>
      </w:r>
      <w:bookmarkEnd w:id="141"/>
      <w:bookmarkEnd w:id="143"/>
      <w:bookmarkEnd w:id="144"/>
    </w:p>
    <w:p w14:paraId="09DC8EB0" w14:textId="77777777" w:rsidR="005139C5" w:rsidRPr="002E06C4" w:rsidRDefault="005139C5" w:rsidP="005139C5">
      <w:pPr>
        <w:pStyle w:val="Caption"/>
        <w:keepNext/>
        <w:rPr>
          <w:rFonts w:asciiTheme="majorHAnsi" w:hAnsiTheme="majorHAnsi" w:cs="Times New Roman"/>
          <w:i w:val="0"/>
          <w:iCs w:val="0"/>
          <w:color w:val="000000"/>
          <w:sz w:val="24"/>
          <w:szCs w:val="24"/>
          <w:lang w:val="sq-AL"/>
        </w:rPr>
      </w:pPr>
      <w:r w:rsidRPr="002E06C4">
        <w:rPr>
          <w:rFonts w:asciiTheme="majorHAnsi" w:hAnsiTheme="majorHAnsi" w:cs="Times New Roman"/>
          <w:i w:val="0"/>
          <w:iCs w:val="0"/>
          <w:color w:val="000000"/>
          <w:sz w:val="24"/>
          <w:szCs w:val="24"/>
          <w:lang w:val="sq-AL"/>
        </w:rPr>
        <w:t>Në përputhje me drejtimet kryesore të politikës së përgjithshme shtetërore, me fondet buxhetore të miratuara për vitin 2018, performanca e treguesve buxhetorë për këto katër programe kryesore në Ministrinë e Shëndetësisë dhe Mbrojtjes Sociale, paraqitet si më poshtë:</w:t>
      </w:r>
    </w:p>
    <w:p w14:paraId="6D5AB28D" w14:textId="77777777" w:rsidR="006D577E" w:rsidRDefault="006D577E" w:rsidP="006D577E">
      <w:pPr>
        <w:pStyle w:val="Caption"/>
        <w:spacing w:after="0"/>
        <w:rPr>
          <w:rFonts w:asciiTheme="majorHAnsi" w:hAnsiTheme="majorHAnsi" w:cs="Times New Roman"/>
          <w:lang w:val="sq-AL"/>
        </w:rPr>
      </w:pPr>
      <w:bookmarkStart w:id="145" w:name="_Toc11135127"/>
      <w:r>
        <w:t xml:space="preserve">Tabela </w:t>
      </w:r>
      <w:r w:rsidR="003D3813">
        <w:fldChar w:fldCharType="begin"/>
      </w:r>
      <w:r w:rsidR="003D3813">
        <w:instrText xml:space="preserve"> SEQ Tabela \* ARABIC </w:instrText>
      </w:r>
      <w:r w:rsidR="003D3813">
        <w:fldChar w:fldCharType="separate"/>
      </w:r>
      <w:r w:rsidR="006A57F3">
        <w:rPr>
          <w:noProof/>
        </w:rPr>
        <w:t>13</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Realizimi i buxhetit 2018 për Ministrinë e Shë</w:t>
      </w:r>
      <w:r>
        <w:rPr>
          <w:rFonts w:asciiTheme="majorHAnsi" w:hAnsiTheme="majorHAnsi" w:cs="Times New Roman"/>
          <w:lang w:val="sq-AL"/>
        </w:rPr>
        <w:t>ndetësisë dhe Mbrojtjes Sociale</w:t>
      </w:r>
      <w:bookmarkEnd w:id="145"/>
    </w:p>
    <w:p w14:paraId="4B80C967" w14:textId="77777777" w:rsidR="005139C5" w:rsidRPr="002E06C4" w:rsidRDefault="005139C5" w:rsidP="006D577E">
      <w:pPr>
        <w:pStyle w:val="Caption"/>
        <w:spacing w:after="0"/>
        <w:jc w:val="right"/>
        <w:rPr>
          <w:rFonts w:asciiTheme="majorHAnsi" w:hAnsiTheme="majorHAnsi" w:cs="Times New Roman"/>
          <w:i w:val="0"/>
          <w:color w:val="000000"/>
          <w:sz w:val="20"/>
          <w:u w:val="single"/>
          <w:lang w:val="sq-AL"/>
        </w:rPr>
      </w:pPr>
      <w:r w:rsidRPr="002E06C4">
        <w:rPr>
          <w:rFonts w:asciiTheme="majorHAnsi" w:hAnsiTheme="majorHAnsi"/>
          <w:lang w:val="sq-AL"/>
        </w:rPr>
        <w:tab/>
      </w:r>
      <w:r w:rsidRPr="002E06C4">
        <w:rPr>
          <w:rFonts w:asciiTheme="majorHAnsi" w:hAnsiTheme="majorHAnsi" w:cs="Times New Roman"/>
          <w:color w:val="000000"/>
          <w:sz w:val="20"/>
          <w:u w:val="single"/>
          <w:lang w:val="sq-AL"/>
        </w:rPr>
        <w:t>Në mijë lekë</w:t>
      </w:r>
    </w:p>
    <w:tbl>
      <w:tblPr>
        <w:tblStyle w:val="TableGridLight12"/>
        <w:tblW w:w="5528"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firstRow="1" w:lastRow="1" w:firstColumn="1" w:lastColumn="1" w:noHBand="0" w:noVBand="0"/>
      </w:tblPr>
      <w:tblGrid>
        <w:gridCol w:w="603"/>
        <w:gridCol w:w="3413"/>
        <w:gridCol w:w="1184"/>
        <w:gridCol w:w="1279"/>
        <w:gridCol w:w="1360"/>
        <w:gridCol w:w="7"/>
        <w:gridCol w:w="1364"/>
        <w:gridCol w:w="1161"/>
        <w:gridCol w:w="23"/>
        <w:gridCol w:w="1188"/>
      </w:tblGrid>
      <w:tr w:rsidR="005139C5" w:rsidRPr="002E06C4" w14:paraId="766846CD" w14:textId="77777777" w:rsidTr="00130577">
        <w:trPr>
          <w:trHeight w:val="345"/>
          <w:jc w:val="center"/>
        </w:trPr>
        <w:tc>
          <w:tcPr>
            <w:tcW w:w="260" w:type="pct"/>
            <w:vMerge w:val="restart"/>
            <w:shd w:val="clear" w:color="auto" w:fill="auto"/>
          </w:tcPr>
          <w:p w14:paraId="26BB49C3"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p w14:paraId="7A09936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NR</w:t>
            </w:r>
          </w:p>
        </w:tc>
        <w:tc>
          <w:tcPr>
            <w:tcW w:w="1473" w:type="pct"/>
            <w:vMerge w:val="restart"/>
            <w:shd w:val="clear" w:color="auto" w:fill="auto"/>
          </w:tcPr>
          <w:p w14:paraId="5C68E74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p w14:paraId="3F7C86CC"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Emërtimi i Programit</w:t>
            </w:r>
          </w:p>
        </w:tc>
        <w:tc>
          <w:tcPr>
            <w:tcW w:w="1063" w:type="pct"/>
            <w:gridSpan w:val="2"/>
            <w:shd w:val="clear" w:color="auto" w:fill="auto"/>
          </w:tcPr>
          <w:p w14:paraId="274C2650" w14:textId="77777777" w:rsidR="005139C5" w:rsidRPr="002E06C4" w:rsidRDefault="005139C5" w:rsidP="0080499B">
            <w:pPr>
              <w:shd w:val="clear" w:color="auto" w:fill="FFFFFF" w:themeFill="background1"/>
              <w:spacing w:line="276" w:lineRule="auto"/>
              <w:ind w:left="80"/>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Plani 2018</w:t>
            </w:r>
          </w:p>
        </w:tc>
        <w:tc>
          <w:tcPr>
            <w:tcW w:w="1179" w:type="pct"/>
            <w:gridSpan w:val="3"/>
            <w:shd w:val="clear" w:color="auto" w:fill="auto"/>
          </w:tcPr>
          <w:p w14:paraId="2F669B9D"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Fakti 2018</w:t>
            </w:r>
          </w:p>
        </w:tc>
        <w:tc>
          <w:tcPr>
            <w:tcW w:w="1024" w:type="pct"/>
            <w:gridSpan w:val="3"/>
            <w:shd w:val="clear" w:color="auto" w:fill="auto"/>
          </w:tcPr>
          <w:p w14:paraId="0E6C93A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bCs/>
                <w:sz w:val="18"/>
                <w:szCs w:val="24"/>
                <w:lang w:val="sq-AL"/>
              </w:rPr>
              <w:t>Përqindja  e realizimit</w:t>
            </w:r>
          </w:p>
        </w:tc>
      </w:tr>
      <w:tr w:rsidR="005139C5" w:rsidRPr="002E06C4" w14:paraId="4642C69C" w14:textId="77777777" w:rsidTr="00130577">
        <w:trPr>
          <w:trHeight w:val="179"/>
          <w:jc w:val="center"/>
        </w:trPr>
        <w:tc>
          <w:tcPr>
            <w:tcW w:w="260" w:type="pct"/>
            <w:vMerge/>
            <w:shd w:val="clear" w:color="auto" w:fill="auto"/>
          </w:tcPr>
          <w:p w14:paraId="197112F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1473" w:type="pct"/>
            <w:vMerge/>
            <w:shd w:val="clear" w:color="auto" w:fill="auto"/>
          </w:tcPr>
          <w:p w14:paraId="21F18E8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511" w:type="pct"/>
            <w:shd w:val="clear" w:color="auto" w:fill="auto"/>
          </w:tcPr>
          <w:p w14:paraId="4AF5DA76" w14:textId="77777777" w:rsidR="005139C5" w:rsidRPr="002E06C4" w:rsidRDefault="005139C5" w:rsidP="0080499B">
            <w:pPr>
              <w:shd w:val="clear" w:color="auto" w:fill="FFFFFF" w:themeFill="background1"/>
              <w:spacing w:line="276" w:lineRule="auto"/>
              <w:ind w:left="80"/>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552" w:type="pct"/>
            <w:shd w:val="clear" w:color="auto" w:fill="auto"/>
          </w:tcPr>
          <w:p w14:paraId="54CABFA7" w14:textId="77777777" w:rsidR="005139C5" w:rsidRPr="002E06C4" w:rsidRDefault="005139C5" w:rsidP="0080499B">
            <w:pPr>
              <w:shd w:val="clear" w:color="auto" w:fill="FFFFFF" w:themeFill="background1"/>
              <w:spacing w:line="276" w:lineRule="auto"/>
              <w:ind w:left="80"/>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c>
          <w:tcPr>
            <w:tcW w:w="587" w:type="pct"/>
            <w:shd w:val="clear" w:color="auto" w:fill="auto"/>
          </w:tcPr>
          <w:p w14:paraId="01273AE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592" w:type="pct"/>
            <w:gridSpan w:val="2"/>
            <w:shd w:val="clear" w:color="auto" w:fill="auto"/>
          </w:tcPr>
          <w:p w14:paraId="590B12C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c>
          <w:tcPr>
            <w:tcW w:w="501" w:type="pct"/>
            <w:shd w:val="clear" w:color="auto" w:fill="auto"/>
          </w:tcPr>
          <w:p w14:paraId="18DBF686"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523" w:type="pct"/>
            <w:gridSpan w:val="2"/>
            <w:shd w:val="clear" w:color="auto" w:fill="auto"/>
          </w:tcPr>
          <w:p w14:paraId="498D214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r>
      <w:tr w:rsidR="005139C5" w:rsidRPr="002E06C4" w14:paraId="3CBCB9BC" w14:textId="77777777" w:rsidTr="00130577">
        <w:trPr>
          <w:trHeight w:val="362"/>
          <w:jc w:val="center"/>
        </w:trPr>
        <w:tc>
          <w:tcPr>
            <w:tcW w:w="260" w:type="pct"/>
            <w:shd w:val="clear" w:color="auto" w:fill="auto"/>
          </w:tcPr>
          <w:p w14:paraId="0ACA2764"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w:t>
            </w:r>
          </w:p>
        </w:tc>
        <w:tc>
          <w:tcPr>
            <w:tcW w:w="1473" w:type="pct"/>
            <w:shd w:val="clear" w:color="auto" w:fill="auto"/>
          </w:tcPr>
          <w:p w14:paraId="0855DD35" w14:textId="77777777" w:rsidR="005139C5" w:rsidRPr="002E06C4" w:rsidRDefault="005139C5" w:rsidP="0080499B">
            <w:pPr>
              <w:shd w:val="clear" w:color="auto" w:fill="FFFFFF" w:themeFill="background1"/>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Shërbime të Kujdesit Shëndetësor Parësor</w:t>
            </w:r>
          </w:p>
        </w:tc>
        <w:tc>
          <w:tcPr>
            <w:tcW w:w="511" w:type="pct"/>
            <w:shd w:val="clear" w:color="auto" w:fill="auto"/>
          </w:tcPr>
          <w:p w14:paraId="6113DE5E"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7,725,360</w:t>
            </w:r>
          </w:p>
        </w:tc>
        <w:tc>
          <w:tcPr>
            <w:tcW w:w="552" w:type="pct"/>
            <w:shd w:val="clear" w:color="auto" w:fill="auto"/>
          </w:tcPr>
          <w:p w14:paraId="5246AB1E"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795,029</w:t>
            </w:r>
          </w:p>
        </w:tc>
        <w:tc>
          <w:tcPr>
            <w:tcW w:w="590" w:type="pct"/>
            <w:gridSpan w:val="2"/>
            <w:shd w:val="clear" w:color="auto" w:fill="auto"/>
          </w:tcPr>
          <w:p w14:paraId="7C1F781C"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7,715,993</w:t>
            </w:r>
          </w:p>
        </w:tc>
        <w:tc>
          <w:tcPr>
            <w:tcW w:w="589" w:type="pct"/>
            <w:shd w:val="clear" w:color="auto" w:fill="auto"/>
          </w:tcPr>
          <w:p w14:paraId="5E4FBEA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1,005,589</w:t>
            </w:r>
          </w:p>
        </w:tc>
        <w:tc>
          <w:tcPr>
            <w:tcW w:w="511" w:type="pct"/>
            <w:gridSpan w:val="2"/>
            <w:shd w:val="clear" w:color="auto" w:fill="auto"/>
          </w:tcPr>
          <w:p w14:paraId="34532ACC"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99.8 %</w:t>
            </w:r>
          </w:p>
        </w:tc>
        <w:tc>
          <w:tcPr>
            <w:tcW w:w="513" w:type="pct"/>
            <w:shd w:val="clear" w:color="auto" w:fill="auto"/>
          </w:tcPr>
          <w:p w14:paraId="759DAB2C"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126%</w:t>
            </w:r>
          </w:p>
        </w:tc>
      </w:tr>
      <w:tr w:rsidR="005139C5" w:rsidRPr="002E06C4" w14:paraId="31A934F2" w14:textId="77777777" w:rsidTr="00130577">
        <w:trPr>
          <w:trHeight w:val="327"/>
          <w:jc w:val="center"/>
        </w:trPr>
        <w:tc>
          <w:tcPr>
            <w:tcW w:w="260" w:type="pct"/>
            <w:shd w:val="clear" w:color="auto" w:fill="auto"/>
          </w:tcPr>
          <w:p w14:paraId="2F2E39CA"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p>
        </w:tc>
        <w:tc>
          <w:tcPr>
            <w:tcW w:w="1473" w:type="pct"/>
            <w:shd w:val="clear" w:color="auto" w:fill="auto"/>
          </w:tcPr>
          <w:p w14:paraId="1B6BC1B8" w14:textId="77777777" w:rsidR="005139C5" w:rsidRPr="002E06C4" w:rsidRDefault="005139C5" w:rsidP="0080499B">
            <w:pPr>
              <w:shd w:val="clear" w:color="auto" w:fill="FFFFFF" w:themeFill="background1"/>
              <w:spacing w:line="276" w:lineRule="auto"/>
              <w:ind w:left="60"/>
              <w:contextualSpacing/>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Financimi i huaj</w:t>
            </w:r>
          </w:p>
        </w:tc>
        <w:tc>
          <w:tcPr>
            <w:tcW w:w="511" w:type="pct"/>
            <w:shd w:val="clear" w:color="auto" w:fill="auto"/>
          </w:tcPr>
          <w:p w14:paraId="0FF36053"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p>
        </w:tc>
        <w:tc>
          <w:tcPr>
            <w:tcW w:w="552" w:type="pct"/>
            <w:shd w:val="clear" w:color="auto" w:fill="auto"/>
          </w:tcPr>
          <w:p w14:paraId="06C317A3"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438,600</w:t>
            </w:r>
          </w:p>
        </w:tc>
        <w:tc>
          <w:tcPr>
            <w:tcW w:w="590" w:type="pct"/>
            <w:gridSpan w:val="2"/>
            <w:shd w:val="clear" w:color="auto" w:fill="auto"/>
          </w:tcPr>
          <w:p w14:paraId="056E86A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p>
        </w:tc>
        <w:tc>
          <w:tcPr>
            <w:tcW w:w="589" w:type="pct"/>
            <w:shd w:val="clear" w:color="auto" w:fill="auto"/>
          </w:tcPr>
          <w:p w14:paraId="7C2FB416"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657,667</w:t>
            </w:r>
          </w:p>
        </w:tc>
        <w:tc>
          <w:tcPr>
            <w:tcW w:w="511" w:type="pct"/>
            <w:gridSpan w:val="2"/>
            <w:shd w:val="clear" w:color="auto" w:fill="auto"/>
          </w:tcPr>
          <w:p w14:paraId="4D1CBBE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0</w:t>
            </w:r>
          </w:p>
        </w:tc>
        <w:tc>
          <w:tcPr>
            <w:tcW w:w="513" w:type="pct"/>
            <w:shd w:val="clear" w:color="auto" w:fill="auto"/>
          </w:tcPr>
          <w:p w14:paraId="6260ABBC"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150%</w:t>
            </w:r>
          </w:p>
        </w:tc>
      </w:tr>
      <w:tr w:rsidR="005139C5" w:rsidRPr="002E06C4" w14:paraId="76B3F85A" w14:textId="77777777" w:rsidTr="00130577">
        <w:trPr>
          <w:trHeight w:val="246"/>
          <w:jc w:val="center"/>
        </w:trPr>
        <w:tc>
          <w:tcPr>
            <w:tcW w:w="260" w:type="pct"/>
            <w:shd w:val="clear" w:color="auto" w:fill="auto"/>
          </w:tcPr>
          <w:p w14:paraId="4361061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w:t>
            </w:r>
          </w:p>
        </w:tc>
        <w:tc>
          <w:tcPr>
            <w:tcW w:w="1473" w:type="pct"/>
            <w:shd w:val="clear" w:color="auto" w:fill="auto"/>
          </w:tcPr>
          <w:p w14:paraId="7C33D348" w14:textId="77777777" w:rsidR="005139C5" w:rsidRPr="002E06C4" w:rsidRDefault="005139C5" w:rsidP="0080499B">
            <w:pPr>
              <w:shd w:val="clear" w:color="auto" w:fill="FFFFFF" w:themeFill="background1"/>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Shërbime të Kujdesit Shëndetësor Dytësor</w:t>
            </w:r>
          </w:p>
        </w:tc>
        <w:tc>
          <w:tcPr>
            <w:tcW w:w="511" w:type="pct"/>
            <w:shd w:val="clear" w:color="auto" w:fill="auto"/>
          </w:tcPr>
          <w:p w14:paraId="6B3D681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21,573,438</w:t>
            </w:r>
          </w:p>
        </w:tc>
        <w:tc>
          <w:tcPr>
            <w:tcW w:w="552" w:type="pct"/>
            <w:shd w:val="clear" w:color="auto" w:fill="auto"/>
          </w:tcPr>
          <w:p w14:paraId="2DCE383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2,256,271</w:t>
            </w:r>
          </w:p>
        </w:tc>
        <w:tc>
          <w:tcPr>
            <w:tcW w:w="590" w:type="pct"/>
            <w:gridSpan w:val="2"/>
            <w:shd w:val="clear" w:color="auto" w:fill="auto"/>
          </w:tcPr>
          <w:p w14:paraId="5B4F0F9C"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21,425,130</w:t>
            </w:r>
          </w:p>
        </w:tc>
        <w:tc>
          <w:tcPr>
            <w:tcW w:w="589" w:type="pct"/>
            <w:shd w:val="clear" w:color="auto" w:fill="auto"/>
          </w:tcPr>
          <w:p w14:paraId="0316C30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1,597,604</w:t>
            </w:r>
          </w:p>
        </w:tc>
        <w:tc>
          <w:tcPr>
            <w:tcW w:w="511" w:type="pct"/>
            <w:gridSpan w:val="2"/>
            <w:shd w:val="clear" w:color="auto" w:fill="auto"/>
          </w:tcPr>
          <w:p w14:paraId="1B444726"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w:t>
            </w:r>
          </w:p>
        </w:tc>
        <w:tc>
          <w:tcPr>
            <w:tcW w:w="513" w:type="pct"/>
            <w:shd w:val="clear" w:color="auto" w:fill="auto"/>
          </w:tcPr>
          <w:p w14:paraId="256A365B"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71%</w:t>
            </w:r>
          </w:p>
        </w:tc>
      </w:tr>
      <w:tr w:rsidR="005139C5" w:rsidRPr="002E06C4" w14:paraId="1A257FCE" w14:textId="77777777" w:rsidTr="00130577">
        <w:trPr>
          <w:trHeight w:val="246"/>
          <w:jc w:val="center"/>
        </w:trPr>
        <w:tc>
          <w:tcPr>
            <w:tcW w:w="260" w:type="pct"/>
            <w:shd w:val="clear" w:color="auto" w:fill="auto"/>
          </w:tcPr>
          <w:p w14:paraId="714B96D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1473" w:type="pct"/>
            <w:shd w:val="clear" w:color="auto" w:fill="auto"/>
          </w:tcPr>
          <w:p w14:paraId="7BE6C9F0" w14:textId="77777777" w:rsidR="005139C5" w:rsidRPr="002E06C4" w:rsidRDefault="005139C5" w:rsidP="0080499B">
            <w:pPr>
              <w:shd w:val="clear" w:color="auto" w:fill="FFFFFF" w:themeFill="background1"/>
              <w:spacing w:line="276" w:lineRule="auto"/>
              <w:jc w:val="right"/>
              <w:rPr>
                <w:rFonts w:asciiTheme="majorHAnsi" w:eastAsia="Times New Roman" w:hAnsiTheme="majorHAnsi" w:cs="Times New Roman"/>
                <w:b/>
                <w:sz w:val="18"/>
                <w:szCs w:val="24"/>
                <w:lang w:val="sq-AL"/>
              </w:rPr>
            </w:pPr>
            <w:r w:rsidRPr="002E06C4">
              <w:rPr>
                <w:rFonts w:asciiTheme="majorHAnsi" w:eastAsia="Times New Roman" w:hAnsiTheme="majorHAnsi" w:cs="Times New Roman"/>
                <w:sz w:val="18"/>
                <w:szCs w:val="24"/>
                <w:lang w:val="sq-AL"/>
              </w:rPr>
              <w:t>Financimi i huaj</w:t>
            </w:r>
          </w:p>
        </w:tc>
        <w:tc>
          <w:tcPr>
            <w:tcW w:w="511" w:type="pct"/>
            <w:shd w:val="clear" w:color="auto" w:fill="auto"/>
          </w:tcPr>
          <w:p w14:paraId="5FDDE490"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552" w:type="pct"/>
            <w:shd w:val="clear" w:color="auto" w:fill="auto"/>
          </w:tcPr>
          <w:p w14:paraId="5E964333"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1,380,800</w:t>
            </w:r>
          </w:p>
        </w:tc>
        <w:tc>
          <w:tcPr>
            <w:tcW w:w="590" w:type="pct"/>
            <w:gridSpan w:val="2"/>
            <w:shd w:val="clear" w:color="auto" w:fill="auto"/>
          </w:tcPr>
          <w:p w14:paraId="459CE207"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589" w:type="pct"/>
            <w:shd w:val="clear" w:color="auto" w:fill="auto"/>
          </w:tcPr>
          <w:p w14:paraId="2E9812F7"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736,458</w:t>
            </w:r>
          </w:p>
        </w:tc>
        <w:tc>
          <w:tcPr>
            <w:tcW w:w="511" w:type="pct"/>
            <w:gridSpan w:val="2"/>
            <w:shd w:val="clear" w:color="auto" w:fill="auto"/>
          </w:tcPr>
          <w:p w14:paraId="1B1C6134"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0</w:t>
            </w:r>
          </w:p>
        </w:tc>
        <w:tc>
          <w:tcPr>
            <w:tcW w:w="513" w:type="pct"/>
            <w:shd w:val="clear" w:color="auto" w:fill="auto"/>
          </w:tcPr>
          <w:p w14:paraId="2AC9C8B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53%</w:t>
            </w:r>
          </w:p>
        </w:tc>
      </w:tr>
      <w:tr w:rsidR="005139C5" w:rsidRPr="002E06C4" w14:paraId="19BF417D" w14:textId="77777777" w:rsidTr="00130577">
        <w:trPr>
          <w:trHeight w:val="282"/>
          <w:jc w:val="center"/>
        </w:trPr>
        <w:tc>
          <w:tcPr>
            <w:tcW w:w="260" w:type="pct"/>
            <w:shd w:val="clear" w:color="auto" w:fill="auto"/>
          </w:tcPr>
          <w:p w14:paraId="2BA4B03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3.</w:t>
            </w:r>
          </w:p>
        </w:tc>
        <w:tc>
          <w:tcPr>
            <w:tcW w:w="1473" w:type="pct"/>
            <w:shd w:val="clear" w:color="auto" w:fill="auto"/>
          </w:tcPr>
          <w:p w14:paraId="68091887" w14:textId="77777777" w:rsidR="005139C5" w:rsidRPr="002E06C4" w:rsidRDefault="005139C5" w:rsidP="0080499B">
            <w:pPr>
              <w:shd w:val="clear" w:color="auto" w:fill="FFFFFF" w:themeFill="background1"/>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Shërbime të Shëndetit Publik</w:t>
            </w:r>
          </w:p>
        </w:tc>
        <w:tc>
          <w:tcPr>
            <w:tcW w:w="511" w:type="pct"/>
            <w:shd w:val="clear" w:color="auto" w:fill="auto"/>
          </w:tcPr>
          <w:p w14:paraId="3FFED81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2,809,882</w:t>
            </w:r>
          </w:p>
        </w:tc>
        <w:tc>
          <w:tcPr>
            <w:tcW w:w="552" w:type="pct"/>
            <w:shd w:val="clear" w:color="auto" w:fill="auto"/>
          </w:tcPr>
          <w:p w14:paraId="2EB5F860"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0</w:t>
            </w:r>
          </w:p>
        </w:tc>
        <w:tc>
          <w:tcPr>
            <w:tcW w:w="590" w:type="pct"/>
            <w:gridSpan w:val="2"/>
            <w:shd w:val="clear" w:color="auto" w:fill="auto"/>
          </w:tcPr>
          <w:p w14:paraId="16064FEC"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2,634,977</w:t>
            </w:r>
          </w:p>
        </w:tc>
        <w:tc>
          <w:tcPr>
            <w:tcW w:w="589" w:type="pct"/>
            <w:shd w:val="clear" w:color="auto" w:fill="auto"/>
          </w:tcPr>
          <w:p w14:paraId="0B34CA6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0</w:t>
            </w:r>
          </w:p>
        </w:tc>
        <w:tc>
          <w:tcPr>
            <w:tcW w:w="511" w:type="pct"/>
            <w:gridSpan w:val="2"/>
            <w:shd w:val="clear" w:color="auto" w:fill="auto"/>
          </w:tcPr>
          <w:p w14:paraId="0346B28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94%</w:t>
            </w:r>
          </w:p>
        </w:tc>
        <w:tc>
          <w:tcPr>
            <w:tcW w:w="513" w:type="pct"/>
            <w:shd w:val="clear" w:color="auto" w:fill="auto"/>
          </w:tcPr>
          <w:p w14:paraId="4A3CCE32" w14:textId="77777777" w:rsidR="005139C5" w:rsidRPr="002E06C4" w:rsidRDefault="005139C5" w:rsidP="0080499B">
            <w:pPr>
              <w:shd w:val="clear" w:color="auto" w:fill="FFFFFF" w:themeFill="background1"/>
              <w:spacing w:line="360"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0%</w:t>
            </w:r>
          </w:p>
        </w:tc>
      </w:tr>
      <w:tr w:rsidR="005139C5" w:rsidRPr="002E06C4" w14:paraId="1A36A2DB" w14:textId="77777777" w:rsidTr="00130577">
        <w:trPr>
          <w:trHeight w:val="185"/>
          <w:jc w:val="center"/>
        </w:trPr>
        <w:tc>
          <w:tcPr>
            <w:tcW w:w="260" w:type="pct"/>
            <w:shd w:val="clear" w:color="auto" w:fill="auto"/>
          </w:tcPr>
          <w:p w14:paraId="5940236A"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p>
        </w:tc>
        <w:tc>
          <w:tcPr>
            <w:tcW w:w="1473" w:type="pct"/>
            <w:shd w:val="clear" w:color="auto" w:fill="auto"/>
          </w:tcPr>
          <w:p w14:paraId="0C9B6C88" w14:textId="77777777" w:rsidR="005139C5" w:rsidRPr="002E06C4" w:rsidRDefault="005139C5" w:rsidP="0080499B">
            <w:pPr>
              <w:shd w:val="clear" w:color="auto" w:fill="FFFFFF" w:themeFill="background1"/>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Financimi i huaj</w:t>
            </w:r>
          </w:p>
        </w:tc>
        <w:tc>
          <w:tcPr>
            <w:tcW w:w="511" w:type="pct"/>
            <w:shd w:val="clear" w:color="auto" w:fill="auto"/>
          </w:tcPr>
          <w:p w14:paraId="419F5AC6"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552" w:type="pct"/>
            <w:shd w:val="clear" w:color="auto" w:fill="auto"/>
          </w:tcPr>
          <w:p w14:paraId="196A2EB4"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0</w:t>
            </w:r>
          </w:p>
        </w:tc>
        <w:tc>
          <w:tcPr>
            <w:tcW w:w="590" w:type="pct"/>
            <w:gridSpan w:val="2"/>
            <w:shd w:val="clear" w:color="auto" w:fill="auto"/>
          </w:tcPr>
          <w:p w14:paraId="198E81E4"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589" w:type="pct"/>
            <w:shd w:val="clear" w:color="auto" w:fill="auto"/>
          </w:tcPr>
          <w:p w14:paraId="0B19BAC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0</w:t>
            </w:r>
          </w:p>
        </w:tc>
        <w:tc>
          <w:tcPr>
            <w:tcW w:w="511" w:type="pct"/>
            <w:gridSpan w:val="2"/>
            <w:shd w:val="clear" w:color="auto" w:fill="auto"/>
          </w:tcPr>
          <w:p w14:paraId="751F51E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0</w:t>
            </w:r>
          </w:p>
        </w:tc>
        <w:tc>
          <w:tcPr>
            <w:tcW w:w="513" w:type="pct"/>
            <w:shd w:val="clear" w:color="auto" w:fill="auto"/>
          </w:tcPr>
          <w:p w14:paraId="4D964DE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0%</w:t>
            </w:r>
          </w:p>
        </w:tc>
      </w:tr>
      <w:tr w:rsidR="005139C5" w:rsidRPr="002E06C4" w14:paraId="1692A8FA" w14:textId="77777777" w:rsidTr="00130577">
        <w:trPr>
          <w:trHeight w:val="282"/>
          <w:jc w:val="center"/>
        </w:trPr>
        <w:tc>
          <w:tcPr>
            <w:tcW w:w="260" w:type="pct"/>
            <w:shd w:val="clear" w:color="auto" w:fill="auto"/>
          </w:tcPr>
          <w:p w14:paraId="3D12778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4.</w:t>
            </w:r>
          </w:p>
        </w:tc>
        <w:tc>
          <w:tcPr>
            <w:tcW w:w="1473" w:type="pct"/>
            <w:shd w:val="clear" w:color="auto" w:fill="auto"/>
          </w:tcPr>
          <w:p w14:paraId="0880A3A8" w14:textId="77777777" w:rsidR="005139C5" w:rsidRPr="002E06C4" w:rsidRDefault="005139C5" w:rsidP="0080499B">
            <w:pPr>
              <w:shd w:val="clear" w:color="auto" w:fill="FFFFFF" w:themeFill="background1"/>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Përkujdesi Social</w:t>
            </w:r>
          </w:p>
        </w:tc>
        <w:tc>
          <w:tcPr>
            <w:tcW w:w="511" w:type="pct"/>
            <w:shd w:val="clear" w:color="auto" w:fill="auto"/>
          </w:tcPr>
          <w:p w14:paraId="4A131230"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21.726.281</w:t>
            </w:r>
          </w:p>
        </w:tc>
        <w:tc>
          <w:tcPr>
            <w:tcW w:w="552" w:type="pct"/>
            <w:shd w:val="clear" w:color="auto" w:fill="auto"/>
          </w:tcPr>
          <w:p w14:paraId="58AD9114"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142,950</w:t>
            </w:r>
          </w:p>
        </w:tc>
        <w:tc>
          <w:tcPr>
            <w:tcW w:w="590" w:type="pct"/>
            <w:gridSpan w:val="2"/>
            <w:shd w:val="clear" w:color="auto" w:fill="auto"/>
          </w:tcPr>
          <w:p w14:paraId="15A39DB6"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21.515.157</w:t>
            </w:r>
          </w:p>
        </w:tc>
        <w:tc>
          <w:tcPr>
            <w:tcW w:w="589" w:type="pct"/>
            <w:shd w:val="clear" w:color="auto" w:fill="auto"/>
          </w:tcPr>
          <w:p w14:paraId="40E602BE"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144,347</w:t>
            </w:r>
          </w:p>
        </w:tc>
        <w:tc>
          <w:tcPr>
            <w:tcW w:w="511" w:type="pct"/>
            <w:gridSpan w:val="2"/>
            <w:shd w:val="clear" w:color="auto" w:fill="auto"/>
          </w:tcPr>
          <w:p w14:paraId="530412A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w:t>
            </w:r>
          </w:p>
        </w:tc>
        <w:tc>
          <w:tcPr>
            <w:tcW w:w="513" w:type="pct"/>
            <w:shd w:val="clear" w:color="auto" w:fill="auto"/>
          </w:tcPr>
          <w:p w14:paraId="5E4BA1F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101%</w:t>
            </w:r>
          </w:p>
        </w:tc>
      </w:tr>
      <w:tr w:rsidR="005139C5" w:rsidRPr="002E06C4" w14:paraId="7985FBB8" w14:textId="77777777" w:rsidTr="00130577">
        <w:trPr>
          <w:trHeight w:val="246"/>
          <w:jc w:val="center"/>
        </w:trPr>
        <w:tc>
          <w:tcPr>
            <w:tcW w:w="260" w:type="pct"/>
            <w:shd w:val="clear" w:color="auto" w:fill="auto"/>
          </w:tcPr>
          <w:p w14:paraId="1369438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1473" w:type="pct"/>
            <w:shd w:val="clear" w:color="auto" w:fill="auto"/>
          </w:tcPr>
          <w:p w14:paraId="48508189" w14:textId="77777777" w:rsidR="005139C5" w:rsidRPr="002E06C4" w:rsidRDefault="005139C5" w:rsidP="0080499B">
            <w:pPr>
              <w:shd w:val="clear" w:color="auto" w:fill="FFFFFF" w:themeFill="background1"/>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Financimi i huaj</w:t>
            </w:r>
          </w:p>
        </w:tc>
        <w:tc>
          <w:tcPr>
            <w:tcW w:w="511" w:type="pct"/>
            <w:shd w:val="clear" w:color="auto" w:fill="auto"/>
          </w:tcPr>
          <w:p w14:paraId="53864966"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552" w:type="pct"/>
            <w:shd w:val="clear" w:color="auto" w:fill="auto"/>
          </w:tcPr>
          <w:p w14:paraId="61BAA5B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30,000</w:t>
            </w:r>
          </w:p>
        </w:tc>
        <w:tc>
          <w:tcPr>
            <w:tcW w:w="590" w:type="pct"/>
            <w:gridSpan w:val="2"/>
            <w:shd w:val="clear" w:color="auto" w:fill="auto"/>
          </w:tcPr>
          <w:p w14:paraId="5074719D"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p>
        </w:tc>
        <w:tc>
          <w:tcPr>
            <w:tcW w:w="589" w:type="pct"/>
            <w:shd w:val="clear" w:color="auto" w:fill="auto"/>
          </w:tcPr>
          <w:p w14:paraId="1E3771D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34,612</w:t>
            </w:r>
          </w:p>
        </w:tc>
        <w:tc>
          <w:tcPr>
            <w:tcW w:w="511" w:type="pct"/>
            <w:gridSpan w:val="2"/>
            <w:shd w:val="clear" w:color="auto" w:fill="auto"/>
          </w:tcPr>
          <w:p w14:paraId="5017553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0</w:t>
            </w:r>
          </w:p>
        </w:tc>
        <w:tc>
          <w:tcPr>
            <w:tcW w:w="513" w:type="pct"/>
            <w:shd w:val="clear" w:color="auto" w:fill="auto"/>
          </w:tcPr>
          <w:p w14:paraId="2A2C1DF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116%</w:t>
            </w:r>
          </w:p>
        </w:tc>
      </w:tr>
    </w:tbl>
    <w:p w14:paraId="2416B922" w14:textId="77777777" w:rsidR="005139C5" w:rsidRPr="002E06C4" w:rsidRDefault="005139C5" w:rsidP="005139C5">
      <w:pPr>
        <w:spacing w:line="276" w:lineRule="auto"/>
        <w:jc w:val="both"/>
        <w:rPr>
          <w:rFonts w:asciiTheme="majorHAnsi" w:hAnsiTheme="majorHAnsi" w:cs="Times New Roman"/>
          <w:lang w:val="sq-AL"/>
        </w:rPr>
      </w:pPr>
    </w:p>
    <w:p w14:paraId="16C9076D"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Në programin </w:t>
      </w:r>
      <w:r w:rsidRPr="002E06C4">
        <w:rPr>
          <w:rFonts w:asciiTheme="majorHAnsi" w:eastAsia="Times New Roman" w:hAnsiTheme="majorHAnsi" w:cs="Times New Roman"/>
          <w:b/>
          <w:lang w:val="sq-AL"/>
        </w:rPr>
        <w:t>“Shërbime të Kujdesit Shëndetësor Parësor”</w:t>
      </w:r>
      <w:r w:rsidRPr="002E06C4">
        <w:rPr>
          <w:rFonts w:asciiTheme="majorHAnsi" w:eastAsia="Times New Roman" w:hAnsiTheme="majorHAnsi" w:cs="Times New Roman"/>
          <w:color w:val="000000"/>
          <w:lang w:val="sq-AL"/>
        </w:rPr>
        <w:t xml:space="preserve"> </w:t>
      </w:r>
      <w:r w:rsidRPr="002E06C4">
        <w:rPr>
          <w:rFonts w:asciiTheme="majorHAnsi" w:eastAsia="Times New Roman" w:hAnsiTheme="majorHAnsi" w:cs="Times New Roman"/>
          <w:lang w:val="sq-AL"/>
        </w:rPr>
        <w:t>janë realizuar objektivat e:</w:t>
      </w:r>
    </w:p>
    <w:p w14:paraId="392E8B4F"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Përmirësimit të ofrimit të shërbimit shëndetësor, nëpërmjet zgjerimit të skemës së rimbursimit të medikamenteve për të gjithë popullatën, të siguruar ose jo; </w:t>
      </w:r>
    </w:p>
    <w:p w14:paraId="49A31DB4"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Përmirësimit të shërbimeve parandaluese dhe të diagnostifikimit të hershëm të sëmundjeve, nëpërmjet përfshirjes së kontrollit mjekësor bazë periodik për popullatën; </w:t>
      </w:r>
    </w:p>
    <w:p w14:paraId="11B77196"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Përmirësimit të shërbimeve parandaluese dhe të diagnostifikimit të hershëm të sëmundjeve për popullatën e rregjistruar tek mjeku i familjes, duke përfshirë edhe kujdesin ndaj nënës dhe fëmijës; </w:t>
      </w:r>
    </w:p>
    <w:p w14:paraId="458D503F"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Plotësimin e qendrave shëndetësore me infrastukturën e nevojshme për funksionimin e sistemit të informacionit </w:t>
      </w:r>
    </w:p>
    <w:p w14:paraId="594C6909"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Këto objektiva janë arritur nëpërmjet realizimit të produkteve, si më poshtë:</w:t>
      </w:r>
    </w:p>
    <w:p w14:paraId="63666A8A" w14:textId="77777777" w:rsidR="005139C5" w:rsidRPr="002E06C4" w:rsidRDefault="005139C5" w:rsidP="006C0253">
      <w:pPr>
        <w:numPr>
          <w:ilvl w:val="0"/>
          <w:numId w:val="24"/>
        </w:numPr>
        <w:shd w:val="clear" w:color="auto" w:fill="FFFFFF" w:themeFill="background1"/>
        <w:spacing w:after="120" w:line="276" w:lineRule="auto"/>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“Sigurimi i mbulimit me barna ”, me një kosto faktike prej 3,883 milion lekë nga transferta buxhetit të shtetit dhe 7,387 milion lekë nga të ardhurat e FSDKSH. </w:t>
      </w:r>
    </w:p>
    <w:p w14:paraId="6B121C07" w14:textId="77777777" w:rsidR="005139C5" w:rsidRPr="002E06C4" w:rsidRDefault="005139C5" w:rsidP="006C0253">
      <w:pPr>
        <w:numPr>
          <w:ilvl w:val="0"/>
          <w:numId w:val="24"/>
        </w:numPr>
        <w:shd w:val="clear" w:color="auto" w:fill="FFFFFF" w:themeFill="background1"/>
        <w:spacing w:after="120" w:line="276" w:lineRule="auto"/>
        <w:jc w:val="both"/>
        <w:rPr>
          <w:rFonts w:asciiTheme="majorHAnsi" w:eastAsia="Times New Roman" w:hAnsiTheme="majorHAnsi" w:cs="Times New Roman"/>
          <w:i/>
          <w:u w:val="single"/>
          <w:lang w:val="sq-AL"/>
        </w:rPr>
      </w:pPr>
      <w:r w:rsidRPr="002E06C4">
        <w:rPr>
          <w:rFonts w:asciiTheme="majorHAnsi" w:eastAsia="Times New Roman" w:hAnsiTheme="majorHAnsi" w:cs="Times New Roman"/>
          <w:lang w:val="sq-AL"/>
        </w:rPr>
        <w:t xml:space="preserve">“Mbulimi me kujdesin parësor ”, me një kosto faktike prej 2,879 milion lekë nga transferta e buxhetit të shtetit dhe 4,091 milion lekë nga të ardhurat e FSDKSH dhe kanë realizuar vizita tek mjeku i familjes, gjatë vitit 2018, rreth 6.203.404 pacientë nga 6.400.000 të planifikuara. Funksionoi shërbimi i urgjencës në pikat turistike gjatë sezonit turistik. </w:t>
      </w:r>
    </w:p>
    <w:p w14:paraId="30CA27F6" w14:textId="77777777" w:rsidR="005139C5" w:rsidRPr="002E06C4" w:rsidRDefault="005139C5" w:rsidP="006C0253">
      <w:pPr>
        <w:numPr>
          <w:ilvl w:val="0"/>
          <w:numId w:val="24"/>
        </w:numPr>
        <w:shd w:val="clear" w:color="auto" w:fill="FFFFFF" w:themeFill="background1"/>
        <w:spacing w:after="120" w:line="276" w:lineRule="auto"/>
        <w:jc w:val="both"/>
        <w:rPr>
          <w:rFonts w:asciiTheme="majorHAnsi" w:eastAsia="Times New Roman" w:hAnsiTheme="majorHAnsi" w:cs="Times New Roman"/>
          <w:i/>
          <w:u w:val="single"/>
          <w:lang w:val="sq-AL"/>
        </w:rPr>
      </w:pPr>
      <w:r w:rsidRPr="002E06C4">
        <w:rPr>
          <w:rFonts w:asciiTheme="majorHAnsi" w:eastAsia="Times New Roman" w:hAnsiTheme="majorHAnsi" w:cs="Times New Roman"/>
          <w:lang w:val="sq-AL"/>
        </w:rPr>
        <w:t xml:space="preserve">“Kryerja e Chek-Up”, ku gjatë vitit 2018 kanë kryer chek-up rreth 475 mijë  pacientë me nje kosto faktike prej 876 milion lekë. </w:t>
      </w:r>
    </w:p>
    <w:p w14:paraId="566BE61A"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Në programin</w:t>
      </w:r>
      <w:r w:rsidRPr="002E06C4">
        <w:rPr>
          <w:rFonts w:asciiTheme="majorHAnsi" w:eastAsia="Times New Roman" w:hAnsiTheme="majorHAnsi" w:cs="Times New Roman"/>
          <w:b/>
          <w:lang w:val="sq-AL"/>
        </w:rPr>
        <w:t xml:space="preserve"> “Shërbime të Kujdesit Shëndetësor Dytësor”</w:t>
      </w:r>
      <w:r w:rsidRPr="002E06C4">
        <w:rPr>
          <w:rFonts w:asciiTheme="majorHAnsi" w:eastAsia="Times New Roman" w:hAnsiTheme="majorHAnsi" w:cs="Times New Roman"/>
          <w:color w:val="000000"/>
          <w:lang w:val="sq-AL"/>
        </w:rPr>
        <w:t xml:space="preserve"> </w:t>
      </w:r>
      <w:r w:rsidRPr="002E06C4">
        <w:rPr>
          <w:rFonts w:asciiTheme="majorHAnsi" w:eastAsia="Times New Roman" w:hAnsiTheme="majorHAnsi" w:cs="Times New Roman"/>
          <w:lang w:val="sq-AL"/>
        </w:rPr>
        <w:t>janë realizuar objektivat e:</w:t>
      </w:r>
    </w:p>
    <w:p w14:paraId="04675634" w14:textId="77777777" w:rsidR="005139C5" w:rsidRPr="002E06C4" w:rsidRDefault="005139C5" w:rsidP="006C0253">
      <w:pPr>
        <w:numPr>
          <w:ilvl w:val="0"/>
          <w:numId w:val="23"/>
        </w:numPr>
        <w:shd w:val="clear" w:color="auto" w:fill="FFFFFF" w:themeFill="background1"/>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Mbulimit të popullatës me kujdes mjekësor spitalor;</w:t>
      </w:r>
    </w:p>
    <w:p w14:paraId="0B62CBCE" w14:textId="77777777" w:rsidR="005139C5" w:rsidRPr="002E06C4" w:rsidRDefault="005139C5" w:rsidP="006C0253">
      <w:pPr>
        <w:numPr>
          <w:ilvl w:val="0"/>
          <w:numId w:val="23"/>
        </w:numPr>
        <w:shd w:val="clear" w:color="auto" w:fill="FFFFFF" w:themeFill="background1"/>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Rritja e efektshmërisë në dhënien e shërbimit spitalor nëpërmjet uljes së kohës së pritjes së pacientëve që kanë nevojë për shërbim spitalor të 10 paketave të shërbimeve në spitalet publike e private. </w:t>
      </w:r>
    </w:p>
    <w:p w14:paraId="6831592D" w14:textId="77777777" w:rsidR="005139C5" w:rsidRPr="002E06C4" w:rsidRDefault="005139C5" w:rsidP="006C0253">
      <w:pPr>
        <w:numPr>
          <w:ilvl w:val="0"/>
          <w:numId w:val="23"/>
        </w:numPr>
        <w:shd w:val="clear" w:color="auto" w:fill="FFFFFF" w:themeFill="background1"/>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lastRenderedPageBreak/>
        <w:t>Rritja e sigurisë së shërbimit të rregjistrimit dhe kontrollit të barnave dhe materialeve mjekësore;</w:t>
      </w:r>
    </w:p>
    <w:p w14:paraId="48370E28" w14:textId="77777777" w:rsidR="005139C5" w:rsidRPr="002E06C4" w:rsidRDefault="005139C5" w:rsidP="006C0253">
      <w:pPr>
        <w:numPr>
          <w:ilvl w:val="0"/>
          <w:numId w:val="23"/>
        </w:numPr>
        <w:shd w:val="clear" w:color="auto" w:fill="FFFFFF" w:themeFill="background1"/>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Rritja e aksesit të pacientëve për shërbimin e dializës, nëpërmjet ofrimit në qendra të reja; </w:t>
      </w:r>
    </w:p>
    <w:p w14:paraId="0326E336" w14:textId="77777777" w:rsidR="005139C5" w:rsidRPr="002E06C4" w:rsidRDefault="005139C5" w:rsidP="006C0253">
      <w:pPr>
        <w:numPr>
          <w:ilvl w:val="0"/>
          <w:numId w:val="23"/>
        </w:numPr>
        <w:shd w:val="clear" w:color="auto" w:fill="FFFFFF" w:themeFill="background1"/>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Plotësimin e nevojave të spitaleve me infrastrukturë ndërtimore, </w:t>
      </w:r>
    </w:p>
    <w:p w14:paraId="05E73775"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Këto objektiva janë realizuar nëpërmjet  produkteve, performanca e të cilave për vitin 2018, është realizuar, si më poshtë:</w:t>
      </w:r>
    </w:p>
    <w:p w14:paraId="124736C3"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“Trajtimi i pacientëve të shtruar në spitale”, ku janë shtruar 292.822 pacientë me një kosto faktike, prej 16,480 milion lekë. </w:t>
      </w:r>
    </w:p>
    <w:p w14:paraId="510C843C"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“Pacientë të trajtuar nga paketat spitalore”, ku janë trajtuar 6 893 pacientë, me një kosto faktike, prej 1,578 milion lekë; </w:t>
      </w:r>
    </w:p>
    <w:p w14:paraId="6839E599"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“Trajtimi i pacientëve në spitalet psikiatrike”, ku janë trajtuar 1 347 pacientë, me një kosto faktike, prej 678 milion lekë, nga 1450  pacientë të planifikuar me një kosto 730 milion lekë.</w:t>
      </w:r>
    </w:p>
    <w:p w14:paraId="102A010B"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“Pacientë të trajtuar me dializë”, ku janë trajtuar 1 250 pacientë me një kosto faktike, prej 2,1 milion lekë, duke rritur aksesin e pacientëve për shërbimin e dializës nëpërmjet ofrimit në 5 qendra të reja.</w:t>
      </w:r>
    </w:p>
    <w:p w14:paraId="3676AA09"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 “Ndërtimi i maternitetit të ri në Sarandë”, me një kosto faktike prej 94 milion lekë</w:t>
      </w:r>
    </w:p>
    <w:p w14:paraId="0165E71A"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 “Blerje pajisje mjeksore për shërbimin spitalor”, me një kosto faktike prej 181.4 milion lekë</w:t>
      </w:r>
    </w:p>
    <w:p w14:paraId="3D5F7D07"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“Barna dhe pajisje mjeksore të rregjistruara” me një kosto faktike , prej 113 milion lekë</w:t>
      </w:r>
    </w:p>
    <w:p w14:paraId="134C524F" w14:textId="77777777" w:rsidR="005139C5" w:rsidRPr="002E06C4" w:rsidRDefault="005139C5" w:rsidP="005139C5">
      <w:pPr>
        <w:shd w:val="clear" w:color="auto" w:fill="FFFFFF" w:themeFill="background1"/>
        <w:spacing w:before="240"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Në programin</w:t>
      </w:r>
      <w:r w:rsidRPr="002E06C4">
        <w:rPr>
          <w:rFonts w:asciiTheme="majorHAnsi" w:eastAsia="Times New Roman" w:hAnsiTheme="majorHAnsi" w:cs="Times New Roman"/>
          <w:b/>
          <w:lang w:val="sq-AL"/>
        </w:rPr>
        <w:t xml:space="preserve"> “Shërbime të Shëndetit Publik”</w:t>
      </w:r>
      <w:r w:rsidRPr="002E06C4">
        <w:rPr>
          <w:rFonts w:asciiTheme="majorHAnsi" w:eastAsia="Times New Roman" w:hAnsiTheme="majorHAnsi" w:cs="Times New Roman"/>
          <w:lang w:val="sq-AL"/>
        </w:rPr>
        <w:t xml:space="preserve"> janë realizuar objektivat e:</w:t>
      </w:r>
    </w:p>
    <w:p w14:paraId="71FE5AB1"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Sigurimit të qëndrueshmërisë së mbulesës vaksinare, për vaksinat e kalendarit të vaksinimit; </w:t>
      </w:r>
    </w:p>
    <w:p w14:paraId="45EA28C5"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Reduktimit të numrit të shpërthimeve epidemike me burim ndotjen e ujit;  </w:t>
      </w:r>
    </w:p>
    <w:p w14:paraId="432AD9C5"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Rritjes së përputhshmërisë ligjore dhe ndëshkimin e parregullsive të evidentuara nëpërmjet sigurimit të kryerjes së inspektime shëndetësore; </w:t>
      </w:r>
    </w:p>
    <w:p w14:paraId="5DF129FD"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Depistimit të grave për kancerin e gjirit. </w:t>
      </w:r>
    </w:p>
    <w:p w14:paraId="07E4BD6F" w14:textId="77777777" w:rsidR="005139C5" w:rsidRPr="002E06C4" w:rsidRDefault="005139C5" w:rsidP="005139C5">
      <w:pPr>
        <w:shd w:val="clear" w:color="auto" w:fill="FFFFFF" w:themeFill="background1"/>
        <w:spacing w:after="120"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Këto objektiva, për vitin 2018, janë realizuar nëpërmjet realizimit të produkteve, performanca e të cilave paraqitet si më poshtë:</w:t>
      </w:r>
    </w:p>
    <w:p w14:paraId="6D43FBBA"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“Inspektime të kryera nga inspektoriatet” është realizuar me një kosto faktike prej 252 milion lekë dhe janë kryer 25.705 inspektime nga 33.000 të planifikuara për tu kryer me një kosto prej 296 milion lekë.</w:t>
      </w:r>
    </w:p>
    <w:p w14:paraId="641CF572"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“Blerja dhe monitorimi i vaksinave” është realizuar me një kosto faktike prej 303 milion lekë dhe janë vaksinuar rreth 259 mijë femijë nga 240 mijë të planifikuar per t’u vaksinuar me një kosto prej 350 milion lekë.</w:t>
      </w:r>
    </w:p>
    <w:p w14:paraId="4600FF63"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“Monitorimi i situatave epidemiollogjike”, është realizuar me një kosto faktike prej   2,061 milion lekë dhe janë kryer rreth 2 980 kontrolle për të monitoruar agjentët mjedisore për ujrat, ambjentin, ushqyerjen, shëndetin në punë, duke respektuar standartet e BE-se, nga 3100 te planifikuar me një kosto prej 2,155 milion lekë.</w:t>
      </w:r>
    </w:p>
    <w:p w14:paraId="2F52652A" w14:textId="77777777" w:rsidR="005139C5" w:rsidRPr="002E06C4" w:rsidRDefault="005139C5" w:rsidP="006C0253">
      <w:pPr>
        <w:numPr>
          <w:ilvl w:val="0"/>
          <w:numId w:val="24"/>
        </w:num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“Depistimi i grave për kancerin e gjirit”, ku janë depistuar 5 567 gra me një kosto faktike prej 18,4 milion lekë.</w:t>
      </w:r>
    </w:p>
    <w:p w14:paraId="06FFBAD4"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cs="Times New Roman"/>
          <w:lang w:val="sq-AL"/>
        </w:rPr>
      </w:pPr>
    </w:p>
    <w:p w14:paraId="1BAEFDD5"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cs="Times New Roman"/>
          <w:lang w:val="sq-AL"/>
        </w:rPr>
      </w:pPr>
    </w:p>
    <w:p w14:paraId="234C8B4E"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cs="Times New Roman"/>
          <w:lang w:val="sq-AL"/>
        </w:rPr>
      </w:pPr>
    </w:p>
    <w:p w14:paraId="4A88E848"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lastRenderedPageBreak/>
        <w:t>Në programin</w:t>
      </w:r>
      <w:r w:rsidRPr="002E06C4">
        <w:rPr>
          <w:rFonts w:asciiTheme="majorHAnsi" w:eastAsia="Times New Roman" w:hAnsiTheme="majorHAnsi" w:cs="Times New Roman"/>
          <w:b/>
          <w:lang w:val="sq-AL"/>
        </w:rPr>
        <w:t xml:space="preserve"> “Kujdesit Social”</w:t>
      </w:r>
      <w:r w:rsidRPr="002E06C4">
        <w:rPr>
          <w:rFonts w:asciiTheme="majorHAnsi" w:eastAsia="Times New Roman" w:hAnsiTheme="majorHAnsi" w:cs="Times New Roman"/>
          <w:color w:val="000000"/>
          <w:lang w:val="sq-AL"/>
        </w:rPr>
        <w:t xml:space="preserve"> </w:t>
      </w:r>
      <w:r w:rsidRPr="002E06C4">
        <w:rPr>
          <w:rFonts w:asciiTheme="majorHAnsi" w:eastAsia="Times New Roman" w:hAnsiTheme="majorHAnsi" w:cs="Times New Roman"/>
          <w:lang w:val="sq-AL"/>
        </w:rPr>
        <w:t>janë realizuar objektivat e:</w:t>
      </w:r>
    </w:p>
    <w:p w14:paraId="0143EDCC" w14:textId="77777777" w:rsidR="005139C5" w:rsidRPr="002E06C4" w:rsidRDefault="005139C5" w:rsidP="006C0253">
      <w:pPr>
        <w:numPr>
          <w:ilvl w:val="0"/>
          <w:numId w:val="23"/>
        </w:numPr>
        <w:shd w:val="clear" w:color="auto" w:fill="FFFFFF" w:themeFill="background1"/>
        <w:spacing w:after="120"/>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Rritjes së efikasitetit dhe transparencës së skemës të ndihmës ekonomike nëpërmjet administrimit të regjistrit elektronik kombëtar dhe përdorimit të sistemit të pikëzimit; </w:t>
      </w:r>
    </w:p>
    <w:p w14:paraId="26066435" w14:textId="77777777" w:rsidR="005139C5" w:rsidRPr="002E06C4" w:rsidRDefault="005139C5" w:rsidP="006C0253">
      <w:pPr>
        <w:numPr>
          <w:ilvl w:val="0"/>
          <w:numId w:val="23"/>
        </w:numPr>
        <w:shd w:val="clear" w:color="auto" w:fill="FFFFFF" w:themeFill="background1"/>
        <w:spacing w:after="120"/>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Reformimit të sistemit të vlerësimit të personave me aftësi të kufizuar, duke vënë në zbatim sistemin e ri të vlerësimit sipas Modelit Social  dhe duke ulur përqindjen e rasteve abuzive të përfituesve që nuk shfaqin aftësi të kufizuar; </w:t>
      </w:r>
    </w:p>
    <w:p w14:paraId="5E3F0877" w14:textId="77777777" w:rsidR="005139C5" w:rsidRPr="002E06C4" w:rsidRDefault="005139C5" w:rsidP="006C0253">
      <w:pPr>
        <w:numPr>
          <w:ilvl w:val="0"/>
          <w:numId w:val="23"/>
        </w:numPr>
        <w:shd w:val="clear" w:color="auto" w:fill="FFFFFF" w:themeFill="background1"/>
        <w:spacing w:after="120"/>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Ngritjes së një sistemi të integruar të shërbimeve të kujdesit social në njësitë e qeverisjes vendore dhe ofrimi i modeleve të reja të shërbimeve sociale; </w:t>
      </w:r>
    </w:p>
    <w:p w14:paraId="33349FF3" w14:textId="77777777" w:rsidR="005139C5" w:rsidRPr="002E06C4" w:rsidRDefault="005139C5" w:rsidP="006C0253">
      <w:pPr>
        <w:numPr>
          <w:ilvl w:val="0"/>
          <w:numId w:val="23"/>
        </w:numPr>
        <w:shd w:val="clear" w:color="auto" w:fill="FFFFFF" w:themeFill="background1"/>
        <w:spacing w:after="120"/>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Zhvillimit të Sistemit të Menaxhimit të Informacionit për mbrojtjen sociale; </w:t>
      </w:r>
    </w:p>
    <w:p w14:paraId="04E8FFDA" w14:textId="77777777" w:rsidR="005139C5" w:rsidRPr="002E06C4" w:rsidRDefault="005139C5" w:rsidP="006C0253">
      <w:pPr>
        <w:numPr>
          <w:ilvl w:val="0"/>
          <w:numId w:val="23"/>
        </w:numPr>
        <w:shd w:val="clear" w:color="auto" w:fill="FFFFFF" w:themeFill="background1"/>
        <w:spacing w:after="120"/>
        <w:contextualSpacing/>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Rritjes së kapaciteteve të strukturave qendrore, rajonale dhe vendore, në fusha që përfshijnë administrimin, monitorimin dhe vlerësimin e skemës së ndihmës ekonomike dhe përmirësimi i shërbimeve të kontrollit/auditit për të reduktuar numrin e abuzimeve.</w:t>
      </w:r>
    </w:p>
    <w:p w14:paraId="79AC081D" w14:textId="77777777" w:rsidR="005139C5" w:rsidRPr="002E06C4" w:rsidRDefault="005139C5" w:rsidP="0044331B">
      <w:pPr>
        <w:shd w:val="clear" w:color="auto" w:fill="FFFFFF" w:themeFill="background1"/>
        <w:spacing w:before="240"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Këto objektiva janë realizuar nëpërmjet  produkteve, performanca e të cilave për vitin 2018, është realizuar, si më poshtë:</w:t>
      </w:r>
    </w:p>
    <w:p w14:paraId="57C02A08" w14:textId="77777777" w:rsidR="005139C5" w:rsidRPr="002E06C4" w:rsidRDefault="005139C5" w:rsidP="006C0253">
      <w:pPr>
        <w:numPr>
          <w:ilvl w:val="0"/>
          <w:numId w:val="24"/>
        </w:numPr>
        <w:shd w:val="clear" w:color="auto" w:fill="FFFFFF" w:themeFill="background1"/>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“Familje përfituese të ndihmës ekonomike”, është realizuar me një kosto faktike prej 4,361 milion lekë për 60.052 familje përfituese nga 70.000 familje të planifikuara me një kosto prej 4.600 milion lekë, si rrjedhojë e akordimit të ndihmës ekonomike të plotë dhe jo të pjesshme, sipas numrit të individëve në çdo familje.  </w:t>
      </w:r>
    </w:p>
    <w:p w14:paraId="02196B86" w14:textId="77777777" w:rsidR="005139C5" w:rsidRPr="002E06C4" w:rsidRDefault="005139C5" w:rsidP="006C0253">
      <w:pPr>
        <w:numPr>
          <w:ilvl w:val="0"/>
          <w:numId w:val="24"/>
        </w:numPr>
        <w:shd w:val="clear" w:color="auto" w:fill="FFFFFF" w:themeFill="background1"/>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Rritje e fondit nga 3% në 6% për pushtetin vendor për të trajtuar rastet që nuk mund të përfitojnë nga sistemi elektronik;</w:t>
      </w:r>
    </w:p>
    <w:p w14:paraId="243E9566" w14:textId="77777777" w:rsidR="005139C5" w:rsidRPr="002E06C4" w:rsidRDefault="005139C5" w:rsidP="006C0253">
      <w:pPr>
        <w:numPr>
          <w:ilvl w:val="0"/>
          <w:numId w:val="24"/>
        </w:numPr>
        <w:shd w:val="clear" w:color="auto" w:fill="FFFFFF" w:themeFill="background1"/>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Pagesë shtesë për fëmijët që ndjekin shkollën dhe vaksinohen;</w:t>
      </w:r>
    </w:p>
    <w:p w14:paraId="0FF639DC" w14:textId="77777777" w:rsidR="005139C5" w:rsidRPr="002E06C4" w:rsidRDefault="005139C5" w:rsidP="006C0253">
      <w:pPr>
        <w:numPr>
          <w:ilvl w:val="0"/>
          <w:numId w:val="24"/>
        </w:numPr>
        <w:shd w:val="clear" w:color="auto" w:fill="FFFFFF" w:themeFill="background1"/>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Shpërblime për familje në nevojë për festat e fundvitit;</w:t>
      </w:r>
    </w:p>
    <w:p w14:paraId="74166231" w14:textId="77777777" w:rsidR="005139C5" w:rsidRPr="002E06C4" w:rsidRDefault="005139C5" w:rsidP="006C0253">
      <w:pPr>
        <w:numPr>
          <w:ilvl w:val="0"/>
          <w:numId w:val="24"/>
        </w:numPr>
        <w:shd w:val="clear" w:color="auto" w:fill="FFFFFF" w:themeFill="background1"/>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 “Persona me aftësi të kufizuar përfitues nga programi i aftësisë së kufizuar” është realizuar me një kosto faktike prej 16,304 milion lekë për 163.423 persona përfitues, nga 164.410 individë të planifikuar me një kosto prej 16,200 milion lekë.  Kjo u arrit nëpërmjet:</w:t>
      </w:r>
    </w:p>
    <w:p w14:paraId="19C1F7A0" w14:textId="77777777" w:rsidR="005139C5" w:rsidRPr="002E06C4" w:rsidRDefault="005139C5" w:rsidP="006C0253">
      <w:pPr>
        <w:numPr>
          <w:ilvl w:val="0"/>
          <w:numId w:val="21"/>
        </w:numPr>
        <w:shd w:val="clear" w:color="auto" w:fill="FFFFFF" w:themeFill="background1"/>
        <w:spacing w:line="276" w:lineRule="auto"/>
        <w:contextualSpacing/>
        <w:jc w:val="both"/>
        <w:rPr>
          <w:rFonts w:asciiTheme="majorHAnsi" w:eastAsia="Calibri" w:hAnsiTheme="majorHAnsi" w:cs="Times New Roman"/>
          <w:bCs/>
          <w:i/>
          <w:lang w:val="sq-AL"/>
        </w:rPr>
      </w:pPr>
      <w:r w:rsidRPr="002E06C4">
        <w:rPr>
          <w:rFonts w:asciiTheme="majorHAnsi" w:eastAsia="Calibri" w:hAnsiTheme="majorHAnsi" w:cs="Times New Roman"/>
          <w:i/>
          <w:lang w:val="sq-AL"/>
        </w:rPr>
        <w:t xml:space="preserve">Indeksimit të përfituesve me nivelin e inflacionit; </w:t>
      </w:r>
    </w:p>
    <w:p w14:paraId="4145787C" w14:textId="77777777" w:rsidR="005139C5" w:rsidRPr="002E06C4" w:rsidRDefault="005139C5" w:rsidP="006C0253">
      <w:pPr>
        <w:numPr>
          <w:ilvl w:val="0"/>
          <w:numId w:val="21"/>
        </w:numPr>
        <w:shd w:val="clear" w:color="auto" w:fill="FFFFFF" w:themeFill="background1"/>
        <w:spacing w:line="276" w:lineRule="auto"/>
        <w:contextualSpacing/>
        <w:jc w:val="both"/>
        <w:rPr>
          <w:rFonts w:asciiTheme="majorHAnsi" w:eastAsia="Calibri" w:hAnsiTheme="majorHAnsi" w:cs="Times New Roman"/>
          <w:bCs/>
          <w:i/>
          <w:lang w:val="sq-AL"/>
        </w:rPr>
      </w:pPr>
      <w:r w:rsidRPr="002E06C4">
        <w:rPr>
          <w:rFonts w:asciiTheme="majorHAnsi" w:eastAsia="Calibri" w:hAnsiTheme="majorHAnsi" w:cs="Times New Roman"/>
          <w:bCs/>
          <w:i/>
          <w:lang w:val="sq-AL"/>
        </w:rPr>
        <w:t xml:space="preserve">Skemës së re të vlerësimit për aftësinë e kufizuar bazuar në modelin bio-psiko-social  sipas standardeve ndërkombëtare të OBSH-së;  </w:t>
      </w:r>
    </w:p>
    <w:p w14:paraId="212C1234" w14:textId="77777777" w:rsidR="005139C5" w:rsidRPr="002E06C4" w:rsidRDefault="005139C5" w:rsidP="006C0253">
      <w:pPr>
        <w:numPr>
          <w:ilvl w:val="0"/>
          <w:numId w:val="21"/>
        </w:numPr>
        <w:shd w:val="clear" w:color="auto" w:fill="FFFFFF" w:themeFill="background1"/>
        <w:spacing w:line="276" w:lineRule="auto"/>
        <w:contextualSpacing/>
        <w:jc w:val="both"/>
        <w:rPr>
          <w:rFonts w:asciiTheme="majorHAnsi" w:eastAsia="Calibri" w:hAnsiTheme="majorHAnsi" w:cs="Times New Roman"/>
          <w:bCs/>
          <w:i/>
          <w:lang w:val="sq-AL"/>
        </w:rPr>
      </w:pPr>
      <w:r w:rsidRPr="002E06C4">
        <w:rPr>
          <w:rFonts w:asciiTheme="majorHAnsi" w:eastAsia="Calibri" w:hAnsiTheme="majorHAnsi" w:cs="Times New Roman"/>
          <w:bCs/>
          <w:i/>
          <w:lang w:val="sq-AL"/>
        </w:rPr>
        <w:t xml:space="preserve">Përgatitja e kritereve të reja të vlerësimi të aftësisë së kufizuar që i përgjigjet më mirë nevojave të individëve; </w:t>
      </w:r>
    </w:p>
    <w:p w14:paraId="32C3109C" w14:textId="77777777" w:rsidR="005139C5" w:rsidRPr="002E06C4" w:rsidRDefault="005139C5" w:rsidP="006C0253">
      <w:pPr>
        <w:numPr>
          <w:ilvl w:val="0"/>
          <w:numId w:val="21"/>
        </w:numPr>
        <w:shd w:val="clear" w:color="auto" w:fill="FFFFFF" w:themeFill="background1"/>
        <w:spacing w:line="276" w:lineRule="auto"/>
        <w:contextualSpacing/>
        <w:jc w:val="both"/>
        <w:rPr>
          <w:rFonts w:asciiTheme="majorHAnsi" w:eastAsia="Calibri" w:hAnsiTheme="majorHAnsi" w:cs="Times New Roman"/>
          <w:i/>
          <w:lang w:val="sq-AL"/>
        </w:rPr>
      </w:pPr>
      <w:r w:rsidRPr="002E06C4">
        <w:rPr>
          <w:rFonts w:asciiTheme="majorHAnsi" w:eastAsia="Calibri" w:hAnsiTheme="majorHAnsi" w:cs="Times New Roman"/>
          <w:i/>
          <w:lang w:val="sq-AL"/>
        </w:rPr>
        <w:t xml:space="preserve">Personat me aftësi të kufizuara kanë përfituar edhe pagesë shtesë në fund të çdo viti. </w:t>
      </w:r>
    </w:p>
    <w:p w14:paraId="00610199" w14:textId="77777777" w:rsidR="005139C5" w:rsidRPr="002E06C4" w:rsidRDefault="005139C5" w:rsidP="006C0253">
      <w:pPr>
        <w:numPr>
          <w:ilvl w:val="0"/>
          <w:numId w:val="24"/>
        </w:numPr>
        <w:shd w:val="clear" w:color="auto" w:fill="FFFFFF" w:themeFill="background1"/>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 “Fëmijë që përfitojnë shërbime në institucionet e përkujdesit”, është realizuar me një kosto faktike prej 225 mijë lekë për 283 persona, nga 243 individë të planifikuar me një kosto prej 238 mijë lekë. Është rritur numri i fëmijëve në familje kujdestare duke garantuar rritjen e fëmijeve në familje në vend të institucioneve</w:t>
      </w:r>
    </w:p>
    <w:p w14:paraId="248704A7" w14:textId="77777777" w:rsidR="005139C5" w:rsidRPr="002E06C4" w:rsidRDefault="005139C5" w:rsidP="006C0253">
      <w:pPr>
        <w:numPr>
          <w:ilvl w:val="0"/>
          <w:numId w:val="24"/>
        </w:numPr>
        <w:shd w:val="clear" w:color="auto" w:fill="FFFFFF" w:themeFill="background1"/>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“Të moshuar të trajtuar me shërbime të përkujdesit”, është realizuar me një kosto faktike prej 193 mijë lekë për 418 persona, nga 386 individë të planifikuar me një kosto prej 207 mijë lekë. </w:t>
      </w:r>
    </w:p>
    <w:p w14:paraId="6ACA4BBD" w14:textId="77777777" w:rsidR="005139C5" w:rsidRPr="002E06C4" w:rsidRDefault="005139C5" w:rsidP="006C0253">
      <w:pPr>
        <w:numPr>
          <w:ilvl w:val="0"/>
          <w:numId w:val="24"/>
        </w:numPr>
        <w:shd w:val="clear" w:color="auto" w:fill="FFFFFF" w:themeFill="background1"/>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“Gra dhe vajza në rrezik trafikimi të trajtuara me shërbime rezidenciale publike” është realizuar me një kosto faktike prej 22 mijë lekë për 8 persona, nga 14 individë të planifikuar me një kosto prej 23 mijë lekë.</w:t>
      </w:r>
    </w:p>
    <w:p w14:paraId="6DC88E6A" w14:textId="77777777" w:rsidR="005139C5" w:rsidRPr="002E06C4" w:rsidRDefault="005139C5" w:rsidP="006C0253">
      <w:pPr>
        <w:numPr>
          <w:ilvl w:val="0"/>
          <w:numId w:val="24"/>
        </w:numPr>
        <w:shd w:val="clear" w:color="auto" w:fill="FFFFFF" w:themeFill="background1"/>
        <w:jc w:val="both"/>
        <w:rPr>
          <w:rFonts w:asciiTheme="majorHAnsi" w:eastAsia="Times New Roman" w:hAnsiTheme="majorHAnsi" w:cs="Times New Roman"/>
          <w:b/>
          <w:i/>
          <w:color w:val="0070C0"/>
          <w:u w:val="single"/>
          <w:lang w:val="sq-AL"/>
        </w:rPr>
      </w:pPr>
      <w:r w:rsidRPr="002E06C4">
        <w:rPr>
          <w:rFonts w:asciiTheme="majorHAnsi" w:eastAsia="Times New Roman" w:hAnsiTheme="majorHAnsi" w:cs="Times New Roman"/>
          <w:lang w:val="sq-AL"/>
        </w:rPr>
        <w:t xml:space="preserve">“Gra dhe vajza të dhunuara që marrin shërbime rezidenciale” është realizuar me një kosto faktike prej 22 mijë lekë për 27 persona, nga 28 individë të planifikuar me një kosto prej 22 mijë lekë. </w:t>
      </w:r>
    </w:p>
    <w:p w14:paraId="420C62FB" w14:textId="77777777" w:rsidR="005139C5" w:rsidRPr="002E06C4" w:rsidRDefault="005139C5" w:rsidP="005139C5">
      <w:pPr>
        <w:spacing w:line="276" w:lineRule="auto"/>
        <w:rPr>
          <w:rFonts w:asciiTheme="majorHAnsi" w:hAnsiTheme="majorHAnsi" w:cs="Times New Roman"/>
          <w:b/>
          <w:lang w:val="sq-AL"/>
        </w:rPr>
      </w:pPr>
      <w:r w:rsidRPr="002E06C4">
        <w:rPr>
          <w:rFonts w:asciiTheme="majorHAnsi" w:hAnsiTheme="majorHAnsi" w:cs="Times New Roman"/>
          <w:b/>
          <w:lang w:val="sq-AL"/>
        </w:rPr>
        <w:t xml:space="preserve"> </w:t>
      </w:r>
    </w:p>
    <w:p w14:paraId="703E155E" w14:textId="77777777" w:rsidR="005139C5" w:rsidRPr="002E06C4" w:rsidRDefault="005139C5" w:rsidP="005139C5">
      <w:pPr>
        <w:pStyle w:val="Heading3"/>
        <w:numPr>
          <w:ilvl w:val="2"/>
          <w:numId w:val="4"/>
        </w:numPr>
        <w:rPr>
          <w:rFonts w:cs="Times New Roman"/>
          <w:b/>
          <w:lang w:val="sq-AL"/>
        </w:rPr>
      </w:pPr>
      <w:bookmarkStart w:id="146" w:name="_Toc10721441"/>
      <w:bookmarkStart w:id="147" w:name="_Toc11134226"/>
      <w:bookmarkStart w:id="148" w:name="_Toc10033296"/>
      <w:bookmarkStart w:id="149" w:name="_Toc10721432"/>
      <w:r w:rsidRPr="002E06C4">
        <w:rPr>
          <w:rFonts w:cs="Times New Roman"/>
          <w:b/>
          <w:lang w:val="sq-AL"/>
        </w:rPr>
        <w:lastRenderedPageBreak/>
        <w:t>Arsimi</w:t>
      </w:r>
      <w:bookmarkEnd w:id="146"/>
      <w:bookmarkEnd w:id="147"/>
    </w:p>
    <w:p w14:paraId="18C69D5A" w14:textId="77777777" w:rsidR="005139C5" w:rsidRPr="002E06C4" w:rsidRDefault="005139C5" w:rsidP="005139C5">
      <w:pPr>
        <w:pStyle w:val="ListParagraph"/>
        <w:shd w:val="clear" w:color="auto" w:fill="FFFFFF" w:themeFill="background1"/>
        <w:spacing w:before="240" w:line="276" w:lineRule="auto"/>
        <w:ind w:left="-180"/>
        <w:jc w:val="both"/>
        <w:rPr>
          <w:rFonts w:asciiTheme="majorHAnsi" w:hAnsiTheme="majorHAnsi" w:cs="Times New Roman"/>
          <w:color w:val="000000"/>
          <w:lang w:val="sq-AL"/>
        </w:rPr>
      </w:pPr>
      <w:r w:rsidRPr="002E06C4">
        <w:rPr>
          <w:rFonts w:asciiTheme="majorHAnsi" w:hAnsiTheme="majorHAnsi" w:cs="Times New Roman"/>
          <w:color w:val="000000"/>
          <w:lang w:val="sq-AL"/>
        </w:rPr>
        <w:t>Në përputhje me drejtimet kryesore të politikës së përgjithshme shtetërore, me fondet buxhetore të miratuara për vitin 2018, performanca e treguesve buxhetorë për këto katër programe kryesore në Ministrinë e Arsimit, Sportit dhe Rinisë, paraqitet si më poshtë:</w:t>
      </w:r>
    </w:p>
    <w:p w14:paraId="168F563F" w14:textId="77777777" w:rsidR="005139C5" w:rsidRPr="002E06C4" w:rsidRDefault="005139C5" w:rsidP="005139C5">
      <w:pPr>
        <w:pStyle w:val="ListParagraph"/>
        <w:shd w:val="clear" w:color="auto" w:fill="FFFFFF" w:themeFill="background1"/>
        <w:spacing w:before="240" w:line="276" w:lineRule="auto"/>
        <w:ind w:left="-180"/>
        <w:jc w:val="both"/>
        <w:rPr>
          <w:rFonts w:asciiTheme="majorHAnsi" w:hAnsiTheme="majorHAnsi" w:cs="Times New Roman"/>
          <w:color w:val="000000"/>
          <w:sz w:val="12"/>
          <w:szCs w:val="12"/>
          <w:lang w:val="sq-AL"/>
        </w:rPr>
      </w:pPr>
    </w:p>
    <w:p w14:paraId="13EC6C7B" w14:textId="77777777" w:rsidR="005139C5" w:rsidRPr="002E06C4" w:rsidRDefault="005139C5" w:rsidP="005139C5">
      <w:pPr>
        <w:spacing w:line="276" w:lineRule="auto"/>
        <w:ind w:left="2880" w:firstLine="720"/>
        <w:jc w:val="right"/>
        <w:rPr>
          <w:rFonts w:asciiTheme="majorHAnsi" w:hAnsiTheme="majorHAnsi" w:cs="Times New Roman"/>
          <w:i/>
          <w:color w:val="000000"/>
          <w:sz w:val="20"/>
          <w:u w:val="single"/>
          <w:lang w:val="sq-AL"/>
        </w:rPr>
      </w:pPr>
      <w:r w:rsidRPr="002E06C4">
        <w:rPr>
          <w:rFonts w:asciiTheme="majorHAnsi" w:hAnsiTheme="majorHAnsi" w:cs="Times New Roman"/>
          <w:i/>
          <w:color w:val="000000"/>
          <w:sz w:val="20"/>
          <w:u w:val="single"/>
          <w:lang w:val="sq-AL"/>
        </w:rPr>
        <w:t>Në mijë lekë</w:t>
      </w:r>
    </w:p>
    <w:p w14:paraId="700A69FF" w14:textId="77777777" w:rsidR="006D577E" w:rsidRPr="002E06C4" w:rsidRDefault="006D577E" w:rsidP="006D577E">
      <w:pPr>
        <w:pStyle w:val="Caption"/>
        <w:keepNext/>
        <w:spacing w:after="0"/>
        <w:rPr>
          <w:rFonts w:asciiTheme="majorHAnsi" w:hAnsiTheme="majorHAnsi" w:cs="Times New Roman"/>
          <w:lang w:val="sq-AL"/>
        </w:rPr>
      </w:pPr>
      <w:bookmarkStart w:id="150" w:name="_Toc11135128"/>
      <w:r>
        <w:t xml:space="preserve">Tabela </w:t>
      </w:r>
      <w:r w:rsidR="003D3813">
        <w:fldChar w:fldCharType="begin"/>
      </w:r>
      <w:r w:rsidR="003D3813">
        <w:instrText xml:space="preserve"> SEQ Tabela \* ARABIC </w:instrText>
      </w:r>
      <w:r w:rsidR="003D3813">
        <w:fldChar w:fldCharType="separate"/>
      </w:r>
      <w:r w:rsidR="006A57F3">
        <w:rPr>
          <w:noProof/>
        </w:rPr>
        <w:t>14</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Realizimi i buxhetit 2018 për Ministrinë e Arsimit, Sportit dhe Rinisë</w:t>
      </w:r>
      <w:bookmarkEnd w:id="150"/>
    </w:p>
    <w:tbl>
      <w:tblPr>
        <w:tblStyle w:val="TableGridLight1"/>
        <w:tblW w:w="5242"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firstRow="1" w:lastRow="1" w:firstColumn="1" w:lastColumn="1" w:noHBand="0" w:noVBand="0"/>
      </w:tblPr>
      <w:tblGrid>
        <w:gridCol w:w="557"/>
        <w:gridCol w:w="11"/>
        <w:gridCol w:w="3240"/>
        <w:gridCol w:w="1296"/>
        <w:gridCol w:w="1294"/>
        <w:gridCol w:w="1294"/>
        <w:gridCol w:w="1208"/>
        <w:gridCol w:w="936"/>
        <w:gridCol w:w="22"/>
        <w:gridCol w:w="1125"/>
      </w:tblGrid>
      <w:tr w:rsidR="005139C5" w:rsidRPr="002E06C4" w14:paraId="60996844" w14:textId="77777777" w:rsidTr="006D577E">
        <w:trPr>
          <w:trHeight w:val="350"/>
          <w:jc w:val="center"/>
        </w:trPr>
        <w:tc>
          <w:tcPr>
            <w:tcW w:w="259" w:type="pct"/>
            <w:gridSpan w:val="2"/>
            <w:vMerge w:val="restart"/>
          </w:tcPr>
          <w:p w14:paraId="5A91482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p w14:paraId="12891ACB"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NR</w:t>
            </w:r>
          </w:p>
        </w:tc>
        <w:tc>
          <w:tcPr>
            <w:tcW w:w="1475" w:type="pct"/>
            <w:vMerge w:val="restart"/>
          </w:tcPr>
          <w:p w14:paraId="30D59A70"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p w14:paraId="0D92997A"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Emërtimi i Programit</w:t>
            </w:r>
          </w:p>
        </w:tc>
        <w:tc>
          <w:tcPr>
            <w:tcW w:w="1179" w:type="pct"/>
            <w:gridSpan w:val="2"/>
          </w:tcPr>
          <w:p w14:paraId="4C16882E" w14:textId="77777777" w:rsidR="005139C5" w:rsidRPr="002E06C4" w:rsidRDefault="005139C5" w:rsidP="0080499B">
            <w:pPr>
              <w:shd w:val="clear" w:color="auto" w:fill="FFFFFF" w:themeFill="background1"/>
              <w:spacing w:line="276" w:lineRule="auto"/>
              <w:ind w:left="80"/>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Plani 2018</w:t>
            </w:r>
          </w:p>
        </w:tc>
        <w:tc>
          <w:tcPr>
            <w:tcW w:w="1139" w:type="pct"/>
            <w:gridSpan w:val="2"/>
          </w:tcPr>
          <w:p w14:paraId="177322A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Fakti 2018</w:t>
            </w:r>
          </w:p>
        </w:tc>
        <w:tc>
          <w:tcPr>
            <w:tcW w:w="948" w:type="pct"/>
            <w:gridSpan w:val="3"/>
          </w:tcPr>
          <w:p w14:paraId="3705479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bCs/>
                <w:sz w:val="18"/>
                <w:szCs w:val="18"/>
                <w:lang w:val="sq-AL"/>
              </w:rPr>
              <w:t>Përqindja  e realizimit</w:t>
            </w:r>
          </w:p>
        </w:tc>
      </w:tr>
      <w:tr w:rsidR="005139C5" w:rsidRPr="002E06C4" w14:paraId="63F1F71F" w14:textId="77777777" w:rsidTr="006D577E">
        <w:trPr>
          <w:trHeight w:val="182"/>
          <w:jc w:val="center"/>
        </w:trPr>
        <w:tc>
          <w:tcPr>
            <w:tcW w:w="259" w:type="pct"/>
            <w:gridSpan w:val="2"/>
            <w:vMerge/>
          </w:tcPr>
          <w:p w14:paraId="7841D9C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1475" w:type="pct"/>
            <w:vMerge/>
          </w:tcPr>
          <w:p w14:paraId="114DC3A0"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590" w:type="pct"/>
          </w:tcPr>
          <w:p w14:paraId="6F569A7A" w14:textId="77777777" w:rsidR="005139C5" w:rsidRPr="002E06C4" w:rsidRDefault="005139C5" w:rsidP="0080499B">
            <w:pPr>
              <w:shd w:val="clear" w:color="auto" w:fill="FFFFFF" w:themeFill="background1"/>
              <w:spacing w:line="276" w:lineRule="auto"/>
              <w:ind w:left="80"/>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Korrente</w:t>
            </w:r>
          </w:p>
        </w:tc>
        <w:tc>
          <w:tcPr>
            <w:tcW w:w="589" w:type="pct"/>
          </w:tcPr>
          <w:p w14:paraId="687133DA" w14:textId="77777777" w:rsidR="005139C5" w:rsidRPr="002E06C4" w:rsidRDefault="005139C5" w:rsidP="0080499B">
            <w:pPr>
              <w:shd w:val="clear" w:color="auto" w:fill="FFFFFF" w:themeFill="background1"/>
              <w:spacing w:line="276" w:lineRule="auto"/>
              <w:ind w:left="80"/>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Investime</w:t>
            </w:r>
          </w:p>
        </w:tc>
        <w:tc>
          <w:tcPr>
            <w:tcW w:w="589" w:type="pct"/>
          </w:tcPr>
          <w:p w14:paraId="59DF2403"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Korrente</w:t>
            </w:r>
          </w:p>
        </w:tc>
        <w:tc>
          <w:tcPr>
            <w:tcW w:w="550" w:type="pct"/>
          </w:tcPr>
          <w:p w14:paraId="60755D8E"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Investime</w:t>
            </w:r>
          </w:p>
        </w:tc>
        <w:tc>
          <w:tcPr>
            <w:tcW w:w="426" w:type="pct"/>
          </w:tcPr>
          <w:p w14:paraId="119301F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Korrente</w:t>
            </w:r>
          </w:p>
        </w:tc>
        <w:tc>
          <w:tcPr>
            <w:tcW w:w="522" w:type="pct"/>
            <w:gridSpan w:val="2"/>
          </w:tcPr>
          <w:p w14:paraId="4FBEC0A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Investime</w:t>
            </w:r>
          </w:p>
        </w:tc>
      </w:tr>
      <w:tr w:rsidR="005139C5" w:rsidRPr="002E06C4" w14:paraId="180439BB" w14:textId="77777777" w:rsidTr="0080499B">
        <w:trPr>
          <w:trHeight w:val="368"/>
          <w:jc w:val="center"/>
        </w:trPr>
        <w:tc>
          <w:tcPr>
            <w:tcW w:w="254" w:type="pct"/>
          </w:tcPr>
          <w:p w14:paraId="54A25766"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w:t>
            </w:r>
          </w:p>
        </w:tc>
        <w:tc>
          <w:tcPr>
            <w:tcW w:w="1480" w:type="pct"/>
            <w:gridSpan w:val="2"/>
          </w:tcPr>
          <w:p w14:paraId="72FFB68C" w14:textId="77777777" w:rsidR="005139C5" w:rsidRPr="002E06C4" w:rsidRDefault="005139C5" w:rsidP="0080499B">
            <w:pPr>
              <w:shd w:val="clear" w:color="auto" w:fill="FFFFFF" w:themeFill="background1"/>
              <w:spacing w:line="276" w:lineRule="auto"/>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Arsimi Bazë</w:t>
            </w:r>
          </w:p>
        </w:tc>
        <w:tc>
          <w:tcPr>
            <w:tcW w:w="590" w:type="pct"/>
          </w:tcPr>
          <w:p w14:paraId="570B188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20,360,120</w:t>
            </w:r>
          </w:p>
        </w:tc>
        <w:tc>
          <w:tcPr>
            <w:tcW w:w="589" w:type="pct"/>
          </w:tcPr>
          <w:p w14:paraId="5FB92D63"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1,694,947</w:t>
            </w:r>
          </w:p>
        </w:tc>
        <w:tc>
          <w:tcPr>
            <w:tcW w:w="589" w:type="pct"/>
          </w:tcPr>
          <w:p w14:paraId="5E0F2533"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20,221,765</w:t>
            </w:r>
          </w:p>
        </w:tc>
        <w:tc>
          <w:tcPr>
            <w:tcW w:w="550" w:type="pct"/>
          </w:tcPr>
          <w:p w14:paraId="0613077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1,603,617</w:t>
            </w:r>
          </w:p>
        </w:tc>
        <w:tc>
          <w:tcPr>
            <w:tcW w:w="436" w:type="pct"/>
            <w:gridSpan w:val="2"/>
          </w:tcPr>
          <w:p w14:paraId="2313512E"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99 %</w:t>
            </w:r>
          </w:p>
        </w:tc>
        <w:tc>
          <w:tcPr>
            <w:tcW w:w="512" w:type="pct"/>
          </w:tcPr>
          <w:p w14:paraId="371E147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95%</w:t>
            </w:r>
          </w:p>
        </w:tc>
      </w:tr>
      <w:tr w:rsidR="005139C5" w:rsidRPr="002E06C4" w14:paraId="184AE8EE" w14:textId="77777777" w:rsidTr="0080499B">
        <w:trPr>
          <w:trHeight w:val="332"/>
          <w:jc w:val="center"/>
        </w:trPr>
        <w:tc>
          <w:tcPr>
            <w:tcW w:w="254" w:type="pct"/>
          </w:tcPr>
          <w:p w14:paraId="7527714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p>
        </w:tc>
        <w:tc>
          <w:tcPr>
            <w:tcW w:w="1480" w:type="pct"/>
            <w:gridSpan w:val="2"/>
          </w:tcPr>
          <w:p w14:paraId="0530BEE8" w14:textId="77777777" w:rsidR="005139C5" w:rsidRPr="002E06C4" w:rsidRDefault="005139C5" w:rsidP="0080499B">
            <w:pPr>
              <w:shd w:val="clear" w:color="auto" w:fill="FFFFFF" w:themeFill="background1"/>
              <w:spacing w:line="276" w:lineRule="auto"/>
              <w:ind w:left="60"/>
              <w:contextualSpacing/>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590" w:type="pct"/>
          </w:tcPr>
          <w:p w14:paraId="3A187A2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p>
        </w:tc>
        <w:tc>
          <w:tcPr>
            <w:tcW w:w="589" w:type="pct"/>
          </w:tcPr>
          <w:p w14:paraId="5813535B"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0</w:t>
            </w:r>
          </w:p>
        </w:tc>
        <w:tc>
          <w:tcPr>
            <w:tcW w:w="589" w:type="pct"/>
          </w:tcPr>
          <w:p w14:paraId="7871A970"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p>
        </w:tc>
        <w:tc>
          <w:tcPr>
            <w:tcW w:w="550" w:type="pct"/>
          </w:tcPr>
          <w:p w14:paraId="3B7E36A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0</w:t>
            </w:r>
          </w:p>
        </w:tc>
        <w:tc>
          <w:tcPr>
            <w:tcW w:w="436" w:type="pct"/>
            <w:gridSpan w:val="2"/>
          </w:tcPr>
          <w:p w14:paraId="7403A65E"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p>
        </w:tc>
        <w:tc>
          <w:tcPr>
            <w:tcW w:w="512" w:type="pct"/>
          </w:tcPr>
          <w:p w14:paraId="4B124E1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0%</w:t>
            </w:r>
          </w:p>
        </w:tc>
      </w:tr>
      <w:tr w:rsidR="005139C5" w:rsidRPr="002E06C4" w14:paraId="5B9DD848" w14:textId="77777777" w:rsidTr="0080499B">
        <w:trPr>
          <w:trHeight w:val="251"/>
          <w:jc w:val="center"/>
        </w:trPr>
        <w:tc>
          <w:tcPr>
            <w:tcW w:w="254" w:type="pct"/>
          </w:tcPr>
          <w:p w14:paraId="0CD6AFC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w:t>
            </w:r>
          </w:p>
        </w:tc>
        <w:tc>
          <w:tcPr>
            <w:tcW w:w="1480" w:type="pct"/>
            <w:gridSpan w:val="2"/>
          </w:tcPr>
          <w:p w14:paraId="232148EB" w14:textId="77777777" w:rsidR="005139C5" w:rsidRPr="002E06C4" w:rsidRDefault="005139C5" w:rsidP="0080499B">
            <w:pPr>
              <w:shd w:val="clear" w:color="auto" w:fill="FFFFFF" w:themeFill="background1"/>
              <w:spacing w:line="276" w:lineRule="auto"/>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Arsimi i Mesëm i Pergjithshëm</w:t>
            </w:r>
          </w:p>
        </w:tc>
        <w:tc>
          <w:tcPr>
            <w:tcW w:w="590" w:type="pct"/>
          </w:tcPr>
          <w:p w14:paraId="4EF735FD"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6,083,428</w:t>
            </w:r>
          </w:p>
        </w:tc>
        <w:tc>
          <w:tcPr>
            <w:tcW w:w="589" w:type="pct"/>
          </w:tcPr>
          <w:p w14:paraId="7CDF03D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876,191</w:t>
            </w:r>
          </w:p>
        </w:tc>
        <w:tc>
          <w:tcPr>
            <w:tcW w:w="589" w:type="pct"/>
          </w:tcPr>
          <w:p w14:paraId="12A38CFA"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6,013,690</w:t>
            </w:r>
          </w:p>
        </w:tc>
        <w:tc>
          <w:tcPr>
            <w:tcW w:w="550" w:type="pct"/>
          </w:tcPr>
          <w:p w14:paraId="27641116"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831,714</w:t>
            </w:r>
          </w:p>
        </w:tc>
        <w:tc>
          <w:tcPr>
            <w:tcW w:w="436" w:type="pct"/>
            <w:gridSpan w:val="2"/>
          </w:tcPr>
          <w:p w14:paraId="44F050A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99%</w:t>
            </w:r>
          </w:p>
        </w:tc>
        <w:tc>
          <w:tcPr>
            <w:tcW w:w="512" w:type="pct"/>
          </w:tcPr>
          <w:p w14:paraId="52532ACD"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95%</w:t>
            </w:r>
          </w:p>
        </w:tc>
      </w:tr>
      <w:tr w:rsidR="005139C5" w:rsidRPr="002E06C4" w14:paraId="3B7C2523" w14:textId="77777777" w:rsidTr="0080499B">
        <w:trPr>
          <w:trHeight w:val="251"/>
          <w:jc w:val="center"/>
        </w:trPr>
        <w:tc>
          <w:tcPr>
            <w:tcW w:w="254" w:type="pct"/>
          </w:tcPr>
          <w:p w14:paraId="517F2BE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1480" w:type="pct"/>
            <w:gridSpan w:val="2"/>
          </w:tcPr>
          <w:p w14:paraId="16C33BE5" w14:textId="77777777" w:rsidR="005139C5" w:rsidRPr="002E06C4" w:rsidRDefault="005139C5" w:rsidP="0080499B">
            <w:pPr>
              <w:shd w:val="clear" w:color="auto" w:fill="FFFFFF" w:themeFill="background1"/>
              <w:spacing w:line="276" w:lineRule="auto"/>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590" w:type="pct"/>
          </w:tcPr>
          <w:p w14:paraId="5ADD7BE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589" w:type="pct"/>
          </w:tcPr>
          <w:p w14:paraId="7DE76A90"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0</w:t>
            </w:r>
          </w:p>
        </w:tc>
        <w:tc>
          <w:tcPr>
            <w:tcW w:w="589" w:type="pct"/>
          </w:tcPr>
          <w:p w14:paraId="31F01D1C"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550" w:type="pct"/>
          </w:tcPr>
          <w:p w14:paraId="63998C5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0</w:t>
            </w:r>
          </w:p>
        </w:tc>
        <w:tc>
          <w:tcPr>
            <w:tcW w:w="436" w:type="pct"/>
            <w:gridSpan w:val="2"/>
          </w:tcPr>
          <w:p w14:paraId="14A8F4C4"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512" w:type="pct"/>
          </w:tcPr>
          <w:p w14:paraId="30C2C7EA"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0%</w:t>
            </w:r>
          </w:p>
        </w:tc>
      </w:tr>
      <w:tr w:rsidR="005139C5" w:rsidRPr="002E06C4" w14:paraId="4159599E" w14:textId="77777777" w:rsidTr="0080499B">
        <w:trPr>
          <w:trHeight w:val="287"/>
          <w:jc w:val="center"/>
        </w:trPr>
        <w:tc>
          <w:tcPr>
            <w:tcW w:w="254" w:type="pct"/>
          </w:tcPr>
          <w:p w14:paraId="24A9945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w:t>
            </w:r>
          </w:p>
        </w:tc>
        <w:tc>
          <w:tcPr>
            <w:tcW w:w="1480" w:type="pct"/>
            <w:gridSpan w:val="2"/>
          </w:tcPr>
          <w:p w14:paraId="18ACCBA3" w14:textId="77777777" w:rsidR="005139C5" w:rsidRPr="002E06C4" w:rsidRDefault="005139C5" w:rsidP="0080499B">
            <w:pPr>
              <w:shd w:val="clear" w:color="auto" w:fill="FFFFFF" w:themeFill="background1"/>
              <w:spacing w:line="276" w:lineRule="auto"/>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Arsimi i Universitar</w:t>
            </w:r>
          </w:p>
        </w:tc>
        <w:tc>
          <w:tcPr>
            <w:tcW w:w="590" w:type="pct"/>
          </w:tcPr>
          <w:p w14:paraId="380CF39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6,996,273</w:t>
            </w:r>
          </w:p>
        </w:tc>
        <w:tc>
          <w:tcPr>
            <w:tcW w:w="589" w:type="pct"/>
          </w:tcPr>
          <w:p w14:paraId="63EAF89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540,000</w:t>
            </w:r>
          </w:p>
        </w:tc>
        <w:tc>
          <w:tcPr>
            <w:tcW w:w="589" w:type="pct"/>
          </w:tcPr>
          <w:p w14:paraId="484EE2C3"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6,608,580</w:t>
            </w:r>
          </w:p>
        </w:tc>
        <w:tc>
          <w:tcPr>
            <w:tcW w:w="550" w:type="pct"/>
          </w:tcPr>
          <w:p w14:paraId="155E37FF"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335,249</w:t>
            </w:r>
          </w:p>
        </w:tc>
        <w:tc>
          <w:tcPr>
            <w:tcW w:w="436" w:type="pct"/>
            <w:gridSpan w:val="2"/>
          </w:tcPr>
          <w:p w14:paraId="5A96ED5A"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94%</w:t>
            </w:r>
          </w:p>
        </w:tc>
        <w:tc>
          <w:tcPr>
            <w:tcW w:w="512" w:type="pct"/>
          </w:tcPr>
          <w:p w14:paraId="6B1C8CFB" w14:textId="77777777" w:rsidR="005139C5" w:rsidRPr="002E06C4" w:rsidRDefault="005139C5" w:rsidP="0080499B">
            <w:pPr>
              <w:shd w:val="clear" w:color="auto" w:fill="FFFFFF" w:themeFill="background1"/>
              <w:spacing w:line="360"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62%</w:t>
            </w:r>
          </w:p>
        </w:tc>
      </w:tr>
      <w:tr w:rsidR="005139C5" w:rsidRPr="002E06C4" w14:paraId="37B49E3E" w14:textId="77777777" w:rsidTr="0080499B">
        <w:trPr>
          <w:trHeight w:val="188"/>
          <w:jc w:val="center"/>
        </w:trPr>
        <w:tc>
          <w:tcPr>
            <w:tcW w:w="254" w:type="pct"/>
          </w:tcPr>
          <w:p w14:paraId="1BCFD38C"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p>
        </w:tc>
        <w:tc>
          <w:tcPr>
            <w:tcW w:w="1480" w:type="pct"/>
            <w:gridSpan w:val="2"/>
          </w:tcPr>
          <w:p w14:paraId="0EF370D6" w14:textId="77777777" w:rsidR="005139C5" w:rsidRPr="002E06C4" w:rsidRDefault="005139C5" w:rsidP="0080499B">
            <w:pPr>
              <w:shd w:val="clear" w:color="auto" w:fill="FFFFFF" w:themeFill="background1"/>
              <w:spacing w:line="276" w:lineRule="auto"/>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590" w:type="pct"/>
          </w:tcPr>
          <w:p w14:paraId="2C3C8674"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589" w:type="pct"/>
          </w:tcPr>
          <w:p w14:paraId="28FED946"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250,000</w:t>
            </w:r>
          </w:p>
        </w:tc>
        <w:tc>
          <w:tcPr>
            <w:tcW w:w="589" w:type="pct"/>
          </w:tcPr>
          <w:p w14:paraId="53E210B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550" w:type="pct"/>
          </w:tcPr>
          <w:p w14:paraId="22A7545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220,215</w:t>
            </w:r>
          </w:p>
        </w:tc>
        <w:tc>
          <w:tcPr>
            <w:tcW w:w="436" w:type="pct"/>
            <w:gridSpan w:val="2"/>
          </w:tcPr>
          <w:p w14:paraId="085B084A"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p>
        </w:tc>
        <w:tc>
          <w:tcPr>
            <w:tcW w:w="512" w:type="pct"/>
          </w:tcPr>
          <w:p w14:paraId="2759B65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88%</w:t>
            </w:r>
          </w:p>
        </w:tc>
      </w:tr>
      <w:tr w:rsidR="005139C5" w:rsidRPr="002E06C4" w14:paraId="6CFC33E5" w14:textId="77777777" w:rsidTr="0080499B">
        <w:trPr>
          <w:trHeight w:val="287"/>
          <w:jc w:val="center"/>
        </w:trPr>
        <w:tc>
          <w:tcPr>
            <w:tcW w:w="254" w:type="pct"/>
          </w:tcPr>
          <w:p w14:paraId="27276F5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w:t>
            </w:r>
          </w:p>
        </w:tc>
        <w:tc>
          <w:tcPr>
            <w:tcW w:w="1480" w:type="pct"/>
            <w:gridSpan w:val="2"/>
          </w:tcPr>
          <w:p w14:paraId="2EE63225" w14:textId="77777777" w:rsidR="005139C5" w:rsidRPr="002E06C4" w:rsidRDefault="005139C5" w:rsidP="0080499B">
            <w:pPr>
              <w:shd w:val="clear" w:color="auto" w:fill="FFFFFF" w:themeFill="background1"/>
              <w:spacing w:line="276" w:lineRule="auto"/>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Zhvillimi i Sportit dhe Rinisë</w:t>
            </w:r>
          </w:p>
        </w:tc>
        <w:tc>
          <w:tcPr>
            <w:tcW w:w="590" w:type="pct"/>
          </w:tcPr>
          <w:p w14:paraId="501E865D"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412,500</w:t>
            </w:r>
          </w:p>
        </w:tc>
        <w:tc>
          <w:tcPr>
            <w:tcW w:w="589" w:type="pct"/>
          </w:tcPr>
          <w:p w14:paraId="3E157E38"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235,401</w:t>
            </w:r>
          </w:p>
        </w:tc>
        <w:tc>
          <w:tcPr>
            <w:tcW w:w="589" w:type="pct"/>
          </w:tcPr>
          <w:p w14:paraId="5997FB6A"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407,121</w:t>
            </w:r>
          </w:p>
        </w:tc>
        <w:tc>
          <w:tcPr>
            <w:tcW w:w="550" w:type="pct"/>
          </w:tcPr>
          <w:p w14:paraId="3694FFE1"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212,868</w:t>
            </w:r>
          </w:p>
        </w:tc>
        <w:tc>
          <w:tcPr>
            <w:tcW w:w="436" w:type="pct"/>
            <w:gridSpan w:val="2"/>
          </w:tcPr>
          <w:p w14:paraId="0D29239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99 %</w:t>
            </w:r>
          </w:p>
        </w:tc>
        <w:tc>
          <w:tcPr>
            <w:tcW w:w="512" w:type="pct"/>
          </w:tcPr>
          <w:p w14:paraId="7E4660CA"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90%</w:t>
            </w:r>
          </w:p>
        </w:tc>
      </w:tr>
      <w:tr w:rsidR="005139C5" w:rsidRPr="002E06C4" w14:paraId="4AB7C2AC" w14:textId="77777777" w:rsidTr="0080499B">
        <w:trPr>
          <w:trHeight w:val="251"/>
          <w:jc w:val="center"/>
        </w:trPr>
        <w:tc>
          <w:tcPr>
            <w:tcW w:w="254" w:type="pct"/>
          </w:tcPr>
          <w:p w14:paraId="225FC49D"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1480" w:type="pct"/>
            <w:gridSpan w:val="2"/>
          </w:tcPr>
          <w:p w14:paraId="4F068E94" w14:textId="77777777" w:rsidR="005139C5" w:rsidRPr="002E06C4" w:rsidRDefault="005139C5" w:rsidP="0080499B">
            <w:pPr>
              <w:shd w:val="clear" w:color="auto" w:fill="FFFFFF" w:themeFill="background1"/>
              <w:spacing w:line="276" w:lineRule="auto"/>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590" w:type="pct"/>
          </w:tcPr>
          <w:p w14:paraId="4998B1E9"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589" w:type="pct"/>
          </w:tcPr>
          <w:p w14:paraId="01EE11F0"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0</w:t>
            </w:r>
          </w:p>
        </w:tc>
        <w:tc>
          <w:tcPr>
            <w:tcW w:w="589" w:type="pct"/>
          </w:tcPr>
          <w:p w14:paraId="2532D2F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550" w:type="pct"/>
          </w:tcPr>
          <w:p w14:paraId="29D34E95"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0</w:t>
            </w:r>
          </w:p>
        </w:tc>
        <w:tc>
          <w:tcPr>
            <w:tcW w:w="436" w:type="pct"/>
            <w:gridSpan w:val="2"/>
          </w:tcPr>
          <w:p w14:paraId="2A7A6B3E"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b/>
                <w:sz w:val="18"/>
                <w:szCs w:val="18"/>
                <w:lang w:val="sq-AL"/>
              </w:rPr>
            </w:pPr>
          </w:p>
        </w:tc>
        <w:tc>
          <w:tcPr>
            <w:tcW w:w="512" w:type="pct"/>
          </w:tcPr>
          <w:p w14:paraId="3570FD72" w14:textId="77777777" w:rsidR="005139C5" w:rsidRPr="002E06C4" w:rsidRDefault="005139C5" w:rsidP="0080499B">
            <w:pPr>
              <w:shd w:val="clear" w:color="auto" w:fill="FFFFFF" w:themeFill="background1"/>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0%</w:t>
            </w:r>
          </w:p>
        </w:tc>
      </w:tr>
    </w:tbl>
    <w:p w14:paraId="06B42C89" w14:textId="77777777" w:rsidR="005139C5" w:rsidRPr="002E06C4" w:rsidRDefault="005139C5" w:rsidP="005139C5">
      <w:pPr>
        <w:spacing w:line="276" w:lineRule="auto"/>
        <w:jc w:val="both"/>
        <w:rPr>
          <w:rFonts w:asciiTheme="majorHAnsi" w:hAnsiTheme="majorHAnsi" w:cs="Times New Roman"/>
          <w:lang w:val="sq-AL"/>
        </w:rPr>
      </w:pPr>
    </w:p>
    <w:p w14:paraId="491D3466" w14:textId="77777777" w:rsidR="005139C5" w:rsidRPr="002E06C4" w:rsidRDefault="005139C5" w:rsidP="005139C5">
      <w:pPr>
        <w:shd w:val="clear" w:color="auto" w:fill="FFFFFF" w:themeFill="background1"/>
        <w:spacing w:after="120"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Në programin </w:t>
      </w:r>
      <w:r w:rsidRPr="002E06C4">
        <w:rPr>
          <w:rFonts w:asciiTheme="majorHAnsi" w:eastAsia="Times New Roman" w:hAnsiTheme="majorHAnsi" w:cs="Times New Roman"/>
          <w:b/>
          <w:lang w:val="sq-AL"/>
        </w:rPr>
        <w:t>“Arsimi Bazë”</w:t>
      </w:r>
      <w:r w:rsidRPr="002E06C4">
        <w:rPr>
          <w:rFonts w:asciiTheme="majorHAnsi" w:eastAsia="Times New Roman" w:hAnsiTheme="majorHAnsi" w:cs="Times New Roman"/>
          <w:color w:val="000000"/>
          <w:lang w:val="sq-AL"/>
        </w:rPr>
        <w:t xml:space="preserve"> </w:t>
      </w:r>
      <w:r w:rsidRPr="002E06C4">
        <w:rPr>
          <w:rFonts w:asciiTheme="majorHAnsi" w:eastAsia="Times New Roman" w:hAnsiTheme="majorHAnsi" w:cs="Times New Roman"/>
          <w:lang w:val="sq-AL"/>
        </w:rPr>
        <w:t>janë realizuar objektivat si më poshtë:</w:t>
      </w:r>
    </w:p>
    <w:p w14:paraId="0070027A"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Sigurimi i një arsimi cilësor dhe për të gjithë nxënësit duke përmirësuar kushtet e mësimdhënies e mësimnxënies duke siguruar kushte të barabarta për pjesëmarrje në arsimin bazë, për të gjithë fëmijët e grup moshës në arsimin parashkollor dhe atë të detyruar; </w:t>
      </w:r>
    </w:p>
    <w:p w14:paraId="641BB87E"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Arsimi cilësor dhe gjithëpërfshirës me synim plotesimin e standardeve Europiane; </w:t>
      </w:r>
    </w:p>
    <w:p w14:paraId="1681A021"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Rritja e aksesit në Arsimin Parashkollor, përfshirja e 100% e fëmijëve 5 vjeçare në klasat përgatitore; </w:t>
      </w:r>
    </w:p>
    <w:p w14:paraId="05E8D594"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Rritja e viteve të shkollimit;</w:t>
      </w:r>
    </w:p>
    <w:p w14:paraId="50563C19"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 Rritja e autonomise se shkollave; </w:t>
      </w:r>
    </w:p>
    <w:p w14:paraId="174C60CE"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Ulja e nxënësve që braktisin shkollën në Arsimin Bazë;</w:t>
      </w:r>
    </w:p>
    <w:p w14:paraId="682A6A84"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Tërheqia e fëmijëve romë/egjiptian në Arsimin Bazë;</w:t>
      </w:r>
    </w:p>
    <w:p w14:paraId="3E45462F"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Rehabilitimi/ndërtimi i kopshteve /shkollave sipas standardeve; </w:t>
      </w:r>
    </w:p>
    <w:p w14:paraId="02A25910"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Rritja e cilësisë së mësimdhënies, trajnimi i mësuesve, pajisja e shkollave me laborator shkencorë e IT, krijimi i bibliotekave dixhitale për kurrikulën e Arsimin Bazë;</w:t>
      </w:r>
    </w:p>
    <w:p w14:paraId="293F6214"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Shtrirja e shërbimit të punonjësit social dhe psikologut sipas standardeve të krahasuara me ato të vendeve të zhvilluara;</w:t>
      </w:r>
    </w:p>
    <w:p w14:paraId="7FA253A2" w14:textId="77777777" w:rsidR="005139C5" w:rsidRPr="002E06C4" w:rsidRDefault="005139C5" w:rsidP="005139C5">
      <w:pPr>
        <w:shd w:val="clear" w:color="auto" w:fill="FFFFFF" w:themeFill="background1"/>
        <w:spacing w:line="276" w:lineRule="auto"/>
        <w:jc w:val="both"/>
        <w:rPr>
          <w:rFonts w:asciiTheme="majorHAnsi" w:hAnsiTheme="majorHAnsi" w:cs="Times New Roman"/>
          <w:lang w:val="sq-AL"/>
        </w:rPr>
      </w:pPr>
      <w:r w:rsidRPr="002E06C4">
        <w:rPr>
          <w:rFonts w:asciiTheme="majorHAnsi" w:hAnsiTheme="majorHAnsi" w:cs="Times New Roman"/>
          <w:lang w:val="sq-AL"/>
        </w:rPr>
        <w:t>Këto objektiva janë realizuar nëpërmjet produkteve, performanca e të cilave për vitin 2018, është realizuar, si më poshtë:</w:t>
      </w:r>
    </w:p>
    <w:p w14:paraId="116F71CE"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Trajtimin me një kompensim shtesa mbi pagë të punonjësve mësimorë në arsimin parauniversitar, ku përveç pagës, punonjësit mësimorë, që punojnë larg vendbanimit, përfitojnë një kompensim në masën, 2.700 lekë në muaj deri në 5 km larg vendbanimin dhe 6.000 lekë në muaj mbi 5 km larg vendbanimin, duke përfituar rreth 11 400 punonjës mësimorë;</w:t>
      </w:r>
    </w:p>
    <w:p w14:paraId="7B6D9A5D"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Ofrimi i shërbimit të transportit me fonde të buxhetit, për të mbuluar shpenzimet për transportin 30-32 mijë nxënësve dhe fëmijëve që kanë vendbanimi mbi 2 km nga shkolla si dhe transportin e 9 086 mësuesve që punojnë mbi 5 Km nga vendbanimi/qendra e përhershme e punës në shkollë ;</w:t>
      </w:r>
    </w:p>
    <w:p w14:paraId="36C7DA45"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lastRenderedPageBreak/>
        <w:t xml:space="preserve">Ofrimi i teksteve shkollore falas. Për herë të parë janë dhënë tekstet shkollore falas në përdorim për të gjithë nxënësit nga klasa e parë në klasën e katër, si dhe nxënës të 16 kategorve sociale nga klasa e pestë në klasën e nëntë dukë siguruar që rreth 166,898 nxënës të arsimit bazë t për blerjen e teksteve shkollore për rreth 166,898 nxënës të arsimit para-universitar nga shtresat sociale në nevojë shuma e realizuar prej 502.6 milion lekë në vit. </w:t>
      </w:r>
    </w:p>
    <w:p w14:paraId="2C0D65E7"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Ofrimi i kuotës ushqimore, bursa me fonde të buxhetit të shtetit, për të mbuluar shpenzimet për kuotë ushqimore të nxënësve me nevoja të veçanta, për rreth 1400 mijë nxënës të arsimit para-universitar nga shtresat sociale në nevojë. </w:t>
      </w:r>
    </w:p>
    <w:p w14:paraId="190B2AC8"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Rishikimin e kurikulës dhe hartimin e programeve të reja të arsimit para-universitar për veprimtarinë e Institutit të Zhvillimit të Arsimit </w:t>
      </w:r>
    </w:p>
    <w:p w14:paraId="5C7508A8"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Blerjen e  materialeve didaktike mësimore të arsimit para-universitar ku përfitues janë 296.736 nxënës </w:t>
      </w:r>
    </w:p>
    <w:p w14:paraId="10D9F23F"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Mbi arsimin gjithpërfshirës, do të sigurohet arsim cilësor dhe gjithëpërfshirës më synim që 100% e femijëve të grupmoshës 6-16 vjeç të ndjekin arsimin bazë. Rritja e treguesit të regjistrimit me 10-15% fëmijë për nxënësit romë dhe egjiptianë, 10% për nxënësit me aftësi të kufizuar , ndaj vitit paraardhës. Rritja e numrit të mësuesve ndihmës për nxënësit me aftësi të kufizuar.</w:t>
      </w:r>
    </w:p>
    <w:p w14:paraId="142F0CDE"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Mbi shkollat Qendër Komunitare, në vitin 2018, ëshë rritur me 20% numri i shkollave Qendër Komunitare. Nga 225 shkolla aktualisht do të shtohen edhe 50 shkolla te tjera. Çdo shkolle Qendër Komunitare ka 10 orë mësimi në dispozicion për realizimin e aktiviteteve të Qendër Komunitare, çka nënkupton se për 50 shkolla të reja, nevojiten 500 orë mësimore në javë, të cilat do të zhvillohen jashtë procesit mësimor. </w:t>
      </w:r>
    </w:p>
    <w:p w14:paraId="6C0D5A0B" w14:textId="77777777" w:rsidR="005139C5" w:rsidRPr="002E06C4" w:rsidRDefault="005139C5" w:rsidP="006C0253">
      <w:pPr>
        <w:pStyle w:val="ListParagraph"/>
        <w:numPr>
          <w:ilvl w:val="0"/>
          <w:numId w:val="43"/>
        </w:numPr>
        <w:shd w:val="clear" w:color="auto" w:fill="FFFFFF" w:themeFill="background1"/>
        <w:spacing w:after="120"/>
        <w:jc w:val="both"/>
        <w:rPr>
          <w:rFonts w:asciiTheme="majorHAnsi" w:hAnsiTheme="majorHAnsi" w:cs="Times New Roman"/>
          <w:color w:val="000000"/>
          <w:lang w:val="sq-AL"/>
        </w:rPr>
      </w:pPr>
      <w:r w:rsidRPr="002E06C4">
        <w:rPr>
          <w:rFonts w:asciiTheme="majorHAnsi" w:hAnsiTheme="majorHAnsi" w:cs="Times New Roman"/>
          <w:color w:val="000000"/>
          <w:lang w:val="sq-AL"/>
        </w:rPr>
        <w:t xml:space="preserve">U realizua testimi sipas portalit “Mësues për Shqipërinë”. U hartuan 20 programe orientuese, u hartuan 40 teste sipas profileve, u përgatitën 3110 teste sipas profileve, u realizua testimi për 3110 mësues. </w:t>
      </w:r>
    </w:p>
    <w:p w14:paraId="57443714" w14:textId="77777777" w:rsidR="005139C5" w:rsidRPr="002E06C4" w:rsidRDefault="005139C5" w:rsidP="005139C5">
      <w:pPr>
        <w:shd w:val="clear" w:color="auto" w:fill="FFFFFF" w:themeFill="background1"/>
        <w:autoSpaceDE w:val="0"/>
        <w:autoSpaceDN w:val="0"/>
        <w:adjustRightInd w:val="0"/>
        <w:ind w:left="360"/>
        <w:jc w:val="both"/>
        <w:rPr>
          <w:rFonts w:asciiTheme="majorHAnsi" w:eastAsia="Batang" w:hAnsiTheme="majorHAnsi"/>
          <w:color w:val="000000"/>
          <w:lang w:val="sq-AL" w:eastAsia="ko-KR"/>
        </w:rPr>
      </w:pPr>
    </w:p>
    <w:p w14:paraId="6F01E76F" w14:textId="77777777" w:rsidR="005139C5" w:rsidRPr="002E06C4" w:rsidRDefault="005139C5" w:rsidP="005139C5">
      <w:pPr>
        <w:shd w:val="clear" w:color="auto" w:fill="FFFFFF" w:themeFill="background1"/>
        <w:spacing w:after="120"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Në programin </w:t>
      </w:r>
      <w:r w:rsidRPr="002E06C4">
        <w:rPr>
          <w:rFonts w:asciiTheme="majorHAnsi" w:eastAsia="Times New Roman" w:hAnsiTheme="majorHAnsi" w:cs="Times New Roman"/>
          <w:b/>
          <w:lang w:val="sq-AL"/>
        </w:rPr>
        <w:t>“Arsimi Mesëm i Përgjithshëm”</w:t>
      </w:r>
      <w:r w:rsidRPr="002E06C4">
        <w:rPr>
          <w:rFonts w:asciiTheme="majorHAnsi" w:eastAsia="Times New Roman" w:hAnsiTheme="majorHAnsi" w:cs="Times New Roman"/>
          <w:color w:val="000000"/>
          <w:lang w:val="sq-AL"/>
        </w:rPr>
        <w:t xml:space="preserve"> </w:t>
      </w:r>
      <w:r w:rsidRPr="002E06C4">
        <w:rPr>
          <w:rFonts w:asciiTheme="majorHAnsi" w:eastAsia="Times New Roman" w:hAnsiTheme="majorHAnsi" w:cs="Times New Roman"/>
          <w:lang w:val="sq-AL"/>
        </w:rPr>
        <w:t>janë realizuar objektivat e:</w:t>
      </w:r>
    </w:p>
    <w:p w14:paraId="3718801D" w14:textId="77777777" w:rsidR="005139C5" w:rsidRPr="002E06C4" w:rsidRDefault="005139C5" w:rsidP="006C0253">
      <w:pPr>
        <w:pStyle w:val="ListParagraph"/>
        <w:numPr>
          <w:ilvl w:val="0"/>
          <w:numId w:val="44"/>
        </w:numPr>
        <w:shd w:val="clear" w:color="auto" w:fill="FFFFFF" w:themeFill="background1"/>
        <w:autoSpaceDE w:val="0"/>
        <w:autoSpaceDN w:val="0"/>
        <w:adjustRightInd w:val="0"/>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 xml:space="preserve">Nxënës që përfundojnë  arsimin bazë të regjistrohen dhe ndjekin arsimin e mesëm të lartë </w:t>
      </w:r>
    </w:p>
    <w:p w14:paraId="41F7BCDD" w14:textId="77777777" w:rsidR="005139C5" w:rsidRPr="002E06C4" w:rsidRDefault="005139C5" w:rsidP="006C0253">
      <w:pPr>
        <w:pStyle w:val="ListParagraph"/>
        <w:numPr>
          <w:ilvl w:val="0"/>
          <w:numId w:val="44"/>
        </w:numPr>
        <w:shd w:val="clear" w:color="auto" w:fill="FFFFFF" w:themeFill="background1"/>
        <w:autoSpaceDE w:val="0"/>
        <w:autoSpaceDN w:val="0"/>
        <w:adjustRightInd w:val="0"/>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 xml:space="preserve">Zbatimi i kurrikules së re dhe trajnimi i mësuesve të klasës së 11 në gjimnaze dhe shkollat social-kulturore, si dhe zbatimi i sistemit të ri të zhvillimit profesional. </w:t>
      </w:r>
    </w:p>
    <w:p w14:paraId="58154C71" w14:textId="77777777" w:rsidR="005139C5" w:rsidRPr="002E06C4" w:rsidRDefault="005139C5" w:rsidP="006C0253">
      <w:pPr>
        <w:pStyle w:val="ListParagraph"/>
        <w:numPr>
          <w:ilvl w:val="0"/>
          <w:numId w:val="45"/>
        </w:numPr>
        <w:shd w:val="clear" w:color="auto" w:fill="FFFFFF" w:themeFill="background1"/>
        <w:autoSpaceDE w:val="0"/>
        <w:autoSpaceDN w:val="0"/>
        <w:adjustRightInd w:val="0"/>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 xml:space="preserve">Realizimi i Maturës Shtetërore 2018, realizimi i testimit "Mësues per Shqipërinë", në formë elektronikë </w:t>
      </w:r>
    </w:p>
    <w:p w14:paraId="442262F1" w14:textId="77777777" w:rsidR="005139C5" w:rsidRPr="002E06C4" w:rsidRDefault="005139C5" w:rsidP="006C0253">
      <w:pPr>
        <w:pStyle w:val="ListParagraph"/>
        <w:numPr>
          <w:ilvl w:val="0"/>
          <w:numId w:val="45"/>
        </w:numPr>
        <w:shd w:val="clear" w:color="auto" w:fill="FFFFFF" w:themeFill="background1"/>
        <w:spacing w:after="120"/>
        <w:jc w:val="both"/>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Përmirësimi i infrastrukturës ekzistuese në arsimin e mesëm, rehabilitimi i klasave në gjimnaze në zonat urbane, shtimi i klasave të reja në zonat urbane, pajisja me mjete didaktike për Fizikë-Kimi-Biologji të shkollave të mesme, pajisja e shkollave me klasa mësimore inteligjente/ digjitale, si dhe pasurimi i bibliotekave në të gjitha shkollat.</w:t>
      </w:r>
    </w:p>
    <w:p w14:paraId="763A93DC" w14:textId="77777777" w:rsidR="005139C5" w:rsidRPr="002E06C4" w:rsidRDefault="005139C5" w:rsidP="005139C5">
      <w:pPr>
        <w:pStyle w:val="ListParagraph"/>
        <w:shd w:val="clear" w:color="auto" w:fill="FFFFFF" w:themeFill="background1"/>
        <w:jc w:val="both"/>
        <w:rPr>
          <w:rFonts w:asciiTheme="majorHAnsi" w:eastAsia="Batang" w:hAnsiTheme="majorHAnsi" w:cs="Times New Roman"/>
          <w:color w:val="000000"/>
          <w:sz w:val="8"/>
          <w:szCs w:val="8"/>
          <w:lang w:val="sq-AL" w:eastAsia="ko-KR"/>
        </w:rPr>
      </w:pPr>
    </w:p>
    <w:p w14:paraId="404756BC" w14:textId="77777777" w:rsidR="005139C5" w:rsidRPr="002E06C4" w:rsidRDefault="005139C5" w:rsidP="005139C5">
      <w:pPr>
        <w:shd w:val="clear" w:color="auto" w:fill="FFFFFF" w:themeFill="background1"/>
        <w:jc w:val="both"/>
        <w:rPr>
          <w:rFonts w:asciiTheme="majorHAnsi" w:hAnsiTheme="majorHAnsi" w:cs="Times New Roman"/>
          <w:lang w:val="sq-AL"/>
        </w:rPr>
      </w:pPr>
      <w:r w:rsidRPr="002E06C4">
        <w:rPr>
          <w:rFonts w:asciiTheme="majorHAnsi" w:hAnsiTheme="majorHAnsi" w:cs="Times New Roman"/>
          <w:lang w:val="sq-AL"/>
        </w:rPr>
        <w:t>Këto objektiva janë realizuar nëpërmjet produkteve, performanca e të cilave për vitin 2018, është realizuar, si më poshtë:</w:t>
      </w:r>
    </w:p>
    <w:p w14:paraId="0BD72EDC" w14:textId="77777777" w:rsidR="005139C5" w:rsidRPr="002E06C4" w:rsidRDefault="005139C5" w:rsidP="006C0253">
      <w:pPr>
        <w:pStyle w:val="ListParagraph"/>
        <w:numPr>
          <w:ilvl w:val="0"/>
          <w:numId w:val="45"/>
        </w:numPr>
        <w:shd w:val="clear" w:color="auto" w:fill="FFFFFF" w:themeFill="background1"/>
        <w:spacing w:after="120"/>
        <w:jc w:val="both"/>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 xml:space="preserve">Në vitin shkollor 2017-2018, afro 96,6% e nxënësve që përfunduan arsimin e detyrueshëm u regjistruan në arsimin e mesëm. Në këtë vit shkollor marrin shërbim arsimor në arsimin e mesëm 120,062 nxënës, respektivisht 20,605 në arsimin e mesëm profesional dhe 99,457 vijojnë gjimnazin dhe arsimin e mesëm të orientuar. </w:t>
      </w:r>
    </w:p>
    <w:p w14:paraId="592D691D" w14:textId="77777777" w:rsidR="005139C5" w:rsidRPr="002E06C4" w:rsidRDefault="005139C5" w:rsidP="006C0253">
      <w:pPr>
        <w:pStyle w:val="ListParagraph"/>
        <w:numPr>
          <w:ilvl w:val="0"/>
          <w:numId w:val="45"/>
        </w:numPr>
        <w:shd w:val="clear" w:color="auto" w:fill="FFFFFF" w:themeFill="background1"/>
        <w:spacing w:after="120"/>
        <w:jc w:val="both"/>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Në procesin e kualifikimit për vitin 2018, morën pjesë 2950 mësues të të gjitha cikleve dhe drejtues të shkollave të arsimit bazë dhe të mesëm.</w:t>
      </w:r>
    </w:p>
    <w:p w14:paraId="3E266A68" w14:textId="77777777" w:rsidR="005139C5" w:rsidRPr="002E06C4" w:rsidRDefault="005139C5" w:rsidP="006C0253">
      <w:pPr>
        <w:pStyle w:val="ListParagraph"/>
        <w:numPr>
          <w:ilvl w:val="0"/>
          <w:numId w:val="45"/>
        </w:numPr>
        <w:shd w:val="clear" w:color="auto" w:fill="FFFFFF" w:themeFill="background1"/>
        <w:spacing w:after="120"/>
        <w:jc w:val="both"/>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 xml:space="preserve">Plotësimi i paketës kurrikulare sipas qasjes me bazë kompetencat në arsimin e mesëm të lartë ka të bëjë me hartimin e udhëzuesve kurrikularë lëndorë. Këta udhëzues janë hartuar sipas profileve </w:t>
      </w:r>
      <w:r w:rsidRPr="002E06C4">
        <w:rPr>
          <w:rFonts w:asciiTheme="majorHAnsi" w:eastAsia="Batang" w:hAnsiTheme="majorHAnsi" w:cs="Times New Roman"/>
          <w:color w:val="000000"/>
          <w:lang w:val="sq-AL" w:eastAsia="ko-KR"/>
        </w:rPr>
        <w:lastRenderedPageBreak/>
        <w:t>lëndore në ndihmë të mësuesve të arsimit të mesëm të lartë me shembuj konkretë dhe praktikë për zbatimin e kurikulës në klasat 10-12.</w:t>
      </w:r>
    </w:p>
    <w:p w14:paraId="62CCEEB2" w14:textId="77777777" w:rsidR="005139C5" w:rsidRPr="002E06C4" w:rsidRDefault="005139C5" w:rsidP="006C0253">
      <w:pPr>
        <w:pStyle w:val="ListParagraph"/>
        <w:numPr>
          <w:ilvl w:val="0"/>
          <w:numId w:val="45"/>
        </w:numPr>
        <w:shd w:val="clear" w:color="auto" w:fill="FFFFFF" w:themeFill="background1"/>
        <w:spacing w:after="120"/>
        <w:jc w:val="both"/>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 xml:space="preserve">U hartuan formularët A1 dhe A1Z me udhëzuesit përkatës. </w:t>
      </w:r>
    </w:p>
    <w:p w14:paraId="6AEE177A" w14:textId="77777777" w:rsidR="005139C5" w:rsidRPr="002E06C4" w:rsidRDefault="005139C5" w:rsidP="006C0253">
      <w:pPr>
        <w:pStyle w:val="ListParagraph"/>
        <w:numPr>
          <w:ilvl w:val="0"/>
          <w:numId w:val="45"/>
        </w:numPr>
        <w:shd w:val="clear" w:color="auto" w:fill="FFFFFF" w:themeFill="background1"/>
        <w:spacing w:after="120"/>
        <w:jc w:val="both"/>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U konfigurua sistemi elektronik për realizimin me sukses të procesit të aplikimit të maturantëve dhe kandidatëve, për Maturën Shtetërore 2018.</w:t>
      </w:r>
    </w:p>
    <w:p w14:paraId="4B0783FA" w14:textId="77777777" w:rsidR="005139C5" w:rsidRPr="002E06C4" w:rsidRDefault="005139C5" w:rsidP="006C0253">
      <w:pPr>
        <w:pStyle w:val="ListParagraph"/>
        <w:numPr>
          <w:ilvl w:val="0"/>
          <w:numId w:val="45"/>
        </w:numPr>
        <w:shd w:val="clear" w:color="auto" w:fill="FFFFFF" w:themeFill="background1"/>
        <w:spacing w:after="120"/>
        <w:jc w:val="both"/>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 xml:space="preserve">U monitorua dhe u realizua me sukses, procesi i aplikimit online, në MSH 2018,ku brenda afateve të përcaktuara, u bënë rreth 45.000 aplikime të reja. </w:t>
      </w:r>
    </w:p>
    <w:p w14:paraId="7A5EF3F2" w14:textId="77777777" w:rsidR="005139C5" w:rsidRPr="002E06C4" w:rsidRDefault="005139C5" w:rsidP="006C0253">
      <w:pPr>
        <w:pStyle w:val="ListParagraph"/>
        <w:numPr>
          <w:ilvl w:val="0"/>
          <w:numId w:val="45"/>
        </w:numPr>
        <w:shd w:val="clear" w:color="auto" w:fill="FFFFFF" w:themeFill="background1"/>
        <w:spacing w:after="120"/>
        <w:jc w:val="both"/>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 xml:space="preserve">U prodhuan rreth 40.000 barkode, për procesin e sekretimit në sesionin e II të MSH 2018. </w:t>
      </w:r>
    </w:p>
    <w:p w14:paraId="27C17ADC" w14:textId="77777777" w:rsidR="005139C5" w:rsidRPr="002E06C4" w:rsidRDefault="005139C5" w:rsidP="006C0253">
      <w:pPr>
        <w:pStyle w:val="ListParagraph"/>
        <w:numPr>
          <w:ilvl w:val="0"/>
          <w:numId w:val="45"/>
        </w:numPr>
        <w:shd w:val="clear" w:color="auto" w:fill="FFFFFF" w:themeFill="background1"/>
        <w:spacing w:after="120"/>
        <w:jc w:val="both"/>
        <w:rPr>
          <w:rFonts w:asciiTheme="majorHAnsi" w:eastAsia="Batang" w:hAnsiTheme="majorHAnsi" w:cs="Times New Roman"/>
          <w:color w:val="000000"/>
          <w:lang w:val="sq-AL" w:eastAsia="ko-KR"/>
        </w:rPr>
      </w:pPr>
      <w:r w:rsidRPr="002E06C4">
        <w:rPr>
          <w:rFonts w:asciiTheme="majorHAnsi" w:eastAsia="Batang" w:hAnsiTheme="majorHAnsi" w:cs="Times New Roman"/>
          <w:color w:val="000000"/>
          <w:lang w:val="sq-AL" w:eastAsia="ko-KR"/>
        </w:rPr>
        <w:t xml:space="preserve">Sigurimin dhe përmirësimin e kushteve të infrastrukturës ne mjediset e sistemit para universitar, shmangien dhe reduktimin e zhvillimit të mësimit me turne, reduktimin e numrit të nxënësve për klase, me synim realizimin që të gjithë shkollat në zonat urbane të qyteteve kryesore të vendit të arrihet raporti 30 nxënës/klasë, rehabilitimi infrastrukturor i 9% të klasave në gjimnazeve në zonat urbane, shtimi me 5%-8% i klasave të reja në zonat urbane. </w:t>
      </w:r>
    </w:p>
    <w:p w14:paraId="44930BC9" w14:textId="77777777" w:rsidR="005139C5" w:rsidRPr="002E06C4" w:rsidRDefault="005139C5" w:rsidP="005139C5">
      <w:pPr>
        <w:pStyle w:val="ListParagraph"/>
        <w:shd w:val="clear" w:color="auto" w:fill="FFFFFF" w:themeFill="background1"/>
        <w:autoSpaceDE w:val="0"/>
        <w:autoSpaceDN w:val="0"/>
        <w:adjustRightInd w:val="0"/>
        <w:jc w:val="both"/>
        <w:rPr>
          <w:rFonts w:asciiTheme="majorHAnsi" w:eastAsia="Batang" w:hAnsiTheme="majorHAnsi" w:cs="Times New Roman"/>
          <w:color w:val="000000"/>
          <w:sz w:val="8"/>
          <w:szCs w:val="8"/>
          <w:lang w:val="sq-AL" w:eastAsia="ko-KR"/>
        </w:rPr>
      </w:pPr>
    </w:p>
    <w:p w14:paraId="5837EAE5" w14:textId="77777777" w:rsidR="005139C5" w:rsidRPr="002E06C4" w:rsidRDefault="005139C5" w:rsidP="005139C5">
      <w:pPr>
        <w:pStyle w:val="Default"/>
        <w:shd w:val="clear" w:color="auto" w:fill="FFFFFF" w:themeFill="background1"/>
        <w:jc w:val="both"/>
        <w:rPr>
          <w:rFonts w:asciiTheme="majorHAnsi" w:eastAsia="Times New Roman" w:hAnsiTheme="majorHAnsi"/>
          <w:lang w:val="sq-AL"/>
        </w:rPr>
      </w:pPr>
      <w:r w:rsidRPr="002E06C4">
        <w:rPr>
          <w:rFonts w:asciiTheme="majorHAnsi" w:eastAsia="Times New Roman" w:hAnsiTheme="majorHAnsi"/>
          <w:lang w:val="sq-AL"/>
        </w:rPr>
        <w:t xml:space="preserve">Në programin </w:t>
      </w:r>
      <w:r w:rsidRPr="002E06C4">
        <w:rPr>
          <w:rFonts w:asciiTheme="majorHAnsi" w:eastAsia="Times New Roman" w:hAnsiTheme="majorHAnsi"/>
          <w:b/>
          <w:lang w:val="sq-AL"/>
        </w:rPr>
        <w:t>“Arsimi Lartë”,</w:t>
      </w:r>
      <w:r w:rsidRPr="002E06C4">
        <w:rPr>
          <w:rFonts w:asciiTheme="majorHAnsi" w:eastAsia="Times New Roman" w:hAnsiTheme="majorHAnsi"/>
          <w:lang w:val="sq-AL"/>
        </w:rPr>
        <w:t xml:space="preserve"> </w:t>
      </w:r>
      <w:r w:rsidRPr="002E06C4">
        <w:rPr>
          <w:rFonts w:asciiTheme="majorHAnsi" w:eastAsia="Times New Roman" w:hAnsiTheme="majorHAnsi"/>
          <w:color w:val="auto"/>
          <w:lang w:val="sq-AL" w:eastAsia="en-US"/>
        </w:rPr>
        <w:t xml:space="preserve">gjatë vitit 2018 ka një risi në politikëbërje përmes një procesi të veçantë që u realizua për Reformën e Arsimit të Lartë. Për implementimin e ligjit të arsimit të lartë, ligji nr. 80/2015 “Për arsimin e lartë dhe kërkimin shkencor në institucionet e arsimit të lartë në Republikën e Shqipërisë”, tashmë është gati një reformë tërësore të sistemit të arsimit të lartë, e cila synon rritjen e cilësisë në të gjithë sistemin, pa cenuar aspak mundësitë e të rinjve për t’u arsimuar, </w:t>
      </w:r>
      <w:r w:rsidRPr="002E06C4">
        <w:rPr>
          <w:rFonts w:asciiTheme="majorHAnsi" w:eastAsia="Times New Roman" w:hAnsiTheme="majorHAnsi"/>
          <w:b/>
          <w:color w:val="auto"/>
          <w:lang w:val="sq-AL" w:eastAsia="en-US"/>
        </w:rPr>
        <w:t xml:space="preserve">duke </w:t>
      </w:r>
      <w:r w:rsidRPr="002E06C4">
        <w:rPr>
          <w:rFonts w:asciiTheme="majorHAnsi" w:eastAsia="Times New Roman" w:hAnsiTheme="majorHAnsi"/>
          <w:b/>
          <w:lang w:val="sq-AL"/>
        </w:rPr>
        <w:t>realizuar objektivat</w:t>
      </w:r>
      <w:r w:rsidRPr="002E06C4">
        <w:rPr>
          <w:rFonts w:asciiTheme="majorHAnsi" w:eastAsia="Times New Roman" w:hAnsiTheme="majorHAnsi"/>
          <w:lang w:val="sq-AL"/>
        </w:rPr>
        <w:t xml:space="preserve"> :</w:t>
      </w:r>
    </w:p>
    <w:p w14:paraId="743B3AF7"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lang w:val="sq-AL"/>
        </w:rPr>
      </w:pPr>
      <w:r w:rsidRPr="002E06C4">
        <w:rPr>
          <w:rFonts w:asciiTheme="majorHAnsi" w:hAnsiTheme="majorHAnsi" w:cs="Times New Roman"/>
          <w:lang w:val="sq-AL"/>
        </w:rPr>
        <w:t>Akreditimin institucional të të gjithave IAL-ve nga një agjenci e huaj, anëtare e ENQA-s, akreditimi i të gjithë programeve të studimit brenda afatit për akreditim. Reformim i mekanizmave të kontrollit të cilësisë: rishikim i standardeve shtetërore të cilësisë konform atyre të HEAL, ndërtimi i instrumentave të llogaridhënies publike të universiteteve dhe transparencës në linjë me rritjen e autonomisë. Përgatitja e kuadrit nënligjor dhe atij institucional të reformës financiare dhe institucionale në AL bazuar në standardet dhe kriteret e EHEA. Përafrimi i kurrikulave të programeve të studimit të mësuesisë dhe pilotimi i këtij procesi;</w:t>
      </w:r>
    </w:p>
    <w:p w14:paraId="1F520587"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i/>
          <w:iCs/>
          <w:color w:val="000000"/>
          <w:lang w:val="sq-AL"/>
        </w:rPr>
      </w:pPr>
      <w:r w:rsidRPr="002E06C4">
        <w:rPr>
          <w:rFonts w:asciiTheme="majorHAnsi" w:hAnsiTheme="majorHAnsi" w:cs="Times New Roman"/>
          <w:lang w:val="sq-AL"/>
        </w:rPr>
        <w:t xml:space="preserve">Implementim të kuadrit ligjor dhe institucional të reformës financiare në IAL. Fillimi i procesit të renditjes së IAL-ve më qëllim financimin e tyre. Rivlerësim i KSHK dhe i ligjit të ri për KSHK dhe përgatitja e manualit përkatës. Përgatitja e kuadrit nënligjor për kodifikimin e programeve të studimit dhe përmbajtjes së tyre në nivel kombëtar duke parashikuar aty rezultatet e të nxënit, si dhe mbështetur dhe në KSHK dhe standardet evropiane; </w:t>
      </w:r>
    </w:p>
    <w:p w14:paraId="28AABFD2"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lang w:val="sq-AL"/>
        </w:rPr>
      </w:pPr>
      <w:r w:rsidRPr="002E06C4">
        <w:rPr>
          <w:rFonts w:asciiTheme="majorHAnsi" w:hAnsiTheme="majorHAnsi" w:cs="Times New Roman"/>
          <w:lang w:val="sq-AL"/>
        </w:rPr>
        <w:t xml:space="preserve">Rritjes së kapaciteteve akademike dhe kërkimore të stafit të IAL-ve në përmbushje të standardeve akademike të parashikuara në ligjin e ri të arsimit të lartë në RSH. Rishikimi i skemës së promovimit për tituj e grada, sipas praktikave perëndimore dhe duke i dhënë rëndësi veç të tjerave dhe pjesëmarrjes në projekte ndërkombëtare dhe të ardhurave të siguruara nga projektet për IAL-në. </w:t>
      </w:r>
    </w:p>
    <w:p w14:paraId="398DA279"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lang w:val="sq-AL"/>
        </w:rPr>
      </w:pPr>
      <w:r w:rsidRPr="002E06C4">
        <w:rPr>
          <w:rFonts w:asciiTheme="majorHAnsi" w:hAnsiTheme="majorHAnsi" w:cs="Times New Roman"/>
          <w:lang w:val="sq-AL"/>
        </w:rPr>
        <w:t xml:space="preserve">Rritjes së standardeve dhe kapaciteteve për mësimdhënie dhe kërkim shkencor. Implementimi i regjistrit elektronik kombëtar të diplomave universitare, si dhe i një databaze kombëtar për regjistrin e studentëve, të dhënat e karrierës akademike, diplomimit, provimet e shtetit, të dhënat e stafit akademik, etj. Realizimi i aplikimit online për njohjen e diplomave dhe ofrimit të një shërbimi cilësor, si dhe krijimi i databaze kombëtar të titujve dhe gradave shkencore. Ofrimi i gjuhëve të huaja falas për studentët. </w:t>
      </w:r>
    </w:p>
    <w:p w14:paraId="099EC4DE"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lang w:val="sq-AL"/>
        </w:rPr>
      </w:pPr>
      <w:r w:rsidRPr="002E06C4">
        <w:rPr>
          <w:rFonts w:asciiTheme="majorHAnsi" w:hAnsiTheme="majorHAnsi" w:cs="Times New Roman"/>
          <w:lang w:val="sq-AL"/>
        </w:rPr>
        <w:t xml:space="preserve">Implementimit të skemës së re të pranimit në IAL dhe vendosja e prioriteteve kombëtare për pranimin e studenteve, përfshirë programet e studimit STEM dhe ato profesionale 2-vjeçare, aksesin në arsimin e lartë, sipas meritës, pavarësisht nga mundësitë financiare të individëve. Mbështetje e mobilitetit të studentëve e pedagogëve dhe ndërkombëtarizimit të arsimit të lartë. Plotësimi i kuadrit ligjor dhe institucional i reformës financiare në IAL. </w:t>
      </w:r>
    </w:p>
    <w:p w14:paraId="2AF32203"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lang w:val="sq-AL"/>
        </w:rPr>
      </w:pPr>
      <w:r w:rsidRPr="002E06C4">
        <w:rPr>
          <w:rFonts w:asciiTheme="majorHAnsi" w:hAnsiTheme="majorHAnsi" w:cs="Times New Roman"/>
          <w:lang w:val="sq-AL"/>
        </w:rPr>
        <w:lastRenderedPageBreak/>
        <w:t>Realizimit të politikave të përfshirjes sociale dhe aksesit të gjerë në AL nëpërmjet skemës së kredi dhënies studentore dhe mbështetjes financiare me bursa për kategoritë në nevojë, si dhe heqjen e barrierave arkitektonike në IAL. Krijimi i këshillave studentore dhe Këshillit Kombëtar Studentor.</w:t>
      </w:r>
    </w:p>
    <w:p w14:paraId="4C6C8AC1" w14:textId="77777777" w:rsidR="005139C5" w:rsidRPr="002E06C4" w:rsidRDefault="005139C5" w:rsidP="005139C5">
      <w:pPr>
        <w:shd w:val="clear" w:color="auto" w:fill="FFFFFF" w:themeFill="background1"/>
        <w:spacing w:line="276" w:lineRule="auto"/>
        <w:jc w:val="both"/>
        <w:rPr>
          <w:rFonts w:asciiTheme="majorHAnsi" w:hAnsiTheme="majorHAnsi" w:cs="Times New Roman"/>
          <w:lang w:val="sq-AL"/>
        </w:rPr>
      </w:pPr>
    </w:p>
    <w:p w14:paraId="7B13FAC2" w14:textId="77777777" w:rsidR="005139C5" w:rsidRPr="002E06C4" w:rsidRDefault="005139C5" w:rsidP="005139C5">
      <w:pPr>
        <w:shd w:val="clear" w:color="auto" w:fill="FFFFFF" w:themeFill="background1"/>
        <w:spacing w:line="276" w:lineRule="auto"/>
        <w:jc w:val="both"/>
        <w:rPr>
          <w:rFonts w:asciiTheme="majorHAnsi" w:hAnsiTheme="majorHAnsi" w:cs="Times New Roman"/>
          <w:lang w:val="sq-AL"/>
        </w:rPr>
      </w:pPr>
      <w:r w:rsidRPr="002E06C4">
        <w:rPr>
          <w:rFonts w:asciiTheme="majorHAnsi" w:hAnsiTheme="majorHAnsi" w:cs="Times New Roman"/>
          <w:lang w:val="sq-AL"/>
        </w:rPr>
        <w:t>Këto objektiva janë realizuar nëpërmjet produkteve, performanca e të cilave për vitin 2018, është realizuar, si më poshtë:</w:t>
      </w:r>
    </w:p>
    <w:p w14:paraId="4887CCDA"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lang w:val="sq-AL"/>
        </w:rPr>
      </w:pPr>
      <w:r w:rsidRPr="002E06C4">
        <w:rPr>
          <w:rFonts w:asciiTheme="majorHAnsi" w:hAnsiTheme="majorHAnsi" w:cs="Times New Roman"/>
          <w:lang w:val="sq-AL"/>
        </w:rPr>
        <w:t>Agjencia Publike e Akreditimit të Arsimit të Lartë gjatë vitit shkollor 2017-2018 për akreditimi institucional i të gjitha Institucioneve të arsimit të Lartë në Shqipëri, ka aktivizuar ekspertë të kualifikuar akademikë për vlerësimin e programeve në arsimin e lartë. Gjatë vitit 2018, janë hartuar dokumenta standarde për vlerësim. Vlerësimi është kryer nga një grup ekspertësh, 8 britanikë dhe 4 vendas;</w:t>
      </w:r>
    </w:p>
    <w:p w14:paraId="1CCAA216"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lang w:val="sq-AL"/>
        </w:rPr>
      </w:pPr>
      <w:r w:rsidRPr="002E06C4">
        <w:rPr>
          <w:rFonts w:asciiTheme="majorHAnsi" w:hAnsiTheme="majorHAnsi" w:cs="Times New Roman"/>
          <w:lang w:val="sq-AL"/>
        </w:rPr>
        <w:t>Hartimi i akteve nënligjore, në dhe për zbatim të ligjit nr. 80/2015, “Për arsimin e lartë dhe kërkimin shkencor në institucionet e arsimit të lartë në Republikën e Shqipërisë”;</w:t>
      </w:r>
    </w:p>
    <w:p w14:paraId="24B8E622"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lang w:val="sq-AL"/>
        </w:rPr>
      </w:pPr>
      <w:r w:rsidRPr="002E06C4">
        <w:rPr>
          <w:rFonts w:asciiTheme="majorHAnsi" w:hAnsiTheme="majorHAnsi" w:cs="Times New Roman"/>
          <w:lang w:val="sq-AL"/>
        </w:rPr>
        <w:t xml:space="preserve">Ndërmarrja e paketës për studentët ku synimi kryesor, ka qënë i fokuasur në financimin me bursa i studentëve me notën mesatare 9 deri në 10-të, i studentëve nga kategorive sociale në nevojë, si dhe përjashtimi 100 % nga tarifa vjetore e shkollimit apo reduktimi në masën 50% nga trifa vjetore e shkollimit për studentët e ciklit të dytë për vitin akademik 2018-2019; </w:t>
      </w:r>
    </w:p>
    <w:p w14:paraId="64616C68" w14:textId="77777777" w:rsidR="005139C5" w:rsidRPr="002E06C4" w:rsidRDefault="005139C5" w:rsidP="006C0253">
      <w:pPr>
        <w:pStyle w:val="ListParagraph"/>
        <w:numPr>
          <w:ilvl w:val="0"/>
          <w:numId w:val="46"/>
        </w:numPr>
        <w:shd w:val="clear" w:color="auto" w:fill="FFFFFF" w:themeFill="background1"/>
        <w:autoSpaceDE w:val="0"/>
        <w:autoSpaceDN w:val="0"/>
        <w:adjustRightInd w:val="0"/>
        <w:jc w:val="both"/>
        <w:rPr>
          <w:rFonts w:asciiTheme="majorHAnsi" w:hAnsiTheme="majorHAnsi" w:cs="Times New Roman"/>
          <w:lang w:val="sq-AL"/>
        </w:rPr>
      </w:pPr>
      <w:r w:rsidRPr="002E06C4">
        <w:rPr>
          <w:rFonts w:asciiTheme="majorHAnsi" w:hAnsiTheme="majorHAnsi" w:cs="Times New Roman"/>
          <w:lang w:val="sq-AL"/>
        </w:rPr>
        <w:t>Në Agjencinë Kombëtare të Provimeve është ndërtuar baza elektronike e të dhënave të arsimit të lartë, që përfshin Regjistrin Kombëtar të Studentëve, ku çdo student i regjistruar në cdo shkollë të lartë, publike apo private, duke filluar që nga viti akademik 2011-2012, në të tri ciklet e studimeve universitare do të ketë numrin kombëtar të identifikimit, përvec atij që që ka marrë në universitetin ku studjon;</w:t>
      </w:r>
    </w:p>
    <w:p w14:paraId="0888CB9E" w14:textId="77777777" w:rsidR="005139C5" w:rsidRPr="002E06C4" w:rsidRDefault="005139C5" w:rsidP="005139C5">
      <w:pPr>
        <w:pStyle w:val="ListParagraph"/>
        <w:shd w:val="clear" w:color="auto" w:fill="FFFFFF" w:themeFill="background1"/>
        <w:autoSpaceDE w:val="0"/>
        <w:autoSpaceDN w:val="0"/>
        <w:adjustRightInd w:val="0"/>
        <w:jc w:val="both"/>
        <w:rPr>
          <w:rFonts w:asciiTheme="majorHAnsi" w:eastAsiaTheme="minorHAnsi" w:hAnsiTheme="majorHAnsi" w:cs="Times New Roman"/>
          <w:lang w:val="sq-AL"/>
        </w:rPr>
      </w:pPr>
    </w:p>
    <w:p w14:paraId="02F82D37" w14:textId="77777777" w:rsidR="005139C5" w:rsidRPr="002E06C4" w:rsidRDefault="005139C5" w:rsidP="005139C5">
      <w:pPr>
        <w:shd w:val="clear" w:color="auto" w:fill="FFFFFF" w:themeFill="background1"/>
        <w:spacing w:after="120"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lang w:val="sq-AL"/>
        </w:rPr>
        <w:t xml:space="preserve">Në programin </w:t>
      </w:r>
      <w:r w:rsidRPr="002E06C4">
        <w:rPr>
          <w:rFonts w:asciiTheme="majorHAnsi" w:eastAsia="Times New Roman" w:hAnsiTheme="majorHAnsi" w:cs="Times New Roman"/>
          <w:b/>
          <w:lang w:val="sq-AL"/>
        </w:rPr>
        <w:t>“Zhvillimi i Sportit dhe Rinisë”</w:t>
      </w:r>
      <w:r w:rsidRPr="002E06C4">
        <w:rPr>
          <w:rFonts w:asciiTheme="majorHAnsi" w:eastAsia="Times New Roman" w:hAnsiTheme="majorHAnsi" w:cs="Times New Roman"/>
          <w:color w:val="000000"/>
          <w:lang w:val="sq-AL"/>
        </w:rPr>
        <w:t xml:space="preserve"> </w:t>
      </w:r>
      <w:r w:rsidRPr="002E06C4">
        <w:rPr>
          <w:rFonts w:asciiTheme="majorHAnsi" w:eastAsia="Times New Roman" w:hAnsiTheme="majorHAnsi" w:cs="Times New Roman"/>
          <w:lang w:val="sq-AL"/>
        </w:rPr>
        <w:t>janë realizuar objektivat :</w:t>
      </w:r>
    </w:p>
    <w:p w14:paraId="05EB4F08" w14:textId="77777777" w:rsidR="005139C5" w:rsidRPr="002E06C4" w:rsidRDefault="005139C5" w:rsidP="006C0253">
      <w:pPr>
        <w:pStyle w:val="ListParagraph"/>
        <w:numPr>
          <w:ilvl w:val="0"/>
          <w:numId w:val="47"/>
        </w:numPr>
        <w:shd w:val="clear" w:color="auto" w:fill="FFFFFF" w:themeFill="background1"/>
        <w:autoSpaceDE w:val="0"/>
        <w:autoSpaceDN w:val="0"/>
        <w:adjustRightInd w:val="0"/>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Sigurimi i mbështetjes financiare për federatat Olimpike dhe jo Olimpike në aktivitete, Evropiane, Boterore dhe Ballkanike, në përputhje me parimet e barazise gjinore. </w:t>
      </w:r>
    </w:p>
    <w:p w14:paraId="2F43944A" w14:textId="77777777" w:rsidR="005139C5" w:rsidRPr="002E06C4" w:rsidRDefault="005139C5" w:rsidP="006C0253">
      <w:pPr>
        <w:pStyle w:val="ListParagraph"/>
        <w:numPr>
          <w:ilvl w:val="0"/>
          <w:numId w:val="47"/>
        </w:numPr>
        <w:shd w:val="clear" w:color="auto" w:fill="FFFFFF" w:themeFill="background1"/>
        <w:autoSpaceDE w:val="0"/>
        <w:autoSpaceDN w:val="0"/>
        <w:adjustRightInd w:val="0"/>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Rritja e mbështetjes financiare për aktiviteteve kombëtare dhe ndërkombetare për Federatat Sportive, rritja e % për sportin në fondin kombëtar të zhvillimit të Sportit, në të gjithat disiplinat sportive, sipas kalendarëve të aktiviteteve. </w:t>
      </w:r>
    </w:p>
    <w:p w14:paraId="4E9CB610" w14:textId="77777777" w:rsidR="005139C5" w:rsidRPr="002E06C4" w:rsidRDefault="005139C5" w:rsidP="006C0253">
      <w:pPr>
        <w:pStyle w:val="ListParagraph"/>
        <w:numPr>
          <w:ilvl w:val="0"/>
          <w:numId w:val="47"/>
        </w:numPr>
        <w:shd w:val="clear" w:color="auto" w:fill="FFFFFF" w:themeFill="background1"/>
        <w:autoSpaceDE w:val="0"/>
        <w:autoSpaceDN w:val="0"/>
        <w:adjustRightInd w:val="0"/>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Mbështetja financiare me investime për ristrukturimin/ ndërtimin dhe pajisjen e objekteve sportive, në funksion të përmirësimit të kushteve, për nxitjen rritjen e numrit të ushtruesve në sport. Implementimi i marveshjeve në kuadër të kthimit të shkollës në qendër komunitare në disa disiplina sportive; </w:t>
      </w:r>
    </w:p>
    <w:p w14:paraId="6D015093" w14:textId="77777777" w:rsidR="005139C5" w:rsidRPr="002E06C4" w:rsidRDefault="005139C5" w:rsidP="006C0253">
      <w:pPr>
        <w:pStyle w:val="ListParagraph"/>
        <w:numPr>
          <w:ilvl w:val="0"/>
          <w:numId w:val="48"/>
        </w:numPr>
        <w:shd w:val="clear" w:color="auto" w:fill="FFFFFF" w:themeFill="background1"/>
        <w:autoSpaceDE w:val="0"/>
        <w:autoSpaceDN w:val="0"/>
        <w:adjustRightInd w:val="0"/>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Mbështetje financiare për 20-25 sportistë elitarë në vit, reformimi i Komisionit Kombëtar Antidoping me qëllim përshtatjes se direktivave të organizave nderkombetar ËADA, si dhe realizimi i 30 analizave antidopin në të gjitha disiplinat sportive. </w:t>
      </w:r>
    </w:p>
    <w:p w14:paraId="667D07F1" w14:textId="77777777" w:rsidR="005139C5" w:rsidRPr="002E06C4" w:rsidRDefault="005139C5" w:rsidP="006C0253">
      <w:pPr>
        <w:pStyle w:val="ListParagraph"/>
        <w:numPr>
          <w:ilvl w:val="0"/>
          <w:numId w:val="49"/>
        </w:numPr>
        <w:shd w:val="clear" w:color="auto" w:fill="FFFFFF" w:themeFill="background1"/>
        <w:autoSpaceDE w:val="0"/>
        <w:autoSpaceDN w:val="0"/>
        <w:adjustRightInd w:val="0"/>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Mbështetja e programeve trainuese në sistemin sportiv kombëtar në funksion të rrijes së kapaciteteve në fushën e sportit, trajnime cdo vit për stafet teknike të sistemit sportiv kombëtar. </w:t>
      </w:r>
    </w:p>
    <w:p w14:paraId="65A6A228" w14:textId="77777777" w:rsidR="005139C5" w:rsidRPr="002E06C4" w:rsidRDefault="005139C5" w:rsidP="006C0253">
      <w:pPr>
        <w:pStyle w:val="ListParagraph"/>
        <w:numPr>
          <w:ilvl w:val="0"/>
          <w:numId w:val="49"/>
        </w:numPr>
        <w:shd w:val="clear" w:color="auto" w:fill="FFFFFF" w:themeFill="background1"/>
        <w:autoSpaceDE w:val="0"/>
        <w:autoSpaceDN w:val="0"/>
        <w:adjustRightInd w:val="0"/>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Të përmirësojmë cilësinë e jetës së të rinjve, përmes rritjes së pjesëmarrjes së tyre, në punësim, në informim, në edukim dhe në vendimarrje. </w:t>
      </w:r>
    </w:p>
    <w:p w14:paraId="44A7D12A"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Mbështetja financiare me investime për ristrukturimin/ ndërtimin dhe pajisjen e objekteve për rininë, në funksion të përmirësimit të kushteve për argëtim, përmirësimin e infrastrukturës të qendrave rinore rajonale, nëpërmjet ngritjes dhe funksionimit të tre qendrave rinore rajonale, etj.</w:t>
      </w:r>
    </w:p>
    <w:p w14:paraId="75102307" w14:textId="77777777" w:rsidR="005139C5" w:rsidRPr="002E06C4" w:rsidRDefault="005139C5" w:rsidP="005139C5">
      <w:pPr>
        <w:shd w:val="clear" w:color="auto" w:fill="FFFFFF" w:themeFill="background1"/>
        <w:spacing w:line="276" w:lineRule="auto"/>
        <w:jc w:val="both"/>
        <w:rPr>
          <w:rFonts w:asciiTheme="majorHAnsi" w:hAnsiTheme="majorHAnsi" w:cs="Times New Roman"/>
          <w:lang w:val="sq-AL"/>
        </w:rPr>
      </w:pPr>
    </w:p>
    <w:p w14:paraId="071CBD88" w14:textId="77777777" w:rsidR="005139C5" w:rsidRPr="002E06C4" w:rsidRDefault="005139C5" w:rsidP="005139C5">
      <w:pPr>
        <w:shd w:val="clear" w:color="auto" w:fill="FFFFFF" w:themeFill="background1"/>
        <w:spacing w:line="276" w:lineRule="auto"/>
        <w:jc w:val="both"/>
        <w:rPr>
          <w:rFonts w:asciiTheme="majorHAnsi" w:hAnsiTheme="majorHAnsi" w:cs="Times New Roman"/>
          <w:lang w:val="sq-AL"/>
        </w:rPr>
      </w:pPr>
      <w:r w:rsidRPr="002E06C4">
        <w:rPr>
          <w:rFonts w:asciiTheme="majorHAnsi" w:hAnsiTheme="majorHAnsi" w:cs="Times New Roman"/>
          <w:lang w:val="sq-AL"/>
        </w:rPr>
        <w:lastRenderedPageBreak/>
        <w:t>Këto objektiva janë realizuar nëpërmjet produkteve, performanca e të cilave për vitin 2018, është realizuar, si më poshtë:</w:t>
      </w:r>
    </w:p>
    <w:p w14:paraId="749FB2CA"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Është realizuar ndarja e fondit grand për federatat, në funksion dhe në zbatim të Udhëzimi të Përbashkët nr.4 date 11.-3.2014 të Ministrit të Arsimit dhe Sportit dhe Ministrit të Financave “Për mënyrën e përdorimit të fondit grand/ transfertë korrente e brendshme për federatat dhe Komitetin Olimpik shqiptar”</w:t>
      </w:r>
    </w:p>
    <w:p w14:paraId="2D9AEBEA"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Pjesmarrja në 42 Kampionate Kombetare dhe 42 Kupa Shqiperisë, 42 Kampionate Europiane , si dhe 42 Kampionate Botërore , 42 Kampionate Ballkanike në të gjitha kategoritë e moshave, në përputhje me parimet e barazisë gjinore. </w:t>
      </w:r>
    </w:p>
    <w:p w14:paraId="2B5945A7"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Trajnimi me mësuesit e shkollave të Tiranës, “Mësime të shahut në shkolla”, në kuadër të marrëveshjes me Federatën Botërore të Shahut , me pjesëmarrjen e 16 shkollave dhe 21 mësuesve të trajnuar </w:t>
      </w:r>
    </w:p>
    <w:p w14:paraId="1AD1E2C0"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Realizimi i kampionatit të 7-të Futbollit me shkollat 9-vjeçare, në bashkëpunim me Federaten Shqiptare të Futbollit, me pjesëmarrje 1500 fëmijëve nga qytetet Tiranë, Durrës, Shkodër, Fier, Elbasan dhe Korcë </w:t>
      </w:r>
    </w:p>
    <w:p w14:paraId="00F49361"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Realizimi i trajnimeve me mësuesit e 20 shkollave në disa qytete të shqipërisë në kuadër të marrëveshjes me Federatën e Henbollit. </w:t>
      </w:r>
    </w:p>
    <w:p w14:paraId="41C6A97C"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Trajnime me mësues të 20 shkollave për realizimin e Kampionateve të shkollave në disiplinën e Xhudos , në kuadër të marrëveshjes me Federatën Botërore të Xhudos. </w:t>
      </w:r>
    </w:p>
    <w:p w14:paraId="7D60CB31"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Janë mbështur dhe trajnuar në bashkëpunim me Komitetit Olimpik Kombetar Shqiptar 20 sportistë elitar , në kuadër të përgatitjeve dhe kualifikimit të tyre në lojrat Olimpike Tokyo 2020, ku gjate këtij viti janë dhene shpërblimet per Sportitet te cilët kanë arritur relzultate në aktivitete ndërkombëtare . </w:t>
      </w:r>
    </w:p>
    <w:p w14:paraId="0560179B"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Ka përfunduar reformimi i Komisionit Kombëtar të Antidopingut . Tashmë kemi Organizatën Kombëtare Antidoping formë e re në sisitemin sportiv kombëtar , duke e kthyer në një organizatë jo fitimprurëse , sipas standarteve ndërkombëtare. </w:t>
      </w:r>
    </w:p>
    <w:p w14:paraId="52765213"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Gjatë këtij viti janë realizuar mbi 30 analiza antidoping në bashkëpunim me ËADA Evrope dhe Bote ne disiplinat olimpike, ku pjesën më të madhe e ka zënë sporti i peshëngritjes. </w:t>
      </w:r>
    </w:p>
    <w:p w14:paraId="203788A8"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Përfundimi i projektit studimor shkencor , për testimin dhe vlerësimin e kapaciteteve fizike të sportistëve elitar , në bashkëpunim me Institutin e Kërkimit Shkencor të Sportit, i cili ka filluar në muajin Janar dhe me një kohezgjatje 1- vjeçare. </w:t>
      </w:r>
    </w:p>
    <w:p w14:paraId="0D826223"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Janë evidentuar 112 sportiste në sportet olimpike si kandidat për Lojrat Mesdhetare në vitin 2018 dhe Lojrat Olimpike Tokio 2020. </w:t>
      </w:r>
    </w:p>
    <w:p w14:paraId="5DFB88AB"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Janë realizuar në bashkëpunim me KOKSH 4 kurse trajnimesh për trajner në kategori të ndryshme moshash , në sportet Judo ,Taekëondo , Karate dhe Çiklizëm. </w:t>
      </w:r>
    </w:p>
    <w:p w14:paraId="15B6EB8E"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Gjatë këtij viti janë realizuar dhe 12 programe trajnimi , nga Federatat , Danci Sportiv , Karate, Taekuondu , Xhudo , Shah , Henboll , Atletik lidhur me rritjen e kapaciteteve për administrator te sportiti dhe arbitra, me një pjesëmarrje 100 specialistë dhe arbitra në disiplinat e lartë përmenduara. </w:t>
      </w:r>
    </w:p>
    <w:p w14:paraId="25775B7D"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Rritja e pjesëmarrjes se të rinjve në programin e praktikave të punës 600-800 në vit,punësimi 200 të rinjve në institucionet e administratës shtetërore. </w:t>
      </w:r>
    </w:p>
    <w:p w14:paraId="6EFD8706"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Rritja e pjesëmarrjes se të rinjve në aktivitete me karakter social-kulturor dhe edukativ. </w:t>
      </w:r>
    </w:p>
    <w:p w14:paraId="0F31EF5D"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Rritja e pjesëmarrjes/ mbështetjes financiare të organizatave rinore në projekteve rajonale dhe të BE (RYCO, ERASMUS +, etj). </w:t>
      </w:r>
    </w:p>
    <w:p w14:paraId="09B871C5"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 xml:space="preserve">Përmirësimi i infrastrukturës të qendrave rinore rajonale, nëpërmjet ngritjes dhe funksionimit të tre qendrave rinore rajonale </w:t>
      </w:r>
    </w:p>
    <w:p w14:paraId="03F141C6" w14:textId="77777777" w:rsidR="005139C5" w:rsidRPr="002E06C4" w:rsidRDefault="005139C5" w:rsidP="006C0253">
      <w:pPr>
        <w:pStyle w:val="ListParagraph"/>
        <w:numPr>
          <w:ilvl w:val="0"/>
          <w:numId w:val="49"/>
        </w:numPr>
        <w:shd w:val="clear" w:color="auto" w:fill="FFFFFF" w:themeFill="background1"/>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lastRenderedPageBreak/>
        <w:t xml:space="preserve">Krijimin e infrastrukturës së nevojshme për të rinjtë, për argëtim, rekreacion, shplodhje, ushtrimin e sporteve e veçanërisht sportet masive duke synuar ngrupmoshën 15-29 vjeç, e pranishme në shkollat e mesme, universitete, në punë e jashtë saj, duke ndërtuar mjedise sportive apo parqe olimpike. </w:t>
      </w:r>
    </w:p>
    <w:p w14:paraId="59750D0A" w14:textId="77777777" w:rsidR="005139C5" w:rsidRPr="002E06C4" w:rsidRDefault="005139C5" w:rsidP="005139C5">
      <w:pPr>
        <w:pStyle w:val="ListParagraph"/>
        <w:shd w:val="clear" w:color="auto" w:fill="FFFFFF" w:themeFill="background1"/>
        <w:jc w:val="both"/>
        <w:rPr>
          <w:rFonts w:asciiTheme="majorHAnsi" w:eastAsiaTheme="minorHAnsi" w:hAnsiTheme="majorHAnsi" w:cs="Times New Roman"/>
          <w:lang w:val="sq-AL"/>
        </w:rPr>
      </w:pPr>
    </w:p>
    <w:p w14:paraId="7A8216BD" w14:textId="77777777" w:rsidR="005139C5" w:rsidRPr="002E06C4" w:rsidRDefault="005139C5" w:rsidP="005139C5">
      <w:pPr>
        <w:pStyle w:val="ListParagraph"/>
        <w:shd w:val="clear" w:color="auto" w:fill="FFFFFF" w:themeFill="background1"/>
        <w:jc w:val="both"/>
        <w:rPr>
          <w:rFonts w:asciiTheme="majorHAnsi" w:eastAsiaTheme="minorHAnsi" w:hAnsiTheme="majorHAnsi" w:cs="Times New Roman"/>
          <w:lang w:val="sq-AL"/>
        </w:rPr>
      </w:pPr>
    </w:p>
    <w:p w14:paraId="6BAF5641" w14:textId="77777777" w:rsidR="005139C5" w:rsidRPr="002E06C4" w:rsidRDefault="005139C5" w:rsidP="005139C5">
      <w:pPr>
        <w:pStyle w:val="Heading3"/>
        <w:numPr>
          <w:ilvl w:val="2"/>
          <w:numId w:val="4"/>
        </w:numPr>
        <w:spacing w:after="240"/>
        <w:rPr>
          <w:rFonts w:cs="Times New Roman"/>
          <w:b/>
          <w:lang w:val="sq-AL"/>
        </w:rPr>
      </w:pPr>
      <w:bookmarkStart w:id="151" w:name="_Toc11134227"/>
      <w:r w:rsidRPr="002E06C4">
        <w:rPr>
          <w:rFonts w:cs="Times New Roman"/>
          <w:b/>
          <w:lang w:val="sq-AL"/>
        </w:rPr>
        <w:t>Bujqësia dhe Zhvillimi Rural</w:t>
      </w:r>
      <w:bookmarkEnd w:id="148"/>
      <w:bookmarkEnd w:id="149"/>
      <w:bookmarkEnd w:id="151"/>
    </w:p>
    <w:p w14:paraId="408CF6B9" w14:textId="77777777" w:rsidR="005139C5" w:rsidRPr="002E06C4" w:rsidRDefault="005139C5" w:rsidP="005139C5">
      <w:pPr>
        <w:spacing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Performanca e treguesve buxhetorë për tetë programet e Ministrisë së Bujqësisë dhe Zhvillimit Rural, paraqitet si më poshtë:</w:t>
      </w:r>
    </w:p>
    <w:p w14:paraId="7AE1DB77" w14:textId="77777777" w:rsidR="005139C5" w:rsidRPr="002E06C4" w:rsidRDefault="005139C5" w:rsidP="005139C5">
      <w:pPr>
        <w:pStyle w:val="Caption"/>
        <w:keepNext/>
        <w:spacing w:after="0"/>
        <w:rPr>
          <w:rFonts w:asciiTheme="majorHAnsi" w:hAnsiTheme="majorHAnsi" w:cs="Times New Roman"/>
          <w:lang w:val="sq-AL"/>
        </w:rPr>
      </w:pPr>
    </w:p>
    <w:p w14:paraId="45AD5047" w14:textId="77777777" w:rsidR="006D577E" w:rsidRPr="002E06C4" w:rsidRDefault="006D577E" w:rsidP="006D577E">
      <w:pPr>
        <w:pStyle w:val="Caption"/>
        <w:keepNext/>
        <w:spacing w:after="0"/>
        <w:rPr>
          <w:rFonts w:asciiTheme="majorHAnsi" w:hAnsiTheme="majorHAnsi" w:cs="Times New Roman"/>
          <w:lang w:val="sq-AL"/>
        </w:rPr>
      </w:pPr>
      <w:bookmarkStart w:id="152" w:name="_Toc11135129"/>
      <w:r>
        <w:t xml:space="preserve">Tabela </w:t>
      </w:r>
      <w:r w:rsidR="003D3813">
        <w:fldChar w:fldCharType="begin"/>
      </w:r>
      <w:r w:rsidR="003D3813">
        <w:instrText xml:space="preserve"> SEQ Tabela \* ARABIC </w:instrText>
      </w:r>
      <w:r w:rsidR="003D3813">
        <w:fldChar w:fldCharType="separate"/>
      </w:r>
      <w:r w:rsidR="006A57F3">
        <w:rPr>
          <w:noProof/>
        </w:rPr>
        <w:t>15</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Realizimi i buxhetit 2018 për Ministrinë e Bujqësisë dhe Zhvillimit Rural</w:t>
      </w:r>
      <w:bookmarkEnd w:id="152"/>
    </w:p>
    <w:p w14:paraId="24ED8AF0" w14:textId="77777777" w:rsidR="005139C5" w:rsidRPr="002E06C4" w:rsidRDefault="005139C5" w:rsidP="006D577E">
      <w:pPr>
        <w:pStyle w:val="Caption"/>
        <w:spacing w:after="0"/>
        <w:jc w:val="right"/>
        <w:rPr>
          <w:rFonts w:asciiTheme="majorHAnsi" w:hAnsiTheme="majorHAnsi" w:cs="Times New Roman"/>
          <w:i w:val="0"/>
          <w:color w:val="000000"/>
          <w:sz w:val="20"/>
          <w:u w:val="single"/>
          <w:lang w:val="sq-AL"/>
        </w:rPr>
      </w:pPr>
      <w:r w:rsidRPr="002E06C4">
        <w:rPr>
          <w:rFonts w:asciiTheme="majorHAnsi" w:hAnsiTheme="majorHAnsi" w:cs="Times New Roman"/>
          <w:color w:val="000000"/>
          <w:sz w:val="20"/>
          <w:u w:val="single"/>
          <w:lang w:val="sq-AL"/>
        </w:rPr>
        <w:t>Në mijë lekë</w:t>
      </w:r>
    </w:p>
    <w:tbl>
      <w:tblPr>
        <w:tblW w:w="10831"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000" w:firstRow="0" w:lastRow="0" w:firstColumn="0" w:lastColumn="0" w:noHBand="0" w:noVBand="0"/>
      </w:tblPr>
      <w:tblGrid>
        <w:gridCol w:w="507"/>
        <w:gridCol w:w="3653"/>
        <w:gridCol w:w="1115"/>
        <w:gridCol w:w="1115"/>
        <w:gridCol w:w="1171"/>
        <w:gridCol w:w="1115"/>
        <w:gridCol w:w="1037"/>
        <w:gridCol w:w="1108"/>
        <w:gridCol w:w="10"/>
      </w:tblGrid>
      <w:tr w:rsidR="005139C5" w:rsidRPr="00AC7CD6" w14:paraId="43A43305" w14:textId="77777777" w:rsidTr="00AC7CD6">
        <w:trPr>
          <w:trHeight w:val="221"/>
          <w:jc w:val="center"/>
        </w:trPr>
        <w:tc>
          <w:tcPr>
            <w:tcW w:w="507" w:type="dxa"/>
            <w:vMerge w:val="restart"/>
            <w:shd w:val="clear" w:color="auto" w:fill="auto"/>
          </w:tcPr>
          <w:p w14:paraId="47F7D62E" w14:textId="77777777" w:rsidR="005139C5" w:rsidRPr="00AC7CD6" w:rsidRDefault="005139C5" w:rsidP="0080499B">
            <w:pPr>
              <w:shd w:val="clear" w:color="auto" w:fill="FFFFFF" w:themeFill="background1"/>
              <w:spacing w:line="276" w:lineRule="auto"/>
              <w:jc w:val="center"/>
              <w:rPr>
                <w:rFonts w:asciiTheme="majorHAnsi" w:eastAsia="Times New Roman" w:hAnsiTheme="majorHAnsi" w:cs="Times New Roman"/>
                <w:b/>
                <w:bCs/>
                <w:sz w:val="18"/>
                <w:lang w:val="sq-AL"/>
              </w:rPr>
            </w:pPr>
          </w:p>
          <w:p w14:paraId="09E07702" w14:textId="77777777" w:rsidR="005139C5" w:rsidRPr="00AC7CD6" w:rsidRDefault="005139C5" w:rsidP="0080499B">
            <w:pPr>
              <w:shd w:val="clear" w:color="auto" w:fill="FFFFFF" w:themeFill="background1"/>
              <w:spacing w:line="276" w:lineRule="auto"/>
              <w:jc w:val="center"/>
              <w:rPr>
                <w:rFonts w:asciiTheme="majorHAnsi" w:eastAsia="Times New Roman" w:hAnsiTheme="majorHAnsi" w:cs="Times New Roman"/>
                <w:b/>
                <w:bCs/>
                <w:sz w:val="18"/>
                <w:lang w:val="sq-AL"/>
              </w:rPr>
            </w:pPr>
            <w:r w:rsidRPr="00AC7CD6">
              <w:rPr>
                <w:rFonts w:asciiTheme="majorHAnsi" w:eastAsia="Times New Roman" w:hAnsiTheme="majorHAnsi" w:cs="Times New Roman"/>
                <w:b/>
                <w:bCs/>
                <w:sz w:val="18"/>
                <w:lang w:val="sq-AL"/>
              </w:rPr>
              <w:t>NR</w:t>
            </w:r>
          </w:p>
        </w:tc>
        <w:tc>
          <w:tcPr>
            <w:tcW w:w="3653" w:type="dxa"/>
            <w:vMerge w:val="restart"/>
            <w:shd w:val="clear" w:color="auto" w:fill="auto"/>
          </w:tcPr>
          <w:p w14:paraId="03424878" w14:textId="77777777" w:rsidR="005139C5" w:rsidRPr="00AC7CD6" w:rsidRDefault="005139C5" w:rsidP="0080499B">
            <w:pPr>
              <w:shd w:val="clear" w:color="auto" w:fill="FFFFFF" w:themeFill="background1"/>
              <w:spacing w:line="276" w:lineRule="auto"/>
              <w:jc w:val="center"/>
              <w:rPr>
                <w:rFonts w:asciiTheme="majorHAnsi" w:eastAsia="Times New Roman" w:hAnsiTheme="majorHAnsi" w:cs="Times New Roman"/>
                <w:b/>
                <w:bCs/>
                <w:sz w:val="18"/>
                <w:lang w:val="sq-AL"/>
              </w:rPr>
            </w:pPr>
          </w:p>
          <w:p w14:paraId="20E2D4AD" w14:textId="77777777" w:rsidR="005139C5" w:rsidRPr="00AC7CD6" w:rsidRDefault="005139C5" w:rsidP="0080499B">
            <w:pPr>
              <w:shd w:val="clear" w:color="auto" w:fill="FFFFFF" w:themeFill="background1"/>
              <w:spacing w:line="276" w:lineRule="auto"/>
              <w:jc w:val="center"/>
              <w:rPr>
                <w:rFonts w:asciiTheme="majorHAnsi" w:eastAsia="Times New Roman" w:hAnsiTheme="majorHAnsi" w:cs="Times New Roman"/>
                <w:b/>
                <w:bCs/>
                <w:sz w:val="18"/>
                <w:lang w:val="sq-AL"/>
              </w:rPr>
            </w:pPr>
            <w:r w:rsidRPr="00AC7CD6">
              <w:rPr>
                <w:rFonts w:asciiTheme="majorHAnsi" w:eastAsia="Times New Roman" w:hAnsiTheme="majorHAnsi" w:cs="Times New Roman"/>
                <w:b/>
                <w:bCs/>
                <w:sz w:val="18"/>
                <w:lang w:val="sq-AL"/>
              </w:rPr>
              <w:t>Emërtimi i Programit</w:t>
            </w:r>
          </w:p>
        </w:tc>
        <w:tc>
          <w:tcPr>
            <w:tcW w:w="2230" w:type="dxa"/>
            <w:gridSpan w:val="2"/>
            <w:shd w:val="clear" w:color="auto" w:fill="auto"/>
          </w:tcPr>
          <w:p w14:paraId="3905A35A" w14:textId="77777777" w:rsidR="005139C5" w:rsidRPr="00AC7CD6" w:rsidRDefault="005139C5" w:rsidP="0080499B">
            <w:pPr>
              <w:shd w:val="clear" w:color="auto" w:fill="FFFFFF" w:themeFill="background1"/>
              <w:spacing w:line="276" w:lineRule="auto"/>
              <w:jc w:val="center"/>
              <w:rPr>
                <w:rFonts w:asciiTheme="majorHAnsi" w:eastAsia="Times New Roman" w:hAnsiTheme="majorHAnsi" w:cs="Times New Roman"/>
                <w:b/>
                <w:bCs/>
                <w:sz w:val="18"/>
                <w:lang w:val="sq-AL"/>
              </w:rPr>
            </w:pPr>
            <w:r w:rsidRPr="00AC7CD6">
              <w:rPr>
                <w:rFonts w:asciiTheme="majorHAnsi" w:eastAsia="Times New Roman" w:hAnsiTheme="majorHAnsi" w:cs="Times New Roman"/>
                <w:b/>
                <w:bCs/>
                <w:sz w:val="18"/>
                <w:lang w:val="sq-AL"/>
              </w:rPr>
              <w:t>Plani 2018</w:t>
            </w:r>
          </w:p>
        </w:tc>
        <w:tc>
          <w:tcPr>
            <w:tcW w:w="2286" w:type="dxa"/>
            <w:gridSpan w:val="2"/>
            <w:shd w:val="clear" w:color="auto" w:fill="auto"/>
          </w:tcPr>
          <w:p w14:paraId="28588E83" w14:textId="77777777" w:rsidR="005139C5" w:rsidRPr="00AC7CD6" w:rsidRDefault="005139C5" w:rsidP="0080499B">
            <w:pPr>
              <w:shd w:val="clear" w:color="auto" w:fill="FFFFFF" w:themeFill="background1"/>
              <w:spacing w:line="276" w:lineRule="auto"/>
              <w:jc w:val="center"/>
              <w:rPr>
                <w:rFonts w:asciiTheme="majorHAnsi" w:hAnsiTheme="majorHAnsi" w:cs="Times New Roman"/>
                <w:sz w:val="18"/>
                <w:lang w:val="sq-AL"/>
              </w:rPr>
            </w:pPr>
            <w:r w:rsidRPr="00AC7CD6">
              <w:rPr>
                <w:rFonts w:asciiTheme="majorHAnsi" w:eastAsia="Times New Roman" w:hAnsiTheme="majorHAnsi" w:cs="Times New Roman"/>
                <w:b/>
                <w:bCs/>
                <w:sz w:val="18"/>
                <w:lang w:val="sq-AL"/>
              </w:rPr>
              <w:t>Fakti 2018</w:t>
            </w:r>
          </w:p>
        </w:tc>
        <w:tc>
          <w:tcPr>
            <w:tcW w:w="2155" w:type="dxa"/>
            <w:gridSpan w:val="3"/>
            <w:shd w:val="clear" w:color="auto" w:fill="auto"/>
          </w:tcPr>
          <w:p w14:paraId="685FF0C2" w14:textId="77777777" w:rsidR="005139C5" w:rsidRPr="00AC7CD6" w:rsidRDefault="005139C5" w:rsidP="0080499B">
            <w:pPr>
              <w:shd w:val="clear" w:color="auto" w:fill="FFFFFF" w:themeFill="background1"/>
              <w:spacing w:line="276" w:lineRule="auto"/>
              <w:jc w:val="center"/>
              <w:rPr>
                <w:rFonts w:asciiTheme="majorHAnsi" w:hAnsiTheme="majorHAnsi" w:cs="Times New Roman"/>
                <w:sz w:val="18"/>
                <w:lang w:val="sq-AL"/>
              </w:rPr>
            </w:pPr>
            <w:r w:rsidRPr="00AC7CD6">
              <w:rPr>
                <w:rFonts w:asciiTheme="majorHAnsi" w:eastAsia="Times New Roman" w:hAnsiTheme="majorHAnsi" w:cs="Times New Roman"/>
                <w:b/>
                <w:bCs/>
                <w:sz w:val="18"/>
                <w:lang w:val="sq-AL"/>
              </w:rPr>
              <w:t>% e realizimit</w:t>
            </w:r>
          </w:p>
        </w:tc>
      </w:tr>
      <w:tr w:rsidR="005139C5" w:rsidRPr="00AC7CD6" w14:paraId="17E4BC93" w14:textId="77777777" w:rsidTr="00AC7CD6">
        <w:trPr>
          <w:gridAfter w:val="1"/>
          <w:wAfter w:w="10" w:type="dxa"/>
          <w:trHeight w:val="205"/>
          <w:jc w:val="center"/>
        </w:trPr>
        <w:tc>
          <w:tcPr>
            <w:tcW w:w="507" w:type="dxa"/>
            <w:vMerge/>
            <w:shd w:val="clear" w:color="auto" w:fill="auto"/>
          </w:tcPr>
          <w:p w14:paraId="0D4619EA" w14:textId="77777777" w:rsidR="005139C5" w:rsidRPr="00AC7CD6" w:rsidRDefault="005139C5" w:rsidP="0080499B">
            <w:pPr>
              <w:shd w:val="clear" w:color="auto" w:fill="FFFFFF" w:themeFill="background1"/>
              <w:spacing w:line="276" w:lineRule="auto"/>
              <w:jc w:val="both"/>
              <w:rPr>
                <w:rFonts w:asciiTheme="majorHAnsi" w:eastAsia="Times New Roman" w:hAnsiTheme="majorHAnsi" w:cs="Times New Roman"/>
                <w:color w:val="FF0000"/>
                <w:sz w:val="18"/>
                <w:lang w:val="sq-AL"/>
              </w:rPr>
            </w:pPr>
          </w:p>
        </w:tc>
        <w:tc>
          <w:tcPr>
            <w:tcW w:w="3653" w:type="dxa"/>
            <w:vMerge/>
            <w:shd w:val="clear" w:color="auto" w:fill="auto"/>
          </w:tcPr>
          <w:p w14:paraId="555CEA57" w14:textId="77777777" w:rsidR="005139C5" w:rsidRPr="00AC7CD6" w:rsidRDefault="005139C5" w:rsidP="0080499B">
            <w:pPr>
              <w:shd w:val="clear" w:color="auto" w:fill="FFFFFF" w:themeFill="background1"/>
              <w:spacing w:line="276" w:lineRule="auto"/>
              <w:jc w:val="both"/>
              <w:rPr>
                <w:rFonts w:asciiTheme="majorHAnsi" w:eastAsia="Times New Roman" w:hAnsiTheme="majorHAnsi" w:cs="Times New Roman"/>
                <w:color w:val="FF0000"/>
                <w:sz w:val="18"/>
                <w:lang w:val="sq-AL"/>
              </w:rPr>
            </w:pPr>
          </w:p>
        </w:tc>
        <w:tc>
          <w:tcPr>
            <w:tcW w:w="1115" w:type="dxa"/>
            <w:shd w:val="clear" w:color="auto" w:fill="auto"/>
          </w:tcPr>
          <w:p w14:paraId="6896FE9E" w14:textId="77777777" w:rsidR="005139C5" w:rsidRPr="00AC7CD6" w:rsidRDefault="005139C5" w:rsidP="0080499B">
            <w:pPr>
              <w:shd w:val="clear" w:color="auto" w:fill="FFFFFF" w:themeFill="background1"/>
              <w:spacing w:line="276" w:lineRule="auto"/>
              <w:jc w:val="both"/>
              <w:rPr>
                <w:rFonts w:asciiTheme="majorHAnsi" w:eastAsia="Times New Roman" w:hAnsiTheme="majorHAnsi" w:cs="Times New Roman"/>
                <w:b/>
                <w:bCs/>
                <w:sz w:val="18"/>
                <w:lang w:val="sq-AL"/>
              </w:rPr>
            </w:pPr>
            <w:r w:rsidRPr="00AC7CD6">
              <w:rPr>
                <w:rFonts w:asciiTheme="majorHAnsi" w:eastAsia="Times New Roman" w:hAnsiTheme="majorHAnsi" w:cs="Times New Roman"/>
                <w:b/>
                <w:bCs/>
                <w:sz w:val="18"/>
                <w:lang w:val="sq-AL"/>
              </w:rPr>
              <w:t>Korrente</w:t>
            </w:r>
          </w:p>
        </w:tc>
        <w:tc>
          <w:tcPr>
            <w:tcW w:w="1115" w:type="dxa"/>
            <w:shd w:val="clear" w:color="auto" w:fill="auto"/>
          </w:tcPr>
          <w:p w14:paraId="03B2ECA3" w14:textId="77777777" w:rsidR="005139C5" w:rsidRPr="00AC7CD6" w:rsidRDefault="005139C5" w:rsidP="0080499B">
            <w:pPr>
              <w:shd w:val="clear" w:color="auto" w:fill="FFFFFF" w:themeFill="background1"/>
              <w:spacing w:line="276" w:lineRule="auto"/>
              <w:jc w:val="both"/>
              <w:rPr>
                <w:rFonts w:asciiTheme="majorHAnsi" w:eastAsia="Times New Roman" w:hAnsiTheme="majorHAnsi" w:cs="Times New Roman"/>
                <w:b/>
                <w:bCs/>
                <w:sz w:val="18"/>
                <w:lang w:val="sq-AL"/>
              </w:rPr>
            </w:pPr>
            <w:r w:rsidRPr="00AC7CD6">
              <w:rPr>
                <w:rFonts w:asciiTheme="majorHAnsi" w:eastAsia="Times New Roman" w:hAnsiTheme="majorHAnsi" w:cs="Times New Roman"/>
                <w:b/>
                <w:bCs/>
                <w:sz w:val="18"/>
                <w:lang w:val="sq-AL"/>
              </w:rPr>
              <w:t>Investime</w:t>
            </w:r>
          </w:p>
        </w:tc>
        <w:tc>
          <w:tcPr>
            <w:tcW w:w="1171" w:type="dxa"/>
            <w:shd w:val="clear" w:color="auto" w:fill="auto"/>
          </w:tcPr>
          <w:p w14:paraId="022CD8A6" w14:textId="77777777" w:rsidR="005139C5" w:rsidRPr="00AC7CD6" w:rsidRDefault="005139C5" w:rsidP="0080499B">
            <w:pPr>
              <w:shd w:val="clear" w:color="auto" w:fill="FFFFFF" w:themeFill="background1"/>
              <w:spacing w:line="276" w:lineRule="auto"/>
              <w:jc w:val="both"/>
              <w:rPr>
                <w:rFonts w:asciiTheme="majorHAnsi" w:eastAsia="Times New Roman" w:hAnsiTheme="majorHAnsi" w:cs="Times New Roman"/>
                <w:b/>
                <w:bCs/>
                <w:sz w:val="18"/>
                <w:lang w:val="sq-AL"/>
              </w:rPr>
            </w:pPr>
            <w:r w:rsidRPr="00AC7CD6">
              <w:rPr>
                <w:rFonts w:asciiTheme="majorHAnsi" w:eastAsia="Times New Roman" w:hAnsiTheme="majorHAnsi" w:cs="Times New Roman"/>
                <w:b/>
                <w:bCs/>
                <w:sz w:val="18"/>
                <w:lang w:val="sq-AL"/>
              </w:rPr>
              <w:t>Korrente</w:t>
            </w:r>
          </w:p>
        </w:tc>
        <w:tc>
          <w:tcPr>
            <w:tcW w:w="1115" w:type="dxa"/>
            <w:shd w:val="clear" w:color="auto" w:fill="auto"/>
          </w:tcPr>
          <w:p w14:paraId="0D800AF6" w14:textId="77777777" w:rsidR="005139C5" w:rsidRPr="00AC7CD6" w:rsidRDefault="005139C5" w:rsidP="0080499B">
            <w:pPr>
              <w:shd w:val="clear" w:color="auto" w:fill="FFFFFF" w:themeFill="background1"/>
              <w:spacing w:line="276" w:lineRule="auto"/>
              <w:jc w:val="both"/>
              <w:rPr>
                <w:rFonts w:asciiTheme="majorHAnsi" w:eastAsia="Times New Roman" w:hAnsiTheme="majorHAnsi" w:cs="Times New Roman"/>
                <w:b/>
                <w:bCs/>
                <w:sz w:val="18"/>
                <w:lang w:val="sq-AL"/>
              </w:rPr>
            </w:pPr>
            <w:r w:rsidRPr="00AC7CD6">
              <w:rPr>
                <w:rFonts w:asciiTheme="majorHAnsi" w:eastAsia="Times New Roman" w:hAnsiTheme="majorHAnsi" w:cs="Times New Roman"/>
                <w:b/>
                <w:bCs/>
                <w:sz w:val="18"/>
                <w:lang w:val="sq-AL"/>
              </w:rPr>
              <w:t>Investime</w:t>
            </w:r>
          </w:p>
        </w:tc>
        <w:tc>
          <w:tcPr>
            <w:tcW w:w="1037" w:type="dxa"/>
            <w:shd w:val="clear" w:color="auto" w:fill="auto"/>
          </w:tcPr>
          <w:p w14:paraId="04312AC2" w14:textId="77777777" w:rsidR="005139C5" w:rsidRPr="00AC7CD6" w:rsidRDefault="005139C5" w:rsidP="0080499B">
            <w:pPr>
              <w:shd w:val="clear" w:color="auto" w:fill="FFFFFF" w:themeFill="background1"/>
              <w:spacing w:line="276" w:lineRule="auto"/>
              <w:jc w:val="both"/>
              <w:rPr>
                <w:rFonts w:asciiTheme="majorHAnsi" w:eastAsia="Times New Roman" w:hAnsiTheme="majorHAnsi" w:cs="Times New Roman"/>
                <w:b/>
                <w:bCs/>
                <w:sz w:val="18"/>
                <w:lang w:val="sq-AL"/>
              </w:rPr>
            </w:pPr>
            <w:r w:rsidRPr="00AC7CD6">
              <w:rPr>
                <w:rFonts w:asciiTheme="majorHAnsi" w:eastAsia="Times New Roman" w:hAnsiTheme="majorHAnsi" w:cs="Times New Roman"/>
                <w:b/>
                <w:bCs/>
                <w:sz w:val="18"/>
                <w:lang w:val="sq-AL"/>
              </w:rPr>
              <w:t>Korrente</w:t>
            </w:r>
          </w:p>
        </w:tc>
        <w:tc>
          <w:tcPr>
            <w:tcW w:w="1108" w:type="dxa"/>
            <w:shd w:val="clear" w:color="auto" w:fill="auto"/>
          </w:tcPr>
          <w:p w14:paraId="6D41FF1C" w14:textId="77777777" w:rsidR="005139C5" w:rsidRPr="00AC7CD6" w:rsidRDefault="005139C5" w:rsidP="0080499B">
            <w:pPr>
              <w:shd w:val="clear" w:color="auto" w:fill="FFFFFF" w:themeFill="background1"/>
              <w:spacing w:line="276" w:lineRule="auto"/>
              <w:jc w:val="both"/>
              <w:rPr>
                <w:rFonts w:asciiTheme="majorHAnsi" w:eastAsia="Times New Roman" w:hAnsiTheme="majorHAnsi" w:cs="Times New Roman"/>
                <w:b/>
                <w:bCs/>
                <w:sz w:val="18"/>
                <w:lang w:val="sq-AL"/>
              </w:rPr>
            </w:pPr>
            <w:r w:rsidRPr="00AC7CD6">
              <w:rPr>
                <w:rFonts w:asciiTheme="majorHAnsi" w:eastAsia="Times New Roman" w:hAnsiTheme="majorHAnsi" w:cs="Times New Roman"/>
                <w:b/>
                <w:bCs/>
                <w:sz w:val="18"/>
                <w:lang w:val="sq-AL"/>
              </w:rPr>
              <w:t>Investime</w:t>
            </w:r>
          </w:p>
        </w:tc>
      </w:tr>
      <w:tr w:rsidR="005139C5" w:rsidRPr="00AC7CD6" w14:paraId="70C67377" w14:textId="77777777" w:rsidTr="00AC7CD6">
        <w:trPr>
          <w:gridAfter w:val="1"/>
          <w:wAfter w:w="10" w:type="dxa"/>
          <w:trHeight w:val="268"/>
          <w:jc w:val="center"/>
        </w:trPr>
        <w:tc>
          <w:tcPr>
            <w:tcW w:w="507" w:type="dxa"/>
            <w:shd w:val="clear" w:color="auto" w:fill="auto"/>
          </w:tcPr>
          <w:p w14:paraId="3D23205B"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1.</w:t>
            </w:r>
          </w:p>
        </w:tc>
        <w:tc>
          <w:tcPr>
            <w:tcW w:w="3653" w:type="dxa"/>
            <w:shd w:val="clear" w:color="auto" w:fill="auto"/>
          </w:tcPr>
          <w:p w14:paraId="079D0B71" w14:textId="77777777" w:rsidR="005139C5" w:rsidRPr="00AC7CD6" w:rsidRDefault="005139C5" w:rsidP="0080499B">
            <w:pPr>
              <w:shd w:val="clear" w:color="auto" w:fill="FFFFFF" w:themeFill="background1"/>
              <w:jc w:val="both"/>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Planifikimi, Menaxhimi dhe Administrimi</w:t>
            </w:r>
          </w:p>
        </w:tc>
        <w:tc>
          <w:tcPr>
            <w:tcW w:w="1115" w:type="dxa"/>
            <w:shd w:val="clear" w:color="auto" w:fill="auto"/>
          </w:tcPr>
          <w:p w14:paraId="2ECCB35C"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292,381</w:t>
            </w:r>
          </w:p>
        </w:tc>
        <w:tc>
          <w:tcPr>
            <w:tcW w:w="1115" w:type="dxa"/>
            <w:shd w:val="clear" w:color="auto" w:fill="auto"/>
          </w:tcPr>
          <w:p w14:paraId="7E09AAEF"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5,000</w:t>
            </w:r>
          </w:p>
        </w:tc>
        <w:tc>
          <w:tcPr>
            <w:tcW w:w="1171" w:type="dxa"/>
            <w:shd w:val="clear" w:color="auto" w:fill="auto"/>
            <w:vAlign w:val="bottom"/>
          </w:tcPr>
          <w:p w14:paraId="53EF7CD9"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273,753</w:t>
            </w:r>
          </w:p>
        </w:tc>
        <w:tc>
          <w:tcPr>
            <w:tcW w:w="1115" w:type="dxa"/>
            <w:shd w:val="clear" w:color="auto" w:fill="auto"/>
          </w:tcPr>
          <w:p w14:paraId="25956B92"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4688</w:t>
            </w:r>
          </w:p>
        </w:tc>
        <w:tc>
          <w:tcPr>
            <w:tcW w:w="1037" w:type="dxa"/>
            <w:shd w:val="clear" w:color="auto" w:fill="auto"/>
            <w:vAlign w:val="bottom"/>
          </w:tcPr>
          <w:p w14:paraId="704C989A"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93.6</w:t>
            </w:r>
          </w:p>
        </w:tc>
        <w:tc>
          <w:tcPr>
            <w:tcW w:w="1108" w:type="dxa"/>
            <w:shd w:val="clear" w:color="auto" w:fill="auto"/>
            <w:vAlign w:val="bottom"/>
          </w:tcPr>
          <w:p w14:paraId="4587409C"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93.8</w:t>
            </w:r>
          </w:p>
        </w:tc>
      </w:tr>
      <w:tr w:rsidR="005139C5" w:rsidRPr="00AC7CD6" w14:paraId="2408C24C" w14:textId="77777777" w:rsidTr="00AC7CD6">
        <w:trPr>
          <w:gridAfter w:val="1"/>
          <w:wAfter w:w="10" w:type="dxa"/>
          <w:trHeight w:val="251"/>
          <w:jc w:val="center"/>
        </w:trPr>
        <w:tc>
          <w:tcPr>
            <w:tcW w:w="507" w:type="dxa"/>
            <w:shd w:val="clear" w:color="auto" w:fill="auto"/>
          </w:tcPr>
          <w:p w14:paraId="0848916C"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2.</w:t>
            </w:r>
          </w:p>
        </w:tc>
        <w:tc>
          <w:tcPr>
            <w:tcW w:w="3653" w:type="dxa"/>
            <w:shd w:val="clear" w:color="auto" w:fill="auto"/>
          </w:tcPr>
          <w:p w14:paraId="62FF9301" w14:textId="77777777" w:rsidR="005139C5" w:rsidRPr="00AC7CD6" w:rsidRDefault="005139C5" w:rsidP="0080499B">
            <w:pPr>
              <w:shd w:val="clear" w:color="auto" w:fill="FFFFFF" w:themeFill="background1"/>
              <w:jc w:val="both"/>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Siguria ushqimore dhe mbrojtja e konsumatorit</w:t>
            </w:r>
          </w:p>
        </w:tc>
        <w:tc>
          <w:tcPr>
            <w:tcW w:w="1115" w:type="dxa"/>
            <w:vMerge w:val="restart"/>
            <w:shd w:val="clear" w:color="auto" w:fill="auto"/>
          </w:tcPr>
          <w:p w14:paraId="01B7851A"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1,517,186</w:t>
            </w:r>
          </w:p>
        </w:tc>
        <w:tc>
          <w:tcPr>
            <w:tcW w:w="1115" w:type="dxa"/>
            <w:shd w:val="clear" w:color="auto" w:fill="auto"/>
          </w:tcPr>
          <w:p w14:paraId="7879F3F5"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309,975</w:t>
            </w:r>
          </w:p>
        </w:tc>
        <w:tc>
          <w:tcPr>
            <w:tcW w:w="1171" w:type="dxa"/>
            <w:shd w:val="clear" w:color="auto" w:fill="auto"/>
            <w:vAlign w:val="bottom"/>
          </w:tcPr>
          <w:p w14:paraId="79910313"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1,401,084</w:t>
            </w:r>
          </w:p>
        </w:tc>
        <w:tc>
          <w:tcPr>
            <w:tcW w:w="1115" w:type="dxa"/>
            <w:shd w:val="clear" w:color="auto" w:fill="auto"/>
          </w:tcPr>
          <w:p w14:paraId="4B2FF799"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266710</w:t>
            </w:r>
          </w:p>
        </w:tc>
        <w:tc>
          <w:tcPr>
            <w:tcW w:w="1037" w:type="dxa"/>
            <w:shd w:val="clear" w:color="auto" w:fill="auto"/>
            <w:vAlign w:val="bottom"/>
          </w:tcPr>
          <w:p w14:paraId="0A3A80A0"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92.3</w:t>
            </w:r>
          </w:p>
        </w:tc>
        <w:tc>
          <w:tcPr>
            <w:tcW w:w="1108" w:type="dxa"/>
            <w:shd w:val="clear" w:color="auto" w:fill="auto"/>
            <w:vAlign w:val="bottom"/>
          </w:tcPr>
          <w:p w14:paraId="01653E04"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96.4</w:t>
            </w:r>
          </w:p>
        </w:tc>
      </w:tr>
      <w:tr w:rsidR="005139C5" w:rsidRPr="00AC7CD6" w14:paraId="264EA16D" w14:textId="77777777" w:rsidTr="00AC7CD6">
        <w:trPr>
          <w:gridAfter w:val="1"/>
          <w:wAfter w:w="10" w:type="dxa"/>
          <w:trHeight w:val="277"/>
          <w:jc w:val="center"/>
        </w:trPr>
        <w:tc>
          <w:tcPr>
            <w:tcW w:w="507" w:type="dxa"/>
            <w:shd w:val="clear" w:color="auto" w:fill="auto"/>
          </w:tcPr>
          <w:p w14:paraId="7F12A2D7"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p>
        </w:tc>
        <w:tc>
          <w:tcPr>
            <w:tcW w:w="3653" w:type="dxa"/>
            <w:shd w:val="clear" w:color="auto" w:fill="auto"/>
          </w:tcPr>
          <w:p w14:paraId="08FE1785" w14:textId="77777777" w:rsidR="005139C5" w:rsidRPr="00AC7CD6" w:rsidRDefault="005139C5" w:rsidP="0080499B">
            <w:pPr>
              <w:shd w:val="clear" w:color="auto" w:fill="FFFFFF" w:themeFill="background1"/>
              <w:jc w:val="right"/>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Financimi i huaj</w:t>
            </w:r>
          </w:p>
        </w:tc>
        <w:tc>
          <w:tcPr>
            <w:tcW w:w="1115" w:type="dxa"/>
            <w:vMerge/>
            <w:shd w:val="clear" w:color="auto" w:fill="auto"/>
          </w:tcPr>
          <w:p w14:paraId="16D8F980"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1CE84F1C"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232,650</w:t>
            </w:r>
          </w:p>
        </w:tc>
        <w:tc>
          <w:tcPr>
            <w:tcW w:w="1171" w:type="dxa"/>
            <w:shd w:val="clear" w:color="auto" w:fill="auto"/>
            <w:vAlign w:val="bottom"/>
          </w:tcPr>
          <w:p w14:paraId="172FB413"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1C1BFAA5"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256355</w:t>
            </w:r>
          </w:p>
        </w:tc>
        <w:tc>
          <w:tcPr>
            <w:tcW w:w="1037" w:type="dxa"/>
            <w:shd w:val="clear" w:color="auto" w:fill="auto"/>
            <w:vAlign w:val="bottom"/>
          </w:tcPr>
          <w:p w14:paraId="786B5930"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08" w:type="dxa"/>
            <w:shd w:val="clear" w:color="auto" w:fill="auto"/>
            <w:vAlign w:val="bottom"/>
          </w:tcPr>
          <w:p w14:paraId="4949910E"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r>
      <w:tr w:rsidR="005139C5" w:rsidRPr="00AC7CD6" w14:paraId="74921CE7" w14:textId="77777777" w:rsidTr="00AC7CD6">
        <w:trPr>
          <w:gridAfter w:val="1"/>
          <w:wAfter w:w="10" w:type="dxa"/>
          <w:trHeight w:val="319"/>
          <w:jc w:val="center"/>
        </w:trPr>
        <w:tc>
          <w:tcPr>
            <w:tcW w:w="507" w:type="dxa"/>
            <w:shd w:val="clear" w:color="auto" w:fill="auto"/>
          </w:tcPr>
          <w:p w14:paraId="3193962F"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3.</w:t>
            </w:r>
          </w:p>
        </w:tc>
        <w:tc>
          <w:tcPr>
            <w:tcW w:w="3653" w:type="dxa"/>
            <w:shd w:val="clear" w:color="auto" w:fill="auto"/>
          </w:tcPr>
          <w:p w14:paraId="05F55CC6" w14:textId="77777777" w:rsidR="005139C5" w:rsidRPr="00AC7CD6" w:rsidRDefault="005139C5" w:rsidP="0080499B">
            <w:pPr>
              <w:shd w:val="clear" w:color="auto" w:fill="FFFFFF" w:themeFill="background1"/>
              <w:jc w:val="both"/>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Menaxhimi i infrastruktures se kullimit dhe ujitjes</w:t>
            </w:r>
          </w:p>
        </w:tc>
        <w:tc>
          <w:tcPr>
            <w:tcW w:w="1115" w:type="dxa"/>
            <w:vMerge w:val="restart"/>
            <w:shd w:val="clear" w:color="auto" w:fill="auto"/>
          </w:tcPr>
          <w:p w14:paraId="30F4C749"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759,734</w:t>
            </w:r>
          </w:p>
        </w:tc>
        <w:tc>
          <w:tcPr>
            <w:tcW w:w="1115" w:type="dxa"/>
            <w:shd w:val="clear" w:color="auto" w:fill="auto"/>
          </w:tcPr>
          <w:p w14:paraId="398E0D91" w14:textId="77777777" w:rsidR="005139C5" w:rsidRPr="00AC7CD6" w:rsidRDefault="005139C5" w:rsidP="0080499B">
            <w:pPr>
              <w:shd w:val="clear" w:color="auto" w:fill="FFFFFF" w:themeFill="background1"/>
              <w:jc w:val="center"/>
              <w:rPr>
                <w:rFonts w:asciiTheme="majorHAnsi" w:hAnsiTheme="majorHAnsi" w:cs="Times New Roman"/>
                <w:sz w:val="18"/>
                <w:szCs w:val="20"/>
                <w:lang w:val="sq-AL"/>
              </w:rPr>
            </w:pPr>
            <w:r w:rsidRPr="00AC7CD6">
              <w:rPr>
                <w:rFonts w:asciiTheme="majorHAnsi" w:hAnsiTheme="majorHAnsi" w:cs="Times New Roman"/>
                <w:sz w:val="18"/>
                <w:szCs w:val="20"/>
                <w:lang w:val="sq-AL"/>
              </w:rPr>
              <w:t>992,000</w:t>
            </w:r>
          </w:p>
        </w:tc>
        <w:tc>
          <w:tcPr>
            <w:tcW w:w="1171" w:type="dxa"/>
            <w:shd w:val="clear" w:color="auto" w:fill="auto"/>
            <w:vAlign w:val="bottom"/>
          </w:tcPr>
          <w:p w14:paraId="19AB498C"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754,365</w:t>
            </w:r>
          </w:p>
        </w:tc>
        <w:tc>
          <w:tcPr>
            <w:tcW w:w="1115" w:type="dxa"/>
            <w:shd w:val="clear" w:color="auto" w:fill="auto"/>
          </w:tcPr>
          <w:p w14:paraId="5B31397A"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984134</w:t>
            </w:r>
          </w:p>
        </w:tc>
        <w:tc>
          <w:tcPr>
            <w:tcW w:w="1037" w:type="dxa"/>
            <w:shd w:val="clear" w:color="auto" w:fill="auto"/>
            <w:vAlign w:val="bottom"/>
          </w:tcPr>
          <w:p w14:paraId="0A76F150"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99.3</w:t>
            </w:r>
          </w:p>
        </w:tc>
        <w:tc>
          <w:tcPr>
            <w:tcW w:w="1108" w:type="dxa"/>
            <w:shd w:val="clear" w:color="auto" w:fill="auto"/>
            <w:vAlign w:val="bottom"/>
          </w:tcPr>
          <w:p w14:paraId="1014446F"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98.1</w:t>
            </w:r>
          </w:p>
        </w:tc>
      </w:tr>
      <w:tr w:rsidR="005139C5" w:rsidRPr="00AC7CD6" w14:paraId="4366D055" w14:textId="77777777" w:rsidTr="00AC7CD6">
        <w:trPr>
          <w:gridAfter w:val="1"/>
          <w:wAfter w:w="10" w:type="dxa"/>
          <w:trHeight w:val="268"/>
          <w:jc w:val="center"/>
        </w:trPr>
        <w:tc>
          <w:tcPr>
            <w:tcW w:w="507" w:type="dxa"/>
            <w:shd w:val="clear" w:color="auto" w:fill="auto"/>
          </w:tcPr>
          <w:p w14:paraId="246BCE2B"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p>
        </w:tc>
        <w:tc>
          <w:tcPr>
            <w:tcW w:w="3653" w:type="dxa"/>
            <w:shd w:val="clear" w:color="auto" w:fill="auto"/>
          </w:tcPr>
          <w:p w14:paraId="56D11206" w14:textId="77777777" w:rsidR="005139C5" w:rsidRPr="00AC7CD6" w:rsidRDefault="005139C5" w:rsidP="0080499B">
            <w:pPr>
              <w:shd w:val="clear" w:color="auto" w:fill="FFFFFF" w:themeFill="background1"/>
              <w:jc w:val="right"/>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Financimi i huaj</w:t>
            </w:r>
          </w:p>
        </w:tc>
        <w:tc>
          <w:tcPr>
            <w:tcW w:w="1115" w:type="dxa"/>
            <w:vMerge/>
            <w:shd w:val="clear" w:color="auto" w:fill="auto"/>
          </w:tcPr>
          <w:p w14:paraId="2DAD582E"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6E1CBB0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976,122</w:t>
            </w:r>
          </w:p>
        </w:tc>
        <w:tc>
          <w:tcPr>
            <w:tcW w:w="1171" w:type="dxa"/>
            <w:shd w:val="clear" w:color="auto" w:fill="auto"/>
            <w:vAlign w:val="bottom"/>
          </w:tcPr>
          <w:p w14:paraId="5F408922"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49D9CC2C"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947475</w:t>
            </w:r>
          </w:p>
        </w:tc>
        <w:tc>
          <w:tcPr>
            <w:tcW w:w="1037" w:type="dxa"/>
            <w:shd w:val="clear" w:color="auto" w:fill="auto"/>
            <w:vAlign w:val="bottom"/>
          </w:tcPr>
          <w:p w14:paraId="437A8043"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08" w:type="dxa"/>
            <w:shd w:val="clear" w:color="auto" w:fill="auto"/>
            <w:vAlign w:val="bottom"/>
          </w:tcPr>
          <w:p w14:paraId="4D9760B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r>
      <w:tr w:rsidR="005139C5" w:rsidRPr="00AC7CD6" w14:paraId="35E90D6C" w14:textId="77777777" w:rsidTr="00AC7CD6">
        <w:trPr>
          <w:gridAfter w:val="1"/>
          <w:wAfter w:w="10" w:type="dxa"/>
          <w:trHeight w:val="385"/>
          <w:jc w:val="center"/>
        </w:trPr>
        <w:tc>
          <w:tcPr>
            <w:tcW w:w="507" w:type="dxa"/>
            <w:shd w:val="clear" w:color="auto" w:fill="auto"/>
          </w:tcPr>
          <w:p w14:paraId="5A532405"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4.</w:t>
            </w:r>
          </w:p>
        </w:tc>
        <w:tc>
          <w:tcPr>
            <w:tcW w:w="3653" w:type="dxa"/>
            <w:shd w:val="clear" w:color="auto" w:fill="auto"/>
          </w:tcPr>
          <w:p w14:paraId="4299B72C" w14:textId="77777777" w:rsidR="005139C5" w:rsidRPr="00AC7CD6" w:rsidRDefault="005139C5" w:rsidP="0080499B">
            <w:pPr>
              <w:shd w:val="clear" w:color="auto" w:fill="FFFFFF" w:themeFill="background1"/>
              <w:jc w:val="both"/>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Zhvillimi Rural duke mbesht. Prodh. Bujq, Blek, Agroind dhe Market.</w:t>
            </w:r>
          </w:p>
        </w:tc>
        <w:tc>
          <w:tcPr>
            <w:tcW w:w="1115" w:type="dxa"/>
            <w:vMerge w:val="restart"/>
            <w:shd w:val="clear" w:color="auto" w:fill="auto"/>
          </w:tcPr>
          <w:p w14:paraId="1E14E748"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2,109,908</w:t>
            </w:r>
          </w:p>
        </w:tc>
        <w:tc>
          <w:tcPr>
            <w:tcW w:w="1115" w:type="dxa"/>
            <w:shd w:val="clear" w:color="auto" w:fill="auto"/>
          </w:tcPr>
          <w:p w14:paraId="22F975E5"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258,460</w:t>
            </w:r>
          </w:p>
        </w:tc>
        <w:tc>
          <w:tcPr>
            <w:tcW w:w="1171" w:type="dxa"/>
            <w:shd w:val="clear" w:color="auto" w:fill="auto"/>
            <w:vAlign w:val="center"/>
          </w:tcPr>
          <w:p w14:paraId="572CA9A2"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1,959,050</w:t>
            </w:r>
          </w:p>
        </w:tc>
        <w:tc>
          <w:tcPr>
            <w:tcW w:w="1115" w:type="dxa"/>
            <w:shd w:val="clear" w:color="auto" w:fill="auto"/>
          </w:tcPr>
          <w:p w14:paraId="677484B7"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247398</w:t>
            </w:r>
          </w:p>
        </w:tc>
        <w:tc>
          <w:tcPr>
            <w:tcW w:w="1037" w:type="dxa"/>
            <w:shd w:val="clear" w:color="auto" w:fill="auto"/>
            <w:vAlign w:val="bottom"/>
          </w:tcPr>
          <w:p w14:paraId="7C144AA7"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92.9</w:t>
            </w:r>
          </w:p>
        </w:tc>
        <w:tc>
          <w:tcPr>
            <w:tcW w:w="1108" w:type="dxa"/>
            <w:shd w:val="clear" w:color="auto" w:fill="auto"/>
            <w:vAlign w:val="bottom"/>
          </w:tcPr>
          <w:p w14:paraId="3180D145"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40.1</w:t>
            </w:r>
          </w:p>
        </w:tc>
      </w:tr>
      <w:tr w:rsidR="005139C5" w:rsidRPr="00AC7CD6" w14:paraId="67114020" w14:textId="77777777" w:rsidTr="00AC7CD6">
        <w:trPr>
          <w:gridAfter w:val="1"/>
          <w:wAfter w:w="10" w:type="dxa"/>
          <w:trHeight w:val="201"/>
          <w:jc w:val="center"/>
        </w:trPr>
        <w:tc>
          <w:tcPr>
            <w:tcW w:w="507" w:type="dxa"/>
            <w:shd w:val="clear" w:color="auto" w:fill="auto"/>
          </w:tcPr>
          <w:p w14:paraId="48B4BB68"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p>
        </w:tc>
        <w:tc>
          <w:tcPr>
            <w:tcW w:w="3653" w:type="dxa"/>
            <w:shd w:val="clear" w:color="auto" w:fill="auto"/>
          </w:tcPr>
          <w:p w14:paraId="58865015" w14:textId="77777777" w:rsidR="005139C5" w:rsidRPr="00AC7CD6" w:rsidRDefault="005139C5" w:rsidP="0080499B">
            <w:pPr>
              <w:shd w:val="clear" w:color="auto" w:fill="FFFFFF" w:themeFill="background1"/>
              <w:jc w:val="right"/>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Financimi i huaj</w:t>
            </w:r>
          </w:p>
        </w:tc>
        <w:tc>
          <w:tcPr>
            <w:tcW w:w="1115" w:type="dxa"/>
            <w:vMerge/>
            <w:shd w:val="clear" w:color="auto" w:fill="auto"/>
          </w:tcPr>
          <w:p w14:paraId="33BB2486"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2D74FBED"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1,159,584</w:t>
            </w:r>
          </w:p>
        </w:tc>
        <w:tc>
          <w:tcPr>
            <w:tcW w:w="1171" w:type="dxa"/>
            <w:shd w:val="clear" w:color="auto" w:fill="auto"/>
            <w:vAlign w:val="bottom"/>
          </w:tcPr>
          <w:p w14:paraId="7BF1855E"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7B9651E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320538</w:t>
            </w:r>
          </w:p>
        </w:tc>
        <w:tc>
          <w:tcPr>
            <w:tcW w:w="1037" w:type="dxa"/>
            <w:shd w:val="clear" w:color="auto" w:fill="auto"/>
            <w:vAlign w:val="bottom"/>
          </w:tcPr>
          <w:p w14:paraId="50D19E6E"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08" w:type="dxa"/>
            <w:shd w:val="clear" w:color="auto" w:fill="auto"/>
            <w:vAlign w:val="bottom"/>
          </w:tcPr>
          <w:p w14:paraId="14B7B7C2"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r>
      <w:tr w:rsidR="005139C5" w:rsidRPr="00AC7CD6" w14:paraId="41D2CF89" w14:textId="77777777" w:rsidTr="00AC7CD6">
        <w:trPr>
          <w:gridAfter w:val="1"/>
          <w:wAfter w:w="10" w:type="dxa"/>
          <w:trHeight w:val="310"/>
          <w:jc w:val="center"/>
        </w:trPr>
        <w:tc>
          <w:tcPr>
            <w:tcW w:w="507" w:type="dxa"/>
            <w:shd w:val="clear" w:color="auto" w:fill="auto"/>
          </w:tcPr>
          <w:p w14:paraId="1BD603BD"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5.</w:t>
            </w:r>
          </w:p>
        </w:tc>
        <w:tc>
          <w:tcPr>
            <w:tcW w:w="3653" w:type="dxa"/>
            <w:shd w:val="clear" w:color="auto" w:fill="auto"/>
          </w:tcPr>
          <w:p w14:paraId="7C5A23A7" w14:textId="77777777" w:rsidR="005139C5" w:rsidRPr="00AC7CD6" w:rsidRDefault="005139C5" w:rsidP="0080499B">
            <w:pPr>
              <w:shd w:val="clear" w:color="auto" w:fill="FFFFFF" w:themeFill="background1"/>
              <w:jc w:val="both"/>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Keshillimi dhe Informacioni Bujqesor</w:t>
            </w:r>
          </w:p>
        </w:tc>
        <w:tc>
          <w:tcPr>
            <w:tcW w:w="1115" w:type="dxa"/>
            <w:shd w:val="clear" w:color="auto" w:fill="auto"/>
          </w:tcPr>
          <w:p w14:paraId="2916AE23"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210,984</w:t>
            </w:r>
          </w:p>
        </w:tc>
        <w:tc>
          <w:tcPr>
            <w:tcW w:w="1115" w:type="dxa"/>
            <w:shd w:val="clear" w:color="auto" w:fill="auto"/>
          </w:tcPr>
          <w:p w14:paraId="662340EA"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8,998</w:t>
            </w:r>
          </w:p>
        </w:tc>
        <w:tc>
          <w:tcPr>
            <w:tcW w:w="1171" w:type="dxa"/>
            <w:shd w:val="clear" w:color="auto" w:fill="auto"/>
            <w:vAlign w:val="bottom"/>
          </w:tcPr>
          <w:p w14:paraId="717E46C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193,304</w:t>
            </w:r>
          </w:p>
        </w:tc>
        <w:tc>
          <w:tcPr>
            <w:tcW w:w="1115" w:type="dxa"/>
            <w:shd w:val="clear" w:color="auto" w:fill="auto"/>
          </w:tcPr>
          <w:p w14:paraId="146EC845"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7995</w:t>
            </w:r>
          </w:p>
        </w:tc>
        <w:tc>
          <w:tcPr>
            <w:tcW w:w="1037" w:type="dxa"/>
            <w:shd w:val="clear" w:color="auto" w:fill="auto"/>
            <w:vAlign w:val="bottom"/>
          </w:tcPr>
          <w:p w14:paraId="7905AF8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91.6</w:t>
            </w:r>
          </w:p>
        </w:tc>
        <w:tc>
          <w:tcPr>
            <w:tcW w:w="1108" w:type="dxa"/>
            <w:shd w:val="clear" w:color="auto" w:fill="auto"/>
            <w:vAlign w:val="bottom"/>
          </w:tcPr>
          <w:p w14:paraId="6A2C5557"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88.9</w:t>
            </w:r>
          </w:p>
        </w:tc>
      </w:tr>
      <w:tr w:rsidR="005139C5" w:rsidRPr="00AC7CD6" w14:paraId="64114E45" w14:textId="77777777" w:rsidTr="00AC7CD6">
        <w:trPr>
          <w:gridAfter w:val="1"/>
          <w:wAfter w:w="10" w:type="dxa"/>
          <w:trHeight w:val="251"/>
          <w:jc w:val="center"/>
        </w:trPr>
        <w:tc>
          <w:tcPr>
            <w:tcW w:w="507" w:type="dxa"/>
            <w:shd w:val="clear" w:color="auto" w:fill="auto"/>
          </w:tcPr>
          <w:p w14:paraId="4F7087F2"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6.</w:t>
            </w:r>
          </w:p>
        </w:tc>
        <w:tc>
          <w:tcPr>
            <w:tcW w:w="3653" w:type="dxa"/>
            <w:shd w:val="clear" w:color="auto" w:fill="auto"/>
          </w:tcPr>
          <w:p w14:paraId="2B1C2C34" w14:textId="77777777" w:rsidR="005139C5" w:rsidRPr="00AC7CD6" w:rsidRDefault="005139C5" w:rsidP="0080499B">
            <w:pPr>
              <w:shd w:val="clear" w:color="auto" w:fill="FFFFFF" w:themeFill="background1"/>
              <w:jc w:val="both"/>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Menaxhimi qendrueshem i tokes bujqesore</w:t>
            </w:r>
          </w:p>
        </w:tc>
        <w:tc>
          <w:tcPr>
            <w:tcW w:w="1115" w:type="dxa"/>
            <w:shd w:val="clear" w:color="auto" w:fill="auto"/>
          </w:tcPr>
          <w:p w14:paraId="72D87FD5"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16,000</w:t>
            </w:r>
          </w:p>
        </w:tc>
        <w:tc>
          <w:tcPr>
            <w:tcW w:w="1115" w:type="dxa"/>
            <w:shd w:val="clear" w:color="auto" w:fill="auto"/>
          </w:tcPr>
          <w:p w14:paraId="76AD1060"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w:t>
            </w:r>
          </w:p>
        </w:tc>
        <w:tc>
          <w:tcPr>
            <w:tcW w:w="1171" w:type="dxa"/>
            <w:shd w:val="clear" w:color="auto" w:fill="auto"/>
            <w:vAlign w:val="bottom"/>
          </w:tcPr>
          <w:p w14:paraId="685A38C5"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14,875</w:t>
            </w:r>
          </w:p>
        </w:tc>
        <w:tc>
          <w:tcPr>
            <w:tcW w:w="1115" w:type="dxa"/>
            <w:shd w:val="clear" w:color="auto" w:fill="auto"/>
          </w:tcPr>
          <w:p w14:paraId="6840CE2E"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w:t>
            </w:r>
          </w:p>
        </w:tc>
        <w:tc>
          <w:tcPr>
            <w:tcW w:w="1037" w:type="dxa"/>
            <w:shd w:val="clear" w:color="auto" w:fill="auto"/>
            <w:vAlign w:val="bottom"/>
          </w:tcPr>
          <w:p w14:paraId="1932BB24"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93.0</w:t>
            </w:r>
          </w:p>
        </w:tc>
        <w:tc>
          <w:tcPr>
            <w:tcW w:w="1108" w:type="dxa"/>
            <w:shd w:val="clear" w:color="auto" w:fill="auto"/>
            <w:vAlign w:val="bottom"/>
          </w:tcPr>
          <w:p w14:paraId="4A42144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w:t>
            </w:r>
          </w:p>
        </w:tc>
      </w:tr>
      <w:tr w:rsidR="005139C5" w:rsidRPr="00AC7CD6" w14:paraId="4DB38C07" w14:textId="77777777" w:rsidTr="00AC7CD6">
        <w:trPr>
          <w:gridAfter w:val="1"/>
          <w:wAfter w:w="10" w:type="dxa"/>
          <w:trHeight w:val="285"/>
          <w:jc w:val="center"/>
        </w:trPr>
        <w:tc>
          <w:tcPr>
            <w:tcW w:w="507" w:type="dxa"/>
            <w:shd w:val="clear" w:color="auto" w:fill="auto"/>
          </w:tcPr>
          <w:p w14:paraId="06F4A2C8"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7.</w:t>
            </w:r>
          </w:p>
        </w:tc>
        <w:tc>
          <w:tcPr>
            <w:tcW w:w="3653" w:type="dxa"/>
            <w:shd w:val="clear" w:color="auto" w:fill="auto"/>
          </w:tcPr>
          <w:p w14:paraId="721593D7" w14:textId="77777777" w:rsidR="005139C5" w:rsidRPr="00AC7CD6" w:rsidRDefault="005139C5" w:rsidP="0080499B">
            <w:pPr>
              <w:shd w:val="clear" w:color="auto" w:fill="FFFFFF" w:themeFill="background1"/>
              <w:jc w:val="both"/>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Mbeshtetje per Peshkimin</w:t>
            </w:r>
          </w:p>
        </w:tc>
        <w:tc>
          <w:tcPr>
            <w:tcW w:w="1115" w:type="dxa"/>
            <w:shd w:val="clear" w:color="auto" w:fill="auto"/>
          </w:tcPr>
          <w:p w14:paraId="40D5A05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99,342</w:t>
            </w:r>
          </w:p>
        </w:tc>
        <w:tc>
          <w:tcPr>
            <w:tcW w:w="1115" w:type="dxa"/>
            <w:shd w:val="clear" w:color="auto" w:fill="auto"/>
          </w:tcPr>
          <w:p w14:paraId="5E75A9A2"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61,542</w:t>
            </w:r>
          </w:p>
        </w:tc>
        <w:tc>
          <w:tcPr>
            <w:tcW w:w="1171" w:type="dxa"/>
            <w:shd w:val="clear" w:color="auto" w:fill="auto"/>
            <w:vAlign w:val="bottom"/>
          </w:tcPr>
          <w:p w14:paraId="62F99F3D"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98,575</w:t>
            </w:r>
          </w:p>
        </w:tc>
        <w:tc>
          <w:tcPr>
            <w:tcW w:w="1115" w:type="dxa"/>
            <w:shd w:val="clear" w:color="auto" w:fill="auto"/>
          </w:tcPr>
          <w:p w14:paraId="1D5EDCE0"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9948</w:t>
            </w:r>
          </w:p>
        </w:tc>
        <w:tc>
          <w:tcPr>
            <w:tcW w:w="1037" w:type="dxa"/>
            <w:shd w:val="clear" w:color="auto" w:fill="auto"/>
            <w:vAlign w:val="bottom"/>
          </w:tcPr>
          <w:p w14:paraId="5B4C3E90"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99.2</w:t>
            </w:r>
          </w:p>
        </w:tc>
        <w:tc>
          <w:tcPr>
            <w:tcW w:w="1108" w:type="dxa"/>
            <w:shd w:val="clear" w:color="auto" w:fill="auto"/>
            <w:vAlign w:val="bottom"/>
          </w:tcPr>
          <w:p w14:paraId="1708F534"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54.0</w:t>
            </w:r>
          </w:p>
        </w:tc>
      </w:tr>
      <w:tr w:rsidR="005139C5" w:rsidRPr="00AC7CD6" w14:paraId="4233B22C" w14:textId="77777777" w:rsidTr="00AC7CD6">
        <w:trPr>
          <w:gridAfter w:val="1"/>
          <w:wAfter w:w="10" w:type="dxa"/>
          <w:trHeight w:val="285"/>
          <w:jc w:val="center"/>
        </w:trPr>
        <w:tc>
          <w:tcPr>
            <w:tcW w:w="507" w:type="dxa"/>
            <w:shd w:val="clear" w:color="auto" w:fill="auto"/>
          </w:tcPr>
          <w:p w14:paraId="7C0FD4F6"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p>
        </w:tc>
        <w:tc>
          <w:tcPr>
            <w:tcW w:w="3653" w:type="dxa"/>
            <w:shd w:val="clear" w:color="auto" w:fill="auto"/>
          </w:tcPr>
          <w:p w14:paraId="0669DB34" w14:textId="77777777" w:rsidR="005139C5" w:rsidRPr="00AC7CD6" w:rsidRDefault="005139C5" w:rsidP="0080499B">
            <w:pPr>
              <w:shd w:val="clear" w:color="auto" w:fill="FFFFFF" w:themeFill="background1"/>
              <w:jc w:val="right"/>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Financimi i huaj</w:t>
            </w:r>
          </w:p>
        </w:tc>
        <w:tc>
          <w:tcPr>
            <w:tcW w:w="1115" w:type="dxa"/>
            <w:shd w:val="clear" w:color="auto" w:fill="auto"/>
          </w:tcPr>
          <w:p w14:paraId="260B1AD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1312098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71,150</w:t>
            </w:r>
          </w:p>
        </w:tc>
        <w:tc>
          <w:tcPr>
            <w:tcW w:w="1171" w:type="dxa"/>
            <w:shd w:val="clear" w:color="auto" w:fill="auto"/>
            <w:vAlign w:val="bottom"/>
          </w:tcPr>
          <w:p w14:paraId="3604E600"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74F852EE"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61727</w:t>
            </w:r>
          </w:p>
        </w:tc>
        <w:tc>
          <w:tcPr>
            <w:tcW w:w="1037" w:type="dxa"/>
            <w:shd w:val="clear" w:color="auto" w:fill="auto"/>
            <w:vAlign w:val="bottom"/>
          </w:tcPr>
          <w:p w14:paraId="759278DB"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08" w:type="dxa"/>
            <w:shd w:val="clear" w:color="auto" w:fill="auto"/>
            <w:vAlign w:val="bottom"/>
          </w:tcPr>
          <w:p w14:paraId="0F336844"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r>
      <w:tr w:rsidR="005139C5" w:rsidRPr="00AC7CD6" w14:paraId="1F9DA778" w14:textId="77777777" w:rsidTr="00AC7CD6">
        <w:trPr>
          <w:gridAfter w:val="1"/>
          <w:wAfter w:w="10" w:type="dxa"/>
          <w:trHeight w:val="277"/>
          <w:jc w:val="center"/>
        </w:trPr>
        <w:tc>
          <w:tcPr>
            <w:tcW w:w="507" w:type="dxa"/>
            <w:shd w:val="clear" w:color="auto" w:fill="auto"/>
          </w:tcPr>
          <w:p w14:paraId="54472809"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8.</w:t>
            </w:r>
          </w:p>
        </w:tc>
        <w:tc>
          <w:tcPr>
            <w:tcW w:w="3653" w:type="dxa"/>
            <w:shd w:val="clear" w:color="auto" w:fill="auto"/>
          </w:tcPr>
          <w:p w14:paraId="48D7CA3E" w14:textId="77777777" w:rsidR="005139C5" w:rsidRPr="00AC7CD6" w:rsidRDefault="005139C5" w:rsidP="0080499B">
            <w:pPr>
              <w:shd w:val="clear" w:color="auto" w:fill="FFFFFF" w:themeFill="background1"/>
              <w:jc w:val="both"/>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Administrimi i ujrave</w:t>
            </w:r>
          </w:p>
        </w:tc>
        <w:tc>
          <w:tcPr>
            <w:tcW w:w="1115" w:type="dxa"/>
            <w:vMerge w:val="restart"/>
            <w:shd w:val="clear" w:color="auto" w:fill="auto"/>
          </w:tcPr>
          <w:p w14:paraId="197698B9"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66,350</w:t>
            </w:r>
          </w:p>
        </w:tc>
        <w:tc>
          <w:tcPr>
            <w:tcW w:w="1115" w:type="dxa"/>
            <w:shd w:val="clear" w:color="auto" w:fill="auto"/>
          </w:tcPr>
          <w:p w14:paraId="75CDAFC5"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25,000</w:t>
            </w:r>
          </w:p>
        </w:tc>
        <w:tc>
          <w:tcPr>
            <w:tcW w:w="1171" w:type="dxa"/>
            <w:shd w:val="clear" w:color="auto" w:fill="auto"/>
            <w:vAlign w:val="bottom"/>
          </w:tcPr>
          <w:p w14:paraId="6EDD0C1A"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65,673</w:t>
            </w:r>
          </w:p>
        </w:tc>
        <w:tc>
          <w:tcPr>
            <w:tcW w:w="1115" w:type="dxa"/>
            <w:shd w:val="clear" w:color="auto" w:fill="auto"/>
          </w:tcPr>
          <w:p w14:paraId="3126453F"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24540</w:t>
            </w:r>
          </w:p>
        </w:tc>
        <w:tc>
          <w:tcPr>
            <w:tcW w:w="1037" w:type="dxa"/>
            <w:shd w:val="clear" w:color="auto" w:fill="auto"/>
            <w:vAlign w:val="bottom"/>
          </w:tcPr>
          <w:p w14:paraId="243B48D9"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99.0</w:t>
            </w:r>
          </w:p>
        </w:tc>
        <w:tc>
          <w:tcPr>
            <w:tcW w:w="1108" w:type="dxa"/>
            <w:shd w:val="clear" w:color="auto" w:fill="auto"/>
          </w:tcPr>
          <w:p w14:paraId="116660D6"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95.3</w:t>
            </w:r>
          </w:p>
        </w:tc>
      </w:tr>
      <w:tr w:rsidR="005139C5" w:rsidRPr="00AC7CD6" w14:paraId="626FF796" w14:textId="77777777" w:rsidTr="00AC7CD6">
        <w:trPr>
          <w:gridAfter w:val="1"/>
          <w:wAfter w:w="10" w:type="dxa"/>
          <w:trHeight w:val="251"/>
          <w:jc w:val="center"/>
        </w:trPr>
        <w:tc>
          <w:tcPr>
            <w:tcW w:w="507" w:type="dxa"/>
            <w:shd w:val="clear" w:color="auto" w:fill="auto"/>
          </w:tcPr>
          <w:p w14:paraId="7E2E6322" w14:textId="77777777" w:rsidR="005139C5" w:rsidRPr="00AC7CD6" w:rsidRDefault="005139C5" w:rsidP="0080499B">
            <w:pPr>
              <w:shd w:val="clear" w:color="auto" w:fill="FFFFFF" w:themeFill="background1"/>
              <w:jc w:val="center"/>
              <w:rPr>
                <w:rFonts w:asciiTheme="majorHAnsi" w:eastAsia="Times New Roman" w:hAnsiTheme="majorHAnsi" w:cs="Times New Roman"/>
                <w:sz w:val="18"/>
                <w:lang w:val="sq-AL"/>
              </w:rPr>
            </w:pPr>
          </w:p>
        </w:tc>
        <w:tc>
          <w:tcPr>
            <w:tcW w:w="3653" w:type="dxa"/>
            <w:shd w:val="clear" w:color="auto" w:fill="auto"/>
          </w:tcPr>
          <w:p w14:paraId="549E0690" w14:textId="77777777" w:rsidR="005139C5" w:rsidRPr="00AC7CD6" w:rsidRDefault="005139C5" w:rsidP="0080499B">
            <w:pPr>
              <w:shd w:val="clear" w:color="auto" w:fill="FFFFFF" w:themeFill="background1"/>
              <w:jc w:val="right"/>
              <w:rPr>
                <w:rFonts w:asciiTheme="majorHAnsi" w:eastAsia="Times New Roman" w:hAnsiTheme="majorHAnsi" w:cs="Times New Roman"/>
                <w:sz w:val="18"/>
                <w:lang w:val="sq-AL"/>
              </w:rPr>
            </w:pPr>
            <w:r w:rsidRPr="00AC7CD6">
              <w:rPr>
                <w:rFonts w:asciiTheme="majorHAnsi" w:eastAsia="Times New Roman" w:hAnsiTheme="majorHAnsi" w:cs="Times New Roman"/>
                <w:sz w:val="18"/>
                <w:lang w:val="sq-AL"/>
              </w:rPr>
              <w:t>Financimi i huaj</w:t>
            </w:r>
          </w:p>
        </w:tc>
        <w:tc>
          <w:tcPr>
            <w:tcW w:w="1115" w:type="dxa"/>
            <w:vMerge/>
            <w:shd w:val="clear" w:color="auto" w:fill="auto"/>
          </w:tcPr>
          <w:p w14:paraId="4D6E9BDA"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275DD65C"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80,830</w:t>
            </w:r>
          </w:p>
        </w:tc>
        <w:tc>
          <w:tcPr>
            <w:tcW w:w="1171" w:type="dxa"/>
            <w:shd w:val="clear" w:color="auto" w:fill="auto"/>
          </w:tcPr>
          <w:p w14:paraId="55F54AEE"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15" w:type="dxa"/>
            <w:shd w:val="clear" w:color="auto" w:fill="auto"/>
          </w:tcPr>
          <w:p w14:paraId="3E487F8D"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r w:rsidRPr="00AC7CD6">
              <w:rPr>
                <w:rFonts w:asciiTheme="majorHAnsi" w:hAnsiTheme="majorHAnsi" w:cs="Times New Roman"/>
                <w:sz w:val="18"/>
                <w:szCs w:val="20"/>
                <w:lang w:val="sq-AL"/>
              </w:rPr>
              <w:t>76335</w:t>
            </w:r>
          </w:p>
        </w:tc>
        <w:tc>
          <w:tcPr>
            <w:tcW w:w="1037" w:type="dxa"/>
            <w:shd w:val="clear" w:color="auto" w:fill="auto"/>
          </w:tcPr>
          <w:p w14:paraId="7E521E0F"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c>
          <w:tcPr>
            <w:tcW w:w="1108" w:type="dxa"/>
            <w:shd w:val="clear" w:color="auto" w:fill="auto"/>
          </w:tcPr>
          <w:p w14:paraId="2F581D7C" w14:textId="77777777" w:rsidR="005139C5" w:rsidRPr="00AC7CD6" w:rsidRDefault="005139C5" w:rsidP="0080499B">
            <w:pPr>
              <w:shd w:val="clear" w:color="auto" w:fill="FFFFFF" w:themeFill="background1"/>
              <w:jc w:val="right"/>
              <w:rPr>
                <w:rFonts w:asciiTheme="majorHAnsi" w:hAnsiTheme="majorHAnsi" w:cs="Times New Roman"/>
                <w:sz w:val="18"/>
                <w:szCs w:val="20"/>
                <w:lang w:val="sq-AL"/>
              </w:rPr>
            </w:pPr>
          </w:p>
        </w:tc>
      </w:tr>
      <w:tr w:rsidR="005139C5" w:rsidRPr="00AC7CD6" w14:paraId="0A0BB76B" w14:textId="77777777" w:rsidTr="00AC7CD6">
        <w:trPr>
          <w:gridAfter w:val="1"/>
          <w:wAfter w:w="10" w:type="dxa"/>
          <w:trHeight w:val="235"/>
          <w:jc w:val="center"/>
        </w:trPr>
        <w:tc>
          <w:tcPr>
            <w:tcW w:w="507" w:type="dxa"/>
            <w:shd w:val="clear" w:color="auto" w:fill="auto"/>
          </w:tcPr>
          <w:p w14:paraId="7C7A11A7" w14:textId="77777777" w:rsidR="005139C5" w:rsidRPr="00AC7CD6" w:rsidRDefault="005139C5" w:rsidP="0080499B">
            <w:pPr>
              <w:shd w:val="clear" w:color="auto" w:fill="FFFFFF" w:themeFill="background1"/>
              <w:jc w:val="center"/>
              <w:rPr>
                <w:rFonts w:asciiTheme="majorHAnsi" w:eastAsia="Times New Roman" w:hAnsiTheme="majorHAnsi" w:cs="Times New Roman"/>
                <w:b/>
                <w:sz w:val="18"/>
                <w:lang w:val="sq-AL"/>
              </w:rPr>
            </w:pPr>
          </w:p>
        </w:tc>
        <w:tc>
          <w:tcPr>
            <w:tcW w:w="3653" w:type="dxa"/>
            <w:shd w:val="clear" w:color="auto" w:fill="auto"/>
          </w:tcPr>
          <w:p w14:paraId="72041D8A" w14:textId="77777777" w:rsidR="005139C5" w:rsidRPr="00AC7CD6" w:rsidRDefault="005139C5" w:rsidP="0080499B">
            <w:pPr>
              <w:shd w:val="clear" w:color="auto" w:fill="FFFFFF" w:themeFill="background1"/>
              <w:jc w:val="center"/>
              <w:rPr>
                <w:rFonts w:asciiTheme="majorHAnsi" w:eastAsia="Times New Roman" w:hAnsiTheme="majorHAnsi" w:cs="Times New Roman"/>
                <w:b/>
                <w:sz w:val="18"/>
                <w:lang w:val="sq-AL"/>
              </w:rPr>
            </w:pPr>
            <w:r w:rsidRPr="00AC7CD6">
              <w:rPr>
                <w:rFonts w:asciiTheme="majorHAnsi" w:eastAsia="Times New Roman" w:hAnsiTheme="majorHAnsi" w:cs="Times New Roman"/>
                <w:b/>
                <w:sz w:val="18"/>
                <w:lang w:val="sq-AL"/>
              </w:rPr>
              <w:t>TOTAL</w:t>
            </w:r>
          </w:p>
        </w:tc>
        <w:tc>
          <w:tcPr>
            <w:tcW w:w="1115" w:type="dxa"/>
            <w:shd w:val="clear" w:color="auto" w:fill="auto"/>
          </w:tcPr>
          <w:p w14:paraId="22EE2A4D" w14:textId="77777777" w:rsidR="005139C5" w:rsidRPr="00AC7CD6" w:rsidRDefault="005139C5" w:rsidP="0080499B">
            <w:pPr>
              <w:shd w:val="clear" w:color="auto" w:fill="FFFFFF" w:themeFill="background1"/>
              <w:jc w:val="center"/>
              <w:rPr>
                <w:rFonts w:asciiTheme="majorHAnsi" w:eastAsia="Times New Roman" w:hAnsiTheme="majorHAnsi" w:cs="Times New Roman"/>
                <w:b/>
                <w:sz w:val="18"/>
                <w:lang w:val="sq-AL"/>
              </w:rPr>
            </w:pPr>
            <w:r w:rsidRPr="00AC7CD6">
              <w:rPr>
                <w:rFonts w:asciiTheme="majorHAnsi" w:eastAsia="Times New Roman" w:hAnsiTheme="majorHAnsi" w:cs="Times New Roman"/>
                <w:b/>
                <w:sz w:val="18"/>
                <w:lang w:val="sq-AL"/>
              </w:rPr>
              <w:t>5,071,884</w:t>
            </w:r>
          </w:p>
        </w:tc>
        <w:tc>
          <w:tcPr>
            <w:tcW w:w="1115" w:type="dxa"/>
            <w:shd w:val="clear" w:color="auto" w:fill="auto"/>
          </w:tcPr>
          <w:p w14:paraId="25D9867E" w14:textId="77777777" w:rsidR="005139C5" w:rsidRPr="00AC7CD6" w:rsidRDefault="005139C5" w:rsidP="0080499B">
            <w:pPr>
              <w:shd w:val="clear" w:color="auto" w:fill="FFFFFF" w:themeFill="background1"/>
              <w:jc w:val="center"/>
              <w:rPr>
                <w:rFonts w:asciiTheme="majorHAnsi" w:eastAsia="Times New Roman" w:hAnsiTheme="majorHAnsi" w:cs="Times New Roman"/>
                <w:b/>
                <w:sz w:val="18"/>
                <w:lang w:val="sq-AL"/>
              </w:rPr>
            </w:pPr>
            <w:r w:rsidRPr="00AC7CD6">
              <w:rPr>
                <w:rFonts w:asciiTheme="majorHAnsi" w:eastAsia="Times New Roman" w:hAnsiTheme="majorHAnsi" w:cs="Times New Roman"/>
                <w:b/>
                <w:sz w:val="18"/>
                <w:lang w:val="sq-AL"/>
              </w:rPr>
              <w:t>4,181,311</w:t>
            </w:r>
          </w:p>
        </w:tc>
        <w:tc>
          <w:tcPr>
            <w:tcW w:w="1171" w:type="dxa"/>
            <w:shd w:val="clear" w:color="auto" w:fill="auto"/>
          </w:tcPr>
          <w:p w14:paraId="2509644B" w14:textId="77777777" w:rsidR="005139C5" w:rsidRPr="00AC7CD6" w:rsidRDefault="005139C5" w:rsidP="0080499B">
            <w:pPr>
              <w:shd w:val="clear" w:color="auto" w:fill="FFFFFF" w:themeFill="background1"/>
              <w:jc w:val="center"/>
              <w:rPr>
                <w:rFonts w:asciiTheme="majorHAnsi" w:eastAsia="Times New Roman" w:hAnsiTheme="majorHAnsi" w:cs="Times New Roman"/>
                <w:b/>
                <w:sz w:val="18"/>
                <w:lang w:val="sq-AL"/>
              </w:rPr>
            </w:pPr>
            <w:r w:rsidRPr="00AC7CD6">
              <w:rPr>
                <w:rFonts w:asciiTheme="majorHAnsi" w:eastAsia="Times New Roman" w:hAnsiTheme="majorHAnsi" w:cs="Times New Roman"/>
                <w:b/>
                <w:sz w:val="18"/>
                <w:lang w:val="sq-AL"/>
              </w:rPr>
              <w:t>4,760,679</w:t>
            </w:r>
          </w:p>
        </w:tc>
        <w:tc>
          <w:tcPr>
            <w:tcW w:w="1115" w:type="dxa"/>
            <w:shd w:val="clear" w:color="auto" w:fill="auto"/>
          </w:tcPr>
          <w:p w14:paraId="745966E3" w14:textId="77777777" w:rsidR="005139C5" w:rsidRPr="00AC7CD6" w:rsidRDefault="005139C5" w:rsidP="0080499B">
            <w:pPr>
              <w:shd w:val="clear" w:color="auto" w:fill="FFFFFF" w:themeFill="background1"/>
              <w:jc w:val="center"/>
              <w:rPr>
                <w:rFonts w:asciiTheme="majorHAnsi" w:eastAsia="Times New Roman" w:hAnsiTheme="majorHAnsi" w:cs="Times New Roman"/>
                <w:b/>
                <w:sz w:val="18"/>
                <w:lang w:val="sq-AL"/>
              </w:rPr>
            </w:pPr>
            <w:r w:rsidRPr="00AC7CD6">
              <w:rPr>
                <w:rFonts w:asciiTheme="majorHAnsi" w:eastAsia="Times New Roman" w:hAnsiTheme="majorHAnsi" w:cs="Times New Roman"/>
                <w:b/>
                <w:sz w:val="18"/>
                <w:lang w:val="sq-AL"/>
              </w:rPr>
              <w:t>3,207,842</w:t>
            </w:r>
          </w:p>
        </w:tc>
        <w:tc>
          <w:tcPr>
            <w:tcW w:w="1037" w:type="dxa"/>
            <w:shd w:val="clear" w:color="auto" w:fill="auto"/>
          </w:tcPr>
          <w:p w14:paraId="24CD03E9" w14:textId="77777777" w:rsidR="005139C5" w:rsidRPr="00AC7CD6" w:rsidRDefault="005139C5" w:rsidP="0080499B">
            <w:pPr>
              <w:shd w:val="clear" w:color="auto" w:fill="FFFFFF" w:themeFill="background1"/>
              <w:jc w:val="center"/>
              <w:rPr>
                <w:rFonts w:asciiTheme="majorHAnsi" w:eastAsia="Times New Roman" w:hAnsiTheme="majorHAnsi" w:cs="Times New Roman"/>
                <w:b/>
                <w:sz w:val="18"/>
                <w:lang w:val="sq-AL"/>
              </w:rPr>
            </w:pPr>
            <w:r w:rsidRPr="00AC7CD6">
              <w:rPr>
                <w:rFonts w:asciiTheme="majorHAnsi" w:eastAsia="Times New Roman" w:hAnsiTheme="majorHAnsi" w:cs="Times New Roman"/>
                <w:b/>
                <w:sz w:val="18"/>
                <w:lang w:val="sq-AL"/>
              </w:rPr>
              <w:t>93.9</w:t>
            </w:r>
          </w:p>
        </w:tc>
        <w:tc>
          <w:tcPr>
            <w:tcW w:w="1108" w:type="dxa"/>
            <w:shd w:val="clear" w:color="auto" w:fill="auto"/>
          </w:tcPr>
          <w:p w14:paraId="681BB56B" w14:textId="77777777" w:rsidR="005139C5" w:rsidRPr="00AC7CD6" w:rsidRDefault="005139C5" w:rsidP="0080499B">
            <w:pPr>
              <w:shd w:val="clear" w:color="auto" w:fill="FFFFFF" w:themeFill="background1"/>
              <w:jc w:val="center"/>
              <w:rPr>
                <w:rFonts w:asciiTheme="majorHAnsi" w:eastAsia="Times New Roman" w:hAnsiTheme="majorHAnsi" w:cs="Times New Roman"/>
                <w:b/>
                <w:sz w:val="18"/>
                <w:lang w:val="sq-AL"/>
              </w:rPr>
            </w:pPr>
            <w:r w:rsidRPr="00AC7CD6">
              <w:rPr>
                <w:rFonts w:asciiTheme="majorHAnsi" w:eastAsia="Times New Roman" w:hAnsiTheme="majorHAnsi" w:cs="Times New Roman"/>
                <w:b/>
                <w:sz w:val="18"/>
                <w:lang w:val="sq-AL"/>
              </w:rPr>
              <w:t>76.7</w:t>
            </w:r>
          </w:p>
        </w:tc>
      </w:tr>
    </w:tbl>
    <w:p w14:paraId="7E884CC6" w14:textId="77777777" w:rsidR="005139C5" w:rsidRPr="002E06C4" w:rsidRDefault="005139C5" w:rsidP="005139C5">
      <w:pPr>
        <w:shd w:val="clear" w:color="auto" w:fill="FFFFFF" w:themeFill="background1"/>
        <w:spacing w:line="276" w:lineRule="auto"/>
        <w:jc w:val="both"/>
        <w:rPr>
          <w:rFonts w:asciiTheme="majorHAnsi" w:hAnsiTheme="majorHAnsi"/>
          <w:lang w:val="sq-AL"/>
        </w:rPr>
      </w:pPr>
    </w:p>
    <w:p w14:paraId="4DF63E04" w14:textId="77777777" w:rsidR="005139C5" w:rsidRPr="002E06C4" w:rsidRDefault="005139C5" w:rsidP="005139C5">
      <w:pPr>
        <w:shd w:val="clear" w:color="auto" w:fill="FFFFFF" w:themeFill="background1"/>
        <w:spacing w:line="276" w:lineRule="auto"/>
        <w:jc w:val="both"/>
        <w:rPr>
          <w:rFonts w:asciiTheme="majorHAnsi" w:hAnsiTheme="majorHAnsi"/>
          <w:lang w:val="sq-AL"/>
        </w:rPr>
      </w:pPr>
      <w:r w:rsidRPr="002E06C4">
        <w:rPr>
          <w:rFonts w:asciiTheme="majorHAnsi" w:hAnsiTheme="majorHAnsi"/>
          <w:lang w:val="sq-AL"/>
        </w:rPr>
        <w:t xml:space="preserve">Në programin e </w:t>
      </w:r>
      <w:r w:rsidRPr="002E06C4">
        <w:rPr>
          <w:rFonts w:asciiTheme="majorHAnsi" w:hAnsiTheme="majorHAnsi"/>
          <w:b/>
          <w:lang w:val="sq-AL"/>
        </w:rPr>
        <w:t>“Zhvillimit rural...”,</w:t>
      </w:r>
      <w:r w:rsidRPr="002E06C4">
        <w:rPr>
          <w:rFonts w:asciiTheme="majorHAnsi" w:hAnsiTheme="majorHAnsi"/>
          <w:lang w:val="sq-AL"/>
        </w:rPr>
        <w:t xml:space="preserve"> janë realizuar produkte me një kosto faktike prej 2,526,985 (në mijë lekë), të tilla si:</w:t>
      </w:r>
    </w:p>
    <w:p w14:paraId="7AB6037B"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lang w:val="sq-AL"/>
        </w:rPr>
        <w:t xml:space="preserve">“Ruajtja e resurseve gjenetike në fermë ”, i cili është realizuar për 2 058 krere nga 2 085 krere të planifikuar, me një kosto faktike 3 088 mijë lekë. </w:t>
      </w:r>
    </w:p>
    <w:p w14:paraId="33B07255"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lang w:val="sq-AL"/>
        </w:rPr>
        <w:t>“Produktet shqiptare të sektorit bujqësor, blegtoral dhe agropërpunimit, të promovuara”, është realizuar  përmes pjesëmarrjes në 10 panaire nga 10 të planifikuara, me një kosto faktike 18 030 mijë lekë.</w:t>
      </w:r>
    </w:p>
    <w:p w14:paraId="131EE90B"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lang w:val="sq-AL"/>
        </w:rPr>
        <w:t>“Fermerë përfitues të skemave kombëtare” kanë qenë 4 053 fermerë dhe agrobiznese me një kosto faktike 1 860 669 mijë lekë.</w:t>
      </w:r>
    </w:p>
    <w:p w14:paraId="23DF0D62"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lang w:val="sq-AL"/>
        </w:rPr>
        <w:t>“Mostra të degustuara të duhanit për ruajtjen e shëndetit të konsumatorit” janë degustuar 275 mostra nga 280 mostra të planifikuara, me kosto faktike 24 276 mijë lekë.</w:t>
      </w:r>
    </w:p>
    <w:p w14:paraId="3F113FE5"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lang w:val="sq-AL"/>
        </w:rPr>
        <w:t>“Njësi të rikonstrukturuara dhe të pajisura (Agropikat)” janë rikonstrukturuar dhe pajisur 15 njësi (Agropika) me kosto faktike  47 044 mijë lekë.</w:t>
      </w:r>
    </w:p>
    <w:p w14:paraId="13CCFF1F"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lang w:val="sq-AL"/>
        </w:rPr>
        <w:t>“Vrojtime statistikore ” janë realizuar 4, me kosto faktike 11 347 mijë lekë.</w:t>
      </w:r>
    </w:p>
    <w:p w14:paraId="3A641451"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lang w:val="sq-AL"/>
        </w:rPr>
        <w:lastRenderedPageBreak/>
        <w:t>“Fara dhe Fidan të analizuar, testuara dhe certifikuara” janë kryer 1 100 000 nga 1 200 000 të planifikuara, kosto faktike 22 737 mijë lekë.</w:t>
      </w:r>
    </w:p>
    <w:p w14:paraId="2C6C28EA"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lang w:val="sq-AL"/>
        </w:rPr>
        <w:t>“Vreshta dhe Ullishte të rregjistruara” janë rregjistruar 11 500 njësi nga 10 000 të planifikuara, me kosto faktike 18 902 mijë lekë.</w:t>
      </w:r>
    </w:p>
    <w:p w14:paraId="4C6A6968"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lang w:val="sq-AL"/>
        </w:rPr>
        <w:t>“Kushte dhe standarte jetese për fermerët të përmirësuara”,  janë realizuar 8 projekte nga 8 të planifikuara me një kosto faktike prej 1 258 030 mijë lekë.</w:t>
      </w:r>
    </w:p>
    <w:p w14:paraId="295A90CD" w14:textId="77777777" w:rsidR="005139C5" w:rsidRPr="002E06C4" w:rsidRDefault="005139C5" w:rsidP="0044331B">
      <w:pPr>
        <w:shd w:val="clear" w:color="auto" w:fill="FFFFFF" w:themeFill="background1"/>
        <w:spacing w:line="276" w:lineRule="auto"/>
        <w:jc w:val="both"/>
        <w:rPr>
          <w:rFonts w:asciiTheme="majorHAnsi" w:hAnsiTheme="majorHAnsi"/>
          <w:sz w:val="12"/>
          <w:szCs w:val="12"/>
          <w:lang w:val="sq-AL"/>
        </w:rPr>
      </w:pPr>
    </w:p>
    <w:p w14:paraId="1271D008" w14:textId="77777777" w:rsidR="005139C5" w:rsidRPr="002E06C4" w:rsidRDefault="005139C5" w:rsidP="005139C5">
      <w:pPr>
        <w:shd w:val="clear" w:color="auto" w:fill="FFFFFF" w:themeFill="background1"/>
        <w:spacing w:line="276" w:lineRule="auto"/>
        <w:jc w:val="both"/>
        <w:rPr>
          <w:rFonts w:asciiTheme="majorHAnsi" w:hAnsiTheme="majorHAnsi"/>
          <w:lang w:val="sq-AL"/>
        </w:rPr>
      </w:pPr>
      <w:r w:rsidRPr="002E06C4">
        <w:rPr>
          <w:rFonts w:asciiTheme="majorHAnsi" w:hAnsiTheme="majorHAnsi"/>
          <w:lang w:val="sq-AL"/>
        </w:rPr>
        <w:t xml:space="preserve">Në programin </w:t>
      </w:r>
      <w:r w:rsidRPr="002E06C4">
        <w:rPr>
          <w:rFonts w:asciiTheme="majorHAnsi" w:hAnsiTheme="majorHAnsi"/>
          <w:b/>
          <w:lang w:val="sq-AL"/>
        </w:rPr>
        <w:t>“Siguria ushqimore dhe mbrojtja e konsumatorit”,</w:t>
      </w:r>
      <w:r w:rsidRPr="002E06C4">
        <w:rPr>
          <w:rFonts w:asciiTheme="majorHAnsi" w:hAnsiTheme="majorHAnsi"/>
          <w:lang w:val="sq-AL"/>
        </w:rPr>
        <w:t xml:space="preserve"> janë realizuar produkte me një kosto faktike prej 1,924,149 (në mijë lekë), ku ndër to përmendim: </w:t>
      </w:r>
    </w:p>
    <w:p w14:paraId="3346884A" w14:textId="77777777" w:rsidR="005139C5" w:rsidRPr="002E06C4" w:rsidRDefault="005139C5" w:rsidP="006C0253">
      <w:pPr>
        <w:numPr>
          <w:ilvl w:val="0"/>
          <w:numId w:val="25"/>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Legjislacioni i përafruar me aktet normative të BE-së, planifikuar dhe realizuar 5, me kosto 0 lekë.</w:t>
      </w:r>
    </w:p>
    <w:p w14:paraId="33E7605E" w14:textId="77777777" w:rsidR="005139C5" w:rsidRPr="002E06C4" w:rsidRDefault="005139C5" w:rsidP="006C0253">
      <w:pPr>
        <w:numPr>
          <w:ilvl w:val="0"/>
          <w:numId w:val="25"/>
        </w:numPr>
        <w:shd w:val="clear" w:color="auto" w:fill="FFFFFF" w:themeFill="background1"/>
        <w:spacing w:line="276" w:lineRule="auto"/>
        <w:jc w:val="both"/>
        <w:rPr>
          <w:rFonts w:asciiTheme="majorHAnsi" w:eastAsia="Times New Roman" w:hAnsiTheme="majorHAnsi"/>
          <w:lang w:val="sq-AL" w:eastAsia="en-GB"/>
        </w:rPr>
      </w:pPr>
      <w:r w:rsidRPr="002E06C4">
        <w:rPr>
          <w:rFonts w:asciiTheme="majorHAnsi" w:eastAsia="Times New Roman" w:hAnsiTheme="majorHAnsi"/>
          <w:bCs/>
          <w:lang w:val="sq-AL" w:eastAsia="en-GB"/>
        </w:rPr>
        <w:t xml:space="preserve">Kafshë të identifikuara (matrikulluara) në të gjithë vendin, gjedhë e të imta, planifikuar dhe realizuar 0. </w:t>
      </w:r>
      <w:r w:rsidRPr="002E06C4">
        <w:rPr>
          <w:rFonts w:asciiTheme="majorHAnsi" w:eastAsia="Times New Roman" w:hAnsiTheme="majorHAnsi"/>
          <w:lang w:val="sq-AL" w:eastAsia="en-GB"/>
        </w:rPr>
        <w:t>Identifikimi dhe regjistrimi i kafshëve u krye me fondet e vetë fermerit.</w:t>
      </w:r>
    </w:p>
    <w:p w14:paraId="4E68B5B0" w14:textId="77777777" w:rsidR="005139C5" w:rsidRPr="002E06C4" w:rsidRDefault="005139C5" w:rsidP="006C0253">
      <w:pPr>
        <w:numPr>
          <w:ilvl w:val="0"/>
          <w:numId w:val="23"/>
        </w:numPr>
        <w:shd w:val="clear" w:color="auto" w:fill="FFFFFF" w:themeFill="background1"/>
        <w:spacing w:after="120" w:line="276" w:lineRule="auto"/>
        <w:contextualSpacing/>
        <w:jc w:val="both"/>
        <w:rPr>
          <w:rFonts w:asciiTheme="majorHAnsi" w:eastAsia="Times New Roman" w:hAnsiTheme="majorHAnsi"/>
          <w:lang w:val="sq-AL"/>
        </w:rPr>
      </w:pPr>
      <w:r w:rsidRPr="002E06C4">
        <w:rPr>
          <w:rFonts w:asciiTheme="majorHAnsi" w:eastAsia="Times New Roman" w:hAnsiTheme="majorHAnsi"/>
          <w:bCs/>
          <w:lang w:val="sq-AL" w:eastAsia="en-GB"/>
        </w:rPr>
        <w:t>Analiza të kryera sipas programit për mbetjet në kafshë</w:t>
      </w:r>
      <w:r w:rsidRPr="002E06C4">
        <w:rPr>
          <w:rFonts w:asciiTheme="majorHAnsi" w:eastAsia="Times New Roman" w:hAnsiTheme="majorHAnsi"/>
          <w:lang w:val="sq-AL"/>
        </w:rPr>
        <w:t xml:space="preserve"> janë realizuar 1 600 analiza me një kosto faktike prej 1 732 mijë lekë.</w:t>
      </w:r>
    </w:p>
    <w:p w14:paraId="220EFBFA"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 xml:space="preserve">Analiza të kryera sipas programit për mbetje në ujërat e brendshme e molusqe bivale, janë realizuar 400 analiza me kosto faktike 5 000 mijë lekë, po aq sa planifikuar. </w:t>
      </w:r>
    </w:p>
    <w:p w14:paraId="33E573E6"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Sëmundje në kafshë të monitoruara, janë monitoruar 7 raste (nr.) sëmundje nga 7 të planifikuara në fillim të vitit, me kosto faktike 20 000 mijë lekë.</w:t>
      </w:r>
    </w:p>
    <w:p w14:paraId="049BFC60"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Të imta të vaksinuara kundër Brucelozës REV-1, janë vaksinuar 226 920 krerë nga 500 000 krerë të planifikuara, me kosto faktike 25 000 mijë lekë.</w:t>
      </w:r>
    </w:p>
    <w:p w14:paraId="6F2D9CBB" w14:textId="77777777" w:rsidR="005139C5" w:rsidRPr="002E06C4" w:rsidRDefault="005139C5" w:rsidP="006C0253">
      <w:pPr>
        <w:numPr>
          <w:ilvl w:val="0"/>
          <w:numId w:val="26"/>
        </w:numPr>
        <w:shd w:val="clear" w:color="auto" w:fill="FFFFFF" w:themeFill="background1"/>
        <w:spacing w:line="276" w:lineRule="auto"/>
        <w:jc w:val="both"/>
        <w:rPr>
          <w:rFonts w:asciiTheme="majorHAnsi" w:hAnsiTheme="majorHAnsi"/>
          <w:lang w:val="sq-AL"/>
        </w:rPr>
      </w:pPr>
      <w:r w:rsidRPr="002E06C4">
        <w:rPr>
          <w:rFonts w:asciiTheme="majorHAnsi" w:eastAsia="Times New Roman" w:hAnsiTheme="majorHAnsi"/>
          <w:bCs/>
          <w:lang w:val="sq-AL" w:eastAsia="en-GB"/>
        </w:rPr>
        <w:t>Kafshë gjedhë të gjurmuara për tuberkulozë, janë gjurmuar 27 167 krerë nga 27 552 krerë të planifikuara, me kosto faktike 8 691 mijë lekë.</w:t>
      </w:r>
    </w:p>
    <w:p w14:paraId="43E29211"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Kafshë imune ndaj sëmundjes së plasjes, të vaksinuara gjedhë, janë realizuar 2 733 krerë po aq sa planifikuar, me kosto faktike 4 200 mijë lekë.</w:t>
      </w:r>
    </w:p>
    <w:p w14:paraId="660A71D0"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Kafshë imune ndaj sëmundjes së plasjes, të vaksinuara të imta, janë vaksinuar 35 104 krerë po aq sa janë planifikuar, me kosto faktike 0 lekë.  Vaksinimi i kafshëve kryhet në rastet kur shfaqet sëmundja deri në fund të vitit dhe do të kryhet nga veterinerët zyrtarë dhe nuk do ketë pagesë.</w:t>
      </w:r>
    </w:p>
    <w:p w14:paraId="39BD1806"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 xml:space="preserve">Kafshë gjedhë të gjurmuara për brucelozë, janë gjurmuar 1 030 krerë nga 1 100 krerë të planifikuar, me kosto faktike 1 751 mijë lekë. </w:t>
      </w:r>
    </w:p>
    <w:p w14:paraId="264F6164"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cs="Arial"/>
          <w:sz w:val="18"/>
          <w:szCs w:val="18"/>
          <w:lang w:val="sq-AL" w:eastAsia="en-GB"/>
        </w:rPr>
      </w:pPr>
      <w:r w:rsidRPr="002E06C4">
        <w:rPr>
          <w:rFonts w:asciiTheme="majorHAnsi" w:eastAsia="Times New Roman" w:hAnsiTheme="majorHAnsi"/>
          <w:bCs/>
          <w:lang w:val="sq-AL" w:eastAsia="en-GB"/>
        </w:rPr>
        <w:t xml:space="preserve"> Kafshë pozitive të dëmtuara apo të eliminuara si të infektuara nga TBC, plasje dhe tërbim. Emergjenca veterinare, RUDA dhe karantina, janë eleminuar 199 krerë nga 300 krerë të planifikuar, me kosto faktike 2 882 mijë lekë.</w:t>
      </w:r>
    </w:p>
    <w:p w14:paraId="4E58108B" w14:textId="77777777" w:rsidR="005139C5" w:rsidRPr="002E06C4" w:rsidRDefault="005139C5" w:rsidP="006C0253">
      <w:pPr>
        <w:numPr>
          <w:ilvl w:val="0"/>
          <w:numId w:val="26"/>
        </w:numPr>
        <w:shd w:val="clear" w:color="auto" w:fill="FFFFFF" w:themeFill="background1"/>
        <w:jc w:val="both"/>
        <w:rPr>
          <w:rFonts w:asciiTheme="majorHAnsi" w:eastAsia="Times New Roman" w:hAnsiTheme="majorHAnsi"/>
          <w:lang w:val="sq-AL" w:eastAsia="en-GB"/>
        </w:rPr>
      </w:pPr>
      <w:r w:rsidRPr="002E06C4">
        <w:rPr>
          <w:rFonts w:asciiTheme="majorHAnsi" w:eastAsia="Times New Roman" w:hAnsiTheme="majorHAnsi"/>
          <w:bCs/>
          <w:lang w:val="sq-AL" w:eastAsia="en-GB"/>
        </w:rPr>
        <w:t xml:space="preserve">Sipërfaqe e trajtuar kundër miut të arrave dhe karkalecit si dhe sëmundje të tjera në bujqësi, sipas emergjencave të paraqitura, janë trajtuar 0 ha, nga 46 000 ha të planifikuara, me kosto faktike 0 lekë. </w:t>
      </w:r>
      <w:r w:rsidRPr="002E06C4">
        <w:rPr>
          <w:rFonts w:asciiTheme="majorHAnsi" w:hAnsiTheme="majorHAnsi" w:cs="Arial"/>
          <w:sz w:val="18"/>
          <w:szCs w:val="18"/>
          <w:lang w:val="sq-AL"/>
        </w:rPr>
        <w:t xml:space="preserve"> </w:t>
      </w:r>
      <w:r w:rsidRPr="002E06C4">
        <w:rPr>
          <w:rFonts w:asciiTheme="majorHAnsi" w:eastAsia="Times New Roman" w:hAnsiTheme="majorHAnsi"/>
          <w:lang w:val="sq-AL" w:eastAsia="en-GB"/>
        </w:rPr>
        <w:t xml:space="preserve">Për vitin 2018 nuk ka patur raste të shfaqjes të dëmtuesve në ambjente të mbrojtura dhe në fusha të hapura. Ky fond u alokua për të paguar vendimet gjyqësore që kishte AKU. </w:t>
      </w:r>
    </w:p>
    <w:p w14:paraId="237F8ED2"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 xml:space="preserve">Inspektim dhe menaxhim i riskut në fushën e sigurisë ushqimore, realizuar puna nga 12 drejtori (DRAKU) po aq sa planifikuar, me kosto faktike 695 945 mijë lekë. </w:t>
      </w:r>
    </w:p>
    <w:p w14:paraId="6F96DE76"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Analizimi, diagnostikimi dhe referenca për veterinarinë, sigurinë ushqimore dhe mbrojtjen e konsumatorit, realizuar nga 1 institucion përgjegjës që është ISUV me kosto 150 567 mijë lekë.</w:t>
      </w:r>
    </w:p>
    <w:p w14:paraId="09E13C59"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lastRenderedPageBreak/>
        <w:t>Drejtoritë e Bujqësive në qarqe si zbatuese të programit të qeverisë në fushën e bujqësisë, janë në fakt 13 drejtori rajonale, me kosto faktike 459 376 mijë lekë.</w:t>
      </w:r>
    </w:p>
    <w:p w14:paraId="20D4CFF7"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Projektet në fushën e Sigurisë Ushqimore dhe Veterinarisë me financim të huaj, janë realizuar 5 projekta sa dhe planifikuar, me kosto faktike 561 602 mijë lekë.</w:t>
      </w:r>
    </w:p>
    <w:p w14:paraId="1F3B01F6" w14:textId="77777777" w:rsidR="005139C5" w:rsidRPr="002E06C4" w:rsidRDefault="005139C5" w:rsidP="006C0253">
      <w:pPr>
        <w:numPr>
          <w:ilvl w:val="0"/>
          <w:numId w:val="26"/>
        </w:numPr>
        <w:shd w:val="clear" w:color="auto" w:fill="FFFFFF" w:themeFill="background1"/>
        <w:spacing w:line="276" w:lineRule="auto"/>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Shpenzime nga të ardhura jashtë limitit, realizuar shpenzime për blerje e 302 316 vaksina kunder semundjes se LSD-se, me kosto faktike 60 437 mijë lekë.</w:t>
      </w:r>
    </w:p>
    <w:p w14:paraId="35C6FBEE" w14:textId="77777777" w:rsidR="005139C5" w:rsidRPr="002E06C4" w:rsidRDefault="005139C5" w:rsidP="005139C5">
      <w:pPr>
        <w:pStyle w:val="NoSpacing"/>
        <w:shd w:val="clear" w:color="auto" w:fill="FFFFFF" w:themeFill="background1"/>
        <w:rPr>
          <w:rFonts w:asciiTheme="majorHAnsi" w:hAnsiTheme="majorHAnsi"/>
          <w:lang w:val="sq-AL" w:eastAsia="en-GB"/>
        </w:rPr>
      </w:pPr>
    </w:p>
    <w:p w14:paraId="2DBBB0D4" w14:textId="77777777" w:rsidR="005139C5" w:rsidRPr="002E06C4" w:rsidRDefault="005139C5" w:rsidP="005139C5">
      <w:pPr>
        <w:shd w:val="clear" w:color="auto" w:fill="FFFFFF" w:themeFill="background1"/>
        <w:spacing w:line="276" w:lineRule="auto"/>
        <w:jc w:val="both"/>
        <w:rPr>
          <w:rFonts w:asciiTheme="majorHAnsi" w:hAnsiTheme="majorHAnsi"/>
          <w:lang w:val="sq-AL"/>
        </w:rPr>
      </w:pPr>
      <w:r w:rsidRPr="002E06C4">
        <w:rPr>
          <w:rFonts w:asciiTheme="majorHAnsi" w:hAnsiTheme="majorHAnsi"/>
          <w:lang w:val="sq-AL"/>
        </w:rPr>
        <w:t xml:space="preserve">Në programin </w:t>
      </w:r>
      <w:r w:rsidRPr="002E06C4">
        <w:rPr>
          <w:rFonts w:asciiTheme="majorHAnsi" w:hAnsiTheme="majorHAnsi"/>
          <w:b/>
          <w:lang w:val="sq-AL"/>
        </w:rPr>
        <w:t>“Këshillimi dhe informacioni bujqësor”,</w:t>
      </w:r>
      <w:r w:rsidRPr="002E06C4">
        <w:rPr>
          <w:rFonts w:asciiTheme="majorHAnsi" w:hAnsiTheme="majorHAnsi"/>
          <w:lang w:val="sq-AL"/>
        </w:rPr>
        <w:t xml:space="preserve"> janë realizuar produkte me një kosto faktike prej 201,299 mijë lekë, ku përmendim:</w:t>
      </w:r>
    </w:p>
    <w:p w14:paraId="147B86EA"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Karta dhe paketa teknologjike me elementë të përmirësuar të ofruara, janë realizuar 15 karta dhe paketa po aq sa planifikuar, me kosto faktike 120 306 mijë lekë.</w:t>
      </w:r>
    </w:p>
    <w:p w14:paraId="61F386F0"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 xml:space="preserve">Fermerë të kontaktuar dhe ofruar shërbime ekstensioni, janë realizuar kontaktime dhe ofruar shërbime 80 000 nga 66 200 të planifikuar, me kosto faktike 51 560 mijë lekë. </w:t>
      </w:r>
    </w:p>
    <w:p w14:paraId="568C8D69"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Të ardhura të realizuara nga QTTB, janë realizuar në fakt 21 104 mijë lekë nga 31 150 mijë lekë të planifikuara.</w:t>
      </w:r>
    </w:p>
    <w:p w14:paraId="6919E862"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Transfertë në buxhetet familjare, realizuar në fakt 334 mijë lekë po aq sa planifikuar.</w:t>
      </w:r>
    </w:p>
    <w:p w14:paraId="21F4DF61"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lang w:val="sq-AL" w:eastAsia="en-GB"/>
        </w:rPr>
      </w:pPr>
      <w:r w:rsidRPr="002E06C4">
        <w:rPr>
          <w:rFonts w:asciiTheme="majorHAnsi" w:eastAsia="Times New Roman" w:hAnsiTheme="majorHAnsi"/>
          <w:bCs/>
          <w:lang w:val="sq-AL" w:eastAsia="en-GB"/>
        </w:rPr>
        <w:t>Pajisje laboratorike të blera nga QTTB Fushë Krujë, realizuar 8 copë paisje po aq sa planifikuar, me kosto faktike 2 208 mijë lekë.</w:t>
      </w:r>
    </w:p>
    <w:p w14:paraId="4A2A55AB"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Hangari i mekanikës bujqësore në QTTB Korçë i rikonstruktuar. P</w:t>
      </w:r>
      <w:r w:rsidRPr="002E06C4">
        <w:rPr>
          <w:rFonts w:asciiTheme="majorHAnsi" w:eastAsia="Times New Roman" w:hAnsiTheme="majorHAnsi"/>
          <w:lang w:val="sq-AL" w:eastAsia="en-GB"/>
        </w:rPr>
        <w:t xml:space="preserve">lanifikuar 2 500 mijë lekë për 1 040 m2. Realizimi 0 lekë pasi fondi për këtë objekt për arsye emergjence është rialokuar në QTTB Fushë Krujë .  </w:t>
      </w:r>
    </w:p>
    <w:p w14:paraId="55255B42"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Pajisje laboratorike të blera nga QTTB Lushnjë, janë realizuar blerë 4 copë po aq sa planifikuar, me kosto faktike 2.916 mije lekë.</w:t>
      </w:r>
    </w:p>
    <w:p w14:paraId="152AE086"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Pajisje laboratorike të blera nga QTTB Shkodër, planifikuar 4 copë me kosto 1 000 mijë lekë. Nuk është realizuar blerja nga Agjencia e Blerjeve të Përqendruara.</w:t>
      </w:r>
    </w:p>
    <w:p w14:paraId="28F43D96" w14:textId="77777777" w:rsidR="005139C5" w:rsidRPr="002E06C4" w:rsidRDefault="005139C5" w:rsidP="006C0253">
      <w:pPr>
        <w:numPr>
          <w:ilvl w:val="0"/>
          <w:numId w:val="27"/>
        </w:numPr>
        <w:shd w:val="clear" w:color="auto" w:fill="FFFFFF" w:themeFill="background1"/>
        <w:jc w:val="both"/>
        <w:rPr>
          <w:rFonts w:asciiTheme="majorHAnsi" w:hAnsiTheme="majorHAnsi"/>
          <w:lang w:val="sq-AL"/>
        </w:rPr>
      </w:pPr>
      <w:r w:rsidRPr="002E06C4">
        <w:rPr>
          <w:rFonts w:asciiTheme="majorHAnsi" w:eastAsia="Times New Roman" w:hAnsiTheme="majorHAnsi"/>
          <w:bCs/>
          <w:lang w:val="sq-AL" w:eastAsia="en-GB"/>
        </w:rPr>
        <w:t xml:space="preserve">Agregatë bujqësorë të blerë nga QTTB Shkodër. Realizuar 4 copë me kosto 823 mijë lekë, po qa sa planifikuar.           </w:t>
      </w:r>
    </w:p>
    <w:p w14:paraId="3CEB7337" w14:textId="77777777" w:rsidR="005139C5" w:rsidRPr="002E06C4" w:rsidRDefault="005139C5" w:rsidP="006C0253">
      <w:pPr>
        <w:numPr>
          <w:ilvl w:val="0"/>
          <w:numId w:val="27"/>
        </w:numPr>
        <w:shd w:val="clear" w:color="auto" w:fill="FFFFFF" w:themeFill="background1"/>
        <w:jc w:val="both"/>
        <w:rPr>
          <w:rFonts w:asciiTheme="majorHAnsi" w:hAnsiTheme="majorHAnsi"/>
          <w:lang w:val="sq-AL"/>
        </w:rPr>
      </w:pPr>
      <w:r w:rsidRPr="002E06C4">
        <w:rPr>
          <w:rFonts w:asciiTheme="majorHAnsi" w:eastAsia="Times New Roman" w:hAnsiTheme="majorHAnsi"/>
          <w:bCs/>
          <w:lang w:val="sq-AL" w:eastAsia="en-GB"/>
        </w:rPr>
        <w:t>Përshtatje e zyrës së katit të dytë për laborator ne QTTB Fushë Krujë, realizuar 70 ml me kosto faktike 405 mijë lekë, po qa sa planifikuar.</w:t>
      </w:r>
    </w:p>
    <w:p w14:paraId="2FAFE903" w14:textId="77777777" w:rsidR="005139C5" w:rsidRPr="002E06C4" w:rsidRDefault="005139C5" w:rsidP="006C0253">
      <w:pPr>
        <w:numPr>
          <w:ilvl w:val="0"/>
          <w:numId w:val="27"/>
        </w:numPr>
        <w:shd w:val="clear" w:color="auto" w:fill="FFFFFF" w:themeFill="background1"/>
        <w:jc w:val="both"/>
        <w:rPr>
          <w:rFonts w:asciiTheme="majorHAnsi" w:hAnsiTheme="majorHAnsi"/>
          <w:lang w:val="sq-AL"/>
        </w:rPr>
      </w:pPr>
      <w:r w:rsidRPr="002E06C4">
        <w:rPr>
          <w:rFonts w:asciiTheme="majorHAnsi" w:eastAsia="Times New Roman" w:hAnsiTheme="majorHAnsi"/>
          <w:bCs/>
          <w:lang w:val="sq-AL" w:eastAsia="en-GB"/>
        </w:rPr>
        <w:t>Furnizim - vendosje të Pajisjeve të punës dhe Pajisje Laboratori për laboratorin  ne QTTB Fushë Krujë, realizuar 15 copë me kosto faktike 1 643 mijë lekë, po aq sa planifikuar.</w:t>
      </w:r>
    </w:p>
    <w:p w14:paraId="0A8ADE60"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sz w:val="12"/>
          <w:szCs w:val="12"/>
          <w:lang w:val="sq-AL"/>
        </w:rPr>
      </w:pPr>
    </w:p>
    <w:p w14:paraId="0C81CAE4" w14:textId="77777777" w:rsidR="005139C5" w:rsidRPr="002E06C4" w:rsidRDefault="005139C5" w:rsidP="005139C5">
      <w:pPr>
        <w:shd w:val="clear" w:color="auto" w:fill="FFFFFF" w:themeFill="background1"/>
        <w:spacing w:line="276" w:lineRule="auto"/>
        <w:jc w:val="both"/>
        <w:rPr>
          <w:rFonts w:asciiTheme="majorHAnsi" w:eastAsia="Times New Roman" w:hAnsiTheme="majorHAnsi"/>
          <w:lang w:val="sq-AL"/>
        </w:rPr>
      </w:pPr>
      <w:r w:rsidRPr="002E06C4">
        <w:rPr>
          <w:rFonts w:asciiTheme="majorHAnsi" w:eastAsia="Times New Roman" w:hAnsiTheme="majorHAnsi"/>
          <w:lang w:val="sq-AL"/>
        </w:rPr>
        <w:t>Në programin “</w:t>
      </w:r>
      <w:r w:rsidRPr="002E06C4">
        <w:rPr>
          <w:rFonts w:asciiTheme="majorHAnsi" w:eastAsia="Times New Roman" w:hAnsiTheme="majorHAnsi"/>
          <w:b/>
          <w:lang w:val="sq-AL"/>
        </w:rPr>
        <w:t>Infrastruktura e ujitjes dhe kullimit</w:t>
      </w:r>
      <w:r w:rsidRPr="002E06C4">
        <w:rPr>
          <w:rFonts w:asciiTheme="majorHAnsi" w:eastAsia="Times New Roman" w:hAnsiTheme="majorHAnsi"/>
          <w:lang w:val="sq-AL"/>
        </w:rPr>
        <w:t>”, janë parashikuar disa produkte me një kosto totale prej 2,685,975 mijë lekë, ndër to përmendim:</w:t>
      </w:r>
    </w:p>
    <w:p w14:paraId="6A514147"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Sipërfaqe kulluese me rrjetin kryesorë kullues të pastruar, janë realizuar 45 000 ha po aq sa planifikuar, me kosto faktike 316 565 mijë lekë.</w:t>
      </w:r>
    </w:p>
    <w:p w14:paraId="4A422054"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Sipërfaqe ujitëse me rrjetin kryesorë ujitës të mirëmbajtur, janë realizuar 25 000 ha po aq sa planifikuar, me kosto faktike 82 141 mijë lekë.</w:t>
      </w:r>
    </w:p>
    <w:p w14:paraId="65DF00B1"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Sipërfaqe kulluese, që i mundësohet kullimi me ngritje mekanike me hidrovorë, janë realizuar 70 000 ha po aq sa planifikuar, me kosto faktike 355 659 mijë lekë.</w:t>
      </w:r>
    </w:p>
    <w:p w14:paraId="372A7FC3"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Rrjete te kanaleve te kullimit/kolektore të rehabilituara dhe të përmirësuara, janë realizuar 5 km po aq sa planifikuar, me kosto faktike 40 000 mijë lekë.</w:t>
      </w:r>
    </w:p>
    <w:p w14:paraId="7474202C"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Sipërfaqe ujitëse me rrjetin kryesor ujitës të përmirësuar/(rehabilitim i pjesshëm i kanaleve kryesorë ujitës ) janë realizuar 8 000 ha po aq sa planifikuar, me kosto faktike 212 617 mijë lekë.</w:t>
      </w:r>
    </w:p>
    <w:p w14:paraId="26032B00"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lastRenderedPageBreak/>
        <w:t>Sipërfaqe ujitëse me rrjetin ujitës të rehabilituar, janë realizuar 5 000 ha po aq sa planifikuar, me kosto faktike 1 181 882 mijë lekë.</w:t>
      </w:r>
    </w:p>
    <w:p w14:paraId="629571F2"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Argjinatura te rehabilituara/ndërtuara, janë realizuar 5.1 km po aq sa planifikuar, me kosto faktike 490 513 mijë lekë.</w:t>
      </w:r>
    </w:p>
    <w:p w14:paraId="1A412DAE" w14:textId="77777777" w:rsidR="005139C5" w:rsidRPr="002E06C4" w:rsidRDefault="005139C5" w:rsidP="006C0253">
      <w:pPr>
        <w:numPr>
          <w:ilvl w:val="0"/>
          <w:numId w:val="27"/>
        </w:numPr>
        <w:shd w:val="clear" w:color="auto" w:fill="FFFFFF" w:themeFill="background1"/>
        <w:jc w:val="both"/>
        <w:rPr>
          <w:rFonts w:asciiTheme="majorHAnsi" w:eastAsia="Times New Roman" w:hAnsiTheme="majorHAnsi"/>
          <w:bCs/>
          <w:lang w:val="sq-AL" w:eastAsia="en-GB"/>
        </w:rPr>
      </w:pPr>
      <w:r w:rsidRPr="002E06C4">
        <w:rPr>
          <w:rFonts w:asciiTheme="majorHAnsi" w:eastAsia="Times New Roman" w:hAnsiTheme="majorHAnsi"/>
          <w:bCs/>
          <w:lang w:val="sq-AL" w:eastAsia="en-GB"/>
        </w:rPr>
        <w:t>Hidrovore të rikonstruktuar pjesërisht, realizuar 1 po aq sa planifikuar, me kosto faktike 6 596 mijë lekë.</w:t>
      </w:r>
    </w:p>
    <w:p w14:paraId="51821ABE" w14:textId="77777777" w:rsidR="005139C5" w:rsidRPr="002E06C4" w:rsidRDefault="005139C5" w:rsidP="005139C5">
      <w:pPr>
        <w:shd w:val="clear" w:color="auto" w:fill="FFFFFF" w:themeFill="background1"/>
        <w:spacing w:line="276" w:lineRule="auto"/>
        <w:ind w:left="720"/>
        <w:jc w:val="both"/>
        <w:rPr>
          <w:rFonts w:asciiTheme="majorHAnsi" w:eastAsia="Times New Roman" w:hAnsiTheme="majorHAnsi"/>
          <w:bCs/>
          <w:lang w:val="sq-AL" w:eastAsia="en-GB"/>
        </w:rPr>
      </w:pPr>
    </w:p>
    <w:p w14:paraId="0748BD26" w14:textId="77777777" w:rsidR="005139C5" w:rsidRPr="002E06C4" w:rsidRDefault="005139C5" w:rsidP="005139C5">
      <w:pPr>
        <w:pStyle w:val="Heading3"/>
        <w:numPr>
          <w:ilvl w:val="2"/>
          <w:numId w:val="4"/>
        </w:numPr>
        <w:spacing w:after="240"/>
        <w:rPr>
          <w:rFonts w:cs="Times New Roman"/>
          <w:b/>
          <w:lang w:val="sq-AL"/>
        </w:rPr>
      </w:pPr>
      <w:bookmarkStart w:id="153" w:name="_Toc10033297"/>
      <w:bookmarkStart w:id="154" w:name="_Toc10721433"/>
      <w:bookmarkStart w:id="155" w:name="_Toc11134228"/>
      <w:r w:rsidRPr="002E06C4">
        <w:rPr>
          <w:rFonts w:cs="Times New Roman"/>
          <w:b/>
          <w:lang w:val="sq-AL"/>
        </w:rPr>
        <w:t>Infrastruktura dhe Energjia</w:t>
      </w:r>
      <w:bookmarkEnd w:id="153"/>
      <w:bookmarkEnd w:id="154"/>
      <w:bookmarkEnd w:id="155"/>
    </w:p>
    <w:p w14:paraId="0C8D1148" w14:textId="77777777" w:rsidR="005139C5" w:rsidRPr="002E06C4" w:rsidRDefault="005139C5" w:rsidP="005139C5">
      <w:pPr>
        <w:spacing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Performanca e treguesve buxhetorë për tre programet kryesore të Ministrisë së Infrastrukturës dhe Energjisë, paraqitet si më poshtë:</w:t>
      </w:r>
    </w:p>
    <w:p w14:paraId="1ADCACA8" w14:textId="77777777" w:rsidR="005139C5" w:rsidRPr="002E06C4" w:rsidRDefault="005139C5" w:rsidP="005139C5">
      <w:pPr>
        <w:spacing w:line="276" w:lineRule="auto"/>
        <w:jc w:val="both"/>
        <w:rPr>
          <w:rFonts w:asciiTheme="majorHAnsi" w:hAnsiTheme="majorHAnsi" w:cs="Times New Roman"/>
          <w:color w:val="000000"/>
          <w:sz w:val="12"/>
          <w:lang w:val="sq-AL"/>
        </w:rPr>
      </w:pPr>
    </w:p>
    <w:p w14:paraId="1ED87709" w14:textId="77777777" w:rsidR="006D577E" w:rsidRDefault="006D577E" w:rsidP="006D577E">
      <w:pPr>
        <w:pStyle w:val="Caption"/>
        <w:spacing w:after="0"/>
        <w:rPr>
          <w:rFonts w:asciiTheme="majorHAnsi" w:hAnsiTheme="majorHAnsi" w:cs="Times New Roman"/>
          <w:color w:val="000000"/>
          <w:sz w:val="20"/>
          <w:u w:val="single"/>
          <w:lang w:val="sq-AL"/>
        </w:rPr>
      </w:pPr>
      <w:bookmarkStart w:id="156" w:name="_Toc11135130"/>
      <w:r>
        <w:t xml:space="preserve">Tabela </w:t>
      </w:r>
      <w:r w:rsidR="003D3813">
        <w:fldChar w:fldCharType="begin"/>
      </w:r>
      <w:r w:rsidR="003D3813">
        <w:instrText xml:space="preserve"> SEQ Tabela \* ARABIC </w:instrText>
      </w:r>
      <w:r w:rsidR="003D3813">
        <w:fldChar w:fldCharType="separate"/>
      </w:r>
      <w:r w:rsidR="006A57F3">
        <w:rPr>
          <w:noProof/>
        </w:rPr>
        <w:t>16</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Realizimi i buxhetit 2018 për Ministrinë e Infrastrukturës dhe Energjisë</w:t>
      </w:r>
      <w:bookmarkEnd w:id="156"/>
      <w:r w:rsidRPr="002E06C4">
        <w:rPr>
          <w:rFonts w:asciiTheme="majorHAnsi" w:hAnsiTheme="majorHAnsi" w:cs="Times New Roman"/>
          <w:color w:val="000000"/>
          <w:sz w:val="20"/>
          <w:u w:val="single"/>
          <w:lang w:val="sq-AL"/>
        </w:rPr>
        <w:t xml:space="preserve"> </w:t>
      </w:r>
    </w:p>
    <w:p w14:paraId="715B4B1D" w14:textId="77777777" w:rsidR="005139C5" w:rsidRPr="002E06C4" w:rsidRDefault="005139C5" w:rsidP="006D577E">
      <w:pPr>
        <w:pStyle w:val="Caption"/>
        <w:spacing w:after="0"/>
        <w:jc w:val="right"/>
        <w:rPr>
          <w:rFonts w:asciiTheme="majorHAnsi" w:hAnsiTheme="majorHAnsi" w:cs="Times New Roman"/>
          <w:i w:val="0"/>
          <w:color w:val="000000"/>
          <w:sz w:val="20"/>
          <w:u w:val="single"/>
          <w:lang w:val="sq-AL"/>
        </w:rPr>
      </w:pPr>
      <w:r w:rsidRPr="002E06C4">
        <w:rPr>
          <w:rFonts w:asciiTheme="majorHAnsi" w:hAnsiTheme="majorHAnsi" w:cs="Times New Roman"/>
          <w:color w:val="000000"/>
          <w:sz w:val="20"/>
          <w:u w:val="single"/>
          <w:lang w:val="sq-AL"/>
        </w:rPr>
        <w:t>Në mijë lekë</w:t>
      </w:r>
    </w:p>
    <w:tbl>
      <w:tblPr>
        <w:tblStyle w:val="TableGridLight1"/>
        <w:tblW w:w="5250"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firstRow="1" w:lastRow="1" w:firstColumn="1" w:lastColumn="1" w:noHBand="0" w:noVBand="0"/>
      </w:tblPr>
      <w:tblGrid>
        <w:gridCol w:w="578"/>
        <w:gridCol w:w="2900"/>
        <w:gridCol w:w="1300"/>
        <w:gridCol w:w="1338"/>
        <w:gridCol w:w="1318"/>
        <w:gridCol w:w="1324"/>
        <w:gridCol w:w="1076"/>
        <w:gridCol w:w="1166"/>
      </w:tblGrid>
      <w:tr w:rsidR="005139C5" w:rsidRPr="002E06C4" w14:paraId="12CC309B" w14:textId="77777777" w:rsidTr="0080499B">
        <w:trPr>
          <w:trHeight w:val="350"/>
          <w:jc w:val="center"/>
        </w:trPr>
        <w:tc>
          <w:tcPr>
            <w:tcW w:w="263" w:type="pct"/>
            <w:vMerge w:val="restart"/>
          </w:tcPr>
          <w:p w14:paraId="565D963D"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p w14:paraId="5F5981FE"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NR</w:t>
            </w:r>
          </w:p>
        </w:tc>
        <w:tc>
          <w:tcPr>
            <w:tcW w:w="1318" w:type="pct"/>
            <w:vMerge w:val="restart"/>
          </w:tcPr>
          <w:p w14:paraId="07DCD354"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p w14:paraId="3DA40021"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Emërtimi i Programit</w:t>
            </w:r>
          </w:p>
        </w:tc>
        <w:tc>
          <w:tcPr>
            <w:tcW w:w="1199" w:type="pct"/>
            <w:gridSpan w:val="2"/>
          </w:tcPr>
          <w:p w14:paraId="57A5B7D2" w14:textId="77777777" w:rsidR="005139C5" w:rsidRPr="002E06C4" w:rsidRDefault="005139C5" w:rsidP="0080499B">
            <w:pPr>
              <w:spacing w:line="276" w:lineRule="auto"/>
              <w:ind w:left="80"/>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Plani 2018</w:t>
            </w:r>
          </w:p>
        </w:tc>
        <w:tc>
          <w:tcPr>
            <w:tcW w:w="1201" w:type="pct"/>
            <w:gridSpan w:val="2"/>
          </w:tcPr>
          <w:p w14:paraId="0B89D839"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Fakti 2018</w:t>
            </w:r>
          </w:p>
        </w:tc>
        <w:tc>
          <w:tcPr>
            <w:tcW w:w="1019" w:type="pct"/>
            <w:gridSpan w:val="2"/>
          </w:tcPr>
          <w:p w14:paraId="4238A985"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bCs/>
                <w:sz w:val="18"/>
                <w:szCs w:val="24"/>
                <w:lang w:val="sq-AL"/>
              </w:rPr>
              <w:t>Përqindja  e realizimit</w:t>
            </w:r>
          </w:p>
        </w:tc>
      </w:tr>
      <w:tr w:rsidR="005139C5" w:rsidRPr="002E06C4" w14:paraId="3ED6DF14" w14:textId="77777777" w:rsidTr="0080499B">
        <w:trPr>
          <w:trHeight w:val="182"/>
          <w:jc w:val="center"/>
        </w:trPr>
        <w:tc>
          <w:tcPr>
            <w:tcW w:w="263" w:type="pct"/>
            <w:vMerge/>
          </w:tcPr>
          <w:p w14:paraId="3E716341"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1318" w:type="pct"/>
            <w:vMerge/>
          </w:tcPr>
          <w:p w14:paraId="1EF99041"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591" w:type="pct"/>
          </w:tcPr>
          <w:p w14:paraId="671FC6B5" w14:textId="77777777" w:rsidR="005139C5" w:rsidRPr="002E06C4" w:rsidRDefault="005139C5" w:rsidP="0080499B">
            <w:pPr>
              <w:spacing w:line="276" w:lineRule="auto"/>
              <w:ind w:left="80"/>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608" w:type="pct"/>
          </w:tcPr>
          <w:p w14:paraId="4916F754" w14:textId="77777777" w:rsidR="005139C5" w:rsidRPr="002E06C4" w:rsidRDefault="005139C5" w:rsidP="0080499B">
            <w:pPr>
              <w:spacing w:line="276" w:lineRule="auto"/>
              <w:ind w:left="80"/>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c>
          <w:tcPr>
            <w:tcW w:w="599" w:type="pct"/>
          </w:tcPr>
          <w:p w14:paraId="111B28BC"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602" w:type="pct"/>
          </w:tcPr>
          <w:p w14:paraId="59F67841"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c>
          <w:tcPr>
            <w:tcW w:w="489" w:type="pct"/>
          </w:tcPr>
          <w:p w14:paraId="5F704C26"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530" w:type="pct"/>
          </w:tcPr>
          <w:p w14:paraId="72263547"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r>
      <w:tr w:rsidR="005139C5" w:rsidRPr="002E06C4" w14:paraId="416473A1" w14:textId="77777777" w:rsidTr="0080499B">
        <w:trPr>
          <w:trHeight w:val="255"/>
          <w:jc w:val="center"/>
        </w:trPr>
        <w:tc>
          <w:tcPr>
            <w:tcW w:w="263" w:type="pct"/>
          </w:tcPr>
          <w:p w14:paraId="5438C686"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w:t>
            </w:r>
          </w:p>
        </w:tc>
        <w:tc>
          <w:tcPr>
            <w:tcW w:w="1318" w:type="pct"/>
          </w:tcPr>
          <w:p w14:paraId="2124EEBA"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Transporti Rrugor</w:t>
            </w:r>
          </w:p>
        </w:tc>
        <w:tc>
          <w:tcPr>
            <w:tcW w:w="591" w:type="pct"/>
          </w:tcPr>
          <w:p w14:paraId="20E72C90"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1,934,263</w:t>
            </w:r>
          </w:p>
        </w:tc>
        <w:tc>
          <w:tcPr>
            <w:tcW w:w="608" w:type="pct"/>
          </w:tcPr>
          <w:p w14:paraId="5FA565BB"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15,401,041</w:t>
            </w:r>
          </w:p>
        </w:tc>
        <w:tc>
          <w:tcPr>
            <w:tcW w:w="599" w:type="pct"/>
          </w:tcPr>
          <w:p w14:paraId="673C9378"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1,921,430</w:t>
            </w:r>
          </w:p>
        </w:tc>
        <w:tc>
          <w:tcPr>
            <w:tcW w:w="602" w:type="pct"/>
          </w:tcPr>
          <w:p w14:paraId="19F248F3"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15,280,567</w:t>
            </w:r>
          </w:p>
        </w:tc>
        <w:tc>
          <w:tcPr>
            <w:tcW w:w="489" w:type="pct"/>
          </w:tcPr>
          <w:p w14:paraId="7EE54A65"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99.34%</w:t>
            </w:r>
          </w:p>
        </w:tc>
        <w:tc>
          <w:tcPr>
            <w:tcW w:w="530" w:type="pct"/>
          </w:tcPr>
          <w:p w14:paraId="3D6406C4"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99.22%</w:t>
            </w:r>
          </w:p>
        </w:tc>
      </w:tr>
      <w:tr w:rsidR="005139C5" w:rsidRPr="002E06C4" w14:paraId="5890C6CE" w14:textId="77777777" w:rsidTr="0080499B">
        <w:trPr>
          <w:trHeight w:val="282"/>
          <w:jc w:val="center"/>
        </w:trPr>
        <w:tc>
          <w:tcPr>
            <w:tcW w:w="263" w:type="pct"/>
          </w:tcPr>
          <w:p w14:paraId="45B4CCF1"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p>
        </w:tc>
        <w:tc>
          <w:tcPr>
            <w:tcW w:w="1318" w:type="pct"/>
          </w:tcPr>
          <w:p w14:paraId="44271124" w14:textId="77777777" w:rsidR="005139C5" w:rsidRPr="002E06C4" w:rsidRDefault="005139C5" w:rsidP="0080499B">
            <w:pPr>
              <w:spacing w:line="276" w:lineRule="auto"/>
              <w:contextualSpacing/>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 xml:space="preserve">                              Financimi i huaj</w:t>
            </w:r>
          </w:p>
        </w:tc>
        <w:tc>
          <w:tcPr>
            <w:tcW w:w="591" w:type="pct"/>
          </w:tcPr>
          <w:p w14:paraId="29C978E2"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p>
        </w:tc>
        <w:tc>
          <w:tcPr>
            <w:tcW w:w="608" w:type="pct"/>
          </w:tcPr>
          <w:p w14:paraId="312F31AC"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6,338,100</w:t>
            </w:r>
          </w:p>
        </w:tc>
        <w:tc>
          <w:tcPr>
            <w:tcW w:w="599" w:type="pct"/>
          </w:tcPr>
          <w:p w14:paraId="7A915678"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p>
        </w:tc>
        <w:tc>
          <w:tcPr>
            <w:tcW w:w="602" w:type="pct"/>
          </w:tcPr>
          <w:p w14:paraId="34AF2245"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6,275,715</w:t>
            </w:r>
          </w:p>
        </w:tc>
        <w:tc>
          <w:tcPr>
            <w:tcW w:w="489" w:type="pct"/>
          </w:tcPr>
          <w:p w14:paraId="3DC28177"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p>
        </w:tc>
        <w:tc>
          <w:tcPr>
            <w:tcW w:w="530" w:type="pct"/>
          </w:tcPr>
          <w:p w14:paraId="69ED883F"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p>
        </w:tc>
      </w:tr>
      <w:tr w:rsidR="005139C5" w:rsidRPr="002E06C4" w14:paraId="047C18E9" w14:textId="77777777" w:rsidTr="0080499B">
        <w:trPr>
          <w:trHeight w:val="282"/>
          <w:jc w:val="center"/>
        </w:trPr>
        <w:tc>
          <w:tcPr>
            <w:tcW w:w="263" w:type="pct"/>
          </w:tcPr>
          <w:p w14:paraId="4527B895"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w:t>
            </w:r>
          </w:p>
        </w:tc>
        <w:tc>
          <w:tcPr>
            <w:tcW w:w="1318" w:type="pct"/>
          </w:tcPr>
          <w:p w14:paraId="1FE10D9D"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Mbështetje për Energjinë</w:t>
            </w:r>
          </w:p>
        </w:tc>
        <w:tc>
          <w:tcPr>
            <w:tcW w:w="591" w:type="pct"/>
          </w:tcPr>
          <w:p w14:paraId="17D3FF94"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168,300</w:t>
            </w:r>
          </w:p>
        </w:tc>
        <w:tc>
          <w:tcPr>
            <w:tcW w:w="608" w:type="pct"/>
          </w:tcPr>
          <w:p w14:paraId="3B008571"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1,660,394</w:t>
            </w:r>
          </w:p>
        </w:tc>
        <w:tc>
          <w:tcPr>
            <w:tcW w:w="599" w:type="pct"/>
          </w:tcPr>
          <w:p w14:paraId="1E0C0E21"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158,076</w:t>
            </w:r>
          </w:p>
        </w:tc>
        <w:tc>
          <w:tcPr>
            <w:tcW w:w="602" w:type="pct"/>
          </w:tcPr>
          <w:p w14:paraId="4F86C5CE"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1,593,379</w:t>
            </w:r>
          </w:p>
        </w:tc>
        <w:tc>
          <w:tcPr>
            <w:tcW w:w="489" w:type="pct"/>
          </w:tcPr>
          <w:p w14:paraId="005F440F"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93.93%</w:t>
            </w:r>
          </w:p>
        </w:tc>
        <w:tc>
          <w:tcPr>
            <w:tcW w:w="530" w:type="pct"/>
          </w:tcPr>
          <w:p w14:paraId="61C2AD38"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95.96%</w:t>
            </w:r>
          </w:p>
        </w:tc>
      </w:tr>
      <w:tr w:rsidR="005139C5" w:rsidRPr="002E06C4" w14:paraId="642A46BE" w14:textId="77777777" w:rsidTr="0080499B">
        <w:trPr>
          <w:trHeight w:val="282"/>
          <w:jc w:val="center"/>
        </w:trPr>
        <w:tc>
          <w:tcPr>
            <w:tcW w:w="263" w:type="pct"/>
          </w:tcPr>
          <w:p w14:paraId="27D46329"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p>
        </w:tc>
        <w:tc>
          <w:tcPr>
            <w:tcW w:w="1318" w:type="pct"/>
          </w:tcPr>
          <w:p w14:paraId="19ECDE6F"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 xml:space="preserve">                              Financimi i huaj</w:t>
            </w:r>
          </w:p>
        </w:tc>
        <w:tc>
          <w:tcPr>
            <w:tcW w:w="591" w:type="pct"/>
          </w:tcPr>
          <w:p w14:paraId="2F1E0731"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p>
        </w:tc>
        <w:tc>
          <w:tcPr>
            <w:tcW w:w="608" w:type="pct"/>
          </w:tcPr>
          <w:p w14:paraId="2E06A57D"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6,823,481</w:t>
            </w:r>
          </w:p>
        </w:tc>
        <w:tc>
          <w:tcPr>
            <w:tcW w:w="599" w:type="pct"/>
          </w:tcPr>
          <w:p w14:paraId="50077936"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p>
        </w:tc>
        <w:tc>
          <w:tcPr>
            <w:tcW w:w="602" w:type="pct"/>
          </w:tcPr>
          <w:p w14:paraId="49C1ED6D"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2,854,084</w:t>
            </w:r>
          </w:p>
        </w:tc>
        <w:tc>
          <w:tcPr>
            <w:tcW w:w="489" w:type="pct"/>
          </w:tcPr>
          <w:p w14:paraId="2FBE3C26"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p>
        </w:tc>
        <w:tc>
          <w:tcPr>
            <w:tcW w:w="530" w:type="pct"/>
          </w:tcPr>
          <w:p w14:paraId="30165792"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p>
        </w:tc>
      </w:tr>
      <w:tr w:rsidR="005139C5" w:rsidRPr="002E06C4" w14:paraId="20C38382" w14:textId="77777777" w:rsidTr="0080499B">
        <w:trPr>
          <w:trHeight w:val="305"/>
          <w:jc w:val="center"/>
        </w:trPr>
        <w:tc>
          <w:tcPr>
            <w:tcW w:w="263" w:type="pct"/>
          </w:tcPr>
          <w:p w14:paraId="44E8C489"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3.</w:t>
            </w:r>
          </w:p>
        </w:tc>
        <w:tc>
          <w:tcPr>
            <w:tcW w:w="1318" w:type="pct"/>
          </w:tcPr>
          <w:p w14:paraId="30C8899F"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Furnizimi me ujë dhe Kanalizime</w:t>
            </w:r>
          </w:p>
        </w:tc>
        <w:tc>
          <w:tcPr>
            <w:tcW w:w="591" w:type="pct"/>
          </w:tcPr>
          <w:p w14:paraId="1854680A"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1,062,990</w:t>
            </w:r>
          </w:p>
        </w:tc>
        <w:tc>
          <w:tcPr>
            <w:tcW w:w="608" w:type="pct"/>
          </w:tcPr>
          <w:p w14:paraId="792801D9"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3,448,287</w:t>
            </w:r>
          </w:p>
        </w:tc>
        <w:tc>
          <w:tcPr>
            <w:tcW w:w="599" w:type="pct"/>
          </w:tcPr>
          <w:p w14:paraId="0EDBE735"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994,718</w:t>
            </w:r>
          </w:p>
        </w:tc>
        <w:tc>
          <w:tcPr>
            <w:tcW w:w="602" w:type="pct"/>
          </w:tcPr>
          <w:p w14:paraId="25419C05"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3,381,028</w:t>
            </w:r>
          </w:p>
        </w:tc>
        <w:tc>
          <w:tcPr>
            <w:tcW w:w="489" w:type="pct"/>
          </w:tcPr>
          <w:p w14:paraId="610B3565"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93.58%</w:t>
            </w:r>
          </w:p>
        </w:tc>
        <w:tc>
          <w:tcPr>
            <w:tcW w:w="530" w:type="pct"/>
          </w:tcPr>
          <w:p w14:paraId="060C4BC5"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98.05%</w:t>
            </w:r>
          </w:p>
        </w:tc>
      </w:tr>
      <w:tr w:rsidR="005139C5" w:rsidRPr="002E06C4" w14:paraId="4EECAEC9" w14:textId="77777777" w:rsidTr="0080499B">
        <w:trPr>
          <w:trHeight w:val="218"/>
          <w:jc w:val="center"/>
        </w:trPr>
        <w:tc>
          <w:tcPr>
            <w:tcW w:w="263" w:type="pct"/>
          </w:tcPr>
          <w:p w14:paraId="0798DBE3"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1318" w:type="pct"/>
          </w:tcPr>
          <w:p w14:paraId="0E3835C9" w14:textId="77777777" w:rsidR="005139C5" w:rsidRPr="002E06C4" w:rsidRDefault="005139C5" w:rsidP="0080499B">
            <w:pPr>
              <w:spacing w:line="276" w:lineRule="auto"/>
              <w:rPr>
                <w:rFonts w:asciiTheme="majorHAnsi" w:eastAsia="Times New Roman" w:hAnsiTheme="majorHAnsi" w:cs="Times New Roman"/>
                <w:b/>
                <w:sz w:val="18"/>
                <w:szCs w:val="24"/>
                <w:lang w:val="sq-AL"/>
              </w:rPr>
            </w:pPr>
            <w:r w:rsidRPr="002E06C4">
              <w:rPr>
                <w:rFonts w:asciiTheme="majorHAnsi" w:eastAsia="Times New Roman" w:hAnsiTheme="majorHAnsi" w:cs="Times New Roman"/>
                <w:sz w:val="18"/>
                <w:szCs w:val="24"/>
                <w:lang w:val="sq-AL"/>
              </w:rPr>
              <w:t xml:space="preserve">                               Financimi i huaj</w:t>
            </w:r>
          </w:p>
        </w:tc>
        <w:tc>
          <w:tcPr>
            <w:tcW w:w="591" w:type="pct"/>
          </w:tcPr>
          <w:p w14:paraId="1D741AD7" w14:textId="77777777" w:rsidR="005139C5" w:rsidRPr="002E06C4" w:rsidRDefault="005139C5" w:rsidP="0080499B">
            <w:pPr>
              <w:spacing w:line="276" w:lineRule="auto"/>
              <w:jc w:val="right"/>
              <w:rPr>
                <w:rFonts w:asciiTheme="majorHAnsi" w:eastAsia="Times New Roman" w:hAnsiTheme="majorHAnsi" w:cs="Times New Roman"/>
                <w:b/>
                <w:sz w:val="18"/>
                <w:szCs w:val="24"/>
                <w:lang w:val="sq-AL"/>
              </w:rPr>
            </w:pPr>
          </w:p>
        </w:tc>
        <w:tc>
          <w:tcPr>
            <w:tcW w:w="608" w:type="pct"/>
          </w:tcPr>
          <w:p w14:paraId="0A367423"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5,251,219</w:t>
            </w:r>
          </w:p>
        </w:tc>
        <w:tc>
          <w:tcPr>
            <w:tcW w:w="599" w:type="pct"/>
          </w:tcPr>
          <w:p w14:paraId="661227DF" w14:textId="77777777" w:rsidR="005139C5" w:rsidRPr="002E06C4" w:rsidRDefault="005139C5" w:rsidP="0080499B">
            <w:pPr>
              <w:spacing w:line="276" w:lineRule="auto"/>
              <w:jc w:val="right"/>
              <w:rPr>
                <w:rFonts w:asciiTheme="majorHAnsi" w:eastAsia="Times New Roman" w:hAnsiTheme="majorHAnsi" w:cs="Times New Roman"/>
                <w:b/>
                <w:sz w:val="18"/>
                <w:szCs w:val="24"/>
                <w:lang w:val="sq-AL"/>
              </w:rPr>
            </w:pPr>
          </w:p>
        </w:tc>
        <w:tc>
          <w:tcPr>
            <w:tcW w:w="602" w:type="pct"/>
          </w:tcPr>
          <w:p w14:paraId="619088F3"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3,685,166</w:t>
            </w:r>
          </w:p>
        </w:tc>
        <w:tc>
          <w:tcPr>
            <w:tcW w:w="489" w:type="pct"/>
          </w:tcPr>
          <w:p w14:paraId="00E2C48C"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530" w:type="pct"/>
          </w:tcPr>
          <w:p w14:paraId="169AE26A"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r>
    </w:tbl>
    <w:p w14:paraId="68FA35CA" w14:textId="77777777" w:rsidR="005139C5" w:rsidRPr="002E06C4" w:rsidRDefault="005139C5" w:rsidP="005139C5">
      <w:pPr>
        <w:rPr>
          <w:rFonts w:asciiTheme="majorHAnsi" w:hAnsiTheme="majorHAnsi" w:cs="Times New Roman"/>
          <w:bCs/>
          <w:i/>
          <w:iCs/>
          <w:lang w:val="sq-AL"/>
        </w:rPr>
      </w:pPr>
    </w:p>
    <w:p w14:paraId="61EE6398" w14:textId="77777777" w:rsidR="005139C5" w:rsidRPr="002E06C4" w:rsidRDefault="005139C5" w:rsidP="005139C5">
      <w:pPr>
        <w:spacing w:after="120"/>
        <w:jc w:val="both"/>
        <w:rPr>
          <w:rFonts w:asciiTheme="majorHAnsi" w:eastAsia="Times New Roman" w:hAnsiTheme="majorHAnsi" w:cs="Times New Roman"/>
          <w:lang w:val="sq-AL"/>
        </w:rPr>
      </w:pPr>
      <w:r w:rsidRPr="002E06C4">
        <w:rPr>
          <w:rFonts w:asciiTheme="majorHAnsi" w:hAnsiTheme="majorHAnsi" w:cs="Times New Roman"/>
          <w:lang w:val="sq-AL"/>
        </w:rPr>
        <w:t>Për programin</w:t>
      </w:r>
      <w:r w:rsidRPr="002E06C4">
        <w:rPr>
          <w:rFonts w:asciiTheme="majorHAnsi" w:hAnsiTheme="majorHAnsi" w:cs="Times New Roman"/>
          <w:b/>
          <w:lang w:val="sq-AL"/>
        </w:rPr>
        <w:t xml:space="preserve"> “Transporti Rrugor</w:t>
      </w:r>
      <w:r w:rsidRPr="002E06C4">
        <w:rPr>
          <w:rFonts w:asciiTheme="majorHAnsi" w:hAnsiTheme="majorHAnsi" w:cs="Times New Roman"/>
          <w:lang w:val="sq-AL"/>
        </w:rPr>
        <w:t xml:space="preserve">” </w:t>
      </w:r>
      <w:r w:rsidRPr="002E06C4">
        <w:rPr>
          <w:rFonts w:asciiTheme="majorHAnsi" w:eastAsia="Times New Roman" w:hAnsiTheme="majorHAnsi" w:cs="Times New Roman"/>
          <w:lang w:val="sq-AL"/>
        </w:rPr>
        <w:t>është realizuar qëllimi i programit i cili është forcimi dhe integrimi me rrjetin rajonal TEN-T, dyfishimi i numrit të lidhjeve ndërkombëtarë tokësorë me Kosovën, Maqedoninë, Greqinë dhe Malin e Zi, i cili do të dyfishonte transportin ndërkombëtar të udhëtarëve dhe të mallrave, përfundimin e korridoreve me të gjitha korsitë dhe parametrat teknikë deri në v. 2020, duke përfshirë arterie strategjike si: autostrada Adriatiko-Joniane në kuadë të procesit të Berlinit dhe Konektivitetit, Korridori 8, Korridori Durrës-Morinë. Qëllimi i këtij programi është realizuar nëpërmjet dy grup produktesh të mëdha të programit, specifikisht Ndërtimi i Rrugëve dhe Rikonstruksioni i Rrugëve. Realizimi i produkteve paraqitet si më poshtë:</w:t>
      </w:r>
    </w:p>
    <w:p w14:paraId="116F9690" w14:textId="77777777" w:rsidR="005139C5" w:rsidRPr="002E06C4" w:rsidRDefault="005139C5" w:rsidP="005139C5">
      <w:pPr>
        <w:pStyle w:val="ListParagraph"/>
        <w:spacing w:after="240" w:line="276" w:lineRule="auto"/>
        <w:ind w:left="0"/>
        <w:jc w:val="both"/>
        <w:rPr>
          <w:rFonts w:asciiTheme="majorHAnsi" w:hAnsiTheme="majorHAnsi" w:cs="Times New Roman"/>
          <w:lang w:val="sq-AL"/>
        </w:rPr>
      </w:pPr>
      <w:r w:rsidRPr="002E06C4">
        <w:rPr>
          <w:rFonts w:asciiTheme="majorHAnsi" w:hAnsiTheme="majorHAnsi" w:cs="Times New Roman"/>
          <w:lang w:val="sq-AL"/>
        </w:rPr>
        <w:t xml:space="preserve">Për grupin e  produktit </w:t>
      </w:r>
      <w:r w:rsidRPr="002E06C4">
        <w:rPr>
          <w:rFonts w:asciiTheme="majorHAnsi" w:hAnsiTheme="majorHAnsi" w:cs="Times New Roman"/>
          <w:b/>
          <w:i/>
          <w:lang w:val="sq-AL"/>
        </w:rPr>
        <w:t>“Ndërtimi i Rrugëve”</w:t>
      </w:r>
      <w:r w:rsidRPr="002E06C4">
        <w:rPr>
          <w:rFonts w:asciiTheme="majorHAnsi" w:hAnsiTheme="majorHAnsi" w:cs="Times New Roman"/>
          <w:lang w:val="sq-AL"/>
        </w:rPr>
        <w:t xml:space="preserve">, janë realizuar fondet në masën 9,045 milionë lekë ose rreth 99% të fondeve të planifikuara, duke kontribuar kështu në realizmin e objektivave dhe qëllimit të progamit. Disa nga produketet kryesore të realizuara janë:   </w:t>
      </w:r>
    </w:p>
    <w:p w14:paraId="00EFCBB6" w14:textId="77777777" w:rsidR="005139C5" w:rsidRPr="00981B5B" w:rsidRDefault="005139C5" w:rsidP="005139C5">
      <w:pPr>
        <w:pStyle w:val="ListParagraph"/>
        <w:spacing w:after="240" w:line="276" w:lineRule="auto"/>
        <w:ind w:left="0"/>
        <w:jc w:val="both"/>
        <w:rPr>
          <w:rFonts w:asciiTheme="majorHAnsi" w:hAnsiTheme="majorHAnsi" w:cs="Times New Roman"/>
          <w:sz w:val="4"/>
          <w:szCs w:val="10"/>
          <w:lang w:val="sq-AL"/>
        </w:rPr>
      </w:pPr>
    </w:p>
    <w:p w14:paraId="0A66BDD7" w14:textId="77777777" w:rsidR="005139C5" w:rsidRPr="002E06C4" w:rsidRDefault="005139C5" w:rsidP="006C0253">
      <w:pPr>
        <w:pStyle w:val="ListParagraph"/>
        <w:numPr>
          <w:ilvl w:val="0"/>
          <w:numId w:val="28"/>
        </w:numPr>
        <w:spacing w:after="240" w:line="276" w:lineRule="auto"/>
        <w:ind w:left="720"/>
        <w:jc w:val="both"/>
        <w:rPr>
          <w:rFonts w:asciiTheme="majorHAnsi" w:hAnsiTheme="majorHAnsi" w:cs="Times New Roman"/>
          <w:lang w:val="sq-AL"/>
        </w:rPr>
      </w:pPr>
      <w:r w:rsidRPr="002E06C4">
        <w:rPr>
          <w:rFonts w:asciiTheme="majorHAnsi" w:hAnsiTheme="majorHAnsi" w:cs="Times New Roman"/>
          <w:lang w:val="sq-AL"/>
        </w:rPr>
        <w:t xml:space="preserve">Tipi i rrugës  </w:t>
      </w:r>
      <w:r w:rsidRPr="002E06C4">
        <w:rPr>
          <w:rFonts w:asciiTheme="majorHAnsi" w:hAnsiTheme="majorHAnsi" w:cs="Times New Roman"/>
          <w:i/>
          <w:lang w:val="sq-AL"/>
        </w:rPr>
        <w:t>A2 me katër korsi (2x2)</w:t>
      </w:r>
      <w:r w:rsidRPr="002E06C4">
        <w:rPr>
          <w:rFonts w:asciiTheme="majorHAnsi" w:hAnsiTheme="majorHAnsi" w:cs="Times New Roman"/>
          <w:lang w:val="sq-AL"/>
        </w:rPr>
        <w:t>, për të cilin janë realizuar fondet e planifikuara për vitin 2018, në masën prej 1,064 milionë lekë. Disa nga objektet e rëndësishme, të realizuara nga ky produkt janë:</w:t>
      </w:r>
    </w:p>
    <w:p w14:paraId="228DA7D7" w14:textId="77777777" w:rsidR="005139C5" w:rsidRPr="002E06C4" w:rsidRDefault="005139C5" w:rsidP="006C0253">
      <w:pPr>
        <w:pStyle w:val="ListParagraph"/>
        <w:numPr>
          <w:ilvl w:val="1"/>
          <w:numId w:val="22"/>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 xml:space="preserve">By pass Plepa-Kavajë-Rrogozhinë, nga loti 8 deri në lotin 11, </w:t>
      </w:r>
    </w:p>
    <w:p w14:paraId="2F6CB411" w14:textId="77777777" w:rsidR="005139C5" w:rsidRPr="002E06C4" w:rsidRDefault="005139C5" w:rsidP="006C0253">
      <w:pPr>
        <w:pStyle w:val="ListParagraph"/>
        <w:numPr>
          <w:ilvl w:val="1"/>
          <w:numId w:val="22"/>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Rruga Kukës-Morinë Loti 2 (dy viadukte), dublimi,</w:t>
      </w:r>
    </w:p>
    <w:p w14:paraId="7844C0E8" w14:textId="77777777" w:rsidR="005139C5" w:rsidRPr="002E06C4" w:rsidRDefault="005139C5" w:rsidP="006C0253">
      <w:pPr>
        <w:pStyle w:val="ListParagraph"/>
        <w:numPr>
          <w:ilvl w:val="1"/>
          <w:numId w:val="22"/>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Rruga Kukës-Morinë Loti 1 (V. Arti të mëdha), dublimi,</w:t>
      </w:r>
    </w:p>
    <w:p w14:paraId="00A98CD8" w14:textId="77777777" w:rsidR="005139C5" w:rsidRPr="002E06C4" w:rsidRDefault="005139C5" w:rsidP="006C0253">
      <w:pPr>
        <w:pStyle w:val="ListParagraph"/>
        <w:numPr>
          <w:ilvl w:val="1"/>
          <w:numId w:val="22"/>
        </w:numPr>
        <w:spacing w:before="240" w:after="240" w:line="276" w:lineRule="auto"/>
        <w:jc w:val="both"/>
        <w:rPr>
          <w:rFonts w:asciiTheme="majorHAnsi" w:hAnsiTheme="majorHAnsi" w:cs="Times New Roman"/>
          <w:i/>
          <w:lang w:val="sq-AL"/>
        </w:rPr>
      </w:pPr>
      <w:r w:rsidRPr="002E06C4">
        <w:rPr>
          <w:rFonts w:asciiTheme="majorHAnsi" w:hAnsiTheme="majorHAnsi" w:cs="Times New Roman"/>
          <w:i/>
          <w:lang w:val="sq-AL"/>
        </w:rPr>
        <w:t>Vendosja e mbikalimeve në aksin Thumanë-Milot dhe Kukës-Morinë.</w:t>
      </w:r>
    </w:p>
    <w:p w14:paraId="038CDC6A" w14:textId="77777777" w:rsidR="005139C5" w:rsidRPr="002E06C4" w:rsidRDefault="005139C5" w:rsidP="006C0253">
      <w:pPr>
        <w:pStyle w:val="ListParagraph"/>
        <w:numPr>
          <w:ilvl w:val="0"/>
          <w:numId w:val="28"/>
        </w:numPr>
        <w:spacing w:line="276" w:lineRule="auto"/>
        <w:ind w:left="720"/>
        <w:jc w:val="both"/>
        <w:rPr>
          <w:rFonts w:asciiTheme="majorHAnsi" w:hAnsiTheme="majorHAnsi" w:cs="Times New Roman"/>
          <w:lang w:val="sq-AL"/>
        </w:rPr>
      </w:pPr>
      <w:r w:rsidRPr="002E06C4">
        <w:rPr>
          <w:rFonts w:asciiTheme="majorHAnsi" w:hAnsiTheme="majorHAnsi" w:cs="Times New Roman"/>
          <w:lang w:val="sq-AL"/>
        </w:rPr>
        <w:t xml:space="preserve">Tipi i rrugës </w:t>
      </w:r>
      <w:r w:rsidRPr="002E06C4">
        <w:rPr>
          <w:rFonts w:asciiTheme="majorHAnsi" w:hAnsiTheme="majorHAnsi" w:cs="Times New Roman"/>
          <w:i/>
          <w:lang w:val="sq-AL"/>
        </w:rPr>
        <w:t>A2’ 2x2 me trotuar dhe ndriçim</w:t>
      </w:r>
      <w:r w:rsidRPr="002E06C4">
        <w:rPr>
          <w:rFonts w:asciiTheme="majorHAnsi" w:hAnsiTheme="majorHAnsi" w:cs="Times New Roman"/>
          <w:lang w:val="sq-AL"/>
        </w:rPr>
        <w:t>, për të cilin fondet e planifikuara për vitin buxhetor 2018 paraqiten të realizuar në masën prej 4,253 milionë lekë. Disa nga objektet e rëndësishme, që janë në proces paraqiten si më poshtë:</w:t>
      </w:r>
    </w:p>
    <w:p w14:paraId="4DF08CD9" w14:textId="77777777" w:rsidR="005139C5" w:rsidRPr="002E06C4" w:rsidRDefault="005139C5" w:rsidP="006C0253">
      <w:pPr>
        <w:pStyle w:val="ListParagraph"/>
        <w:numPr>
          <w:ilvl w:val="1"/>
          <w:numId w:val="29"/>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lastRenderedPageBreak/>
        <w:t>Unaza e Re e Tiranës, segmenti Komuna e Parisit – Rruga e Kavajës,</w:t>
      </w:r>
    </w:p>
    <w:p w14:paraId="20584AF7" w14:textId="77777777" w:rsidR="005139C5" w:rsidRPr="002E06C4" w:rsidRDefault="005139C5" w:rsidP="006C0253">
      <w:pPr>
        <w:pStyle w:val="ListParagraph"/>
        <w:numPr>
          <w:ilvl w:val="1"/>
          <w:numId w:val="29"/>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Nyja lidhëse e rrugës Milot-Lezhë, Rrëshen, Thumanë,</w:t>
      </w:r>
    </w:p>
    <w:p w14:paraId="7640B00E" w14:textId="77777777" w:rsidR="005139C5" w:rsidRPr="002E06C4" w:rsidRDefault="005139C5" w:rsidP="006C0253">
      <w:pPr>
        <w:pStyle w:val="ListParagraph"/>
        <w:numPr>
          <w:ilvl w:val="1"/>
          <w:numId w:val="29"/>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Unaza e jashtme Tiranë, pjesa verilindore,</w:t>
      </w:r>
    </w:p>
    <w:p w14:paraId="2AAF107C" w14:textId="77777777" w:rsidR="005139C5" w:rsidRPr="002E06C4" w:rsidRDefault="005139C5" w:rsidP="006C0253">
      <w:pPr>
        <w:pStyle w:val="ListParagraph"/>
        <w:numPr>
          <w:ilvl w:val="1"/>
          <w:numId w:val="29"/>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Rruga By Pass Perëndimor Shkodër, Lot1 + shtesë punimesh, Loti 2.</w:t>
      </w:r>
    </w:p>
    <w:p w14:paraId="19182138" w14:textId="77777777" w:rsidR="005139C5" w:rsidRPr="002E06C4" w:rsidRDefault="005139C5" w:rsidP="006C0253">
      <w:pPr>
        <w:pStyle w:val="ListParagraph"/>
        <w:numPr>
          <w:ilvl w:val="0"/>
          <w:numId w:val="28"/>
        </w:numPr>
        <w:spacing w:line="276" w:lineRule="auto"/>
        <w:ind w:left="720"/>
        <w:jc w:val="both"/>
        <w:rPr>
          <w:rFonts w:asciiTheme="majorHAnsi" w:hAnsiTheme="majorHAnsi" w:cs="Times New Roman"/>
          <w:lang w:val="sq-AL"/>
        </w:rPr>
      </w:pPr>
      <w:r w:rsidRPr="002E06C4">
        <w:rPr>
          <w:rFonts w:asciiTheme="majorHAnsi" w:hAnsiTheme="majorHAnsi" w:cs="Times New Roman"/>
          <w:lang w:val="sq-AL"/>
        </w:rPr>
        <w:t xml:space="preserve">Rruga tip </w:t>
      </w:r>
      <w:r w:rsidRPr="002E06C4">
        <w:rPr>
          <w:rFonts w:asciiTheme="majorHAnsi" w:hAnsiTheme="majorHAnsi" w:cs="Times New Roman"/>
          <w:i/>
          <w:lang w:val="sq-AL"/>
        </w:rPr>
        <w:t>B1’ me dy korsi</w:t>
      </w:r>
      <w:r w:rsidRPr="002E06C4">
        <w:rPr>
          <w:rFonts w:asciiTheme="majorHAnsi" w:hAnsiTheme="majorHAnsi" w:cs="Times New Roman"/>
          <w:lang w:val="sq-AL"/>
        </w:rPr>
        <w:t>, për të cilën janë realizuar plotësiht fondet e planifikuara, në masën prej 1,757 milionë lekë, për vitin buxhetor 2018.  Disa nga objektet e rëndësishme, në të cilat punohet me ritme të parashikuara janë:</w:t>
      </w:r>
    </w:p>
    <w:p w14:paraId="4DBF0F59" w14:textId="77777777" w:rsidR="005139C5" w:rsidRPr="002E06C4" w:rsidRDefault="005139C5" w:rsidP="006C0253">
      <w:pPr>
        <w:pStyle w:val="ListParagraph"/>
        <w:numPr>
          <w:ilvl w:val="1"/>
          <w:numId w:val="30"/>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Rruga Kardhiq-Delvinë loti1+ shtesë punimesh</w:t>
      </w:r>
    </w:p>
    <w:p w14:paraId="35BCB767" w14:textId="77777777" w:rsidR="005139C5" w:rsidRPr="002E06C4" w:rsidRDefault="005139C5" w:rsidP="006C0253">
      <w:pPr>
        <w:pStyle w:val="ListParagraph"/>
        <w:numPr>
          <w:ilvl w:val="1"/>
          <w:numId w:val="30"/>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Rruga Kardhiq-Delvinë loti 4, loti 5, loti 6</w:t>
      </w:r>
    </w:p>
    <w:p w14:paraId="23D4BDBE" w14:textId="77777777" w:rsidR="005139C5" w:rsidRPr="002E06C4" w:rsidRDefault="005139C5" w:rsidP="006C0253">
      <w:pPr>
        <w:pStyle w:val="ListParagraph"/>
        <w:numPr>
          <w:ilvl w:val="1"/>
          <w:numId w:val="30"/>
        </w:numPr>
        <w:spacing w:before="240" w:after="240" w:line="276" w:lineRule="auto"/>
        <w:jc w:val="both"/>
        <w:rPr>
          <w:rFonts w:asciiTheme="majorHAnsi" w:hAnsiTheme="majorHAnsi" w:cs="Times New Roman"/>
          <w:i/>
          <w:lang w:val="sq-AL"/>
        </w:rPr>
      </w:pPr>
      <w:r w:rsidRPr="002E06C4">
        <w:rPr>
          <w:rFonts w:asciiTheme="majorHAnsi" w:hAnsiTheme="majorHAnsi" w:cs="Times New Roman"/>
          <w:i/>
          <w:lang w:val="sq-AL"/>
        </w:rPr>
        <w:t>Rruga Milot-F. Krujë (dublimi i superstradës) loti3</w:t>
      </w:r>
    </w:p>
    <w:p w14:paraId="337FD4E7" w14:textId="77777777" w:rsidR="005139C5" w:rsidRPr="002E06C4" w:rsidRDefault="005139C5" w:rsidP="006C0253">
      <w:pPr>
        <w:pStyle w:val="ListParagraph"/>
        <w:numPr>
          <w:ilvl w:val="0"/>
          <w:numId w:val="28"/>
        </w:numPr>
        <w:spacing w:line="276" w:lineRule="auto"/>
        <w:ind w:left="720"/>
        <w:jc w:val="both"/>
        <w:rPr>
          <w:rFonts w:asciiTheme="majorHAnsi" w:hAnsiTheme="majorHAnsi" w:cs="Times New Roman"/>
          <w:lang w:val="sq-AL"/>
        </w:rPr>
      </w:pPr>
      <w:r w:rsidRPr="002E06C4">
        <w:rPr>
          <w:rFonts w:asciiTheme="majorHAnsi" w:hAnsiTheme="majorHAnsi" w:cs="Times New Roman"/>
          <w:lang w:val="sq-AL"/>
        </w:rPr>
        <w:t>Për rrugën tip C2 me dy korsi, janë realizuar fondet e planifikuara, ne m,asën prej 1,970 milionë lekë, për vitin buxhetor 2018. Disa nga objektet e rëndësishme, në të cilat punohet normalisht dhe që janë në proces janë:</w:t>
      </w:r>
    </w:p>
    <w:p w14:paraId="4A176235" w14:textId="77777777" w:rsidR="005139C5" w:rsidRPr="002E06C4" w:rsidRDefault="005139C5" w:rsidP="006C0253">
      <w:pPr>
        <w:pStyle w:val="ListParagraph"/>
        <w:numPr>
          <w:ilvl w:val="1"/>
          <w:numId w:val="31"/>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Rikonstruksioni aksit rrugor ura e Gajdarit hyrja Sarandë.</w:t>
      </w:r>
    </w:p>
    <w:p w14:paraId="7E1F5F3F" w14:textId="77777777" w:rsidR="005139C5" w:rsidRPr="002E06C4" w:rsidRDefault="005139C5" w:rsidP="006C0253">
      <w:pPr>
        <w:pStyle w:val="ListParagraph"/>
        <w:numPr>
          <w:ilvl w:val="1"/>
          <w:numId w:val="31"/>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Ndërtimi i aksit Skrapar – Përmet Loti1 + shtesë punimesh.</w:t>
      </w:r>
    </w:p>
    <w:p w14:paraId="1495E57B" w14:textId="77777777" w:rsidR="005139C5" w:rsidRPr="002E06C4" w:rsidRDefault="005139C5" w:rsidP="006C0253">
      <w:pPr>
        <w:pStyle w:val="ListParagraph"/>
        <w:numPr>
          <w:ilvl w:val="1"/>
          <w:numId w:val="32"/>
        </w:numPr>
        <w:spacing w:before="240" w:after="240" w:line="276" w:lineRule="auto"/>
        <w:jc w:val="both"/>
        <w:rPr>
          <w:rFonts w:asciiTheme="majorHAnsi" w:hAnsiTheme="majorHAnsi" w:cs="Times New Roman"/>
          <w:i/>
          <w:lang w:val="sq-AL"/>
        </w:rPr>
      </w:pPr>
      <w:r w:rsidRPr="002E06C4">
        <w:rPr>
          <w:rFonts w:asciiTheme="majorHAnsi" w:hAnsiTheme="majorHAnsi" w:cs="Times New Roman"/>
          <w:i/>
          <w:lang w:val="sq-AL"/>
        </w:rPr>
        <w:t>Përmirësim i sigurisë rrugore në aksin Kashar - Rinas</w:t>
      </w:r>
    </w:p>
    <w:p w14:paraId="5591613F" w14:textId="77777777" w:rsidR="005139C5" w:rsidRPr="002E06C4" w:rsidRDefault="005139C5" w:rsidP="005139C5">
      <w:pPr>
        <w:pStyle w:val="ListParagraph"/>
        <w:spacing w:before="240" w:after="240" w:line="276" w:lineRule="auto"/>
        <w:ind w:left="0"/>
        <w:jc w:val="both"/>
        <w:rPr>
          <w:rFonts w:asciiTheme="majorHAnsi" w:hAnsiTheme="majorHAnsi" w:cs="Times New Roman"/>
          <w:lang w:val="sq-AL"/>
        </w:rPr>
      </w:pPr>
      <w:r w:rsidRPr="002E06C4">
        <w:rPr>
          <w:rFonts w:asciiTheme="majorHAnsi" w:hAnsiTheme="majorHAnsi" w:cs="Times New Roman"/>
          <w:lang w:val="sq-AL"/>
        </w:rPr>
        <w:t xml:space="preserve">Për grup produktin </w:t>
      </w:r>
      <w:r w:rsidRPr="002E06C4">
        <w:rPr>
          <w:rFonts w:asciiTheme="majorHAnsi" w:hAnsiTheme="majorHAnsi" w:cs="Times New Roman"/>
          <w:i/>
          <w:lang w:val="sq-AL"/>
        </w:rPr>
        <w:t>“</w:t>
      </w:r>
      <w:r w:rsidRPr="002E06C4">
        <w:rPr>
          <w:rFonts w:asciiTheme="majorHAnsi" w:hAnsiTheme="majorHAnsi" w:cs="Times New Roman"/>
          <w:b/>
          <w:i/>
          <w:lang w:val="sq-AL"/>
        </w:rPr>
        <w:t>Rikonstruksion rruge”</w:t>
      </w:r>
      <w:r w:rsidRPr="002E06C4">
        <w:rPr>
          <w:rFonts w:asciiTheme="majorHAnsi" w:hAnsiTheme="majorHAnsi" w:cs="Times New Roman"/>
          <w:lang w:val="sq-AL"/>
        </w:rPr>
        <w:t xml:space="preserve"> janë realizuar plotësisht fondet e planifikuara për vitin buxhetor 2018, në masën prej 2,244 milionë lekë Disa nga objektet më të rëndësishme, të cilët kanë kontribuar në realizimin e objektivave të programit, paraqiten si më poshtë:</w:t>
      </w:r>
    </w:p>
    <w:p w14:paraId="454C8541" w14:textId="77777777" w:rsidR="005139C5" w:rsidRPr="002E06C4" w:rsidRDefault="005139C5" w:rsidP="006C0253">
      <w:pPr>
        <w:pStyle w:val="ListParagraph"/>
        <w:numPr>
          <w:ilvl w:val="1"/>
          <w:numId w:val="33"/>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Riveshje dhe sistemim asfaltim Elbasan-Banjë loti1, loti3+,</w:t>
      </w:r>
    </w:p>
    <w:p w14:paraId="23A0E083" w14:textId="77777777" w:rsidR="005139C5" w:rsidRPr="002E06C4" w:rsidRDefault="005139C5" w:rsidP="006C0253">
      <w:pPr>
        <w:pStyle w:val="ListParagraph"/>
        <w:numPr>
          <w:ilvl w:val="1"/>
          <w:numId w:val="33"/>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Sistemim asfaltim rruga Tri Urat – Leskovik shtesë punimesh</w:t>
      </w:r>
    </w:p>
    <w:p w14:paraId="6DD1C985" w14:textId="77777777" w:rsidR="005139C5" w:rsidRPr="002E06C4" w:rsidRDefault="005139C5" w:rsidP="006C0253">
      <w:pPr>
        <w:pStyle w:val="ListParagraph"/>
        <w:numPr>
          <w:ilvl w:val="1"/>
          <w:numId w:val="33"/>
        </w:numPr>
        <w:spacing w:before="240" w:line="276" w:lineRule="auto"/>
        <w:jc w:val="both"/>
        <w:rPr>
          <w:rFonts w:asciiTheme="majorHAnsi" w:hAnsiTheme="majorHAnsi" w:cs="Times New Roman"/>
          <w:i/>
          <w:lang w:val="sq-AL"/>
        </w:rPr>
      </w:pPr>
      <w:r w:rsidRPr="002E06C4">
        <w:rPr>
          <w:rFonts w:asciiTheme="majorHAnsi" w:hAnsiTheme="majorHAnsi" w:cs="Times New Roman"/>
          <w:i/>
          <w:lang w:val="sq-AL"/>
        </w:rPr>
        <w:t>Sistemim asfaltim rrugët lidhëse me bregdetin (Llogara-Sarandë) loti1+shtesë punimesh...etje</w:t>
      </w:r>
    </w:p>
    <w:p w14:paraId="242CDB8B" w14:textId="77777777" w:rsidR="005139C5" w:rsidRPr="002E06C4" w:rsidRDefault="005139C5" w:rsidP="0044331B">
      <w:pPr>
        <w:spacing w:after="120"/>
        <w:jc w:val="both"/>
        <w:rPr>
          <w:rFonts w:asciiTheme="majorHAnsi" w:eastAsia="MS Mincho" w:hAnsiTheme="majorHAnsi" w:cs="Times New Roman"/>
          <w:lang w:val="sq-AL"/>
        </w:rPr>
      </w:pPr>
      <w:r w:rsidRPr="002E06C4">
        <w:rPr>
          <w:rFonts w:asciiTheme="majorHAnsi" w:eastAsia="MS Mincho" w:hAnsiTheme="majorHAnsi" w:cs="Times New Roman"/>
          <w:lang w:val="sq-AL"/>
        </w:rPr>
        <w:t xml:space="preserve">Për programin “Transporti Rrugor”, përfshihen edhe shpenzimet për Mirëmbajtjen e Rrugëve. Lidhur me fondet e planifikuara për këtë qëllim vihet re se jane realizuar në masën 100%, sipas kontratave të lidhura me ARRSH-në. Me fondet e vëna në dispozicion me buxhetin e vitit 2018 janë kryer pagesat e kontratave në vazhdim si edhe janë lidhur kontrata të reja. Vihet re se, ka ende detyrime të pashlyera deri në fund të vitit 2018, edhe pse janë shlyer rreth  68% e detyrimeve për Vendimet Gjyqësore. </w:t>
      </w:r>
    </w:p>
    <w:p w14:paraId="67EF3072" w14:textId="77777777" w:rsidR="005139C5" w:rsidRPr="002E06C4" w:rsidRDefault="005139C5" w:rsidP="005139C5">
      <w:pPr>
        <w:spacing w:before="240" w:after="120"/>
        <w:jc w:val="both"/>
        <w:rPr>
          <w:rFonts w:asciiTheme="majorHAnsi" w:hAnsiTheme="majorHAnsi" w:cs="Times New Roman"/>
          <w:lang w:val="sq-AL"/>
        </w:rPr>
      </w:pPr>
      <w:r w:rsidRPr="002E06C4">
        <w:rPr>
          <w:rFonts w:asciiTheme="majorHAnsi" w:hAnsiTheme="majorHAnsi" w:cs="Times New Roman"/>
          <w:b/>
          <w:lang w:val="sq-AL"/>
        </w:rPr>
        <w:t>Në programin “Furnizimi me Ujë dhe Kanalizime</w:t>
      </w:r>
      <w:r w:rsidRPr="002E06C4">
        <w:rPr>
          <w:rFonts w:asciiTheme="majorHAnsi" w:hAnsiTheme="majorHAnsi" w:cs="Times New Roman"/>
          <w:lang w:val="sq-AL"/>
        </w:rPr>
        <w:t>” është realizuar qëllimi i programit i cili synon: “</w:t>
      </w:r>
      <w:r w:rsidRPr="002E06C4">
        <w:rPr>
          <w:rFonts w:asciiTheme="majorHAnsi" w:hAnsiTheme="majorHAnsi" w:cs="Times New Roman"/>
          <w:i/>
          <w:lang w:val="sq-AL"/>
        </w:rPr>
        <w:t>Shërbimin e furnizimit me ujë dhe kanalizime për të gjithë popullsinë me cilësi dhe sipas standarteve ndërkombëtare</w:t>
      </w:r>
      <w:r w:rsidRPr="002E06C4">
        <w:rPr>
          <w:rFonts w:asciiTheme="majorHAnsi" w:hAnsiTheme="majorHAnsi" w:cs="Times New Roman"/>
          <w:lang w:val="sq-AL"/>
        </w:rPr>
        <w:t>.” Produktet e realizuara, me synim realizmin e qëllimit, paraqiten si më poshtë :</w:t>
      </w:r>
    </w:p>
    <w:p w14:paraId="5E227428" w14:textId="77777777" w:rsidR="005139C5" w:rsidRPr="002E06C4" w:rsidRDefault="005139C5" w:rsidP="006C0253">
      <w:pPr>
        <w:pStyle w:val="ListParagraph"/>
        <w:numPr>
          <w:ilvl w:val="0"/>
          <w:numId w:val="34"/>
        </w:numPr>
        <w:spacing w:after="240" w:line="276" w:lineRule="auto"/>
        <w:jc w:val="both"/>
        <w:rPr>
          <w:rFonts w:asciiTheme="majorHAnsi" w:hAnsiTheme="majorHAnsi" w:cs="Times New Roman"/>
          <w:lang w:val="sq-AL"/>
        </w:rPr>
      </w:pPr>
      <w:r w:rsidRPr="002E06C4">
        <w:rPr>
          <w:rFonts w:asciiTheme="majorHAnsi" w:hAnsiTheme="majorHAnsi" w:cs="Times New Roman"/>
          <w:lang w:val="sq-AL"/>
        </w:rPr>
        <w:t xml:space="preserve">Realizimi i 178,637 ml, ose 98% e fondeve të planifikuara për linja të reja ujësjellësi për furnizimin me ujë (A/I). </w:t>
      </w:r>
    </w:p>
    <w:p w14:paraId="6ACF0E33" w14:textId="77777777" w:rsidR="005139C5" w:rsidRPr="002E06C4" w:rsidRDefault="005139C5" w:rsidP="006C0253">
      <w:pPr>
        <w:pStyle w:val="ListParagraph"/>
        <w:numPr>
          <w:ilvl w:val="0"/>
          <w:numId w:val="34"/>
        </w:numPr>
        <w:spacing w:before="240" w:after="240" w:line="276" w:lineRule="auto"/>
        <w:jc w:val="both"/>
        <w:rPr>
          <w:rFonts w:asciiTheme="majorHAnsi" w:hAnsiTheme="majorHAnsi" w:cs="Times New Roman"/>
          <w:lang w:val="sq-AL"/>
        </w:rPr>
      </w:pPr>
      <w:r w:rsidRPr="002E06C4">
        <w:rPr>
          <w:rFonts w:asciiTheme="majorHAnsi" w:hAnsiTheme="majorHAnsi" w:cs="Times New Roman"/>
          <w:lang w:val="sq-AL"/>
        </w:rPr>
        <w:t>16,979 ml ose 99% e fondeve të planifikuara për rrjet kanalizimesh të ujrave të zeza të shtruara (AII).</w:t>
      </w:r>
    </w:p>
    <w:p w14:paraId="2460BB68" w14:textId="77777777" w:rsidR="005139C5" w:rsidRPr="002E06C4" w:rsidRDefault="005139C5" w:rsidP="006C0253">
      <w:pPr>
        <w:pStyle w:val="ListParagraph"/>
        <w:numPr>
          <w:ilvl w:val="0"/>
          <w:numId w:val="34"/>
        </w:numPr>
        <w:spacing w:before="240" w:after="240" w:line="276" w:lineRule="auto"/>
        <w:jc w:val="both"/>
        <w:rPr>
          <w:rFonts w:asciiTheme="majorHAnsi" w:hAnsiTheme="majorHAnsi" w:cs="Times New Roman"/>
          <w:lang w:val="sq-AL"/>
        </w:rPr>
      </w:pPr>
      <w:r w:rsidRPr="002E06C4">
        <w:rPr>
          <w:rFonts w:asciiTheme="majorHAnsi" w:hAnsiTheme="majorHAnsi" w:cs="Times New Roman"/>
          <w:lang w:val="sq-AL"/>
        </w:rPr>
        <w:t xml:space="preserve">Paisja me një impiant trajtimi për ujrat e zeza, është realizuar në masën 100% përgjatë vitit 2018. </w:t>
      </w:r>
    </w:p>
    <w:p w14:paraId="2E024871" w14:textId="77777777" w:rsidR="005139C5" w:rsidRPr="002E06C4" w:rsidRDefault="005139C5" w:rsidP="005139C5">
      <w:pPr>
        <w:pStyle w:val="ListParagraph"/>
        <w:spacing w:before="240" w:after="240" w:line="276" w:lineRule="auto"/>
        <w:ind w:left="0"/>
        <w:jc w:val="both"/>
        <w:rPr>
          <w:rFonts w:asciiTheme="majorHAnsi" w:hAnsiTheme="majorHAnsi" w:cs="Times New Roman"/>
          <w:sz w:val="8"/>
          <w:szCs w:val="8"/>
          <w:lang w:val="sq-AL"/>
        </w:rPr>
      </w:pPr>
    </w:p>
    <w:p w14:paraId="28A1F1B7" w14:textId="77777777" w:rsidR="005139C5" w:rsidRPr="002E06C4" w:rsidRDefault="005139C5" w:rsidP="005139C5">
      <w:pPr>
        <w:pStyle w:val="ListParagraph"/>
        <w:spacing w:before="240" w:after="240" w:line="276" w:lineRule="auto"/>
        <w:ind w:left="0"/>
        <w:jc w:val="both"/>
        <w:rPr>
          <w:rFonts w:asciiTheme="majorHAnsi" w:hAnsiTheme="majorHAnsi" w:cs="Times New Roman"/>
          <w:lang w:val="sq-AL"/>
        </w:rPr>
      </w:pPr>
      <w:r w:rsidRPr="002E06C4">
        <w:rPr>
          <w:rFonts w:asciiTheme="majorHAnsi" w:hAnsiTheme="majorHAnsi" w:cs="Times New Roman"/>
          <w:lang w:val="sq-AL"/>
        </w:rPr>
        <w:t xml:space="preserve">Lidhur me fondin prej 1 miliard lekë për subvencionimin e ujësjellës kanalizimeve për ujin e pijshëm, i cili është detajuara i plotë, me një këst gjatë vitit 2018, me qëllim kontribuimin në përmirësimin e performancës së Usjllës – Kanalizimeve SHA. </w:t>
      </w:r>
    </w:p>
    <w:p w14:paraId="67C2CB13" w14:textId="77777777" w:rsidR="005139C5" w:rsidRPr="002E06C4" w:rsidRDefault="005139C5" w:rsidP="005139C5">
      <w:pPr>
        <w:spacing w:before="240" w:line="276" w:lineRule="auto"/>
        <w:jc w:val="both"/>
        <w:rPr>
          <w:rFonts w:asciiTheme="majorHAnsi" w:eastAsia="Times New Roman" w:hAnsiTheme="majorHAnsi" w:cs="Times New Roman"/>
          <w:lang w:val="sq-AL"/>
        </w:rPr>
      </w:pPr>
      <w:r w:rsidRPr="002E06C4">
        <w:rPr>
          <w:rFonts w:asciiTheme="majorHAnsi" w:eastAsia="Times New Roman" w:hAnsiTheme="majorHAnsi" w:cs="Times New Roman"/>
          <w:b/>
          <w:lang w:val="sq-AL"/>
        </w:rPr>
        <w:lastRenderedPageBreak/>
        <w:t>Në programin “Mbështetje për Energjinë”</w:t>
      </w:r>
      <w:r w:rsidRPr="002E06C4">
        <w:rPr>
          <w:rFonts w:asciiTheme="majorHAnsi" w:eastAsia="Times New Roman" w:hAnsiTheme="majorHAnsi" w:cs="Times New Roman"/>
          <w:lang w:val="sq-AL"/>
        </w:rPr>
        <w:t xml:space="preserve"> është realizuar qëllimi lidhur me “</w:t>
      </w:r>
      <w:r w:rsidRPr="002E06C4">
        <w:rPr>
          <w:rFonts w:asciiTheme="majorHAnsi" w:eastAsia="Times New Roman" w:hAnsiTheme="majorHAnsi" w:cs="Times New Roman"/>
          <w:i/>
          <w:lang w:val="sq-AL"/>
        </w:rPr>
        <w:t>Garantimi dhe furnizimi me burime të sigurta energjitike me kosto minimale, ruajtja e mjedisit nga efektet negative për shkak të zhvillimit të sektorit energjitik, diversifikimi i furnizimit me burime energjitike dhe integrim në rrjetet energjitike rajonale dhe Europiane, duke nxitur investimet në këtë sektor. Nxitja dhe përdorimi i burimeve të rinovueshme si faktor për rritjen e sigurisë së furnizimit, duke synuar në vitin 2020 rritjen e përdorimit të energjisë së rinovuar me 38% kundrejt vitit 2009, si edhe rritjen e efiçencës së energjisë me 6.5% referuar vitit 2009</w:t>
      </w:r>
      <w:r w:rsidRPr="002E06C4">
        <w:rPr>
          <w:rFonts w:asciiTheme="majorHAnsi" w:eastAsia="Times New Roman" w:hAnsiTheme="majorHAnsi" w:cs="Times New Roman"/>
          <w:lang w:val="sq-AL"/>
        </w:rPr>
        <w:t xml:space="preserve">”. Ky objektiv është arritur nëpërmjet realizimit të fondeve në masën prej 4,605 milionë lekë, nëpërmjet 18 produkteve. Ndër produktet e planifikuar, 15 prej tyre janë realizuar plotësisht. Disa nga produktet e programit janë: </w:t>
      </w:r>
    </w:p>
    <w:p w14:paraId="36F590B0" w14:textId="77777777" w:rsidR="005139C5" w:rsidRPr="002E06C4" w:rsidRDefault="005139C5" w:rsidP="006C0253">
      <w:pPr>
        <w:numPr>
          <w:ilvl w:val="0"/>
          <w:numId w:val="20"/>
        </w:numPr>
        <w:spacing w:line="276" w:lineRule="auto"/>
        <w:contextualSpacing/>
        <w:jc w:val="both"/>
        <w:rPr>
          <w:rFonts w:asciiTheme="majorHAnsi" w:eastAsia="Calibri" w:hAnsiTheme="majorHAnsi" w:cs="Times New Roman"/>
          <w:lang w:val="sq-AL"/>
        </w:rPr>
      </w:pPr>
      <w:r w:rsidRPr="002E06C4">
        <w:rPr>
          <w:rFonts w:asciiTheme="majorHAnsi" w:eastAsia="Calibri" w:hAnsiTheme="majorHAnsi" w:cs="Times New Roman"/>
          <w:lang w:val="sq-AL"/>
        </w:rPr>
        <w:t>Hartimi i rregulloreve, raporteve, kryerja e studimeve dhe konsulencave me synim rritjen e përpunimit të naftës bruto në vend dhe rritjen e cilësisë së nënpdukteve të saj.</w:t>
      </w:r>
    </w:p>
    <w:p w14:paraId="05BC824A" w14:textId="77777777" w:rsidR="005139C5" w:rsidRPr="002E06C4" w:rsidRDefault="005139C5" w:rsidP="006C0253">
      <w:pPr>
        <w:numPr>
          <w:ilvl w:val="0"/>
          <w:numId w:val="20"/>
        </w:numPr>
        <w:spacing w:line="276" w:lineRule="auto"/>
        <w:contextualSpacing/>
        <w:jc w:val="both"/>
        <w:rPr>
          <w:rFonts w:asciiTheme="majorHAnsi" w:eastAsia="Calibri" w:hAnsiTheme="majorHAnsi" w:cs="Times New Roman"/>
          <w:lang w:val="sq-AL"/>
        </w:rPr>
      </w:pPr>
      <w:r w:rsidRPr="002E06C4">
        <w:rPr>
          <w:rFonts w:asciiTheme="majorHAnsi" w:eastAsia="Calibri" w:hAnsiTheme="majorHAnsi" w:cs="Times New Roman"/>
          <w:lang w:val="sq-AL"/>
        </w:rPr>
        <w:t>Hartimi i bilanceve, kryerja e konsulencave dhe operacioneve me qëllim reduktimin e humbjeve të energjisë elektrike, për të siguruar furnizim me energji elektrike në mënyrë të pandërprerë të gjithë konsumatorët</w:t>
      </w:r>
    </w:p>
    <w:p w14:paraId="2BDEF5E6" w14:textId="77777777" w:rsidR="005139C5" w:rsidRPr="002E06C4" w:rsidRDefault="005139C5" w:rsidP="006C0253">
      <w:pPr>
        <w:numPr>
          <w:ilvl w:val="0"/>
          <w:numId w:val="20"/>
        </w:numPr>
        <w:spacing w:line="276" w:lineRule="auto"/>
        <w:contextualSpacing/>
        <w:jc w:val="both"/>
        <w:rPr>
          <w:rFonts w:asciiTheme="majorHAnsi" w:eastAsia="Calibri" w:hAnsiTheme="majorHAnsi" w:cs="Times New Roman"/>
          <w:lang w:val="sq-AL"/>
        </w:rPr>
      </w:pPr>
      <w:r w:rsidRPr="002E06C4">
        <w:rPr>
          <w:rFonts w:asciiTheme="majorHAnsi" w:eastAsia="Calibri" w:hAnsiTheme="majorHAnsi" w:cs="Times New Roman"/>
          <w:lang w:val="sq-AL"/>
        </w:rPr>
        <w:t xml:space="preserve">Certifikimi Energjitik i Ndërtesave Publike. </w:t>
      </w:r>
    </w:p>
    <w:p w14:paraId="238C480E" w14:textId="77777777" w:rsidR="005139C5" w:rsidRPr="002E06C4" w:rsidRDefault="005139C5" w:rsidP="005139C5">
      <w:pPr>
        <w:pStyle w:val="ListParagraph"/>
        <w:spacing w:line="276" w:lineRule="auto"/>
        <w:ind w:left="780"/>
        <w:jc w:val="both"/>
        <w:rPr>
          <w:rFonts w:asciiTheme="majorHAnsi" w:eastAsia="Calibri" w:hAnsiTheme="majorHAnsi" w:cs="Times New Roman"/>
          <w:lang w:val="sq-AL"/>
        </w:rPr>
      </w:pPr>
    </w:p>
    <w:p w14:paraId="57B51036" w14:textId="77777777" w:rsidR="005139C5" w:rsidRPr="002E06C4" w:rsidRDefault="005139C5" w:rsidP="005139C5">
      <w:pPr>
        <w:pStyle w:val="Heading3"/>
        <w:numPr>
          <w:ilvl w:val="2"/>
          <w:numId w:val="4"/>
        </w:numPr>
        <w:rPr>
          <w:rFonts w:cs="Times New Roman"/>
          <w:b/>
          <w:lang w:val="sq-AL"/>
        </w:rPr>
      </w:pPr>
      <w:bookmarkStart w:id="157" w:name="_Toc10033298"/>
      <w:bookmarkStart w:id="158" w:name="_Toc10721434"/>
      <w:bookmarkStart w:id="159" w:name="_Toc11134229"/>
      <w:r w:rsidRPr="002E06C4">
        <w:rPr>
          <w:rFonts w:cs="Times New Roman"/>
          <w:b/>
          <w:lang w:val="sq-AL"/>
        </w:rPr>
        <w:t>Turizmi dhe Mjedisi</w:t>
      </w:r>
      <w:bookmarkEnd w:id="157"/>
      <w:bookmarkEnd w:id="158"/>
      <w:bookmarkEnd w:id="159"/>
    </w:p>
    <w:p w14:paraId="583BBA43" w14:textId="77777777" w:rsidR="005139C5" w:rsidRPr="002E06C4" w:rsidRDefault="005139C5" w:rsidP="005139C5">
      <w:pPr>
        <w:spacing w:before="240"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Performanca e treguesve buxhetorë për tre programet kryesore në Ministrinë e Mjedisit dhe Turizmit paraqitet si më poshtë:</w:t>
      </w:r>
    </w:p>
    <w:p w14:paraId="06658398" w14:textId="77777777" w:rsidR="005139C5" w:rsidRPr="002E06C4" w:rsidRDefault="005139C5" w:rsidP="005139C5">
      <w:pPr>
        <w:pStyle w:val="Caption"/>
        <w:keepNext/>
        <w:spacing w:after="0"/>
        <w:rPr>
          <w:rFonts w:asciiTheme="majorHAnsi" w:hAnsiTheme="majorHAnsi" w:cs="Times New Roman"/>
          <w:lang w:val="sq-AL"/>
        </w:rPr>
      </w:pPr>
    </w:p>
    <w:p w14:paraId="7F761D3B" w14:textId="77777777" w:rsidR="006D577E" w:rsidRDefault="006D577E" w:rsidP="006D577E">
      <w:pPr>
        <w:pStyle w:val="Caption"/>
        <w:spacing w:after="0"/>
        <w:rPr>
          <w:rFonts w:asciiTheme="majorHAnsi" w:hAnsiTheme="majorHAnsi" w:cs="Times New Roman"/>
          <w:lang w:val="sq-AL"/>
        </w:rPr>
      </w:pPr>
      <w:bookmarkStart w:id="160" w:name="_Toc11135131"/>
      <w:r>
        <w:t xml:space="preserve">Tabela </w:t>
      </w:r>
      <w:r w:rsidR="003D3813">
        <w:fldChar w:fldCharType="begin"/>
      </w:r>
      <w:r w:rsidR="003D3813">
        <w:instrText xml:space="preserve"> SEQ Tabela \* ARABIC </w:instrText>
      </w:r>
      <w:r w:rsidR="003D3813">
        <w:fldChar w:fldCharType="separate"/>
      </w:r>
      <w:r w:rsidR="006A57F3">
        <w:rPr>
          <w:noProof/>
        </w:rPr>
        <w:t>17</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Realizimi i buxhetit 2018 për Ministrinë e Turzimit dhe Mjedisit</w:t>
      </w:r>
      <w:bookmarkEnd w:id="160"/>
      <w:r w:rsidRPr="002E06C4">
        <w:rPr>
          <w:rFonts w:asciiTheme="majorHAnsi" w:hAnsiTheme="majorHAnsi" w:cs="Times New Roman"/>
          <w:lang w:val="sq-AL"/>
        </w:rPr>
        <w:t xml:space="preserve"> </w:t>
      </w:r>
    </w:p>
    <w:p w14:paraId="714C576B" w14:textId="77777777" w:rsidR="005139C5" w:rsidRPr="002E06C4" w:rsidRDefault="005139C5" w:rsidP="006D577E">
      <w:pPr>
        <w:pStyle w:val="Caption"/>
        <w:spacing w:after="0"/>
        <w:jc w:val="right"/>
        <w:rPr>
          <w:rFonts w:asciiTheme="majorHAnsi" w:hAnsiTheme="majorHAnsi" w:cs="Times New Roman"/>
          <w:i w:val="0"/>
          <w:color w:val="000000"/>
          <w:sz w:val="20"/>
          <w:u w:val="single"/>
          <w:lang w:val="sq-AL"/>
        </w:rPr>
      </w:pPr>
      <w:r w:rsidRPr="002E06C4">
        <w:rPr>
          <w:rFonts w:asciiTheme="majorHAnsi" w:hAnsiTheme="majorHAnsi" w:cs="Times New Roman"/>
          <w:color w:val="000000"/>
          <w:sz w:val="20"/>
          <w:u w:val="single"/>
          <w:lang w:val="sq-AL"/>
        </w:rPr>
        <w:t>Në mijë lekë</w:t>
      </w:r>
    </w:p>
    <w:tbl>
      <w:tblPr>
        <w:tblStyle w:val="GridTable1Light-Accent11"/>
        <w:tblW w:w="5000" w:type="pct"/>
        <w:tblLook w:val="01E0" w:firstRow="1" w:lastRow="1" w:firstColumn="1" w:lastColumn="1" w:noHBand="0" w:noVBand="0"/>
      </w:tblPr>
      <w:tblGrid>
        <w:gridCol w:w="573"/>
        <w:gridCol w:w="2328"/>
        <w:gridCol w:w="1261"/>
        <w:gridCol w:w="1615"/>
        <w:gridCol w:w="1353"/>
        <w:gridCol w:w="1255"/>
        <w:gridCol w:w="1025"/>
        <w:gridCol w:w="1066"/>
      </w:tblGrid>
      <w:tr w:rsidR="005139C5" w:rsidRPr="002E06C4" w14:paraId="4D4868E6" w14:textId="77777777" w:rsidTr="0080499B">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73" w:type="pct"/>
            <w:vMerge w:val="restart"/>
          </w:tcPr>
          <w:p w14:paraId="18C28ECC" w14:textId="77777777" w:rsidR="005139C5" w:rsidRPr="002E06C4" w:rsidRDefault="005139C5" w:rsidP="00981B5B">
            <w:pPr>
              <w:jc w:val="center"/>
              <w:rPr>
                <w:rFonts w:asciiTheme="majorHAnsi" w:hAnsiTheme="majorHAnsi" w:cs="Times New Roman"/>
                <w:sz w:val="18"/>
                <w:lang w:val="sq-AL"/>
              </w:rPr>
            </w:pPr>
            <w:r w:rsidRPr="002E06C4">
              <w:rPr>
                <w:rFonts w:asciiTheme="majorHAnsi" w:hAnsiTheme="majorHAnsi" w:cs="Times New Roman"/>
                <w:sz w:val="18"/>
                <w:lang w:val="sq-AL"/>
              </w:rPr>
              <w:t>NR</w:t>
            </w:r>
          </w:p>
        </w:tc>
        <w:tc>
          <w:tcPr>
            <w:tcW w:w="1111" w:type="pct"/>
            <w:vMerge w:val="restart"/>
          </w:tcPr>
          <w:p w14:paraId="7AECE360" w14:textId="77777777" w:rsidR="005139C5" w:rsidRPr="002E06C4" w:rsidRDefault="005139C5" w:rsidP="00981B5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Emërtimi i Programit</w:t>
            </w:r>
          </w:p>
          <w:p w14:paraId="6CDBCDB6" w14:textId="77777777" w:rsidR="005139C5" w:rsidRPr="002E06C4" w:rsidRDefault="005139C5" w:rsidP="00981B5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p>
          <w:p w14:paraId="476FB86D" w14:textId="77777777" w:rsidR="005139C5" w:rsidRPr="002E06C4" w:rsidRDefault="005139C5" w:rsidP="00981B5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i/>
                <w:sz w:val="18"/>
                <w:lang w:val="sq-AL"/>
              </w:rPr>
            </w:pPr>
            <w:r w:rsidRPr="002E06C4">
              <w:rPr>
                <w:rFonts w:asciiTheme="majorHAnsi" w:hAnsiTheme="majorHAnsi" w:cs="Times New Roman"/>
                <w:i/>
                <w:sz w:val="18"/>
                <w:lang w:val="sq-AL"/>
              </w:rPr>
              <w:t>(në mijë lekë)</w:t>
            </w:r>
          </w:p>
        </w:tc>
        <w:tc>
          <w:tcPr>
            <w:tcW w:w="1373" w:type="pct"/>
            <w:gridSpan w:val="2"/>
          </w:tcPr>
          <w:p w14:paraId="24030A70" w14:textId="77777777" w:rsidR="005139C5" w:rsidRPr="002E06C4" w:rsidRDefault="005139C5" w:rsidP="00981B5B">
            <w:pPr>
              <w:ind w:left="8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Plani 2017</w:t>
            </w:r>
          </w:p>
        </w:tc>
        <w:tc>
          <w:tcPr>
            <w:tcW w:w="1245" w:type="pct"/>
            <w:gridSpan w:val="2"/>
          </w:tcPr>
          <w:p w14:paraId="23B42030" w14:textId="77777777" w:rsidR="005139C5" w:rsidRPr="002E06C4" w:rsidRDefault="005139C5" w:rsidP="00981B5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Fakti 2017</w:t>
            </w:r>
          </w:p>
        </w:tc>
        <w:tc>
          <w:tcPr>
            <w:cnfStyle w:val="000100000000" w:firstRow="0" w:lastRow="0" w:firstColumn="0" w:lastColumn="1" w:oddVBand="0" w:evenVBand="0" w:oddHBand="0" w:evenHBand="0" w:firstRowFirstColumn="0" w:firstRowLastColumn="0" w:lastRowFirstColumn="0" w:lastRowLastColumn="0"/>
            <w:tcW w:w="998" w:type="pct"/>
            <w:gridSpan w:val="2"/>
          </w:tcPr>
          <w:p w14:paraId="50439F70" w14:textId="77777777" w:rsidR="005139C5" w:rsidRPr="002E06C4" w:rsidRDefault="005139C5" w:rsidP="00981B5B">
            <w:pPr>
              <w:jc w:val="center"/>
              <w:rPr>
                <w:rFonts w:asciiTheme="majorHAnsi" w:hAnsiTheme="majorHAnsi" w:cs="Times New Roman"/>
                <w:sz w:val="18"/>
                <w:lang w:val="sq-AL"/>
              </w:rPr>
            </w:pPr>
            <w:r w:rsidRPr="002E06C4">
              <w:rPr>
                <w:rFonts w:asciiTheme="majorHAnsi" w:hAnsiTheme="majorHAnsi" w:cs="Times New Roman"/>
                <w:bCs w:val="0"/>
                <w:sz w:val="18"/>
                <w:lang w:val="sq-AL"/>
              </w:rPr>
              <w:t>Përqindja  e realizimit</w:t>
            </w:r>
          </w:p>
        </w:tc>
      </w:tr>
      <w:tr w:rsidR="005139C5" w:rsidRPr="002E06C4" w14:paraId="256803D1" w14:textId="77777777" w:rsidTr="0080499B">
        <w:trPr>
          <w:trHeight w:val="89"/>
        </w:trPr>
        <w:tc>
          <w:tcPr>
            <w:cnfStyle w:val="001000000000" w:firstRow="0" w:lastRow="0" w:firstColumn="1" w:lastColumn="0" w:oddVBand="0" w:evenVBand="0" w:oddHBand="0" w:evenHBand="0" w:firstRowFirstColumn="0" w:firstRowLastColumn="0" w:lastRowFirstColumn="0" w:lastRowLastColumn="0"/>
            <w:tcW w:w="273" w:type="pct"/>
            <w:vMerge/>
          </w:tcPr>
          <w:p w14:paraId="6DED17E5" w14:textId="77777777" w:rsidR="005139C5" w:rsidRPr="002E06C4" w:rsidRDefault="005139C5" w:rsidP="00981B5B">
            <w:pPr>
              <w:jc w:val="center"/>
              <w:rPr>
                <w:rFonts w:asciiTheme="majorHAnsi" w:hAnsiTheme="majorHAnsi" w:cs="Times New Roman"/>
                <w:sz w:val="18"/>
                <w:lang w:val="sq-AL"/>
              </w:rPr>
            </w:pPr>
          </w:p>
        </w:tc>
        <w:tc>
          <w:tcPr>
            <w:tcW w:w="1111" w:type="pct"/>
            <w:vMerge/>
          </w:tcPr>
          <w:p w14:paraId="3BBA8BF3"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lang w:val="sq-AL"/>
              </w:rPr>
            </w:pPr>
          </w:p>
        </w:tc>
        <w:tc>
          <w:tcPr>
            <w:tcW w:w="602" w:type="pct"/>
          </w:tcPr>
          <w:p w14:paraId="7E97C882" w14:textId="77777777" w:rsidR="005139C5" w:rsidRPr="002E06C4" w:rsidRDefault="005139C5" w:rsidP="00981B5B">
            <w:pPr>
              <w:ind w:left="85"/>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lang w:val="sq-AL"/>
              </w:rPr>
            </w:pPr>
            <w:r w:rsidRPr="002E06C4">
              <w:rPr>
                <w:rFonts w:asciiTheme="majorHAnsi" w:hAnsiTheme="majorHAnsi" w:cs="Times New Roman"/>
                <w:b/>
                <w:sz w:val="18"/>
                <w:lang w:val="sq-AL"/>
              </w:rPr>
              <w:t>Korrente</w:t>
            </w:r>
          </w:p>
        </w:tc>
        <w:tc>
          <w:tcPr>
            <w:tcW w:w="771" w:type="pct"/>
          </w:tcPr>
          <w:p w14:paraId="1FF41E43" w14:textId="77777777" w:rsidR="005139C5" w:rsidRPr="002E06C4" w:rsidRDefault="005139C5" w:rsidP="00981B5B">
            <w:pPr>
              <w:ind w:left="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lang w:val="sq-AL"/>
              </w:rPr>
            </w:pPr>
            <w:r w:rsidRPr="002E06C4">
              <w:rPr>
                <w:rFonts w:asciiTheme="majorHAnsi" w:hAnsiTheme="majorHAnsi" w:cs="Times New Roman"/>
                <w:b/>
                <w:sz w:val="18"/>
                <w:lang w:val="sq-AL"/>
              </w:rPr>
              <w:t>Investime</w:t>
            </w:r>
          </w:p>
        </w:tc>
        <w:tc>
          <w:tcPr>
            <w:tcW w:w="646" w:type="pct"/>
          </w:tcPr>
          <w:p w14:paraId="7339ADB4"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lang w:val="sq-AL"/>
              </w:rPr>
            </w:pPr>
            <w:r w:rsidRPr="002E06C4">
              <w:rPr>
                <w:rFonts w:asciiTheme="majorHAnsi" w:hAnsiTheme="majorHAnsi" w:cs="Times New Roman"/>
                <w:b/>
                <w:sz w:val="18"/>
                <w:lang w:val="sq-AL"/>
              </w:rPr>
              <w:t>Korrente</w:t>
            </w:r>
          </w:p>
        </w:tc>
        <w:tc>
          <w:tcPr>
            <w:tcW w:w="599" w:type="pct"/>
          </w:tcPr>
          <w:p w14:paraId="06C9C988"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lang w:val="sq-AL"/>
              </w:rPr>
            </w:pPr>
            <w:r w:rsidRPr="002E06C4">
              <w:rPr>
                <w:rFonts w:asciiTheme="majorHAnsi" w:hAnsiTheme="majorHAnsi" w:cs="Times New Roman"/>
                <w:b/>
                <w:sz w:val="18"/>
                <w:lang w:val="sq-AL"/>
              </w:rPr>
              <w:t>Investime</w:t>
            </w:r>
          </w:p>
        </w:tc>
        <w:tc>
          <w:tcPr>
            <w:tcW w:w="489" w:type="pct"/>
          </w:tcPr>
          <w:p w14:paraId="064512B1"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lang w:val="sq-AL"/>
              </w:rPr>
            </w:pPr>
            <w:r w:rsidRPr="002E06C4">
              <w:rPr>
                <w:rFonts w:asciiTheme="majorHAnsi" w:hAnsiTheme="majorHAnsi" w:cs="Times New Roman"/>
                <w:b/>
                <w:sz w:val="18"/>
                <w:lang w:val="sq-AL"/>
              </w:rPr>
              <w:t>Korrente</w:t>
            </w:r>
          </w:p>
        </w:tc>
        <w:tc>
          <w:tcPr>
            <w:cnfStyle w:val="000100000000" w:firstRow="0" w:lastRow="0" w:firstColumn="0" w:lastColumn="1" w:oddVBand="0" w:evenVBand="0" w:oddHBand="0" w:evenHBand="0" w:firstRowFirstColumn="0" w:firstRowLastColumn="0" w:lastRowFirstColumn="0" w:lastRowLastColumn="0"/>
            <w:tcW w:w="509" w:type="pct"/>
          </w:tcPr>
          <w:p w14:paraId="22EAD131" w14:textId="77777777" w:rsidR="005139C5" w:rsidRPr="002E06C4" w:rsidRDefault="005139C5" w:rsidP="00981B5B">
            <w:pPr>
              <w:jc w:val="center"/>
              <w:rPr>
                <w:rFonts w:asciiTheme="majorHAnsi" w:hAnsiTheme="majorHAnsi" w:cs="Times New Roman"/>
                <w:sz w:val="18"/>
                <w:lang w:val="sq-AL"/>
              </w:rPr>
            </w:pPr>
            <w:r w:rsidRPr="002E06C4">
              <w:rPr>
                <w:rFonts w:asciiTheme="majorHAnsi" w:hAnsiTheme="majorHAnsi" w:cs="Times New Roman"/>
                <w:sz w:val="18"/>
                <w:lang w:val="sq-AL"/>
              </w:rPr>
              <w:t>Investime</w:t>
            </w:r>
          </w:p>
        </w:tc>
      </w:tr>
      <w:tr w:rsidR="005139C5" w:rsidRPr="002E06C4" w14:paraId="7F9F3E5E" w14:textId="77777777" w:rsidTr="0080499B">
        <w:tc>
          <w:tcPr>
            <w:cnfStyle w:val="001000000000" w:firstRow="0" w:lastRow="0" w:firstColumn="1" w:lastColumn="0" w:oddVBand="0" w:evenVBand="0" w:oddHBand="0" w:evenHBand="0" w:firstRowFirstColumn="0" w:firstRowLastColumn="0" w:lastRowFirstColumn="0" w:lastRowLastColumn="0"/>
            <w:tcW w:w="273" w:type="pct"/>
          </w:tcPr>
          <w:p w14:paraId="2267398D" w14:textId="77777777" w:rsidR="005139C5" w:rsidRPr="002E06C4" w:rsidRDefault="005139C5" w:rsidP="00981B5B">
            <w:pPr>
              <w:rPr>
                <w:rFonts w:asciiTheme="majorHAnsi" w:hAnsiTheme="majorHAnsi" w:cs="Times New Roman"/>
                <w:sz w:val="18"/>
                <w:lang w:val="sq-AL"/>
              </w:rPr>
            </w:pPr>
            <w:r w:rsidRPr="002E06C4">
              <w:rPr>
                <w:rFonts w:asciiTheme="majorHAnsi" w:hAnsiTheme="majorHAnsi" w:cs="Times New Roman"/>
                <w:sz w:val="18"/>
                <w:lang w:val="sq-AL"/>
              </w:rPr>
              <w:t>1.</w:t>
            </w:r>
          </w:p>
        </w:tc>
        <w:tc>
          <w:tcPr>
            <w:tcW w:w="1111" w:type="pct"/>
          </w:tcPr>
          <w:p w14:paraId="6D179AC8" w14:textId="77777777" w:rsidR="005139C5" w:rsidRPr="002E06C4" w:rsidRDefault="005139C5" w:rsidP="00981B5B">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Mbrojtja e Mjedisit</w:t>
            </w:r>
          </w:p>
        </w:tc>
        <w:tc>
          <w:tcPr>
            <w:tcW w:w="602" w:type="pct"/>
          </w:tcPr>
          <w:p w14:paraId="3D99CC37"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477,632</w:t>
            </w:r>
          </w:p>
        </w:tc>
        <w:tc>
          <w:tcPr>
            <w:tcW w:w="771" w:type="pct"/>
          </w:tcPr>
          <w:p w14:paraId="503C20A3"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1,650,564</w:t>
            </w:r>
          </w:p>
        </w:tc>
        <w:tc>
          <w:tcPr>
            <w:tcW w:w="646" w:type="pct"/>
          </w:tcPr>
          <w:p w14:paraId="2DBCF212"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440,932</w:t>
            </w:r>
          </w:p>
        </w:tc>
        <w:tc>
          <w:tcPr>
            <w:tcW w:w="599" w:type="pct"/>
          </w:tcPr>
          <w:p w14:paraId="449F62BF"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1,600,813</w:t>
            </w:r>
          </w:p>
        </w:tc>
        <w:tc>
          <w:tcPr>
            <w:tcW w:w="489" w:type="pct"/>
          </w:tcPr>
          <w:p w14:paraId="319C1ACB"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92.3%</w:t>
            </w:r>
          </w:p>
        </w:tc>
        <w:tc>
          <w:tcPr>
            <w:cnfStyle w:val="000100000000" w:firstRow="0" w:lastRow="0" w:firstColumn="0" w:lastColumn="1" w:oddVBand="0" w:evenVBand="0" w:oddHBand="0" w:evenHBand="0" w:firstRowFirstColumn="0" w:firstRowLastColumn="0" w:lastRowFirstColumn="0" w:lastRowLastColumn="0"/>
            <w:tcW w:w="509" w:type="pct"/>
          </w:tcPr>
          <w:p w14:paraId="4CBCBCAE" w14:textId="77777777" w:rsidR="005139C5" w:rsidRPr="002E06C4" w:rsidRDefault="005139C5" w:rsidP="00981B5B">
            <w:pPr>
              <w:jc w:val="center"/>
              <w:rPr>
                <w:rFonts w:asciiTheme="majorHAnsi" w:hAnsiTheme="majorHAnsi" w:cs="Times New Roman"/>
                <w:sz w:val="18"/>
                <w:lang w:val="sq-AL"/>
              </w:rPr>
            </w:pPr>
            <w:r w:rsidRPr="002E06C4">
              <w:rPr>
                <w:rFonts w:asciiTheme="majorHAnsi" w:hAnsiTheme="majorHAnsi" w:cs="Times New Roman"/>
                <w:sz w:val="18"/>
                <w:lang w:val="sq-AL"/>
              </w:rPr>
              <w:t>97%</w:t>
            </w:r>
          </w:p>
        </w:tc>
      </w:tr>
      <w:tr w:rsidR="005139C5" w:rsidRPr="002E06C4" w14:paraId="68114AB3" w14:textId="77777777" w:rsidTr="0080499B">
        <w:trPr>
          <w:trHeight w:val="224"/>
        </w:trPr>
        <w:tc>
          <w:tcPr>
            <w:cnfStyle w:val="001000000000" w:firstRow="0" w:lastRow="0" w:firstColumn="1" w:lastColumn="0" w:oddVBand="0" w:evenVBand="0" w:oddHBand="0" w:evenHBand="0" w:firstRowFirstColumn="0" w:firstRowLastColumn="0" w:lastRowFirstColumn="0" w:lastRowLastColumn="0"/>
            <w:tcW w:w="273" w:type="pct"/>
          </w:tcPr>
          <w:p w14:paraId="1B289037" w14:textId="77777777" w:rsidR="005139C5" w:rsidRPr="002E06C4" w:rsidRDefault="005139C5" w:rsidP="00981B5B">
            <w:pPr>
              <w:rPr>
                <w:rFonts w:asciiTheme="majorHAnsi" w:hAnsiTheme="majorHAnsi" w:cs="Times New Roman"/>
                <w:sz w:val="18"/>
                <w:lang w:val="sq-AL"/>
              </w:rPr>
            </w:pPr>
          </w:p>
        </w:tc>
        <w:tc>
          <w:tcPr>
            <w:tcW w:w="1111" w:type="pct"/>
          </w:tcPr>
          <w:p w14:paraId="7E314F64" w14:textId="77777777" w:rsidR="005139C5" w:rsidRPr="002E06C4" w:rsidRDefault="005139C5" w:rsidP="00981B5B">
            <w:pPr>
              <w:pStyle w:val="ListParagraph"/>
              <w:numPr>
                <w:ilvl w:val="0"/>
                <w:numId w:val="17"/>
              </w:numPr>
              <w:ind w:left="65" w:hanging="58"/>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Financimi i huaj</w:t>
            </w:r>
          </w:p>
        </w:tc>
        <w:tc>
          <w:tcPr>
            <w:tcW w:w="602" w:type="pct"/>
          </w:tcPr>
          <w:p w14:paraId="44BF9F1F"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w:t>
            </w:r>
          </w:p>
        </w:tc>
        <w:tc>
          <w:tcPr>
            <w:tcW w:w="771" w:type="pct"/>
          </w:tcPr>
          <w:p w14:paraId="06484268"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303,000</w:t>
            </w:r>
          </w:p>
        </w:tc>
        <w:tc>
          <w:tcPr>
            <w:tcW w:w="646" w:type="pct"/>
          </w:tcPr>
          <w:p w14:paraId="1D28309A"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w:t>
            </w:r>
          </w:p>
        </w:tc>
        <w:tc>
          <w:tcPr>
            <w:tcW w:w="599" w:type="pct"/>
          </w:tcPr>
          <w:p w14:paraId="29DD4CDA"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549,404</w:t>
            </w:r>
          </w:p>
        </w:tc>
        <w:tc>
          <w:tcPr>
            <w:tcW w:w="489" w:type="pct"/>
          </w:tcPr>
          <w:p w14:paraId="29DA16EC"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p>
        </w:tc>
        <w:tc>
          <w:tcPr>
            <w:cnfStyle w:val="000100000000" w:firstRow="0" w:lastRow="0" w:firstColumn="0" w:lastColumn="1" w:oddVBand="0" w:evenVBand="0" w:oddHBand="0" w:evenHBand="0" w:firstRowFirstColumn="0" w:firstRowLastColumn="0" w:lastRowFirstColumn="0" w:lastRowLastColumn="0"/>
            <w:tcW w:w="509" w:type="pct"/>
          </w:tcPr>
          <w:p w14:paraId="2EAE1967" w14:textId="77777777" w:rsidR="005139C5" w:rsidRPr="002E06C4" w:rsidRDefault="005139C5" w:rsidP="00981B5B">
            <w:pPr>
              <w:jc w:val="center"/>
              <w:rPr>
                <w:rFonts w:asciiTheme="majorHAnsi" w:hAnsiTheme="majorHAnsi" w:cs="Times New Roman"/>
                <w:sz w:val="18"/>
                <w:lang w:val="sq-AL"/>
              </w:rPr>
            </w:pPr>
          </w:p>
        </w:tc>
      </w:tr>
      <w:tr w:rsidR="005139C5" w:rsidRPr="002E06C4" w14:paraId="2FCF12F9" w14:textId="77777777" w:rsidTr="0080499B">
        <w:trPr>
          <w:trHeight w:val="116"/>
        </w:trPr>
        <w:tc>
          <w:tcPr>
            <w:cnfStyle w:val="001000000000" w:firstRow="0" w:lastRow="0" w:firstColumn="1" w:lastColumn="0" w:oddVBand="0" w:evenVBand="0" w:oddHBand="0" w:evenHBand="0" w:firstRowFirstColumn="0" w:firstRowLastColumn="0" w:lastRowFirstColumn="0" w:lastRowLastColumn="0"/>
            <w:tcW w:w="273" w:type="pct"/>
          </w:tcPr>
          <w:p w14:paraId="7A6B9D66" w14:textId="77777777" w:rsidR="005139C5" w:rsidRPr="002E06C4" w:rsidRDefault="005139C5" w:rsidP="00981B5B">
            <w:pPr>
              <w:rPr>
                <w:rFonts w:asciiTheme="majorHAnsi" w:hAnsiTheme="majorHAnsi" w:cs="Times New Roman"/>
                <w:sz w:val="18"/>
                <w:lang w:val="sq-AL"/>
              </w:rPr>
            </w:pPr>
            <w:r w:rsidRPr="002E06C4">
              <w:rPr>
                <w:rFonts w:asciiTheme="majorHAnsi" w:hAnsiTheme="majorHAnsi" w:cs="Times New Roman"/>
                <w:sz w:val="18"/>
                <w:lang w:val="sq-AL"/>
              </w:rPr>
              <w:t>2.</w:t>
            </w:r>
          </w:p>
        </w:tc>
        <w:tc>
          <w:tcPr>
            <w:tcW w:w="1111" w:type="pct"/>
          </w:tcPr>
          <w:p w14:paraId="0D82533C" w14:textId="77777777" w:rsidR="005139C5" w:rsidRPr="002E06C4" w:rsidRDefault="005139C5" w:rsidP="00981B5B">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Administrimi i Pyjeve</w:t>
            </w:r>
          </w:p>
        </w:tc>
        <w:tc>
          <w:tcPr>
            <w:tcW w:w="602" w:type="pct"/>
          </w:tcPr>
          <w:p w14:paraId="5BBFDDF7"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479,084.5</w:t>
            </w:r>
          </w:p>
        </w:tc>
        <w:tc>
          <w:tcPr>
            <w:tcW w:w="771" w:type="pct"/>
          </w:tcPr>
          <w:p w14:paraId="6AB33D45"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185,497</w:t>
            </w:r>
          </w:p>
        </w:tc>
        <w:tc>
          <w:tcPr>
            <w:tcW w:w="646" w:type="pct"/>
          </w:tcPr>
          <w:p w14:paraId="79427986"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426,825</w:t>
            </w:r>
          </w:p>
        </w:tc>
        <w:tc>
          <w:tcPr>
            <w:tcW w:w="599" w:type="pct"/>
          </w:tcPr>
          <w:p w14:paraId="063CF462"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131,090</w:t>
            </w:r>
          </w:p>
        </w:tc>
        <w:tc>
          <w:tcPr>
            <w:tcW w:w="489" w:type="pct"/>
          </w:tcPr>
          <w:p w14:paraId="6B77F9E3"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89.1%</w:t>
            </w:r>
          </w:p>
        </w:tc>
        <w:tc>
          <w:tcPr>
            <w:cnfStyle w:val="000100000000" w:firstRow="0" w:lastRow="0" w:firstColumn="0" w:lastColumn="1" w:oddVBand="0" w:evenVBand="0" w:oddHBand="0" w:evenHBand="0" w:firstRowFirstColumn="0" w:firstRowLastColumn="0" w:lastRowFirstColumn="0" w:lastRowLastColumn="0"/>
            <w:tcW w:w="509" w:type="pct"/>
          </w:tcPr>
          <w:p w14:paraId="74BA72B2" w14:textId="77777777" w:rsidR="005139C5" w:rsidRPr="002E06C4" w:rsidRDefault="005139C5" w:rsidP="00981B5B">
            <w:pPr>
              <w:jc w:val="center"/>
              <w:rPr>
                <w:rFonts w:asciiTheme="majorHAnsi" w:hAnsiTheme="majorHAnsi" w:cs="Times New Roman"/>
                <w:sz w:val="18"/>
                <w:lang w:val="sq-AL"/>
              </w:rPr>
            </w:pPr>
            <w:r w:rsidRPr="002E06C4">
              <w:rPr>
                <w:rFonts w:asciiTheme="majorHAnsi" w:hAnsiTheme="majorHAnsi" w:cs="Times New Roman"/>
                <w:sz w:val="18"/>
                <w:lang w:val="sq-AL"/>
              </w:rPr>
              <w:t>70.7%</w:t>
            </w:r>
          </w:p>
        </w:tc>
      </w:tr>
      <w:tr w:rsidR="005139C5" w:rsidRPr="002E06C4" w14:paraId="381E7FEF" w14:textId="77777777" w:rsidTr="0080499B">
        <w:trPr>
          <w:trHeight w:val="125"/>
        </w:trPr>
        <w:tc>
          <w:tcPr>
            <w:cnfStyle w:val="001000000000" w:firstRow="0" w:lastRow="0" w:firstColumn="1" w:lastColumn="0" w:oddVBand="0" w:evenVBand="0" w:oddHBand="0" w:evenHBand="0" w:firstRowFirstColumn="0" w:firstRowLastColumn="0" w:lastRowFirstColumn="0" w:lastRowLastColumn="0"/>
            <w:tcW w:w="273" w:type="pct"/>
          </w:tcPr>
          <w:p w14:paraId="36179B1F" w14:textId="77777777" w:rsidR="005139C5" w:rsidRPr="002E06C4" w:rsidRDefault="005139C5" w:rsidP="00981B5B">
            <w:pPr>
              <w:jc w:val="center"/>
              <w:rPr>
                <w:rFonts w:asciiTheme="majorHAnsi" w:hAnsiTheme="majorHAnsi" w:cs="Times New Roman"/>
                <w:b w:val="0"/>
                <w:sz w:val="18"/>
                <w:lang w:val="sq-AL"/>
              </w:rPr>
            </w:pPr>
          </w:p>
        </w:tc>
        <w:tc>
          <w:tcPr>
            <w:tcW w:w="1111" w:type="pct"/>
          </w:tcPr>
          <w:p w14:paraId="42A6C4BC" w14:textId="77777777" w:rsidR="005139C5" w:rsidRPr="002E06C4" w:rsidRDefault="005139C5" w:rsidP="00981B5B">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lang w:val="sq-AL"/>
              </w:rPr>
            </w:pPr>
            <w:r w:rsidRPr="002E06C4">
              <w:rPr>
                <w:rFonts w:asciiTheme="majorHAnsi" w:hAnsiTheme="majorHAnsi" w:cs="Times New Roman"/>
                <w:sz w:val="18"/>
                <w:lang w:val="sq-AL"/>
              </w:rPr>
              <w:t>-Financimi i huaj</w:t>
            </w:r>
          </w:p>
        </w:tc>
        <w:tc>
          <w:tcPr>
            <w:tcW w:w="602" w:type="pct"/>
          </w:tcPr>
          <w:p w14:paraId="12D63D49"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lang w:val="sq-AL"/>
              </w:rPr>
            </w:pPr>
            <w:r w:rsidRPr="002E06C4">
              <w:rPr>
                <w:rFonts w:asciiTheme="majorHAnsi" w:hAnsiTheme="majorHAnsi" w:cs="Times New Roman"/>
                <w:b/>
                <w:sz w:val="18"/>
                <w:lang w:val="sq-AL"/>
              </w:rPr>
              <w:t>-</w:t>
            </w:r>
          </w:p>
        </w:tc>
        <w:tc>
          <w:tcPr>
            <w:tcW w:w="771" w:type="pct"/>
          </w:tcPr>
          <w:p w14:paraId="3FF9DCF5"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w:t>
            </w:r>
          </w:p>
        </w:tc>
        <w:tc>
          <w:tcPr>
            <w:tcW w:w="646" w:type="pct"/>
          </w:tcPr>
          <w:p w14:paraId="6F9E68C2"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115,000</w:t>
            </w:r>
          </w:p>
        </w:tc>
        <w:tc>
          <w:tcPr>
            <w:tcW w:w="599" w:type="pct"/>
          </w:tcPr>
          <w:p w14:paraId="2B25DECD"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114,022</w:t>
            </w:r>
          </w:p>
        </w:tc>
        <w:tc>
          <w:tcPr>
            <w:tcW w:w="489" w:type="pct"/>
          </w:tcPr>
          <w:p w14:paraId="66E12FEB" w14:textId="77777777" w:rsidR="005139C5" w:rsidRPr="002E06C4" w:rsidRDefault="005139C5" w:rsidP="00981B5B">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p>
        </w:tc>
        <w:tc>
          <w:tcPr>
            <w:cnfStyle w:val="000100000000" w:firstRow="0" w:lastRow="0" w:firstColumn="0" w:lastColumn="1" w:oddVBand="0" w:evenVBand="0" w:oddHBand="0" w:evenHBand="0" w:firstRowFirstColumn="0" w:firstRowLastColumn="0" w:lastRowFirstColumn="0" w:lastRowLastColumn="0"/>
            <w:tcW w:w="509" w:type="pct"/>
          </w:tcPr>
          <w:p w14:paraId="67F83537" w14:textId="77777777" w:rsidR="005139C5" w:rsidRPr="002E06C4" w:rsidRDefault="005139C5" w:rsidP="00981B5B">
            <w:pPr>
              <w:rPr>
                <w:rFonts w:asciiTheme="majorHAnsi" w:hAnsiTheme="majorHAnsi" w:cs="Times New Roman"/>
                <w:sz w:val="18"/>
                <w:lang w:val="sq-AL"/>
              </w:rPr>
            </w:pPr>
          </w:p>
        </w:tc>
      </w:tr>
      <w:tr w:rsidR="005139C5" w:rsidRPr="002E06C4" w14:paraId="6F022ABF" w14:textId="77777777" w:rsidTr="0080499B">
        <w:trPr>
          <w:trHeight w:val="125"/>
        </w:trPr>
        <w:tc>
          <w:tcPr>
            <w:cnfStyle w:val="001000000000" w:firstRow="0" w:lastRow="0" w:firstColumn="1" w:lastColumn="0" w:oddVBand="0" w:evenVBand="0" w:oddHBand="0" w:evenHBand="0" w:firstRowFirstColumn="0" w:firstRowLastColumn="0" w:lastRowFirstColumn="0" w:lastRowLastColumn="0"/>
            <w:tcW w:w="273" w:type="pct"/>
          </w:tcPr>
          <w:p w14:paraId="051EBE75" w14:textId="77777777" w:rsidR="005139C5" w:rsidRPr="002E06C4" w:rsidRDefault="005139C5" w:rsidP="00981B5B">
            <w:pPr>
              <w:jc w:val="center"/>
              <w:rPr>
                <w:rFonts w:asciiTheme="majorHAnsi" w:hAnsiTheme="majorHAnsi" w:cs="Times New Roman"/>
                <w:sz w:val="18"/>
                <w:lang w:val="sq-AL"/>
              </w:rPr>
            </w:pPr>
            <w:r w:rsidRPr="002E06C4">
              <w:rPr>
                <w:rFonts w:asciiTheme="majorHAnsi" w:hAnsiTheme="majorHAnsi" w:cs="Times New Roman"/>
                <w:sz w:val="18"/>
                <w:lang w:val="sq-AL"/>
              </w:rPr>
              <w:t>3.</w:t>
            </w:r>
          </w:p>
        </w:tc>
        <w:tc>
          <w:tcPr>
            <w:tcW w:w="1111" w:type="pct"/>
          </w:tcPr>
          <w:p w14:paraId="077D3EB0" w14:textId="77777777" w:rsidR="005139C5" w:rsidRPr="002E06C4" w:rsidRDefault="005139C5" w:rsidP="00981B5B">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Zhvillimi i Turizmit</w:t>
            </w:r>
          </w:p>
        </w:tc>
        <w:tc>
          <w:tcPr>
            <w:tcW w:w="602" w:type="pct"/>
          </w:tcPr>
          <w:p w14:paraId="6ADA918B"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153,089</w:t>
            </w:r>
          </w:p>
        </w:tc>
        <w:tc>
          <w:tcPr>
            <w:tcW w:w="771" w:type="pct"/>
          </w:tcPr>
          <w:p w14:paraId="5E0E76C2"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186,200</w:t>
            </w:r>
          </w:p>
        </w:tc>
        <w:tc>
          <w:tcPr>
            <w:tcW w:w="646" w:type="pct"/>
          </w:tcPr>
          <w:p w14:paraId="6BEED4A7"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lang w:val="sq-AL"/>
              </w:rPr>
            </w:pPr>
            <w:r w:rsidRPr="002E06C4">
              <w:rPr>
                <w:rFonts w:asciiTheme="majorHAnsi" w:hAnsiTheme="majorHAnsi" w:cs="Times New Roman"/>
                <w:sz w:val="18"/>
                <w:lang w:val="sq-AL"/>
              </w:rPr>
              <w:t>125,118.9</w:t>
            </w:r>
          </w:p>
        </w:tc>
        <w:tc>
          <w:tcPr>
            <w:tcW w:w="599" w:type="pct"/>
          </w:tcPr>
          <w:p w14:paraId="44610540" w14:textId="77777777" w:rsidR="005139C5" w:rsidRPr="002E06C4" w:rsidRDefault="005139C5" w:rsidP="00981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78,700.7</w:t>
            </w:r>
          </w:p>
        </w:tc>
        <w:tc>
          <w:tcPr>
            <w:tcW w:w="489" w:type="pct"/>
          </w:tcPr>
          <w:p w14:paraId="59134862" w14:textId="77777777" w:rsidR="005139C5" w:rsidRPr="002E06C4" w:rsidRDefault="005139C5" w:rsidP="00981B5B">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81.7%</w:t>
            </w:r>
          </w:p>
        </w:tc>
        <w:tc>
          <w:tcPr>
            <w:cnfStyle w:val="000100000000" w:firstRow="0" w:lastRow="0" w:firstColumn="0" w:lastColumn="1" w:oddVBand="0" w:evenVBand="0" w:oddHBand="0" w:evenHBand="0" w:firstRowFirstColumn="0" w:firstRowLastColumn="0" w:lastRowFirstColumn="0" w:lastRowLastColumn="0"/>
            <w:tcW w:w="509" w:type="pct"/>
          </w:tcPr>
          <w:p w14:paraId="53CCB32A" w14:textId="77777777" w:rsidR="005139C5" w:rsidRPr="002E06C4" w:rsidRDefault="005139C5" w:rsidP="00981B5B">
            <w:pPr>
              <w:rPr>
                <w:rFonts w:asciiTheme="majorHAnsi" w:hAnsiTheme="majorHAnsi" w:cs="Times New Roman"/>
                <w:sz w:val="18"/>
                <w:lang w:val="sq-AL"/>
              </w:rPr>
            </w:pPr>
            <w:r w:rsidRPr="002E06C4">
              <w:rPr>
                <w:rFonts w:asciiTheme="majorHAnsi" w:hAnsiTheme="majorHAnsi" w:cs="Times New Roman"/>
                <w:sz w:val="18"/>
                <w:lang w:val="sq-AL"/>
              </w:rPr>
              <w:t>42.3%</w:t>
            </w:r>
          </w:p>
        </w:tc>
      </w:tr>
      <w:tr w:rsidR="005139C5" w:rsidRPr="002E06C4" w14:paraId="365F0B91" w14:textId="77777777" w:rsidTr="0080499B">
        <w:trPr>
          <w:cnfStyle w:val="010000000000" w:firstRow="0" w:lastRow="1"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73" w:type="pct"/>
          </w:tcPr>
          <w:p w14:paraId="412ECF15" w14:textId="77777777" w:rsidR="005139C5" w:rsidRPr="002E06C4" w:rsidRDefault="005139C5" w:rsidP="00981B5B">
            <w:pPr>
              <w:jc w:val="center"/>
              <w:rPr>
                <w:rFonts w:asciiTheme="majorHAnsi" w:hAnsiTheme="majorHAnsi" w:cs="Times New Roman"/>
                <w:b w:val="0"/>
                <w:sz w:val="18"/>
                <w:lang w:val="sq-AL"/>
              </w:rPr>
            </w:pPr>
          </w:p>
        </w:tc>
        <w:tc>
          <w:tcPr>
            <w:tcW w:w="1111" w:type="pct"/>
          </w:tcPr>
          <w:p w14:paraId="3BCB2F79" w14:textId="77777777" w:rsidR="005139C5" w:rsidRPr="002E06C4" w:rsidRDefault="005139C5" w:rsidP="00981B5B">
            <w:pPr>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-Financimi i huaj</w:t>
            </w:r>
          </w:p>
        </w:tc>
        <w:tc>
          <w:tcPr>
            <w:tcW w:w="602" w:type="pct"/>
          </w:tcPr>
          <w:p w14:paraId="7CE8FC6F" w14:textId="77777777" w:rsidR="005139C5" w:rsidRPr="002E06C4" w:rsidRDefault="005139C5" w:rsidP="00981B5B">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b w:val="0"/>
                <w:sz w:val="18"/>
                <w:lang w:val="sq-AL"/>
              </w:rPr>
            </w:pPr>
            <w:r w:rsidRPr="002E06C4">
              <w:rPr>
                <w:rFonts w:asciiTheme="majorHAnsi" w:hAnsiTheme="majorHAnsi" w:cs="Times New Roman"/>
                <w:b w:val="0"/>
                <w:sz w:val="18"/>
                <w:lang w:val="sq-AL"/>
              </w:rPr>
              <w:t>-</w:t>
            </w:r>
          </w:p>
        </w:tc>
        <w:tc>
          <w:tcPr>
            <w:tcW w:w="771" w:type="pct"/>
          </w:tcPr>
          <w:p w14:paraId="11293978" w14:textId="77777777" w:rsidR="005139C5" w:rsidRPr="002E06C4" w:rsidRDefault="005139C5" w:rsidP="00981B5B">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sz w:val="18"/>
                <w:lang w:val="sq-AL"/>
              </w:rPr>
            </w:pPr>
            <w:r w:rsidRPr="002E06C4">
              <w:rPr>
                <w:rFonts w:asciiTheme="majorHAnsi" w:hAnsiTheme="majorHAnsi" w:cs="Times New Roman"/>
                <w:sz w:val="18"/>
                <w:lang w:val="sq-AL"/>
              </w:rPr>
              <w:t>-</w:t>
            </w:r>
          </w:p>
        </w:tc>
        <w:tc>
          <w:tcPr>
            <w:tcW w:w="646" w:type="pct"/>
          </w:tcPr>
          <w:p w14:paraId="758E6FE8" w14:textId="77777777" w:rsidR="005139C5" w:rsidRPr="002E06C4" w:rsidRDefault="005139C5" w:rsidP="00981B5B">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b w:val="0"/>
                <w:sz w:val="18"/>
                <w:lang w:val="sq-AL"/>
              </w:rPr>
            </w:pPr>
            <w:r w:rsidRPr="002E06C4">
              <w:rPr>
                <w:rFonts w:asciiTheme="majorHAnsi" w:hAnsiTheme="majorHAnsi" w:cs="Times New Roman"/>
                <w:b w:val="0"/>
                <w:sz w:val="18"/>
                <w:lang w:val="sq-AL"/>
              </w:rPr>
              <w:t>-</w:t>
            </w:r>
          </w:p>
        </w:tc>
        <w:tc>
          <w:tcPr>
            <w:tcW w:w="599" w:type="pct"/>
          </w:tcPr>
          <w:p w14:paraId="746803C6" w14:textId="77777777" w:rsidR="005139C5" w:rsidRPr="002E06C4" w:rsidRDefault="005139C5" w:rsidP="00981B5B">
            <w:pPr>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b w:val="0"/>
                <w:sz w:val="18"/>
                <w:lang w:val="sq-AL"/>
              </w:rPr>
            </w:pPr>
            <w:r w:rsidRPr="002E06C4">
              <w:rPr>
                <w:rFonts w:asciiTheme="majorHAnsi" w:hAnsiTheme="majorHAnsi" w:cs="Times New Roman"/>
                <w:b w:val="0"/>
                <w:sz w:val="18"/>
                <w:lang w:val="sq-AL"/>
              </w:rPr>
              <w:t>-</w:t>
            </w:r>
          </w:p>
        </w:tc>
        <w:tc>
          <w:tcPr>
            <w:tcW w:w="489" w:type="pct"/>
          </w:tcPr>
          <w:p w14:paraId="5565C3BB" w14:textId="77777777" w:rsidR="005139C5" w:rsidRPr="002E06C4" w:rsidRDefault="005139C5" w:rsidP="00981B5B">
            <w:pPr>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b w:val="0"/>
                <w:sz w:val="18"/>
                <w:lang w:val="sq-AL"/>
              </w:rPr>
            </w:pPr>
          </w:p>
        </w:tc>
        <w:tc>
          <w:tcPr>
            <w:cnfStyle w:val="000100000000" w:firstRow="0" w:lastRow="0" w:firstColumn="0" w:lastColumn="1" w:oddVBand="0" w:evenVBand="0" w:oddHBand="0" w:evenHBand="0" w:firstRowFirstColumn="0" w:firstRowLastColumn="0" w:lastRowFirstColumn="0" w:lastRowLastColumn="0"/>
            <w:tcW w:w="509" w:type="pct"/>
          </w:tcPr>
          <w:p w14:paraId="3C12C010" w14:textId="77777777" w:rsidR="005139C5" w:rsidRPr="002E06C4" w:rsidRDefault="005139C5" w:rsidP="00981B5B">
            <w:pPr>
              <w:rPr>
                <w:rFonts w:asciiTheme="majorHAnsi" w:hAnsiTheme="majorHAnsi" w:cs="Times New Roman"/>
                <w:b w:val="0"/>
                <w:sz w:val="18"/>
                <w:lang w:val="sq-AL"/>
              </w:rPr>
            </w:pPr>
          </w:p>
        </w:tc>
      </w:tr>
    </w:tbl>
    <w:p w14:paraId="774B86C6" w14:textId="77777777" w:rsidR="005139C5" w:rsidRPr="002E06C4" w:rsidRDefault="005139C5" w:rsidP="005139C5">
      <w:pPr>
        <w:spacing w:line="276" w:lineRule="auto"/>
        <w:rPr>
          <w:rFonts w:asciiTheme="majorHAnsi" w:hAnsiTheme="majorHAnsi" w:cs="Times New Roman"/>
          <w:b/>
          <w:lang w:val="sq-AL"/>
        </w:rPr>
      </w:pPr>
    </w:p>
    <w:p w14:paraId="277E569D" w14:textId="77777777" w:rsidR="005139C5" w:rsidRPr="002E06C4" w:rsidRDefault="005139C5" w:rsidP="005139C5">
      <w:pPr>
        <w:spacing w:line="276" w:lineRule="auto"/>
        <w:rPr>
          <w:rFonts w:asciiTheme="majorHAnsi" w:hAnsiTheme="majorHAnsi" w:cs="Times New Roman"/>
          <w:lang w:val="sq-AL"/>
        </w:rPr>
      </w:pPr>
      <w:r w:rsidRPr="002E06C4">
        <w:rPr>
          <w:rFonts w:asciiTheme="majorHAnsi" w:hAnsiTheme="majorHAnsi" w:cs="Times New Roman"/>
          <w:b/>
          <w:lang w:val="sq-AL"/>
        </w:rPr>
        <w:t>Në programin “Mbrojtja e Mjedisit</w:t>
      </w:r>
      <w:r w:rsidRPr="002E06C4">
        <w:rPr>
          <w:rFonts w:asciiTheme="majorHAnsi" w:hAnsiTheme="majorHAnsi" w:cs="Times New Roman"/>
          <w:lang w:val="sq-AL"/>
        </w:rPr>
        <w:t xml:space="preserve">” janë realizuar objektivat e politikës së programit, të cilat specifikisht kanë të bëjnë me:  </w:t>
      </w:r>
    </w:p>
    <w:p w14:paraId="34CD821A" w14:textId="77777777" w:rsidR="005139C5" w:rsidRPr="002E06C4" w:rsidRDefault="005139C5" w:rsidP="00981B5B">
      <w:pPr>
        <w:numPr>
          <w:ilvl w:val="0"/>
          <w:numId w:val="35"/>
        </w:numPr>
        <w:spacing w:line="276" w:lineRule="auto"/>
        <w:ind w:left="540"/>
        <w:jc w:val="both"/>
        <w:rPr>
          <w:rFonts w:asciiTheme="majorHAnsi" w:hAnsiTheme="majorHAnsi" w:cs="Times New Roman"/>
          <w:b/>
          <w:lang w:val="sq-AL"/>
        </w:rPr>
      </w:pPr>
      <w:r w:rsidRPr="002E06C4">
        <w:rPr>
          <w:rFonts w:asciiTheme="majorHAnsi" w:hAnsiTheme="majorHAnsi" w:cs="Times New Roman"/>
          <w:lang w:val="sq-AL"/>
        </w:rPr>
        <w:t xml:space="preserve">Hartimin e legjislacionit për transpozimin të acquis së mjedisit dhe acquis së ndryshimeve klimatike sipas planifikimit në PKIE, i cili është ralizuar plotësisht nëpërmjet draftimit të 2 strategjive dhe 4 plane veprimi. </w:t>
      </w:r>
    </w:p>
    <w:p w14:paraId="4B04FAB5" w14:textId="77777777" w:rsidR="005139C5" w:rsidRPr="002E06C4" w:rsidRDefault="005139C5" w:rsidP="00981B5B">
      <w:pPr>
        <w:numPr>
          <w:ilvl w:val="0"/>
          <w:numId w:val="35"/>
        </w:numPr>
        <w:spacing w:line="276" w:lineRule="auto"/>
        <w:ind w:left="540"/>
        <w:jc w:val="both"/>
        <w:rPr>
          <w:rFonts w:asciiTheme="majorHAnsi" w:hAnsiTheme="majorHAnsi" w:cs="Times New Roman"/>
          <w:b/>
          <w:lang w:val="sq-AL"/>
        </w:rPr>
      </w:pPr>
      <w:r w:rsidRPr="002E06C4">
        <w:rPr>
          <w:rFonts w:asciiTheme="majorHAnsi" w:hAnsiTheme="majorHAnsi" w:cs="Times New Roman"/>
          <w:lang w:val="sq-AL"/>
        </w:rPr>
        <w:t>Zbatimin e legjislacionit që lidhet me :</w:t>
      </w:r>
    </w:p>
    <w:p w14:paraId="1912D4BD" w14:textId="77777777" w:rsidR="005139C5" w:rsidRPr="002E06C4" w:rsidRDefault="005139C5" w:rsidP="00981B5B">
      <w:pPr>
        <w:numPr>
          <w:ilvl w:val="1"/>
          <w:numId w:val="35"/>
        </w:numPr>
        <w:spacing w:line="276" w:lineRule="auto"/>
        <w:ind w:left="1080"/>
        <w:jc w:val="both"/>
        <w:rPr>
          <w:rFonts w:asciiTheme="majorHAnsi" w:hAnsiTheme="majorHAnsi" w:cs="Times New Roman"/>
          <w:b/>
          <w:lang w:val="sq-AL"/>
        </w:rPr>
      </w:pPr>
      <w:r w:rsidRPr="002E06C4">
        <w:rPr>
          <w:rFonts w:asciiTheme="majorHAnsi" w:hAnsiTheme="majorHAnsi" w:cs="Times New Roman"/>
          <w:lang w:val="sq-AL"/>
        </w:rPr>
        <w:t>Monitorimin e mjedisit nga stafi i Agjencisë Kombëtare të Mjedisit për fushën e cilësisë së ajrit, zhurmave, cilësisë së ujërave, mbetjeve, biodiversitetit.</w:t>
      </w:r>
    </w:p>
    <w:p w14:paraId="0278081E" w14:textId="77777777" w:rsidR="005139C5" w:rsidRPr="002E06C4" w:rsidRDefault="005139C5" w:rsidP="00981B5B">
      <w:pPr>
        <w:numPr>
          <w:ilvl w:val="1"/>
          <w:numId w:val="35"/>
        </w:numPr>
        <w:spacing w:line="276" w:lineRule="auto"/>
        <w:ind w:left="1080"/>
        <w:jc w:val="both"/>
        <w:rPr>
          <w:rFonts w:asciiTheme="majorHAnsi" w:hAnsiTheme="majorHAnsi" w:cs="Times New Roman"/>
          <w:b/>
          <w:lang w:val="sq-AL"/>
        </w:rPr>
      </w:pPr>
      <w:r w:rsidRPr="002E06C4">
        <w:rPr>
          <w:rFonts w:asciiTheme="majorHAnsi" w:hAnsiTheme="majorHAnsi" w:cs="Times New Roman"/>
          <w:lang w:val="sq-AL"/>
        </w:rPr>
        <w:t>Shyqrtimin dhe miratimin e Raporteve të Vlerësimit të Ndikimit në mjedis dhe lejeve mjedisore.</w:t>
      </w:r>
    </w:p>
    <w:p w14:paraId="51DC15E1" w14:textId="77777777" w:rsidR="005139C5" w:rsidRPr="002E06C4" w:rsidRDefault="005139C5" w:rsidP="006C0253">
      <w:pPr>
        <w:numPr>
          <w:ilvl w:val="0"/>
          <w:numId w:val="35"/>
        </w:numPr>
        <w:spacing w:line="276" w:lineRule="auto"/>
        <w:jc w:val="both"/>
        <w:rPr>
          <w:rFonts w:asciiTheme="majorHAnsi" w:hAnsiTheme="majorHAnsi" w:cs="Times New Roman"/>
          <w:lang w:val="sq-AL"/>
        </w:rPr>
      </w:pPr>
      <w:r w:rsidRPr="002E06C4">
        <w:rPr>
          <w:rFonts w:asciiTheme="majorHAnsi" w:hAnsiTheme="majorHAnsi" w:cs="Times New Roman"/>
          <w:lang w:val="sq-AL"/>
        </w:rPr>
        <w:t>Inspektime kontrolli për aktivitetet industriale dhe veprimtari prodhuese, lidhur me shkarkimet në ajër, menaxhimin e mbetjeve industriale dhe urbane si dhe zhurmave.</w:t>
      </w:r>
    </w:p>
    <w:p w14:paraId="03402E50" w14:textId="77777777" w:rsidR="005139C5" w:rsidRPr="002E06C4" w:rsidRDefault="005139C5" w:rsidP="0044331B">
      <w:pPr>
        <w:spacing w:line="276" w:lineRule="auto"/>
        <w:jc w:val="both"/>
        <w:rPr>
          <w:rFonts w:asciiTheme="majorHAnsi" w:hAnsiTheme="majorHAnsi" w:cs="Times New Roman"/>
          <w:lang w:val="sq-AL"/>
        </w:rPr>
      </w:pPr>
      <w:r w:rsidRPr="002E06C4">
        <w:rPr>
          <w:rFonts w:asciiTheme="majorHAnsi" w:hAnsiTheme="majorHAnsi" w:cs="Times New Roman"/>
          <w:lang w:val="sq-AL"/>
        </w:rPr>
        <w:lastRenderedPageBreak/>
        <w:t>Këto objektiva janë realizuar nëpërmjet realizimit të produkteve si më poshtë:</w:t>
      </w:r>
    </w:p>
    <w:p w14:paraId="503D67D0" w14:textId="77777777" w:rsidR="005139C5" w:rsidRPr="002E06C4" w:rsidRDefault="005139C5" w:rsidP="006C0253">
      <w:pPr>
        <w:numPr>
          <w:ilvl w:val="0"/>
          <w:numId w:val="24"/>
        </w:numPr>
        <w:spacing w:line="276" w:lineRule="auto"/>
        <w:jc w:val="both"/>
        <w:rPr>
          <w:rFonts w:asciiTheme="majorHAnsi" w:hAnsiTheme="majorHAnsi" w:cs="Times New Roman"/>
          <w:lang w:val="sq-AL"/>
        </w:rPr>
      </w:pPr>
      <w:r w:rsidRPr="002E06C4">
        <w:rPr>
          <w:rFonts w:asciiTheme="majorHAnsi" w:hAnsiTheme="majorHAnsi" w:cs="Times New Roman"/>
          <w:lang w:val="sq-AL"/>
        </w:rPr>
        <w:t>Teknologji të aplikuara për përdorimin e bip-energjisë në industrinë e përpunimit të vajit të ullirit.</w:t>
      </w:r>
    </w:p>
    <w:p w14:paraId="5EC46B9B" w14:textId="77777777" w:rsidR="005139C5" w:rsidRPr="002E06C4" w:rsidRDefault="005139C5" w:rsidP="006C0253">
      <w:pPr>
        <w:numPr>
          <w:ilvl w:val="0"/>
          <w:numId w:val="24"/>
        </w:numPr>
        <w:spacing w:line="276" w:lineRule="auto"/>
        <w:jc w:val="both"/>
        <w:rPr>
          <w:rFonts w:asciiTheme="majorHAnsi" w:hAnsiTheme="majorHAnsi" w:cs="Times New Roman"/>
          <w:lang w:val="sq-AL"/>
        </w:rPr>
      </w:pPr>
      <w:r w:rsidRPr="002E06C4">
        <w:rPr>
          <w:rFonts w:asciiTheme="majorHAnsi" w:hAnsiTheme="majorHAnsi" w:cs="Times New Roman"/>
          <w:lang w:val="sq-AL"/>
        </w:rPr>
        <w:t>Qendra vizitorësh të zonave të mbrojtura dhe informacione të ngritura e të ristrukturuara.</w:t>
      </w:r>
    </w:p>
    <w:p w14:paraId="3061105F" w14:textId="77777777" w:rsidR="005139C5" w:rsidRPr="002E06C4" w:rsidRDefault="005139C5" w:rsidP="006C0253">
      <w:pPr>
        <w:numPr>
          <w:ilvl w:val="0"/>
          <w:numId w:val="24"/>
        </w:numPr>
        <w:spacing w:line="276" w:lineRule="auto"/>
        <w:jc w:val="both"/>
        <w:rPr>
          <w:rFonts w:asciiTheme="majorHAnsi" w:hAnsiTheme="majorHAnsi" w:cs="Times New Roman"/>
          <w:lang w:val="sq-AL"/>
        </w:rPr>
      </w:pPr>
      <w:r w:rsidRPr="002E06C4">
        <w:rPr>
          <w:rFonts w:asciiTheme="majorHAnsi" w:hAnsiTheme="majorHAnsi" w:cs="Times New Roman"/>
          <w:lang w:val="sq-AL"/>
        </w:rPr>
        <w:t>Inventari kombëtar i ligatinave dhe pasurive të tyre natyrore.</w:t>
      </w:r>
    </w:p>
    <w:p w14:paraId="16BDD80B" w14:textId="77777777" w:rsidR="005139C5" w:rsidRPr="002E06C4" w:rsidRDefault="005139C5" w:rsidP="006C0253">
      <w:pPr>
        <w:numPr>
          <w:ilvl w:val="0"/>
          <w:numId w:val="24"/>
        </w:numPr>
        <w:spacing w:line="276" w:lineRule="auto"/>
        <w:jc w:val="both"/>
        <w:rPr>
          <w:rFonts w:asciiTheme="majorHAnsi" w:hAnsiTheme="majorHAnsi" w:cs="Times New Roman"/>
          <w:lang w:val="sq-AL"/>
        </w:rPr>
      </w:pPr>
      <w:r w:rsidRPr="002E06C4">
        <w:rPr>
          <w:rFonts w:asciiTheme="majorHAnsi" w:hAnsiTheme="majorHAnsi" w:cs="Times New Roman"/>
          <w:lang w:val="sq-AL"/>
        </w:rPr>
        <w:t>Paketa turistike në dispozicion për një zhvillim të qendrueshëm të burimeve natyrore dhe turizmit.</w:t>
      </w:r>
    </w:p>
    <w:p w14:paraId="0C15D512" w14:textId="77777777" w:rsidR="005139C5" w:rsidRPr="002E06C4" w:rsidRDefault="005139C5" w:rsidP="006C0253">
      <w:pPr>
        <w:numPr>
          <w:ilvl w:val="0"/>
          <w:numId w:val="24"/>
        </w:numPr>
        <w:spacing w:line="276" w:lineRule="auto"/>
        <w:jc w:val="both"/>
        <w:rPr>
          <w:rFonts w:asciiTheme="majorHAnsi" w:hAnsiTheme="majorHAnsi" w:cs="Times New Roman"/>
          <w:lang w:val="sq-AL"/>
        </w:rPr>
      </w:pPr>
      <w:r w:rsidRPr="002E06C4">
        <w:rPr>
          <w:rFonts w:asciiTheme="majorHAnsi" w:hAnsiTheme="majorHAnsi" w:cs="Times New Roman"/>
          <w:lang w:val="sq-AL"/>
        </w:rPr>
        <w:t>Hartë e përgatitur për burimet e mbetjeve të ngurta për prodhuesit industrialë (SËAN)</w:t>
      </w:r>
    </w:p>
    <w:p w14:paraId="3C9BDA6C" w14:textId="77777777" w:rsidR="005139C5" w:rsidRPr="002E06C4" w:rsidRDefault="005139C5" w:rsidP="006C0253">
      <w:pPr>
        <w:numPr>
          <w:ilvl w:val="0"/>
          <w:numId w:val="24"/>
        </w:numPr>
        <w:spacing w:line="276" w:lineRule="auto"/>
        <w:jc w:val="both"/>
        <w:rPr>
          <w:rFonts w:asciiTheme="majorHAnsi" w:hAnsiTheme="majorHAnsi" w:cs="Times New Roman"/>
          <w:lang w:val="sq-AL"/>
        </w:rPr>
      </w:pPr>
      <w:r w:rsidRPr="002E06C4">
        <w:rPr>
          <w:rFonts w:asciiTheme="majorHAnsi" w:hAnsiTheme="majorHAnsi" w:cs="Times New Roman"/>
          <w:lang w:val="sq-AL"/>
        </w:rPr>
        <w:t>Trupa ndërkufitarë të ngritur për menaxhimin e qendrueshëm të biodiversitetit, habitateve dhe ekosistemeve në 3 zona detare dhe bregdetare Blue Land.</w:t>
      </w:r>
    </w:p>
    <w:p w14:paraId="421734A1" w14:textId="77777777" w:rsidR="005139C5" w:rsidRPr="002E06C4" w:rsidRDefault="005139C5" w:rsidP="0044331B">
      <w:pPr>
        <w:spacing w:line="276" w:lineRule="auto"/>
        <w:jc w:val="both"/>
        <w:rPr>
          <w:rFonts w:asciiTheme="majorHAnsi" w:hAnsiTheme="majorHAnsi" w:cs="Times New Roman"/>
          <w:b/>
          <w:sz w:val="12"/>
          <w:szCs w:val="12"/>
          <w:lang w:val="sq-AL"/>
        </w:rPr>
      </w:pPr>
    </w:p>
    <w:p w14:paraId="0F4AE4B3" w14:textId="77777777" w:rsidR="005139C5" w:rsidRPr="002E06C4" w:rsidRDefault="005139C5" w:rsidP="0044331B">
      <w:pPr>
        <w:spacing w:line="276" w:lineRule="auto"/>
        <w:jc w:val="both"/>
        <w:rPr>
          <w:rFonts w:asciiTheme="majorHAnsi" w:hAnsiTheme="majorHAnsi" w:cs="Times New Roman"/>
          <w:lang w:val="sq-AL"/>
        </w:rPr>
      </w:pPr>
      <w:r w:rsidRPr="002E06C4">
        <w:rPr>
          <w:rFonts w:asciiTheme="majorHAnsi" w:hAnsiTheme="majorHAnsi" w:cs="Times New Roman"/>
          <w:b/>
          <w:lang w:val="sq-AL"/>
        </w:rPr>
        <w:t>Në programin “Administrimi i Pyjeve</w:t>
      </w:r>
      <w:r w:rsidRPr="002E06C4">
        <w:rPr>
          <w:rFonts w:asciiTheme="majorHAnsi" w:hAnsiTheme="majorHAnsi" w:cs="Times New Roman"/>
          <w:lang w:val="sq-AL"/>
        </w:rPr>
        <w:t>” janë hartuar dhe zbatuar politika lidhur me:</w:t>
      </w:r>
    </w:p>
    <w:p w14:paraId="47346332" w14:textId="77777777" w:rsidR="005139C5" w:rsidRPr="002E06C4" w:rsidRDefault="005139C5" w:rsidP="006C0253">
      <w:pPr>
        <w:numPr>
          <w:ilvl w:val="0"/>
          <w:numId w:val="35"/>
        </w:num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Menaxhimin e qendrueshëm të pyjeve dhe kullotave, </w:t>
      </w:r>
    </w:p>
    <w:p w14:paraId="3FCE4989" w14:textId="77777777" w:rsidR="005139C5" w:rsidRPr="002E06C4" w:rsidRDefault="005139C5" w:rsidP="006C0253">
      <w:pPr>
        <w:numPr>
          <w:ilvl w:val="0"/>
          <w:numId w:val="35"/>
        </w:num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Zhvillimin e një ekonomie të gjelbër, </w:t>
      </w:r>
    </w:p>
    <w:p w14:paraId="67E7D479" w14:textId="77777777" w:rsidR="005139C5" w:rsidRPr="002E06C4" w:rsidRDefault="005139C5" w:rsidP="006C0253">
      <w:pPr>
        <w:numPr>
          <w:ilvl w:val="0"/>
          <w:numId w:val="35"/>
        </w:num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Koordinimin në nivel qendror, rajonal dhe lokal të praktikave më të mira në fondin pyjor dhe kullosor, efiçiente nga pikpamja ekonomike, miqësore me mjedisin dhe të pranuara nga shoqëria. </w:t>
      </w:r>
    </w:p>
    <w:p w14:paraId="43CF1FA4" w14:textId="77777777" w:rsidR="005139C5" w:rsidRPr="002E06C4" w:rsidRDefault="005139C5" w:rsidP="006C0253">
      <w:pPr>
        <w:numPr>
          <w:ilvl w:val="0"/>
          <w:numId w:val="35"/>
        </w:numPr>
        <w:spacing w:line="276" w:lineRule="auto"/>
        <w:jc w:val="both"/>
        <w:rPr>
          <w:rFonts w:asciiTheme="majorHAnsi" w:hAnsiTheme="majorHAnsi" w:cs="Times New Roman"/>
          <w:lang w:val="sq-AL"/>
        </w:rPr>
      </w:pPr>
      <w:r w:rsidRPr="002E06C4">
        <w:rPr>
          <w:rFonts w:asciiTheme="majorHAnsi" w:hAnsiTheme="majorHAnsi" w:cs="Times New Roman"/>
          <w:lang w:val="sq-AL"/>
        </w:rPr>
        <w:t>Automatizimi i bazës së të dhënave për rregjistrin pyjor dhe digjitalizimi i hartave, mbështetjen e kërkimit, zhvillimit teknologjik e inovacioneve në pyje, dhënia e shërbimit këshillimor dhe aftësimin e kapaciteteve të personelit pyjor dhe administrativ lokal, harmonizimi ligjor e nënligjor, bashkëpunimi institucional me struktura të tjera të interesuara për menaxhimin e qëndrueshëm e ruajtjen e biodiversitetit.</w:t>
      </w:r>
    </w:p>
    <w:p w14:paraId="7BFDAFD0" w14:textId="77777777" w:rsidR="0080499B" w:rsidRPr="002E06C4" w:rsidRDefault="0080499B" w:rsidP="0044331B">
      <w:pPr>
        <w:spacing w:line="276" w:lineRule="auto"/>
        <w:jc w:val="both"/>
        <w:rPr>
          <w:rFonts w:asciiTheme="majorHAnsi" w:hAnsiTheme="majorHAnsi" w:cs="Times New Roman"/>
          <w:b/>
          <w:sz w:val="12"/>
          <w:szCs w:val="12"/>
          <w:lang w:val="sq-AL"/>
        </w:rPr>
      </w:pPr>
    </w:p>
    <w:p w14:paraId="4E4ECB94" w14:textId="77777777" w:rsidR="005139C5" w:rsidRPr="002E06C4" w:rsidRDefault="005139C5" w:rsidP="0044331B">
      <w:pPr>
        <w:spacing w:line="276" w:lineRule="auto"/>
        <w:jc w:val="both"/>
        <w:rPr>
          <w:rFonts w:asciiTheme="majorHAnsi" w:hAnsiTheme="majorHAnsi" w:cs="Times New Roman"/>
          <w:lang w:val="sq-AL"/>
        </w:rPr>
      </w:pPr>
      <w:r w:rsidRPr="002E06C4">
        <w:rPr>
          <w:rFonts w:asciiTheme="majorHAnsi" w:hAnsiTheme="majorHAnsi" w:cs="Times New Roman"/>
          <w:b/>
          <w:lang w:val="sq-AL"/>
        </w:rPr>
        <w:t>Në programin “Zhvillimi i Turizmit</w:t>
      </w:r>
      <w:r w:rsidRPr="002E06C4">
        <w:rPr>
          <w:rFonts w:asciiTheme="majorHAnsi" w:hAnsiTheme="majorHAnsi" w:cs="Times New Roman"/>
          <w:lang w:val="sq-AL"/>
        </w:rPr>
        <w:t>” është realizuar objektivi lidhur me Diversifikimin e ofertës turistike duke synuar praninë e turistëve gjatë gjithë vitit, kjo nëpërmjet:</w:t>
      </w:r>
    </w:p>
    <w:p w14:paraId="3FE4C0E9" w14:textId="77777777" w:rsidR="005139C5" w:rsidRPr="002E06C4" w:rsidRDefault="005139C5" w:rsidP="006C0253">
      <w:pPr>
        <w:numPr>
          <w:ilvl w:val="0"/>
          <w:numId w:val="35"/>
        </w:numPr>
        <w:spacing w:line="276" w:lineRule="auto"/>
        <w:jc w:val="both"/>
        <w:rPr>
          <w:rFonts w:asciiTheme="majorHAnsi" w:hAnsiTheme="majorHAnsi" w:cs="Times New Roman"/>
          <w:lang w:val="sq-AL"/>
        </w:rPr>
      </w:pPr>
      <w:r w:rsidRPr="002E06C4">
        <w:rPr>
          <w:rFonts w:asciiTheme="majorHAnsi" w:hAnsiTheme="majorHAnsi" w:cs="Times New Roman"/>
          <w:lang w:val="sq-AL"/>
        </w:rPr>
        <w:t>Kryerjes së monitorimeve të vijës bregdetare për evidentimin e zhvillimeve më të fundit duke nisur nga çështjet e ndërtimeve të reja, ndotjet mjedisore, përdorimin e hapësirave publike, kriteret për stacion plazhi.</w:t>
      </w:r>
    </w:p>
    <w:p w14:paraId="45C983CF" w14:textId="77777777" w:rsidR="005139C5" w:rsidRPr="002E06C4" w:rsidRDefault="005139C5" w:rsidP="006C0253">
      <w:pPr>
        <w:numPr>
          <w:ilvl w:val="0"/>
          <w:numId w:val="35"/>
        </w:numPr>
        <w:spacing w:line="276" w:lineRule="auto"/>
        <w:jc w:val="both"/>
        <w:rPr>
          <w:rFonts w:asciiTheme="majorHAnsi" w:hAnsiTheme="majorHAnsi" w:cs="Times New Roman"/>
          <w:lang w:val="sq-AL"/>
        </w:rPr>
      </w:pPr>
      <w:r w:rsidRPr="002E06C4">
        <w:rPr>
          <w:rFonts w:asciiTheme="majorHAnsi" w:hAnsiTheme="majorHAnsi" w:cs="Times New Roman"/>
          <w:lang w:val="sq-AL"/>
        </w:rPr>
        <w:t>Sigurimi i pjesëmarrjes në panaire ndërkombëtare, si dhe organizmi i aktiviteteve të tjera promovuese si udhëtime familjarizuese dhe Press Tripe.</w:t>
      </w:r>
    </w:p>
    <w:p w14:paraId="5ED27BE2" w14:textId="77777777" w:rsidR="005139C5" w:rsidRDefault="005139C5" w:rsidP="006C0253">
      <w:pPr>
        <w:numPr>
          <w:ilvl w:val="0"/>
          <w:numId w:val="35"/>
        </w:numPr>
        <w:spacing w:line="276" w:lineRule="auto"/>
        <w:jc w:val="both"/>
        <w:rPr>
          <w:rFonts w:asciiTheme="majorHAnsi" w:hAnsiTheme="majorHAnsi" w:cs="Times New Roman"/>
          <w:lang w:val="sq-AL"/>
        </w:rPr>
      </w:pPr>
      <w:r w:rsidRPr="002E06C4">
        <w:rPr>
          <w:rFonts w:asciiTheme="majorHAnsi" w:hAnsiTheme="majorHAnsi" w:cs="Times New Roman"/>
          <w:lang w:val="sq-AL"/>
        </w:rPr>
        <w:t>Hartimi i  akteve nënligjore.</w:t>
      </w:r>
    </w:p>
    <w:p w14:paraId="4BE76538" w14:textId="77777777" w:rsidR="00981B5B" w:rsidRDefault="00981B5B" w:rsidP="00981B5B">
      <w:pPr>
        <w:spacing w:line="276" w:lineRule="auto"/>
        <w:ind w:left="1080"/>
        <w:jc w:val="both"/>
        <w:rPr>
          <w:rFonts w:asciiTheme="majorHAnsi" w:hAnsiTheme="majorHAnsi" w:cs="Times New Roman"/>
          <w:lang w:val="sq-AL"/>
        </w:rPr>
      </w:pPr>
    </w:p>
    <w:p w14:paraId="0722E033" w14:textId="77777777" w:rsidR="00981B5B" w:rsidRDefault="00981B5B" w:rsidP="00981B5B">
      <w:pPr>
        <w:spacing w:line="276" w:lineRule="auto"/>
        <w:ind w:left="1080"/>
        <w:jc w:val="both"/>
        <w:rPr>
          <w:rFonts w:asciiTheme="majorHAnsi" w:hAnsiTheme="majorHAnsi" w:cs="Times New Roman"/>
          <w:lang w:val="sq-AL"/>
        </w:rPr>
      </w:pPr>
    </w:p>
    <w:p w14:paraId="5FFFC99C" w14:textId="77777777" w:rsidR="00981B5B" w:rsidRDefault="00981B5B" w:rsidP="00981B5B">
      <w:pPr>
        <w:spacing w:line="276" w:lineRule="auto"/>
        <w:ind w:left="1080"/>
        <w:jc w:val="both"/>
        <w:rPr>
          <w:rFonts w:asciiTheme="majorHAnsi" w:hAnsiTheme="majorHAnsi" w:cs="Times New Roman"/>
          <w:lang w:val="sq-AL"/>
        </w:rPr>
      </w:pPr>
    </w:p>
    <w:p w14:paraId="72E651A4" w14:textId="77777777" w:rsidR="00981B5B" w:rsidRDefault="00981B5B" w:rsidP="00981B5B">
      <w:pPr>
        <w:spacing w:line="276" w:lineRule="auto"/>
        <w:ind w:left="1080"/>
        <w:jc w:val="both"/>
        <w:rPr>
          <w:rFonts w:asciiTheme="majorHAnsi" w:hAnsiTheme="majorHAnsi" w:cs="Times New Roman"/>
          <w:lang w:val="sq-AL"/>
        </w:rPr>
      </w:pPr>
    </w:p>
    <w:p w14:paraId="08D6F6F8" w14:textId="77777777" w:rsidR="00981B5B" w:rsidRDefault="00981B5B" w:rsidP="00981B5B">
      <w:pPr>
        <w:spacing w:line="276" w:lineRule="auto"/>
        <w:ind w:left="1080"/>
        <w:jc w:val="both"/>
        <w:rPr>
          <w:rFonts w:asciiTheme="majorHAnsi" w:hAnsiTheme="majorHAnsi" w:cs="Times New Roman"/>
          <w:lang w:val="sq-AL"/>
        </w:rPr>
      </w:pPr>
    </w:p>
    <w:p w14:paraId="39CD3B45" w14:textId="77777777" w:rsidR="00981B5B" w:rsidRDefault="00981B5B" w:rsidP="00981B5B">
      <w:pPr>
        <w:spacing w:line="276" w:lineRule="auto"/>
        <w:ind w:left="1080"/>
        <w:jc w:val="both"/>
        <w:rPr>
          <w:rFonts w:asciiTheme="majorHAnsi" w:hAnsiTheme="majorHAnsi" w:cs="Times New Roman"/>
          <w:lang w:val="sq-AL"/>
        </w:rPr>
      </w:pPr>
    </w:p>
    <w:p w14:paraId="1167A23B" w14:textId="77777777" w:rsidR="00981B5B" w:rsidRDefault="00981B5B" w:rsidP="00981B5B">
      <w:pPr>
        <w:spacing w:line="276" w:lineRule="auto"/>
        <w:ind w:left="1080"/>
        <w:jc w:val="both"/>
        <w:rPr>
          <w:rFonts w:asciiTheme="majorHAnsi" w:hAnsiTheme="majorHAnsi" w:cs="Times New Roman"/>
          <w:lang w:val="sq-AL"/>
        </w:rPr>
      </w:pPr>
    </w:p>
    <w:p w14:paraId="4FC774F1" w14:textId="77777777" w:rsidR="00981B5B" w:rsidRPr="002E06C4" w:rsidRDefault="00981B5B" w:rsidP="00981B5B">
      <w:pPr>
        <w:spacing w:line="276" w:lineRule="auto"/>
        <w:ind w:left="1080"/>
        <w:jc w:val="both"/>
        <w:rPr>
          <w:rFonts w:asciiTheme="majorHAnsi" w:hAnsiTheme="majorHAnsi" w:cs="Times New Roman"/>
          <w:lang w:val="sq-AL"/>
        </w:rPr>
      </w:pPr>
    </w:p>
    <w:p w14:paraId="31DE34A4" w14:textId="77777777" w:rsidR="005139C5" w:rsidRPr="002E06C4" w:rsidRDefault="005139C5" w:rsidP="005139C5">
      <w:pPr>
        <w:jc w:val="both"/>
        <w:rPr>
          <w:rFonts w:asciiTheme="majorHAnsi" w:hAnsiTheme="majorHAnsi" w:cs="Times New Roman"/>
          <w:b/>
          <w:i/>
          <w:color w:val="0070C0"/>
          <w:sz w:val="26"/>
          <w:szCs w:val="26"/>
          <w:u w:val="single"/>
          <w:lang w:val="sq-AL"/>
        </w:rPr>
      </w:pPr>
    </w:p>
    <w:p w14:paraId="3496516B" w14:textId="77777777" w:rsidR="005139C5" w:rsidRPr="002E06C4" w:rsidRDefault="005139C5" w:rsidP="005139C5">
      <w:pPr>
        <w:pStyle w:val="Heading3"/>
        <w:numPr>
          <w:ilvl w:val="2"/>
          <w:numId w:val="4"/>
        </w:numPr>
        <w:spacing w:after="240"/>
        <w:rPr>
          <w:rFonts w:cs="Times New Roman"/>
          <w:b/>
          <w:lang w:val="sq-AL"/>
        </w:rPr>
      </w:pPr>
      <w:bookmarkStart w:id="161" w:name="_Toc10033302"/>
      <w:bookmarkStart w:id="162" w:name="_Toc10721438"/>
      <w:bookmarkStart w:id="163" w:name="_Toc11134230"/>
      <w:r w:rsidRPr="002E06C4">
        <w:rPr>
          <w:rFonts w:cs="Times New Roman"/>
          <w:b/>
          <w:lang w:val="sq-AL"/>
        </w:rPr>
        <w:lastRenderedPageBreak/>
        <w:t>Drejtësia</w:t>
      </w:r>
      <w:bookmarkEnd w:id="161"/>
      <w:bookmarkEnd w:id="162"/>
      <w:bookmarkEnd w:id="163"/>
    </w:p>
    <w:p w14:paraId="05BE478C" w14:textId="77777777" w:rsidR="005139C5" w:rsidRPr="002E06C4" w:rsidRDefault="005139C5" w:rsidP="005139C5">
      <w:pPr>
        <w:spacing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Performanca e treguesve buxhetorë për tetë programet kryesore në Ministrinë Drejtësisë, paraqitet si më poshtë:</w:t>
      </w:r>
    </w:p>
    <w:p w14:paraId="6FCB78E2" w14:textId="77777777" w:rsidR="005139C5" w:rsidRPr="002E06C4" w:rsidRDefault="005139C5" w:rsidP="005139C5">
      <w:pPr>
        <w:spacing w:line="276" w:lineRule="auto"/>
        <w:jc w:val="both"/>
        <w:rPr>
          <w:rFonts w:asciiTheme="majorHAnsi" w:hAnsiTheme="majorHAnsi" w:cs="Times New Roman"/>
          <w:color w:val="000000"/>
          <w:sz w:val="12"/>
          <w:szCs w:val="12"/>
          <w:lang w:val="sq-AL"/>
        </w:rPr>
      </w:pPr>
    </w:p>
    <w:p w14:paraId="6BE96AB0" w14:textId="77777777" w:rsidR="006D577E" w:rsidRDefault="006D577E" w:rsidP="006D577E">
      <w:pPr>
        <w:pStyle w:val="Caption"/>
        <w:spacing w:after="0"/>
        <w:rPr>
          <w:rFonts w:asciiTheme="majorHAnsi" w:hAnsiTheme="majorHAnsi" w:cs="Times New Roman"/>
          <w:color w:val="000000"/>
          <w:sz w:val="20"/>
          <w:u w:val="single"/>
          <w:lang w:val="sq-AL"/>
        </w:rPr>
      </w:pPr>
      <w:bookmarkStart w:id="164" w:name="_Toc11135132"/>
      <w:r>
        <w:t xml:space="preserve">Tabela </w:t>
      </w:r>
      <w:r w:rsidR="003D3813">
        <w:fldChar w:fldCharType="begin"/>
      </w:r>
      <w:r w:rsidR="003D3813">
        <w:instrText xml:space="preserve"> SEQ Tabela \* ARABIC </w:instrText>
      </w:r>
      <w:r w:rsidR="003D3813">
        <w:fldChar w:fldCharType="separate"/>
      </w:r>
      <w:r w:rsidR="006A57F3">
        <w:rPr>
          <w:noProof/>
        </w:rPr>
        <w:t>18</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Realizimi i buxhetit 2018 për Ministrinë e Drejtësisë</w:t>
      </w:r>
      <w:bookmarkEnd w:id="164"/>
      <w:r w:rsidRPr="002E06C4">
        <w:rPr>
          <w:rFonts w:asciiTheme="majorHAnsi" w:hAnsiTheme="majorHAnsi" w:cs="Times New Roman"/>
          <w:color w:val="000000"/>
          <w:sz w:val="20"/>
          <w:u w:val="single"/>
          <w:lang w:val="sq-AL"/>
        </w:rPr>
        <w:t xml:space="preserve"> </w:t>
      </w:r>
    </w:p>
    <w:p w14:paraId="74AED40D" w14:textId="77777777" w:rsidR="005139C5" w:rsidRPr="002E06C4" w:rsidRDefault="005139C5" w:rsidP="006D577E">
      <w:pPr>
        <w:pStyle w:val="Caption"/>
        <w:spacing w:after="0"/>
        <w:jc w:val="right"/>
        <w:rPr>
          <w:rFonts w:asciiTheme="majorHAnsi" w:hAnsiTheme="majorHAnsi" w:cs="Times New Roman"/>
          <w:i w:val="0"/>
          <w:color w:val="000000"/>
          <w:sz w:val="20"/>
          <w:u w:val="single"/>
          <w:lang w:val="sq-AL"/>
        </w:rPr>
      </w:pPr>
      <w:r w:rsidRPr="002E06C4">
        <w:rPr>
          <w:rFonts w:asciiTheme="majorHAnsi" w:hAnsiTheme="majorHAnsi" w:cs="Times New Roman"/>
          <w:color w:val="000000"/>
          <w:sz w:val="20"/>
          <w:u w:val="single"/>
          <w:lang w:val="sq-AL"/>
        </w:rPr>
        <w:t>Në mijë lekë</w:t>
      </w:r>
    </w:p>
    <w:tbl>
      <w:tblPr>
        <w:tblStyle w:val="TableGridLight15"/>
        <w:tblW w:w="10437"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000" w:firstRow="0" w:lastRow="0" w:firstColumn="0" w:lastColumn="0" w:noHBand="0" w:noVBand="0"/>
      </w:tblPr>
      <w:tblGrid>
        <w:gridCol w:w="508"/>
        <w:gridCol w:w="3163"/>
        <w:gridCol w:w="1282"/>
        <w:gridCol w:w="1311"/>
        <w:gridCol w:w="1106"/>
        <w:gridCol w:w="1143"/>
        <w:gridCol w:w="945"/>
        <w:gridCol w:w="979"/>
      </w:tblGrid>
      <w:tr w:rsidR="005139C5" w:rsidRPr="002E06C4" w14:paraId="4CBFFC97" w14:textId="77777777" w:rsidTr="0080499B">
        <w:trPr>
          <w:trHeight w:val="144"/>
          <w:jc w:val="center"/>
        </w:trPr>
        <w:tc>
          <w:tcPr>
            <w:tcW w:w="508" w:type="dxa"/>
            <w:vMerge w:val="restart"/>
          </w:tcPr>
          <w:p w14:paraId="7209E923" w14:textId="77777777" w:rsidR="005139C5" w:rsidRPr="002E06C4" w:rsidRDefault="005139C5" w:rsidP="0080499B">
            <w:pPr>
              <w:jc w:val="both"/>
              <w:rPr>
                <w:rFonts w:asciiTheme="majorHAnsi" w:eastAsia="Times New Roman" w:hAnsiTheme="majorHAnsi" w:cs="Times New Roman"/>
                <w:b/>
                <w:bCs/>
                <w:sz w:val="18"/>
                <w:szCs w:val="18"/>
                <w:lang w:val="sq-AL"/>
              </w:rPr>
            </w:pPr>
          </w:p>
          <w:p w14:paraId="0141CBA5" w14:textId="77777777" w:rsidR="005139C5" w:rsidRPr="002E06C4" w:rsidRDefault="005139C5" w:rsidP="0080499B">
            <w:pPr>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NR</w:t>
            </w:r>
          </w:p>
        </w:tc>
        <w:tc>
          <w:tcPr>
            <w:tcW w:w="3163" w:type="dxa"/>
            <w:vMerge w:val="restart"/>
          </w:tcPr>
          <w:p w14:paraId="542E2A05" w14:textId="77777777" w:rsidR="005139C5" w:rsidRPr="002E06C4" w:rsidRDefault="005139C5" w:rsidP="0080499B">
            <w:pPr>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Emërtimi i Programit</w:t>
            </w:r>
          </w:p>
        </w:tc>
        <w:tc>
          <w:tcPr>
            <w:tcW w:w="2593" w:type="dxa"/>
            <w:gridSpan w:val="2"/>
          </w:tcPr>
          <w:p w14:paraId="0A0EDAB0" w14:textId="77777777" w:rsidR="005139C5" w:rsidRPr="002E06C4" w:rsidRDefault="005139C5" w:rsidP="0080499B">
            <w:pPr>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Plani 2018</w:t>
            </w:r>
          </w:p>
        </w:tc>
        <w:tc>
          <w:tcPr>
            <w:tcW w:w="2249" w:type="dxa"/>
            <w:gridSpan w:val="2"/>
          </w:tcPr>
          <w:p w14:paraId="76E83AD8" w14:textId="77777777" w:rsidR="005139C5" w:rsidRPr="002E06C4" w:rsidRDefault="005139C5" w:rsidP="0080499B">
            <w:pPr>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Fakti 2018</w:t>
            </w:r>
          </w:p>
        </w:tc>
        <w:tc>
          <w:tcPr>
            <w:tcW w:w="1924" w:type="dxa"/>
            <w:gridSpan w:val="2"/>
          </w:tcPr>
          <w:p w14:paraId="4626776A" w14:textId="77777777" w:rsidR="005139C5" w:rsidRPr="002E06C4" w:rsidRDefault="005139C5" w:rsidP="0080499B">
            <w:pPr>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Përqindja  e realizimit</w:t>
            </w:r>
          </w:p>
        </w:tc>
      </w:tr>
      <w:tr w:rsidR="005139C5" w:rsidRPr="002E06C4" w14:paraId="60789C90" w14:textId="77777777" w:rsidTr="0080499B">
        <w:trPr>
          <w:trHeight w:val="134"/>
          <w:jc w:val="center"/>
        </w:trPr>
        <w:tc>
          <w:tcPr>
            <w:tcW w:w="508" w:type="dxa"/>
            <w:vMerge/>
          </w:tcPr>
          <w:p w14:paraId="7C4A19F3" w14:textId="77777777" w:rsidR="005139C5" w:rsidRPr="002E06C4" w:rsidRDefault="005139C5" w:rsidP="0080499B">
            <w:pPr>
              <w:jc w:val="both"/>
              <w:rPr>
                <w:rFonts w:asciiTheme="majorHAnsi" w:eastAsia="Times New Roman" w:hAnsiTheme="majorHAnsi" w:cs="Times New Roman"/>
                <w:color w:val="FF0000"/>
                <w:sz w:val="18"/>
                <w:szCs w:val="18"/>
                <w:lang w:val="sq-AL"/>
              </w:rPr>
            </w:pPr>
          </w:p>
        </w:tc>
        <w:tc>
          <w:tcPr>
            <w:tcW w:w="3163" w:type="dxa"/>
            <w:vMerge/>
          </w:tcPr>
          <w:p w14:paraId="41D26B19" w14:textId="77777777" w:rsidR="005139C5" w:rsidRPr="002E06C4" w:rsidRDefault="005139C5" w:rsidP="0080499B">
            <w:pPr>
              <w:jc w:val="both"/>
              <w:rPr>
                <w:rFonts w:asciiTheme="majorHAnsi" w:eastAsia="Times New Roman" w:hAnsiTheme="majorHAnsi" w:cs="Times New Roman"/>
                <w:color w:val="FF0000"/>
                <w:sz w:val="18"/>
                <w:szCs w:val="18"/>
                <w:lang w:val="sq-AL"/>
              </w:rPr>
            </w:pPr>
          </w:p>
        </w:tc>
        <w:tc>
          <w:tcPr>
            <w:tcW w:w="1282" w:type="dxa"/>
          </w:tcPr>
          <w:p w14:paraId="4063869B" w14:textId="77777777" w:rsidR="005139C5" w:rsidRPr="002E06C4" w:rsidRDefault="005139C5" w:rsidP="0080499B">
            <w:pPr>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Korrente</w:t>
            </w:r>
          </w:p>
        </w:tc>
        <w:tc>
          <w:tcPr>
            <w:tcW w:w="1311" w:type="dxa"/>
          </w:tcPr>
          <w:p w14:paraId="452FD10F" w14:textId="77777777" w:rsidR="005139C5" w:rsidRPr="002E06C4" w:rsidRDefault="005139C5" w:rsidP="0080499B">
            <w:pPr>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Investime</w:t>
            </w:r>
          </w:p>
        </w:tc>
        <w:tc>
          <w:tcPr>
            <w:tcW w:w="1106" w:type="dxa"/>
          </w:tcPr>
          <w:p w14:paraId="567403BD" w14:textId="77777777" w:rsidR="005139C5" w:rsidRPr="002E06C4" w:rsidRDefault="005139C5" w:rsidP="0080499B">
            <w:pPr>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Korrente</w:t>
            </w:r>
          </w:p>
        </w:tc>
        <w:tc>
          <w:tcPr>
            <w:tcW w:w="1143" w:type="dxa"/>
          </w:tcPr>
          <w:p w14:paraId="3BC05AF4" w14:textId="77777777" w:rsidR="005139C5" w:rsidRPr="002E06C4" w:rsidRDefault="005139C5" w:rsidP="0080499B">
            <w:pPr>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Investime</w:t>
            </w:r>
          </w:p>
        </w:tc>
        <w:tc>
          <w:tcPr>
            <w:tcW w:w="945" w:type="dxa"/>
          </w:tcPr>
          <w:p w14:paraId="5D6E0EB1" w14:textId="77777777" w:rsidR="005139C5" w:rsidRPr="002E06C4" w:rsidRDefault="005139C5" w:rsidP="0080499B">
            <w:pPr>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Korrente</w:t>
            </w:r>
          </w:p>
        </w:tc>
        <w:tc>
          <w:tcPr>
            <w:tcW w:w="979" w:type="dxa"/>
          </w:tcPr>
          <w:p w14:paraId="62368426" w14:textId="77777777" w:rsidR="005139C5" w:rsidRPr="002E06C4" w:rsidRDefault="005139C5" w:rsidP="0080499B">
            <w:pPr>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Investime</w:t>
            </w:r>
          </w:p>
        </w:tc>
      </w:tr>
      <w:tr w:rsidR="005139C5" w:rsidRPr="002E06C4" w14:paraId="494659A4" w14:textId="77777777" w:rsidTr="0080499B">
        <w:trPr>
          <w:trHeight w:val="341"/>
          <w:jc w:val="center"/>
        </w:trPr>
        <w:tc>
          <w:tcPr>
            <w:tcW w:w="508" w:type="dxa"/>
          </w:tcPr>
          <w:p w14:paraId="0E1B3CB2"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w:t>
            </w:r>
          </w:p>
        </w:tc>
        <w:tc>
          <w:tcPr>
            <w:tcW w:w="3163" w:type="dxa"/>
          </w:tcPr>
          <w:p w14:paraId="45F44038"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Planifikimi, Menaxhimi dhe Administrimi</w:t>
            </w:r>
          </w:p>
        </w:tc>
        <w:tc>
          <w:tcPr>
            <w:tcW w:w="1282" w:type="dxa"/>
            <w:vAlign w:val="bottom"/>
          </w:tcPr>
          <w:p w14:paraId="46509017"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476,194</w:t>
            </w:r>
          </w:p>
        </w:tc>
        <w:tc>
          <w:tcPr>
            <w:tcW w:w="1311" w:type="dxa"/>
            <w:vAlign w:val="bottom"/>
          </w:tcPr>
          <w:p w14:paraId="1BB4A3D7"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438,823</w:t>
            </w:r>
          </w:p>
        </w:tc>
        <w:tc>
          <w:tcPr>
            <w:tcW w:w="1106" w:type="dxa"/>
            <w:vAlign w:val="bottom"/>
          </w:tcPr>
          <w:p w14:paraId="7BFE2EA4"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441,303</w:t>
            </w:r>
          </w:p>
        </w:tc>
        <w:tc>
          <w:tcPr>
            <w:tcW w:w="1143" w:type="dxa"/>
            <w:vAlign w:val="bottom"/>
          </w:tcPr>
          <w:p w14:paraId="61504AFA"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448,892</w:t>
            </w:r>
          </w:p>
        </w:tc>
        <w:tc>
          <w:tcPr>
            <w:tcW w:w="945" w:type="dxa"/>
            <w:vAlign w:val="bottom"/>
          </w:tcPr>
          <w:p w14:paraId="60594D55"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92.7</w:t>
            </w:r>
          </w:p>
        </w:tc>
        <w:tc>
          <w:tcPr>
            <w:tcW w:w="979" w:type="dxa"/>
            <w:vAlign w:val="bottom"/>
          </w:tcPr>
          <w:p w14:paraId="5CF8A106"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102.3</w:t>
            </w:r>
          </w:p>
        </w:tc>
      </w:tr>
      <w:tr w:rsidR="005139C5" w:rsidRPr="002E06C4" w14:paraId="2B9735BA" w14:textId="77777777" w:rsidTr="0080499B">
        <w:trPr>
          <w:trHeight w:val="254"/>
          <w:jc w:val="center"/>
        </w:trPr>
        <w:tc>
          <w:tcPr>
            <w:tcW w:w="508" w:type="dxa"/>
          </w:tcPr>
          <w:p w14:paraId="2AE9C916"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w:t>
            </w:r>
          </w:p>
        </w:tc>
        <w:tc>
          <w:tcPr>
            <w:tcW w:w="3163" w:type="dxa"/>
          </w:tcPr>
          <w:p w14:paraId="65D42908"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Publikimet Zyrtare</w:t>
            </w:r>
          </w:p>
        </w:tc>
        <w:tc>
          <w:tcPr>
            <w:tcW w:w="1282" w:type="dxa"/>
            <w:vAlign w:val="bottom"/>
          </w:tcPr>
          <w:p w14:paraId="17370228"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44,500</w:t>
            </w:r>
          </w:p>
        </w:tc>
        <w:tc>
          <w:tcPr>
            <w:tcW w:w="1311" w:type="dxa"/>
            <w:vAlign w:val="bottom"/>
          </w:tcPr>
          <w:p w14:paraId="345A81BD"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15,000</w:t>
            </w:r>
          </w:p>
        </w:tc>
        <w:tc>
          <w:tcPr>
            <w:tcW w:w="1106" w:type="dxa"/>
            <w:vAlign w:val="bottom"/>
          </w:tcPr>
          <w:p w14:paraId="0F2FF4E6"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42,992</w:t>
            </w:r>
          </w:p>
        </w:tc>
        <w:tc>
          <w:tcPr>
            <w:tcW w:w="1143" w:type="dxa"/>
            <w:vAlign w:val="bottom"/>
          </w:tcPr>
          <w:p w14:paraId="3DD2C8BD"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14,669</w:t>
            </w:r>
          </w:p>
        </w:tc>
        <w:tc>
          <w:tcPr>
            <w:tcW w:w="945" w:type="dxa"/>
            <w:vAlign w:val="bottom"/>
          </w:tcPr>
          <w:p w14:paraId="5A6BC271"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96.6</w:t>
            </w:r>
          </w:p>
        </w:tc>
        <w:tc>
          <w:tcPr>
            <w:tcW w:w="979" w:type="dxa"/>
            <w:vAlign w:val="bottom"/>
          </w:tcPr>
          <w:p w14:paraId="730F4356"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97.8</w:t>
            </w:r>
          </w:p>
        </w:tc>
      </w:tr>
      <w:tr w:rsidR="005139C5" w:rsidRPr="002E06C4" w14:paraId="28F83C64" w14:textId="77777777" w:rsidTr="0080499B">
        <w:trPr>
          <w:trHeight w:val="254"/>
          <w:jc w:val="center"/>
        </w:trPr>
        <w:tc>
          <w:tcPr>
            <w:tcW w:w="508" w:type="dxa"/>
          </w:tcPr>
          <w:p w14:paraId="62F4E13B"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w:t>
            </w:r>
          </w:p>
        </w:tc>
        <w:tc>
          <w:tcPr>
            <w:tcW w:w="3163" w:type="dxa"/>
          </w:tcPr>
          <w:p w14:paraId="67718B45"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Mjekësia Ligjore</w:t>
            </w:r>
          </w:p>
        </w:tc>
        <w:tc>
          <w:tcPr>
            <w:tcW w:w="1282" w:type="dxa"/>
            <w:vAlign w:val="bottom"/>
          </w:tcPr>
          <w:p w14:paraId="09F8B30E"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79,000</w:t>
            </w:r>
          </w:p>
        </w:tc>
        <w:tc>
          <w:tcPr>
            <w:tcW w:w="1311" w:type="dxa"/>
            <w:vAlign w:val="bottom"/>
          </w:tcPr>
          <w:p w14:paraId="24F9E386"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7,400</w:t>
            </w:r>
          </w:p>
        </w:tc>
        <w:tc>
          <w:tcPr>
            <w:tcW w:w="1106" w:type="dxa"/>
            <w:vAlign w:val="bottom"/>
          </w:tcPr>
          <w:p w14:paraId="219A5171"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72,522</w:t>
            </w:r>
          </w:p>
        </w:tc>
        <w:tc>
          <w:tcPr>
            <w:tcW w:w="1143" w:type="dxa"/>
            <w:vAlign w:val="bottom"/>
          </w:tcPr>
          <w:p w14:paraId="383313A6"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7,241</w:t>
            </w:r>
          </w:p>
        </w:tc>
        <w:tc>
          <w:tcPr>
            <w:tcW w:w="945" w:type="dxa"/>
            <w:vAlign w:val="bottom"/>
          </w:tcPr>
          <w:p w14:paraId="1A85989B"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91.8</w:t>
            </w:r>
          </w:p>
        </w:tc>
        <w:tc>
          <w:tcPr>
            <w:tcW w:w="979" w:type="dxa"/>
            <w:vAlign w:val="bottom"/>
          </w:tcPr>
          <w:p w14:paraId="123C28DC"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97.8</w:t>
            </w:r>
          </w:p>
        </w:tc>
      </w:tr>
      <w:tr w:rsidR="005139C5" w:rsidRPr="002E06C4" w14:paraId="54BDD687" w14:textId="77777777" w:rsidTr="0080499B">
        <w:trPr>
          <w:trHeight w:val="254"/>
          <w:jc w:val="center"/>
        </w:trPr>
        <w:tc>
          <w:tcPr>
            <w:tcW w:w="508" w:type="dxa"/>
          </w:tcPr>
          <w:p w14:paraId="56319235"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w:t>
            </w:r>
          </w:p>
        </w:tc>
        <w:tc>
          <w:tcPr>
            <w:tcW w:w="3163" w:type="dxa"/>
          </w:tcPr>
          <w:p w14:paraId="46C2D8D7"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Sistemi i Burgjeve</w:t>
            </w:r>
          </w:p>
        </w:tc>
        <w:tc>
          <w:tcPr>
            <w:tcW w:w="1282" w:type="dxa"/>
            <w:vAlign w:val="bottom"/>
          </w:tcPr>
          <w:p w14:paraId="3C0584ED"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5,365,109</w:t>
            </w:r>
          </w:p>
        </w:tc>
        <w:tc>
          <w:tcPr>
            <w:tcW w:w="1311" w:type="dxa"/>
            <w:vAlign w:val="bottom"/>
          </w:tcPr>
          <w:p w14:paraId="3AC94340"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455,000</w:t>
            </w:r>
          </w:p>
        </w:tc>
        <w:tc>
          <w:tcPr>
            <w:tcW w:w="1106" w:type="dxa"/>
            <w:vAlign w:val="bottom"/>
          </w:tcPr>
          <w:p w14:paraId="5625CF35"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5,234,129</w:t>
            </w:r>
          </w:p>
        </w:tc>
        <w:tc>
          <w:tcPr>
            <w:tcW w:w="1143" w:type="dxa"/>
            <w:vAlign w:val="bottom"/>
          </w:tcPr>
          <w:p w14:paraId="038AFFBF"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392,292</w:t>
            </w:r>
          </w:p>
        </w:tc>
        <w:tc>
          <w:tcPr>
            <w:tcW w:w="945" w:type="dxa"/>
            <w:vAlign w:val="bottom"/>
          </w:tcPr>
          <w:p w14:paraId="0681ED8D"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97.6</w:t>
            </w:r>
          </w:p>
        </w:tc>
        <w:tc>
          <w:tcPr>
            <w:tcW w:w="979" w:type="dxa"/>
            <w:vAlign w:val="bottom"/>
          </w:tcPr>
          <w:p w14:paraId="4182DF50"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86.2</w:t>
            </w:r>
          </w:p>
        </w:tc>
      </w:tr>
      <w:tr w:rsidR="005139C5" w:rsidRPr="002E06C4" w14:paraId="33BCF114" w14:textId="77777777" w:rsidTr="0080499B">
        <w:trPr>
          <w:trHeight w:val="254"/>
          <w:jc w:val="center"/>
        </w:trPr>
        <w:tc>
          <w:tcPr>
            <w:tcW w:w="508" w:type="dxa"/>
          </w:tcPr>
          <w:p w14:paraId="11DBEA6A"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w:t>
            </w:r>
          </w:p>
        </w:tc>
        <w:tc>
          <w:tcPr>
            <w:tcW w:w="3163" w:type="dxa"/>
          </w:tcPr>
          <w:p w14:paraId="3CBC912A"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Shërbimi i Përmbarimit gjyqësor</w:t>
            </w:r>
          </w:p>
        </w:tc>
        <w:tc>
          <w:tcPr>
            <w:tcW w:w="1282" w:type="dxa"/>
            <w:vAlign w:val="bottom"/>
          </w:tcPr>
          <w:p w14:paraId="2919DBFD"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149,000</w:t>
            </w:r>
          </w:p>
        </w:tc>
        <w:tc>
          <w:tcPr>
            <w:tcW w:w="1311" w:type="dxa"/>
            <w:vAlign w:val="bottom"/>
          </w:tcPr>
          <w:p w14:paraId="601949AE"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9,000</w:t>
            </w:r>
          </w:p>
        </w:tc>
        <w:tc>
          <w:tcPr>
            <w:tcW w:w="1106" w:type="dxa"/>
            <w:vAlign w:val="bottom"/>
          </w:tcPr>
          <w:p w14:paraId="452C9112"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130,980</w:t>
            </w:r>
          </w:p>
        </w:tc>
        <w:tc>
          <w:tcPr>
            <w:tcW w:w="1143" w:type="dxa"/>
            <w:vAlign w:val="bottom"/>
          </w:tcPr>
          <w:p w14:paraId="59C638DA"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8,404</w:t>
            </w:r>
          </w:p>
        </w:tc>
        <w:tc>
          <w:tcPr>
            <w:tcW w:w="945" w:type="dxa"/>
            <w:vAlign w:val="bottom"/>
          </w:tcPr>
          <w:p w14:paraId="247FF0D1"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87.9</w:t>
            </w:r>
          </w:p>
        </w:tc>
        <w:tc>
          <w:tcPr>
            <w:tcW w:w="979" w:type="dxa"/>
            <w:vAlign w:val="bottom"/>
          </w:tcPr>
          <w:p w14:paraId="5B4651CC"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93.4</w:t>
            </w:r>
          </w:p>
        </w:tc>
      </w:tr>
      <w:tr w:rsidR="005139C5" w:rsidRPr="002E06C4" w14:paraId="4B617C90" w14:textId="77777777" w:rsidTr="0080499B">
        <w:trPr>
          <w:trHeight w:val="254"/>
          <w:jc w:val="center"/>
        </w:trPr>
        <w:tc>
          <w:tcPr>
            <w:tcW w:w="508" w:type="dxa"/>
          </w:tcPr>
          <w:p w14:paraId="72794A4E"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w:t>
            </w:r>
          </w:p>
        </w:tc>
        <w:tc>
          <w:tcPr>
            <w:tcW w:w="3163" w:type="dxa"/>
          </w:tcPr>
          <w:p w14:paraId="32247B76"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Shërbimi për Çështjet e Birësimit</w:t>
            </w:r>
          </w:p>
        </w:tc>
        <w:tc>
          <w:tcPr>
            <w:tcW w:w="1282" w:type="dxa"/>
            <w:vAlign w:val="bottom"/>
          </w:tcPr>
          <w:p w14:paraId="3CA131B6"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8,900</w:t>
            </w:r>
          </w:p>
        </w:tc>
        <w:tc>
          <w:tcPr>
            <w:tcW w:w="1311" w:type="dxa"/>
            <w:vAlign w:val="bottom"/>
          </w:tcPr>
          <w:p w14:paraId="0EFCF6C6"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250</w:t>
            </w:r>
          </w:p>
        </w:tc>
        <w:tc>
          <w:tcPr>
            <w:tcW w:w="1106" w:type="dxa"/>
            <w:vAlign w:val="bottom"/>
          </w:tcPr>
          <w:p w14:paraId="1993D3BD"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8,208</w:t>
            </w:r>
          </w:p>
        </w:tc>
        <w:tc>
          <w:tcPr>
            <w:tcW w:w="1143" w:type="dxa"/>
            <w:vAlign w:val="bottom"/>
          </w:tcPr>
          <w:p w14:paraId="572EA9EA"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244</w:t>
            </w:r>
          </w:p>
        </w:tc>
        <w:tc>
          <w:tcPr>
            <w:tcW w:w="945" w:type="dxa"/>
            <w:vAlign w:val="bottom"/>
          </w:tcPr>
          <w:p w14:paraId="34394EF3"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92.2</w:t>
            </w:r>
          </w:p>
        </w:tc>
        <w:tc>
          <w:tcPr>
            <w:tcW w:w="979" w:type="dxa"/>
            <w:vAlign w:val="bottom"/>
          </w:tcPr>
          <w:p w14:paraId="15968B0F"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97.5</w:t>
            </w:r>
          </w:p>
        </w:tc>
      </w:tr>
      <w:tr w:rsidR="005139C5" w:rsidRPr="002E06C4" w14:paraId="56932943" w14:textId="77777777" w:rsidTr="0080499B">
        <w:trPr>
          <w:trHeight w:val="254"/>
          <w:jc w:val="center"/>
        </w:trPr>
        <w:tc>
          <w:tcPr>
            <w:tcW w:w="508" w:type="dxa"/>
          </w:tcPr>
          <w:p w14:paraId="75F49067"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7.</w:t>
            </w:r>
          </w:p>
        </w:tc>
        <w:tc>
          <w:tcPr>
            <w:tcW w:w="3163" w:type="dxa"/>
          </w:tcPr>
          <w:p w14:paraId="4254B56E"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Agjencia e trajtimit të pronave ALUIZNI</w:t>
            </w:r>
          </w:p>
        </w:tc>
        <w:tc>
          <w:tcPr>
            <w:tcW w:w="1282" w:type="dxa"/>
            <w:vAlign w:val="bottom"/>
          </w:tcPr>
          <w:p w14:paraId="46C11A19"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3,302,785</w:t>
            </w:r>
          </w:p>
        </w:tc>
        <w:tc>
          <w:tcPr>
            <w:tcW w:w="1311" w:type="dxa"/>
            <w:vAlign w:val="bottom"/>
          </w:tcPr>
          <w:p w14:paraId="79130273"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25,542</w:t>
            </w:r>
          </w:p>
        </w:tc>
        <w:tc>
          <w:tcPr>
            <w:tcW w:w="1106" w:type="dxa"/>
            <w:vAlign w:val="bottom"/>
          </w:tcPr>
          <w:p w14:paraId="69520005"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3,245,555</w:t>
            </w:r>
          </w:p>
        </w:tc>
        <w:tc>
          <w:tcPr>
            <w:tcW w:w="1143" w:type="dxa"/>
            <w:vAlign w:val="bottom"/>
          </w:tcPr>
          <w:p w14:paraId="09D79E9B"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20,189</w:t>
            </w:r>
          </w:p>
        </w:tc>
        <w:tc>
          <w:tcPr>
            <w:tcW w:w="945" w:type="dxa"/>
            <w:vAlign w:val="bottom"/>
          </w:tcPr>
          <w:p w14:paraId="2FEC4B2B"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98.3</w:t>
            </w:r>
          </w:p>
        </w:tc>
        <w:tc>
          <w:tcPr>
            <w:tcW w:w="979" w:type="dxa"/>
            <w:vAlign w:val="bottom"/>
          </w:tcPr>
          <w:p w14:paraId="170C8691"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79.0</w:t>
            </w:r>
          </w:p>
        </w:tc>
      </w:tr>
      <w:tr w:rsidR="005139C5" w:rsidRPr="002E06C4" w14:paraId="51DAE2DC" w14:textId="77777777" w:rsidTr="0080499B">
        <w:trPr>
          <w:trHeight w:val="254"/>
          <w:jc w:val="center"/>
        </w:trPr>
        <w:tc>
          <w:tcPr>
            <w:tcW w:w="508" w:type="dxa"/>
          </w:tcPr>
          <w:p w14:paraId="66A2DF35"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w:t>
            </w:r>
          </w:p>
        </w:tc>
        <w:tc>
          <w:tcPr>
            <w:tcW w:w="3163" w:type="dxa"/>
          </w:tcPr>
          <w:p w14:paraId="1159D55D" w14:textId="77777777" w:rsidR="005139C5" w:rsidRPr="002E06C4" w:rsidRDefault="005139C5" w:rsidP="0080499B">
            <w:pPr>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Shërbimi i Provës</w:t>
            </w:r>
          </w:p>
        </w:tc>
        <w:tc>
          <w:tcPr>
            <w:tcW w:w="1282" w:type="dxa"/>
            <w:vAlign w:val="bottom"/>
          </w:tcPr>
          <w:p w14:paraId="3E5B13D9"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130,700</w:t>
            </w:r>
          </w:p>
        </w:tc>
        <w:tc>
          <w:tcPr>
            <w:tcW w:w="1311" w:type="dxa"/>
            <w:vAlign w:val="bottom"/>
          </w:tcPr>
          <w:p w14:paraId="4715351D"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7,000</w:t>
            </w:r>
          </w:p>
        </w:tc>
        <w:tc>
          <w:tcPr>
            <w:tcW w:w="1106" w:type="dxa"/>
            <w:vAlign w:val="bottom"/>
          </w:tcPr>
          <w:p w14:paraId="13A365BE"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121,765</w:t>
            </w:r>
          </w:p>
        </w:tc>
        <w:tc>
          <w:tcPr>
            <w:tcW w:w="1143" w:type="dxa"/>
            <w:vAlign w:val="bottom"/>
          </w:tcPr>
          <w:p w14:paraId="7E82D315"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5,951</w:t>
            </w:r>
          </w:p>
        </w:tc>
        <w:tc>
          <w:tcPr>
            <w:tcW w:w="945" w:type="dxa"/>
            <w:vAlign w:val="bottom"/>
          </w:tcPr>
          <w:p w14:paraId="7BE8BB25"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93.2</w:t>
            </w:r>
          </w:p>
        </w:tc>
        <w:tc>
          <w:tcPr>
            <w:tcW w:w="979" w:type="dxa"/>
            <w:vAlign w:val="bottom"/>
          </w:tcPr>
          <w:p w14:paraId="2A6077A6"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85.0</w:t>
            </w:r>
          </w:p>
        </w:tc>
      </w:tr>
      <w:tr w:rsidR="005139C5" w:rsidRPr="002E06C4" w14:paraId="09B485A3" w14:textId="77777777" w:rsidTr="0080499B">
        <w:trPr>
          <w:trHeight w:val="254"/>
          <w:jc w:val="center"/>
        </w:trPr>
        <w:tc>
          <w:tcPr>
            <w:tcW w:w="508" w:type="dxa"/>
          </w:tcPr>
          <w:p w14:paraId="553DFDAB" w14:textId="77777777" w:rsidR="005139C5" w:rsidRPr="002E06C4" w:rsidRDefault="005139C5" w:rsidP="0080499B">
            <w:pPr>
              <w:jc w:val="center"/>
              <w:rPr>
                <w:rFonts w:asciiTheme="majorHAnsi" w:eastAsia="Times New Roman" w:hAnsiTheme="majorHAnsi" w:cs="Times New Roman"/>
                <w:b/>
                <w:sz w:val="18"/>
                <w:szCs w:val="18"/>
                <w:lang w:val="sq-AL"/>
              </w:rPr>
            </w:pPr>
          </w:p>
        </w:tc>
        <w:tc>
          <w:tcPr>
            <w:tcW w:w="3163" w:type="dxa"/>
          </w:tcPr>
          <w:p w14:paraId="46396A9A" w14:textId="77777777" w:rsidR="005139C5" w:rsidRPr="002E06C4" w:rsidRDefault="005139C5" w:rsidP="0080499B">
            <w:pPr>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TOTAL</w:t>
            </w:r>
          </w:p>
        </w:tc>
        <w:tc>
          <w:tcPr>
            <w:tcW w:w="1282" w:type="dxa"/>
            <w:vAlign w:val="bottom"/>
          </w:tcPr>
          <w:p w14:paraId="23BB7BDA"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9,556,188</w:t>
            </w:r>
          </w:p>
        </w:tc>
        <w:tc>
          <w:tcPr>
            <w:tcW w:w="1311" w:type="dxa"/>
            <w:vAlign w:val="bottom"/>
          </w:tcPr>
          <w:p w14:paraId="6A8B0EDE"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958,015</w:t>
            </w:r>
          </w:p>
        </w:tc>
        <w:tc>
          <w:tcPr>
            <w:tcW w:w="1106" w:type="dxa"/>
            <w:vAlign w:val="bottom"/>
          </w:tcPr>
          <w:p w14:paraId="73C64F16"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9,297,453</w:t>
            </w:r>
          </w:p>
        </w:tc>
        <w:tc>
          <w:tcPr>
            <w:tcW w:w="1143" w:type="dxa"/>
            <w:vAlign w:val="bottom"/>
          </w:tcPr>
          <w:p w14:paraId="19D4E32D"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897,882</w:t>
            </w:r>
          </w:p>
        </w:tc>
        <w:tc>
          <w:tcPr>
            <w:tcW w:w="945" w:type="dxa"/>
            <w:vAlign w:val="bottom"/>
          </w:tcPr>
          <w:p w14:paraId="171BE348"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97.3</w:t>
            </w:r>
          </w:p>
        </w:tc>
        <w:tc>
          <w:tcPr>
            <w:tcW w:w="979" w:type="dxa"/>
            <w:vAlign w:val="bottom"/>
          </w:tcPr>
          <w:p w14:paraId="23EB01E5"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93.7</w:t>
            </w:r>
          </w:p>
        </w:tc>
      </w:tr>
    </w:tbl>
    <w:p w14:paraId="6D7770B7" w14:textId="77777777" w:rsidR="005139C5" w:rsidRPr="002E06C4" w:rsidRDefault="005139C5" w:rsidP="005139C5">
      <w:pPr>
        <w:pStyle w:val="ListParagraph"/>
        <w:ind w:left="360"/>
        <w:rPr>
          <w:rFonts w:asciiTheme="majorHAnsi" w:eastAsia="Calibri" w:hAnsiTheme="majorHAnsi" w:cs="Times New Roman"/>
          <w:lang w:val="sq-AL"/>
        </w:rPr>
      </w:pPr>
    </w:p>
    <w:p w14:paraId="1A2C06A8" w14:textId="77777777" w:rsidR="005139C5" w:rsidRPr="002E06C4" w:rsidRDefault="005139C5" w:rsidP="005139C5">
      <w:pPr>
        <w:spacing w:line="276" w:lineRule="auto"/>
        <w:jc w:val="both"/>
        <w:rPr>
          <w:rFonts w:asciiTheme="majorHAnsi" w:eastAsia="Calibri" w:hAnsiTheme="majorHAnsi" w:cs="Times New Roman"/>
          <w:lang w:val="sq-AL"/>
        </w:rPr>
      </w:pPr>
      <w:r w:rsidRPr="002E06C4">
        <w:rPr>
          <w:rFonts w:asciiTheme="majorHAnsi" w:eastAsia="Calibri" w:hAnsiTheme="majorHAnsi" w:cs="Times New Roman"/>
          <w:lang w:val="sq-AL"/>
        </w:rPr>
        <w:t>Në programin “</w:t>
      </w:r>
      <w:r w:rsidRPr="002E06C4">
        <w:rPr>
          <w:rFonts w:asciiTheme="majorHAnsi" w:eastAsia="Calibri" w:hAnsiTheme="majorHAnsi" w:cs="Times New Roman"/>
          <w:b/>
          <w:lang w:val="sq-AL"/>
        </w:rPr>
        <w:t>Sistemi i burgjeve</w:t>
      </w:r>
      <w:r w:rsidRPr="002E06C4">
        <w:rPr>
          <w:rFonts w:asciiTheme="majorHAnsi" w:eastAsia="Calibri" w:hAnsiTheme="majorHAnsi" w:cs="Times New Roman"/>
          <w:lang w:val="sq-AL"/>
        </w:rPr>
        <w:t>” për 12 mujorin e vitit 2018 janë realizuar produkte, me një kosto faktike 5,626,421mijë lekë, si mëposhtë:</w:t>
      </w:r>
    </w:p>
    <w:p w14:paraId="26081D58" w14:textId="77777777" w:rsidR="005139C5" w:rsidRPr="002E06C4" w:rsidRDefault="005139C5" w:rsidP="006C0253">
      <w:pPr>
        <w:pStyle w:val="ListParagraph"/>
        <w:numPr>
          <w:ilvl w:val="0"/>
          <w:numId w:val="41"/>
        </w:numPr>
        <w:jc w:val="both"/>
        <w:rPr>
          <w:rFonts w:asciiTheme="majorHAnsi" w:eastAsia="Calibri" w:hAnsiTheme="majorHAnsi" w:cs="Times New Roman"/>
          <w:i/>
          <w:lang w:val="sq-AL"/>
        </w:rPr>
      </w:pPr>
      <w:r w:rsidRPr="002E06C4">
        <w:rPr>
          <w:rFonts w:asciiTheme="majorHAnsi" w:eastAsia="Calibri" w:hAnsiTheme="majorHAnsi" w:cs="Times New Roman"/>
          <w:i/>
          <w:lang w:val="sq-AL"/>
        </w:rPr>
        <w:t>Trajtimi me normë ushqimore i të dënuarve dhe paraburgosurve</w:t>
      </w:r>
    </w:p>
    <w:p w14:paraId="205A894B" w14:textId="77777777" w:rsidR="005139C5" w:rsidRPr="002E06C4" w:rsidRDefault="005139C5" w:rsidP="006C0253">
      <w:pPr>
        <w:pStyle w:val="ListParagraph"/>
        <w:numPr>
          <w:ilvl w:val="0"/>
          <w:numId w:val="41"/>
        </w:numPr>
        <w:jc w:val="both"/>
        <w:rPr>
          <w:rFonts w:asciiTheme="majorHAnsi" w:eastAsia="Calibri" w:hAnsiTheme="majorHAnsi" w:cs="Times New Roman"/>
          <w:i/>
          <w:lang w:val="sq-AL"/>
        </w:rPr>
      </w:pPr>
      <w:r w:rsidRPr="002E06C4">
        <w:rPr>
          <w:rFonts w:asciiTheme="majorHAnsi" w:eastAsia="Calibri" w:hAnsiTheme="majorHAnsi" w:cs="Times New Roman"/>
          <w:i/>
          <w:lang w:val="sq-AL"/>
        </w:rPr>
        <w:t xml:space="preserve">Staf i trajnuar nga qëndra e trajnimit </w:t>
      </w:r>
    </w:p>
    <w:p w14:paraId="4C51D14C" w14:textId="77777777" w:rsidR="005139C5" w:rsidRPr="002E06C4" w:rsidRDefault="005139C5" w:rsidP="006C0253">
      <w:pPr>
        <w:pStyle w:val="ListParagraph"/>
        <w:numPr>
          <w:ilvl w:val="0"/>
          <w:numId w:val="41"/>
        </w:numPr>
        <w:jc w:val="both"/>
        <w:rPr>
          <w:rFonts w:asciiTheme="majorHAnsi" w:eastAsia="Calibri" w:hAnsiTheme="majorHAnsi" w:cs="Times New Roman"/>
          <w:i/>
          <w:lang w:val="sq-AL"/>
        </w:rPr>
      </w:pPr>
      <w:r w:rsidRPr="002E06C4">
        <w:rPr>
          <w:rFonts w:asciiTheme="majorHAnsi" w:eastAsia="Calibri" w:hAnsiTheme="majorHAnsi" w:cs="Times New Roman"/>
          <w:i/>
          <w:lang w:val="sq-AL"/>
        </w:rPr>
        <w:t>Të dënuar të trajtuar me shërbim shëndetësor</w:t>
      </w:r>
    </w:p>
    <w:p w14:paraId="79D71C49" w14:textId="77777777" w:rsidR="005139C5" w:rsidRPr="002E06C4" w:rsidRDefault="005139C5" w:rsidP="006C0253">
      <w:pPr>
        <w:pStyle w:val="ListParagraph"/>
        <w:numPr>
          <w:ilvl w:val="0"/>
          <w:numId w:val="41"/>
        </w:numPr>
        <w:jc w:val="both"/>
        <w:rPr>
          <w:rFonts w:asciiTheme="majorHAnsi" w:eastAsia="Calibri" w:hAnsiTheme="majorHAnsi" w:cs="Times New Roman"/>
          <w:i/>
          <w:lang w:val="sq-AL"/>
        </w:rPr>
      </w:pPr>
      <w:r w:rsidRPr="002E06C4">
        <w:rPr>
          <w:rFonts w:asciiTheme="majorHAnsi" w:eastAsia="Calibri" w:hAnsiTheme="majorHAnsi" w:cs="Times New Roman"/>
          <w:i/>
          <w:lang w:val="sq-AL"/>
        </w:rPr>
        <w:t>Trajtimi i të dënuarve të mitur në ambjente të përshtatshme të vuajtjes së dënimit</w:t>
      </w:r>
    </w:p>
    <w:p w14:paraId="4C6507E4" w14:textId="77777777" w:rsidR="005139C5" w:rsidRPr="002E06C4" w:rsidRDefault="005139C5" w:rsidP="006C0253">
      <w:pPr>
        <w:pStyle w:val="ListParagraph"/>
        <w:numPr>
          <w:ilvl w:val="0"/>
          <w:numId w:val="41"/>
        </w:numPr>
        <w:jc w:val="both"/>
        <w:rPr>
          <w:rFonts w:asciiTheme="majorHAnsi" w:eastAsia="Calibri" w:hAnsiTheme="majorHAnsi" w:cs="Times New Roman"/>
          <w:i/>
          <w:lang w:val="sq-AL"/>
        </w:rPr>
      </w:pPr>
      <w:r w:rsidRPr="002E06C4">
        <w:rPr>
          <w:rFonts w:asciiTheme="majorHAnsi" w:eastAsia="Calibri" w:hAnsiTheme="majorHAnsi" w:cs="Times New Roman"/>
          <w:i/>
          <w:lang w:val="sq-AL"/>
        </w:rPr>
        <w:t>Trajtimi i të dënuarve gra me kushte të veçanta në ambjentet e vuajtjes së dënimit</w:t>
      </w:r>
    </w:p>
    <w:p w14:paraId="5AEC9AE8" w14:textId="77777777" w:rsidR="005139C5" w:rsidRPr="002E06C4" w:rsidRDefault="005139C5" w:rsidP="006C0253">
      <w:pPr>
        <w:pStyle w:val="ListParagraph"/>
        <w:numPr>
          <w:ilvl w:val="0"/>
          <w:numId w:val="41"/>
        </w:numPr>
        <w:jc w:val="both"/>
        <w:rPr>
          <w:rFonts w:asciiTheme="majorHAnsi" w:eastAsia="Calibri" w:hAnsiTheme="majorHAnsi" w:cs="Times New Roman"/>
          <w:i/>
          <w:lang w:val="sq-AL"/>
        </w:rPr>
      </w:pPr>
      <w:r w:rsidRPr="002E06C4">
        <w:rPr>
          <w:rFonts w:asciiTheme="majorHAnsi" w:eastAsia="Calibri" w:hAnsiTheme="majorHAnsi" w:cs="Times New Roman"/>
          <w:i/>
          <w:lang w:val="sq-AL"/>
        </w:rPr>
        <w:t>Mundësimi i programeve të reja të kualifikimit dhe punësimit për gratë e dënuara</w:t>
      </w:r>
    </w:p>
    <w:p w14:paraId="41FF9165" w14:textId="77777777" w:rsidR="005139C5" w:rsidRPr="002E06C4" w:rsidRDefault="005139C5" w:rsidP="006C0253">
      <w:pPr>
        <w:pStyle w:val="ListParagraph"/>
        <w:numPr>
          <w:ilvl w:val="0"/>
          <w:numId w:val="41"/>
        </w:numPr>
        <w:jc w:val="both"/>
        <w:rPr>
          <w:rFonts w:asciiTheme="majorHAnsi" w:eastAsia="Calibri" w:hAnsiTheme="majorHAnsi" w:cs="Times New Roman"/>
          <w:i/>
          <w:lang w:val="sq-AL"/>
        </w:rPr>
      </w:pPr>
      <w:r w:rsidRPr="002E06C4">
        <w:rPr>
          <w:rFonts w:asciiTheme="majorHAnsi" w:eastAsia="Calibri" w:hAnsiTheme="majorHAnsi" w:cs="Times New Roman"/>
          <w:i/>
          <w:lang w:val="sq-AL"/>
        </w:rPr>
        <w:t>Personel i punësuar gra në Sistemin e Burgjeve në funksion të trajtimit të të dënuarve</w:t>
      </w:r>
    </w:p>
    <w:p w14:paraId="0479A4BD" w14:textId="77777777" w:rsidR="005139C5" w:rsidRPr="002E06C4" w:rsidRDefault="005139C5" w:rsidP="006C0253">
      <w:pPr>
        <w:pStyle w:val="ListParagraph"/>
        <w:numPr>
          <w:ilvl w:val="0"/>
          <w:numId w:val="41"/>
        </w:numPr>
        <w:jc w:val="both"/>
        <w:rPr>
          <w:rFonts w:asciiTheme="majorHAnsi" w:eastAsia="Calibri" w:hAnsiTheme="majorHAnsi" w:cs="Times New Roman"/>
          <w:i/>
          <w:lang w:val="sq-AL"/>
        </w:rPr>
      </w:pPr>
      <w:r w:rsidRPr="002E06C4">
        <w:rPr>
          <w:rFonts w:asciiTheme="majorHAnsi" w:eastAsia="Calibri" w:hAnsiTheme="majorHAnsi" w:cs="Times New Roman"/>
          <w:i/>
          <w:lang w:val="sq-AL"/>
        </w:rPr>
        <w:t>Mbajtja e të burgosurve dhe paraburgosurve në kushte sigurie nga trupa policore</w:t>
      </w:r>
    </w:p>
    <w:p w14:paraId="49B1A05B" w14:textId="77777777" w:rsidR="005139C5" w:rsidRPr="002E06C4" w:rsidRDefault="005139C5" w:rsidP="006C0253">
      <w:pPr>
        <w:pStyle w:val="ListParagraph"/>
        <w:numPr>
          <w:ilvl w:val="0"/>
          <w:numId w:val="41"/>
        </w:numPr>
        <w:jc w:val="both"/>
        <w:rPr>
          <w:rFonts w:asciiTheme="majorHAnsi" w:eastAsia="Calibri" w:hAnsiTheme="majorHAnsi" w:cs="Times New Roman"/>
          <w:i/>
          <w:lang w:val="sq-AL"/>
        </w:rPr>
      </w:pPr>
      <w:r w:rsidRPr="002E06C4">
        <w:rPr>
          <w:rFonts w:asciiTheme="majorHAnsi" w:eastAsia="Calibri" w:hAnsiTheme="majorHAnsi" w:cs="Times New Roman"/>
          <w:i/>
          <w:lang w:val="sq-AL"/>
        </w:rPr>
        <w:t xml:space="preserve">Drejtimi dhe zhvillimi normal i aktivitetit për mirëfunksionimin e përgjithshëm të sistemit të burgjeve. </w:t>
      </w:r>
    </w:p>
    <w:p w14:paraId="3E6197A7" w14:textId="77777777" w:rsidR="005139C5" w:rsidRPr="002E06C4" w:rsidRDefault="005139C5" w:rsidP="005139C5">
      <w:pPr>
        <w:spacing w:line="276" w:lineRule="auto"/>
        <w:ind w:left="360"/>
        <w:jc w:val="both"/>
        <w:rPr>
          <w:rFonts w:asciiTheme="majorHAnsi" w:eastAsia="Calibri" w:hAnsiTheme="majorHAnsi" w:cs="Times New Roman"/>
          <w:sz w:val="12"/>
          <w:szCs w:val="12"/>
          <w:lang w:val="sq-AL"/>
        </w:rPr>
      </w:pPr>
    </w:p>
    <w:p w14:paraId="4103BE48" w14:textId="77777777" w:rsidR="005139C5" w:rsidRPr="002E06C4" w:rsidRDefault="005139C5" w:rsidP="005139C5">
      <w:pPr>
        <w:spacing w:line="276" w:lineRule="auto"/>
        <w:jc w:val="both"/>
        <w:rPr>
          <w:rFonts w:asciiTheme="majorHAnsi" w:eastAsia="Calibri" w:hAnsiTheme="majorHAnsi" w:cs="Times New Roman"/>
          <w:lang w:val="sq-AL"/>
        </w:rPr>
      </w:pPr>
      <w:r w:rsidRPr="002E06C4">
        <w:rPr>
          <w:rFonts w:asciiTheme="majorHAnsi" w:eastAsia="Calibri" w:hAnsiTheme="majorHAnsi" w:cs="Times New Roman"/>
          <w:lang w:val="sq-AL"/>
        </w:rPr>
        <w:t xml:space="preserve">Realizimi i këtyre produkteve ndikojnë drejtëpërsëdrejti në përmirësimin e kushteve në sistemin peniteciar. Këto produkte janë realizuar të gjithë sipas planifikimit. Eshtë planifikuar të trajtohen 5,922 të burgosur dhe është realizuar plotësisht. Trajnimet janë kryer sipas planifikimit kurse trajtimi me shërbim shëndetësor është sipas rasteve dhe në vazhdimësi për të sëmurët me sëmundje kronike. Numri i të dënuarve të trajtuar me shërbim shëndetësor është 606 raste. Për sa i përket të dënuarëve të mitur, është ulur numri i tyre në burgje sepse janë trasferuar në institucionet e veçanta të vuajtjes së dënimit. Për të dënuarat gra, janë krijuar kushte të veçanta të vuajtjes së dënimit, janë krijuar mundësi për pjesëmarrje në programe kualifikimi për të patur mundësi punësimi pas vuajtjes së dënimit. </w:t>
      </w:r>
    </w:p>
    <w:p w14:paraId="47A7971D" w14:textId="77777777" w:rsidR="00981B5B" w:rsidRDefault="00981B5B" w:rsidP="005139C5">
      <w:pPr>
        <w:spacing w:line="276" w:lineRule="auto"/>
        <w:rPr>
          <w:rFonts w:asciiTheme="majorHAnsi" w:eastAsia="Calibri" w:hAnsiTheme="majorHAnsi" w:cs="Times New Roman"/>
          <w:lang w:val="sq-AL"/>
        </w:rPr>
      </w:pPr>
    </w:p>
    <w:p w14:paraId="035D0DE7" w14:textId="77777777" w:rsidR="00981B5B" w:rsidRDefault="00981B5B" w:rsidP="005139C5">
      <w:pPr>
        <w:spacing w:line="276" w:lineRule="auto"/>
        <w:rPr>
          <w:rFonts w:asciiTheme="majorHAnsi" w:eastAsia="Calibri" w:hAnsiTheme="majorHAnsi" w:cs="Times New Roman"/>
          <w:lang w:val="sq-AL"/>
        </w:rPr>
      </w:pPr>
    </w:p>
    <w:p w14:paraId="23EB0CA5" w14:textId="77777777" w:rsidR="00981B5B" w:rsidRDefault="00981B5B" w:rsidP="005139C5">
      <w:pPr>
        <w:spacing w:line="276" w:lineRule="auto"/>
        <w:rPr>
          <w:rFonts w:asciiTheme="majorHAnsi" w:eastAsia="Calibri" w:hAnsiTheme="majorHAnsi" w:cs="Times New Roman"/>
          <w:lang w:val="sq-AL"/>
        </w:rPr>
      </w:pPr>
    </w:p>
    <w:p w14:paraId="0B50D27D" w14:textId="77777777" w:rsidR="00981B5B" w:rsidRDefault="00981B5B" w:rsidP="005139C5">
      <w:pPr>
        <w:spacing w:line="276" w:lineRule="auto"/>
        <w:rPr>
          <w:rFonts w:asciiTheme="majorHAnsi" w:eastAsia="Calibri" w:hAnsiTheme="majorHAnsi" w:cs="Times New Roman"/>
          <w:lang w:val="sq-AL"/>
        </w:rPr>
      </w:pPr>
    </w:p>
    <w:p w14:paraId="36A7AFE5" w14:textId="77777777" w:rsidR="00981B5B" w:rsidRDefault="00981B5B" w:rsidP="005139C5">
      <w:pPr>
        <w:spacing w:line="276" w:lineRule="auto"/>
        <w:rPr>
          <w:rFonts w:asciiTheme="majorHAnsi" w:eastAsia="Calibri" w:hAnsiTheme="majorHAnsi" w:cs="Times New Roman"/>
          <w:lang w:val="sq-AL"/>
        </w:rPr>
      </w:pPr>
    </w:p>
    <w:p w14:paraId="5A13BDA8" w14:textId="77777777" w:rsidR="005139C5" w:rsidRPr="002E06C4" w:rsidRDefault="005139C5" w:rsidP="005139C5">
      <w:pPr>
        <w:spacing w:line="276" w:lineRule="auto"/>
        <w:rPr>
          <w:rFonts w:asciiTheme="majorHAnsi" w:eastAsia="Calibri" w:hAnsiTheme="majorHAnsi" w:cs="Times New Roman"/>
          <w:lang w:val="sq-AL"/>
        </w:rPr>
      </w:pPr>
      <w:r w:rsidRPr="002E06C4">
        <w:rPr>
          <w:rFonts w:asciiTheme="majorHAnsi" w:eastAsia="Calibri" w:hAnsiTheme="majorHAnsi" w:cs="Times New Roman"/>
          <w:lang w:val="sq-AL"/>
        </w:rPr>
        <w:lastRenderedPageBreak/>
        <w:t>Në programin “</w:t>
      </w:r>
      <w:r w:rsidRPr="002E06C4">
        <w:rPr>
          <w:rFonts w:asciiTheme="majorHAnsi" w:eastAsia="Calibri" w:hAnsiTheme="majorHAnsi" w:cs="Times New Roman"/>
          <w:b/>
          <w:lang w:val="sq-AL"/>
        </w:rPr>
        <w:t>Agjencia e Trajtimit të Pronave</w:t>
      </w:r>
      <w:r w:rsidRPr="002E06C4">
        <w:rPr>
          <w:rFonts w:asciiTheme="majorHAnsi" w:eastAsia="Calibri" w:hAnsiTheme="majorHAnsi" w:cs="Times New Roman"/>
          <w:lang w:val="sq-AL"/>
        </w:rPr>
        <w:t>” janë realizuar produkte me kosto faktike prej 3,265,744 mijë lekë, ndër produktet përmendim:</w:t>
      </w:r>
    </w:p>
    <w:p w14:paraId="425FAB3A" w14:textId="77777777" w:rsidR="005139C5" w:rsidRPr="002E06C4" w:rsidRDefault="005139C5" w:rsidP="006C0253">
      <w:pPr>
        <w:pStyle w:val="ListParagraph"/>
        <w:numPr>
          <w:ilvl w:val="0"/>
          <w:numId w:val="19"/>
        </w:numPr>
        <w:spacing w:line="276" w:lineRule="auto"/>
        <w:rPr>
          <w:rFonts w:asciiTheme="majorHAnsi" w:eastAsia="Calibri" w:hAnsiTheme="majorHAnsi" w:cs="Times New Roman"/>
          <w:lang w:val="sq-AL"/>
        </w:rPr>
      </w:pPr>
      <w:r w:rsidRPr="002E06C4">
        <w:rPr>
          <w:rFonts w:asciiTheme="majorHAnsi" w:eastAsia="Calibri" w:hAnsiTheme="majorHAnsi" w:cs="Times New Roman"/>
          <w:lang w:val="sq-AL"/>
        </w:rPr>
        <w:t>“Trajtimi me vendim i kërkesave për kalimin në pronësi të oborreve në përdorim” nga 500 vendime janë trajtuar 510, me një kosto faktike 12 431 mijë lekë.</w:t>
      </w:r>
    </w:p>
    <w:p w14:paraId="6B3897B3" w14:textId="77777777" w:rsidR="005139C5" w:rsidRPr="002E06C4" w:rsidRDefault="005139C5" w:rsidP="006C0253">
      <w:pPr>
        <w:pStyle w:val="ListParagraph"/>
        <w:numPr>
          <w:ilvl w:val="0"/>
          <w:numId w:val="19"/>
        </w:numPr>
        <w:spacing w:line="276" w:lineRule="auto"/>
        <w:rPr>
          <w:rFonts w:asciiTheme="majorHAnsi" w:eastAsia="Calibri" w:hAnsiTheme="majorHAnsi" w:cs="Times New Roman"/>
          <w:lang w:val="sq-AL"/>
        </w:rPr>
      </w:pPr>
      <w:r w:rsidRPr="002E06C4">
        <w:rPr>
          <w:rFonts w:asciiTheme="majorHAnsi" w:eastAsia="Calibri" w:hAnsiTheme="majorHAnsi" w:cs="Times New Roman"/>
          <w:lang w:val="sq-AL"/>
        </w:rPr>
        <w:t>“Mbrojtja e interesave të ATP në proçeset gjygjësore” nga 1000 të planifikuara janë ndjekur 1 072 raste gjygjësore me kosto faktike 50 121 mijë lekë.</w:t>
      </w:r>
    </w:p>
    <w:p w14:paraId="7520A0BD" w14:textId="77777777" w:rsidR="005139C5" w:rsidRPr="002E06C4" w:rsidRDefault="005139C5" w:rsidP="006C0253">
      <w:pPr>
        <w:pStyle w:val="ListParagraph"/>
        <w:numPr>
          <w:ilvl w:val="0"/>
          <w:numId w:val="19"/>
        </w:numPr>
        <w:spacing w:line="276" w:lineRule="auto"/>
        <w:rPr>
          <w:rFonts w:asciiTheme="majorHAnsi" w:eastAsia="Calibri" w:hAnsiTheme="majorHAnsi" w:cs="Times New Roman"/>
          <w:lang w:val="sq-AL"/>
        </w:rPr>
      </w:pPr>
      <w:r w:rsidRPr="002E06C4">
        <w:rPr>
          <w:rFonts w:asciiTheme="majorHAnsi" w:eastAsia="Calibri" w:hAnsiTheme="majorHAnsi" w:cs="Times New Roman"/>
          <w:lang w:val="sq-AL"/>
        </w:rPr>
        <w:t>“Trajtimi i kërkesave ndër vite për njohje pronësie” nga 6 000 të planifikuara janë realizuar 3 000 vendime me kosto faktike 58 697 mijë lekë.</w:t>
      </w:r>
    </w:p>
    <w:p w14:paraId="7FC37675" w14:textId="77777777" w:rsidR="005139C5" w:rsidRPr="002E06C4" w:rsidRDefault="005139C5" w:rsidP="006C0253">
      <w:pPr>
        <w:pStyle w:val="ListParagraph"/>
        <w:numPr>
          <w:ilvl w:val="0"/>
          <w:numId w:val="19"/>
        </w:numPr>
        <w:spacing w:line="276" w:lineRule="auto"/>
        <w:rPr>
          <w:rFonts w:asciiTheme="majorHAnsi" w:eastAsia="Calibri" w:hAnsiTheme="majorHAnsi" w:cs="Times New Roman"/>
          <w:lang w:val="sq-AL"/>
        </w:rPr>
      </w:pPr>
      <w:r w:rsidRPr="002E06C4">
        <w:rPr>
          <w:rFonts w:asciiTheme="majorHAnsi" w:eastAsia="Calibri" w:hAnsiTheme="majorHAnsi" w:cs="Times New Roman"/>
          <w:lang w:val="sq-AL"/>
        </w:rPr>
        <w:t>“Shpërndarja e fondeve për kompesim financiar për pronarët e pasurive që preken nga ndërtimet informale” nga 835 të planifikuara janë realizuar 1 727  subjekte me kosto faktike 2 147 038 mijë lekë.</w:t>
      </w:r>
    </w:p>
    <w:p w14:paraId="08A453D4" w14:textId="77777777" w:rsidR="005139C5" w:rsidRDefault="005139C5" w:rsidP="005139C5">
      <w:pPr>
        <w:jc w:val="both"/>
        <w:rPr>
          <w:rFonts w:asciiTheme="majorHAnsi" w:hAnsiTheme="majorHAnsi" w:cs="Times New Roman"/>
          <w:lang w:val="sq-AL"/>
        </w:rPr>
      </w:pPr>
    </w:p>
    <w:p w14:paraId="2330A018" w14:textId="77777777" w:rsidR="005F1700" w:rsidRPr="002E06C4" w:rsidRDefault="005F1700" w:rsidP="005139C5">
      <w:pPr>
        <w:jc w:val="both"/>
        <w:rPr>
          <w:rFonts w:asciiTheme="majorHAnsi" w:hAnsiTheme="majorHAnsi" w:cs="Times New Roman"/>
          <w:lang w:val="sq-AL"/>
        </w:rPr>
      </w:pPr>
    </w:p>
    <w:p w14:paraId="1B7A756A" w14:textId="77777777" w:rsidR="005139C5" w:rsidRPr="002E06C4" w:rsidRDefault="005139C5" w:rsidP="005139C5">
      <w:pPr>
        <w:pStyle w:val="Heading3"/>
        <w:numPr>
          <w:ilvl w:val="2"/>
          <w:numId w:val="4"/>
        </w:numPr>
        <w:rPr>
          <w:rFonts w:cs="Times New Roman"/>
          <w:b/>
          <w:lang w:val="sq-AL"/>
        </w:rPr>
      </w:pPr>
      <w:bookmarkStart w:id="165" w:name="_Toc10721442"/>
      <w:bookmarkStart w:id="166" w:name="_Toc11134231"/>
      <w:r w:rsidRPr="002E06C4">
        <w:rPr>
          <w:rFonts w:cs="Times New Roman"/>
          <w:b/>
          <w:lang w:val="sq-AL"/>
        </w:rPr>
        <w:t>Institucionet e Sistemit të Drejtësisë</w:t>
      </w:r>
      <w:bookmarkEnd w:id="165"/>
      <w:bookmarkEnd w:id="166"/>
    </w:p>
    <w:p w14:paraId="43F71BEE" w14:textId="77777777" w:rsidR="005139C5" w:rsidRDefault="005139C5" w:rsidP="005139C5">
      <w:pPr>
        <w:spacing w:before="240"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Shpenzimet e planifikuara dhe ato faktike si dhe realizimi në përqindje për vitin 2018 për Ministrinë e Mbrojtjes, paraqiten si më poshtë:</w:t>
      </w:r>
    </w:p>
    <w:p w14:paraId="79F74AAE" w14:textId="77777777" w:rsidR="005F1700" w:rsidRPr="002E06C4" w:rsidRDefault="005F1700" w:rsidP="005F1700">
      <w:pPr>
        <w:spacing w:line="276" w:lineRule="auto"/>
        <w:jc w:val="both"/>
        <w:rPr>
          <w:rFonts w:asciiTheme="majorHAnsi" w:hAnsiTheme="majorHAnsi" w:cs="Times New Roman"/>
          <w:lang w:val="sq-AL"/>
        </w:rPr>
      </w:pPr>
    </w:p>
    <w:p w14:paraId="1EF8F185" w14:textId="77777777" w:rsidR="006D577E" w:rsidRDefault="006D577E" w:rsidP="006D577E">
      <w:pPr>
        <w:pStyle w:val="Caption"/>
        <w:spacing w:after="0"/>
        <w:rPr>
          <w:rFonts w:asciiTheme="majorHAnsi" w:hAnsiTheme="majorHAnsi" w:cs="Times New Roman"/>
          <w:color w:val="000000"/>
          <w:sz w:val="20"/>
          <w:u w:val="single"/>
          <w:lang w:val="sq-AL"/>
        </w:rPr>
      </w:pPr>
      <w:bookmarkStart w:id="167" w:name="_Toc11135133"/>
      <w:r>
        <w:t xml:space="preserve">Tabela </w:t>
      </w:r>
      <w:r w:rsidR="003D3813">
        <w:fldChar w:fldCharType="begin"/>
      </w:r>
      <w:r w:rsidR="003D3813">
        <w:instrText xml:space="preserve"> SEQ Tabela \* ARABIC </w:instrText>
      </w:r>
      <w:r w:rsidR="003D3813">
        <w:fldChar w:fldCharType="separate"/>
      </w:r>
      <w:r w:rsidR="006A57F3">
        <w:rPr>
          <w:noProof/>
        </w:rPr>
        <w:t>19</w:t>
      </w:r>
      <w:r w:rsidR="003D3813">
        <w:rPr>
          <w:noProof/>
        </w:rPr>
        <w:fldChar w:fldCharType="end"/>
      </w:r>
      <w:r w:rsidRPr="006D577E">
        <w:rPr>
          <w:rFonts w:asciiTheme="majorHAnsi" w:hAnsiTheme="majorHAnsi" w:cs="Times New Roman"/>
          <w:lang w:val="sq-AL"/>
        </w:rPr>
        <w:t xml:space="preserve"> </w:t>
      </w:r>
      <w:r w:rsidRPr="002E06C4">
        <w:rPr>
          <w:rFonts w:asciiTheme="majorHAnsi" w:hAnsiTheme="majorHAnsi" w:cs="Times New Roman"/>
          <w:lang w:val="sq-AL"/>
        </w:rPr>
        <w:t>Realizimi i buxhetit 2018 për Institucionet e Drejtësisë</w:t>
      </w:r>
      <w:bookmarkEnd w:id="167"/>
      <w:r w:rsidRPr="002E06C4">
        <w:rPr>
          <w:rFonts w:asciiTheme="majorHAnsi" w:hAnsiTheme="majorHAnsi" w:cs="Times New Roman"/>
          <w:color w:val="000000"/>
          <w:sz w:val="20"/>
          <w:u w:val="single"/>
          <w:lang w:val="sq-AL"/>
        </w:rPr>
        <w:t xml:space="preserve"> </w:t>
      </w:r>
    </w:p>
    <w:p w14:paraId="4F563BFB" w14:textId="77777777" w:rsidR="005139C5" w:rsidRPr="002E06C4" w:rsidRDefault="005139C5" w:rsidP="006D577E">
      <w:pPr>
        <w:pStyle w:val="Caption"/>
        <w:spacing w:after="0"/>
        <w:jc w:val="right"/>
        <w:rPr>
          <w:rFonts w:asciiTheme="majorHAnsi" w:hAnsiTheme="majorHAnsi" w:cs="Times New Roman"/>
          <w:i w:val="0"/>
          <w:color w:val="000000"/>
          <w:sz w:val="20"/>
          <w:u w:val="single"/>
          <w:lang w:val="sq-AL"/>
        </w:rPr>
      </w:pPr>
      <w:r w:rsidRPr="002E06C4">
        <w:rPr>
          <w:rFonts w:asciiTheme="majorHAnsi" w:hAnsiTheme="majorHAnsi" w:cs="Times New Roman"/>
          <w:color w:val="000000"/>
          <w:sz w:val="20"/>
          <w:u w:val="single"/>
          <w:lang w:val="sq-AL"/>
        </w:rPr>
        <w:t>Në mijë lekë</w:t>
      </w:r>
    </w:p>
    <w:tbl>
      <w:tblPr>
        <w:tblW w:w="1077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73"/>
        <w:gridCol w:w="3575"/>
        <w:gridCol w:w="1243"/>
        <w:gridCol w:w="1076"/>
        <w:gridCol w:w="1076"/>
        <w:gridCol w:w="1076"/>
        <w:gridCol w:w="1172"/>
        <w:gridCol w:w="1088"/>
      </w:tblGrid>
      <w:tr w:rsidR="005139C5" w:rsidRPr="002E06C4" w14:paraId="22FDA542" w14:textId="77777777" w:rsidTr="0080499B">
        <w:trPr>
          <w:trHeight w:val="221"/>
          <w:jc w:val="center"/>
        </w:trPr>
        <w:tc>
          <w:tcPr>
            <w:tcW w:w="473" w:type="dxa"/>
            <w:vMerge w:val="restart"/>
            <w:shd w:val="clear" w:color="auto" w:fill="auto"/>
            <w:vAlign w:val="center"/>
            <w:hideMark/>
          </w:tcPr>
          <w:p w14:paraId="3A47DCA8"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NR</w:t>
            </w:r>
          </w:p>
        </w:tc>
        <w:tc>
          <w:tcPr>
            <w:tcW w:w="3575" w:type="dxa"/>
            <w:vMerge w:val="restart"/>
            <w:shd w:val="clear" w:color="auto" w:fill="auto"/>
            <w:vAlign w:val="center"/>
            <w:hideMark/>
          </w:tcPr>
          <w:p w14:paraId="71E8F604"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Emërtimi I Programit/Institucionit</w:t>
            </w:r>
          </w:p>
        </w:tc>
        <w:tc>
          <w:tcPr>
            <w:tcW w:w="2319" w:type="dxa"/>
            <w:gridSpan w:val="2"/>
            <w:shd w:val="clear" w:color="auto" w:fill="auto"/>
            <w:vAlign w:val="center"/>
            <w:hideMark/>
          </w:tcPr>
          <w:p w14:paraId="1132E141"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Plani 2018</w:t>
            </w:r>
          </w:p>
        </w:tc>
        <w:tc>
          <w:tcPr>
            <w:tcW w:w="2152" w:type="dxa"/>
            <w:gridSpan w:val="2"/>
            <w:shd w:val="clear" w:color="auto" w:fill="auto"/>
            <w:vAlign w:val="center"/>
            <w:hideMark/>
          </w:tcPr>
          <w:p w14:paraId="67F8405F"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Fakti 2018</w:t>
            </w:r>
          </w:p>
        </w:tc>
        <w:tc>
          <w:tcPr>
            <w:tcW w:w="2260" w:type="dxa"/>
            <w:gridSpan w:val="2"/>
            <w:shd w:val="clear" w:color="auto" w:fill="auto"/>
            <w:vAlign w:val="center"/>
            <w:hideMark/>
          </w:tcPr>
          <w:p w14:paraId="39CA5A79"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Përqindja  e realizimit</w:t>
            </w:r>
          </w:p>
        </w:tc>
      </w:tr>
      <w:tr w:rsidR="005139C5" w:rsidRPr="002E06C4" w14:paraId="2325033F" w14:textId="77777777" w:rsidTr="0080499B">
        <w:trPr>
          <w:trHeight w:val="235"/>
          <w:jc w:val="center"/>
        </w:trPr>
        <w:tc>
          <w:tcPr>
            <w:tcW w:w="473" w:type="dxa"/>
            <w:vMerge/>
            <w:vAlign w:val="center"/>
            <w:hideMark/>
          </w:tcPr>
          <w:p w14:paraId="77B98B85" w14:textId="77777777" w:rsidR="005139C5" w:rsidRPr="002E06C4" w:rsidRDefault="005139C5" w:rsidP="0080499B">
            <w:pPr>
              <w:rPr>
                <w:rFonts w:asciiTheme="majorHAnsi" w:eastAsia="Times New Roman" w:hAnsiTheme="majorHAnsi" w:cs="Calibri"/>
                <w:b/>
                <w:bCs/>
                <w:sz w:val="18"/>
                <w:szCs w:val="18"/>
                <w:lang w:val="sq-AL"/>
              </w:rPr>
            </w:pPr>
          </w:p>
        </w:tc>
        <w:tc>
          <w:tcPr>
            <w:tcW w:w="3575" w:type="dxa"/>
            <w:vMerge/>
            <w:vAlign w:val="center"/>
            <w:hideMark/>
          </w:tcPr>
          <w:p w14:paraId="242A7683" w14:textId="77777777" w:rsidR="005139C5" w:rsidRPr="002E06C4" w:rsidRDefault="005139C5" w:rsidP="0080499B">
            <w:pPr>
              <w:rPr>
                <w:rFonts w:asciiTheme="majorHAnsi" w:eastAsia="Times New Roman" w:hAnsiTheme="majorHAnsi" w:cs="Calibri"/>
                <w:b/>
                <w:bCs/>
                <w:sz w:val="18"/>
                <w:szCs w:val="18"/>
                <w:lang w:val="sq-AL"/>
              </w:rPr>
            </w:pPr>
          </w:p>
        </w:tc>
        <w:tc>
          <w:tcPr>
            <w:tcW w:w="1243" w:type="dxa"/>
            <w:shd w:val="clear" w:color="auto" w:fill="auto"/>
            <w:vAlign w:val="center"/>
            <w:hideMark/>
          </w:tcPr>
          <w:p w14:paraId="0C11498C"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Korrente</w:t>
            </w:r>
          </w:p>
        </w:tc>
        <w:tc>
          <w:tcPr>
            <w:tcW w:w="1076" w:type="dxa"/>
            <w:shd w:val="clear" w:color="auto" w:fill="auto"/>
            <w:vAlign w:val="center"/>
            <w:hideMark/>
          </w:tcPr>
          <w:p w14:paraId="0E3F3E0E"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Investime</w:t>
            </w:r>
          </w:p>
        </w:tc>
        <w:tc>
          <w:tcPr>
            <w:tcW w:w="1076" w:type="dxa"/>
            <w:shd w:val="clear" w:color="auto" w:fill="auto"/>
            <w:vAlign w:val="center"/>
            <w:hideMark/>
          </w:tcPr>
          <w:p w14:paraId="2B3C496C"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Korrente</w:t>
            </w:r>
          </w:p>
        </w:tc>
        <w:tc>
          <w:tcPr>
            <w:tcW w:w="1076" w:type="dxa"/>
            <w:shd w:val="clear" w:color="auto" w:fill="auto"/>
            <w:vAlign w:val="center"/>
            <w:hideMark/>
          </w:tcPr>
          <w:p w14:paraId="42D97FC3"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Investime</w:t>
            </w:r>
          </w:p>
        </w:tc>
        <w:tc>
          <w:tcPr>
            <w:tcW w:w="1172" w:type="dxa"/>
            <w:shd w:val="clear" w:color="auto" w:fill="auto"/>
            <w:vAlign w:val="center"/>
            <w:hideMark/>
          </w:tcPr>
          <w:p w14:paraId="2D073947"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Korrente</w:t>
            </w:r>
          </w:p>
        </w:tc>
        <w:tc>
          <w:tcPr>
            <w:tcW w:w="1088" w:type="dxa"/>
            <w:shd w:val="clear" w:color="auto" w:fill="auto"/>
            <w:vAlign w:val="center"/>
            <w:hideMark/>
          </w:tcPr>
          <w:p w14:paraId="092D1FAE" w14:textId="77777777" w:rsidR="005139C5" w:rsidRPr="002E06C4" w:rsidRDefault="005139C5" w:rsidP="0080499B">
            <w:pPr>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Investime</w:t>
            </w:r>
          </w:p>
        </w:tc>
      </w:tr>
      <w:tr w:rsidR="005139C5" w:rsidRPr="002E06C4" w14:paraId="27ADDECE" w14:textId="77777777" w:rsidTr="0080499B">
        <w:trPr>
          <w:trHeight w:val="353"/>
          <w:jc w:val="center"/>
        </w:trPr>
        <w:tc>
          <w:tcPr>
            <w:tcW w:w="473" w:type="dxa"/>
            <w:shd w:val="clear" w:color="auto" w:fill="auto"/>
            <w:vAlign w:val="center"/>
            <w:hideMark/>
          </w:tcPr>
          <w:p w14:paraId="5DFA41BB"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w:t>
            </w:r>
          </w:p>
        </w:tc>
        <w:tc>
          <w:tcPr>
            <w:tcW w:w="3575" w:type="dxa"/>
            <w:shd w:val="clear" w:color="auto" w:fill="auto"/>
            <w:vAlign w:val="center"/>
            <w:hideMark/>
          </w:tcPr>
          <w:p w14:paraId="64B88576"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 xml:space="preserve">Veprimtaria e rivlerësimit kalimtar të magjistratit / </w:t>
            </w:r>
            <w:r w:rsidRPr="002E06C4">
              <w:rPr>
                <w:rFonts w:asciiTheme="majorHAnsi" w:eastAsia="Times New Roman" w:hAnsiTheme="majorHAnsi" w:cs="Calibri"/>
                <w:b/>
                <w:bCs/>
                <w:sz w:val="18"/>
                <w:szCs w:val="18"/>
                <w:lang w:val="sq-AL"/>
              </w:rPr>
              <w:t>Komisioni I Pavarur I Kualifikimit</w:t>
            </w:r>
          </w:p>
        </w:tc>
        <w:tc>
          <w:tcPr>
            <w:tcW w:w="1243" w:type="dxa"/>
            <w:shd w:val="clear" w:color="auto" w:fill="auto"/>
            <w:noWrap/>
            <w:vAlign w:val="center"/>
            <w:hideMark/>
          </w:tcPr>
          <w:p w14:paraId="15E4FA9A"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156,080</w:t>
            </w:r>
          </w:p>
        </w:tc>
        <w:tc>
          <w:tcPr>
            <w:tcW w:w="1076" w:type="dxa"/>
            <w:shd w:val="clear" w:color="auto" w:fill="auto"/>
            <w:noWrap/>
            <w:vAlign w:val="center"/>
            <w:hideMark/>
          </w:tcPr>
          <w:p w14:paraId="0C6EADA8"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8,000</w:t>
            </w:r>
          </w:p>
        </w:tc>
        <w:tc>
          <w:tcPr>
            <w:tcW w:w="1076" w:type="dxa"/>
            <w:shd w:val="clear" w:color="auto" w:fill="auto"/>
            <w:noWrap/>
            <w:vAlign w:val="center"/>
            <w:hideMark/>
          </w:tcPr>
          <w:p w14:paraId="0D08B2FE"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150,211</w:t>
            </w:r>
          </w:p>
        </w:tc>
        <w:tc>
          <w:tcPr>
            <w:tcW w:w="1076" w:type="dxa"/>
            <w:shd w:val="clear" w:color="auto" w:fill="auto"/>
            <w:noWrap/>
            <w:vAlign w:val="center"/>
            <w:hideMark/>
          </w:tcPr>
          <w:p w14:paraId="21C76D27"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5,965</w:t>
            </w:r>
          </w:p>
        </w:tc>
        <w:tc>
          <w:tcPr>
            <w:tcW w:w="1172" w:type="dxa"/>
            <w:shd w:val="clear" w:color="auto" w:fill="auto"/>
            <w:vAlign w:val="center"/>
            <w:hideMark/>
          </w:tcPr>
          <w:p w14:paraId="7AB33174"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96.24%</w:t>
            </w:r>
          </w:p>
        </w:tc>
        <w:tc>
          <w:tcPr>
            <w:tcW w:w="1088" w:type="dxa"/>
            <w:shd w:val="clear" w:color="auto" w:fill="auto"/>
            <w:vAlign w:val="center"/>
            <w:hideMark/>
          </w:tcPr>
          <w:p w14:paraId="477D2980"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74.56%</w:t>
            </w:r>
          </w:p>
        </w:tc>
      </w:tr>
      <w:tr w:rsidR="005139C5" w:rsidRPr="002E06C4" w14:paraId="3962EBEE" w14:textId="77777777" w:rsidTr="0080499B">
        <w:trPr>
          <w:trHeight w:val="353"/>
          <w:jc w:val="center"/>
        </w:trPr>
        <w:tc>
          <w:tcPr>
            <w:tcW w:w="473" w:type="dxa"/>
            <w:shd w:val="clear" w:color="auto" w:fill="auto"/>
            <w:vAlign w:val="center"/>
            <w:hideMark/>
          </w:tcPr>
          <w:p w14:paraId="54494D5E"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2</w:t>
            </w:r>
          </w:p>
        </w:tc>
        <w:tc>
          <w:tcPr>
            <w:tcW w:w="3575" w:type="dxa"/>
            <w:shd w:val="clear" w:color="auto" w:fill="auto"/>
            <w:vAlign w:val="center"/>
            <w:hideMark/>
          </w:tcPr>
          <w:p w14:paraId="1B29E265"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 xml:space="preserve">Veprimtaria e apelimit të rivlerësimit kalimtar / </w:t>
            </w:r>
            <w:r w:rsidRPr="002E06C4">
              <w:rPr>
                <w:rFonts w:asciiTheme="majorHAnsi" w:eastAsia="Times New Roman" w:hAnsiTheme="majorHAnsi" w:cs="Calibri"/>
                <w:b/>
                <w:bCs/>
                <w:sz w:val="18"/>
                <w:szCs w:val="18"/>
                <w:lang w:val="sq-AL"/>
              </w:rPr>
              <w:t>Kolegji I Posaçëm I Apelimit</w:t>
            </w:r>
          </w:p>
        </w:tc>
        <w:tc>
          <w:tcPr>
            <w:tcW w:w="1243" w:type="dxa"/>
            <w:shd w:val="clear" w:color="auto" w:fill="auto"/>
            <w:noWrap/>
            <w:vAlign w:val="center"/>
            <w:hideMark/>
          </w:tcPr>
          <w:p w14:paraId="30DF0EF7"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102,534</w:t>
            </w:r>
          </w:p>
        </w:tc>
        <w:tc>
          <w:tcPr>
            <w:tcW w:w="1076" w:type="dxa"/>
            <w:shd w:val="clear" w:color="auto" w:fill="auto"/>
            <w:noWrap/>
            <w:vAlign w:val="center"/>
            <w:hideMark/>
          </w:tcPr>
          <w:p w14:paraId="784DDE23"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10,200</w:t>
            </w:r>
          </w:p>
        </w:tc>
        <w:tc>
          <w:tcPr>
            <w:tcW w:w="1076" w:type="dxa"/>
            <w:shd w:val="clear" w:color="auto" w:fill="auto"/>
            <w:noWrap/>
            <w:vAlign w:val="center"/>
            <w:hideMark/>
          </w:tcPr>
          <w:p w14:paraId="5E4FDEB2"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97,705</w:t>
            </w:r>
          </w:p>
        </w:tc>
        <w:tc>
          <w:tcPr>
            <w:tcW w:w="1076" w:type="dxa"/>
            <w:shd w:val="clear" w:color="auto" w:fill="auto"/>
            <w:noWrap/>
            <w:vAlign w:val="center"/>
            <w:hideMark/>
          </w:tcPr>
          <w:p w14:paraId="391F47C7"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9,570</w:t>
            </w:r>
          </w:p>
        </w:tc>
        <w:tc>
          <w:tcPr>
            <w:tcW w:w="1172" w:type="dxa"/>
            <w:shd w:val="clear" w:color="auto" w:fill="auto"/>
            <w:vAlign w:val="center"/>
            <w:hideMark/>
          </w:tcPr>
          <w:p w14:paraId="00117377"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95.29%</w:t>
            </w:r>
          </w:p>
        </w:tc>
        <w:tc>
          <w:tcPr>
            <w:tcW w:w="1088" w:type="dxa"/>
            <w:shd w:val="clear" w:color="auto" w:fill="auto"/>
            <w:vAlign w:val="center"/>
            <w:hideMark/>
          </w:tcPr>
          <w:p w14:paraId="38874B5C"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93.82%</w:t>
            </w:r>
          </w:p>
        </w:tc>
      </w:tr>
      <w:tr w:rsidR="005139C5" w:rsidRPr="002E06C4" w14:paraId="23ACFFED" w14:textId="77777777" w:rsidTr="0080499B">
        <w:trPr>
          <w:trHeight w:val="353"/>
          <w:jc w:val="center"/>
        </w:trPr>
        <w:tc>
          <w:tcPr>
            <w:tcW w:w="473" w:type="dxa"/>
            <w:shd w:val="clear" w:color="auto" w:fill="auto"/>
            <w:vAlign w:val="center"/>
            <w:hideMark/>
          </w:tcPr>
          <w:p w14:paraId="2301D2F8"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3</w:t>
            </w:r>
          </w:p>
        </w:tc>
        <w:tc>
          <w:tcPr>
            <w:tcW w:w="3575" w:type="dxa"/>
            <w:shd w:val="clear" w:color="auto" w:fill="auto"/>
            <w:vAlign w:val="center"/>
            <w:hideMark/>
          </w:tcPr>
          <w:p w14:paraId="18072ED7"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 xml:space="preserve">Veprimtaria e komisionerit publik / </w:t>
            </w:r>
            <w:r w:rsidRPr="002E06C4">
              <w:rPr>
                <w:rFonts w:asciiTheme="majorHAnsi" w:eastAsia="Times New Roman" w:hAnsiTheme="majorHAnsi" w:cs="Calibri"/>
                <w:b/>
                <w:bCs/>
                <w:sz w:val="18"/>
                <w:szCs w:val="18"/>
                <w:lang w:val="sq-AL"/>
              </w:rPr>
              <w:t>Komisionerët Publikë</w:t>
            </w:r>
          </w:p>
        </w:tc>
        <w:tc>
          <w:tcPr>
            <w:tcW w:w="1243" w:type="dxa"/>
            <w:shd w:val="clear" w:color="auto" w:fill="auto"/>
            <w:noWrap/>
            <w:vAlign w:val="center"/>
            <w:hideMark/>
          </w:tcPr>
          <w:p w14:paraId="669CB12A"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44,355</w:t>
            </w:r>
          </w:p>
        </w:tc>
        <w:tc>
          <w:tcPr>
            <w:tcW w:w="1076" w:type="dxa"/>
            <w:shd w:val="clear" w:color="auto" w:fill="auto"/>
            <w:noWrap/>
            <w:vAlign w:val="center"/>
            <w:hideMark/>
          </w:tcPr>
          <w:p w14:paraId="244587E7"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5,800</w:t>
            </w:r>
          </w:p>
        </w:tc>
        <w:tc>
          <w:tcPr>
            <w:tcW w:w="1076" w:type="dxa"/>
            <w:shd w:val="clear" w:color="auto" w:fill="auto"/>
            <w:noWrap/>
            <w:vAlign w:val="center"/>
            <w:hideMark/>
          </w:tcPr>
          <w:p w14:paraId="1A7B751F"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42,027</w:t>
            </w:r>
          </w:p>
        </w:tc>
        <w:tc>
          <w:tcPr>
            <w:tcW w:w="1076" w:type="dxa"/>
            <w:shd w:val="clear" w:color="auto" w:fill="auto"/>
            <w:noWrap/>
            <w:vAlign w:val="center"/>
            <w:hideMark/>
          </w:tcPr>
          <w:p w14:paraId="0D48F5B0"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4,396</w:t>
            </w:r>
          </w:p>
        </w:tc>
        <w:tc>
          <w:tcPr>
            <w:tcW w:w="1172" w:type="dxa"/>
            <w:shd w:val="clear" w:color="auto" w:fill="auto"/>
            <w:vAlign w:val="center"/>
            <w:hideMark/>
          </w:tcPr>
          <w:p w14:paraId="43062918"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94.75%</w:t>
            </w:r>
          </w:p>
        </w:tc>
        <w:tc>
          <w:tcPr>
            <w:tcW w:w="1088" w:type="dxa"/>
            <w:shd w:val="clear" w:color="auto" w:fill="auto"/>
            <w:vAlign w:val="center"/>
            <w:hideMark/>
          </w:tcPr>
          <w:p w14:paraId="5E63547C" w14:textId="77777777" w:rsidR="005139C5" w:rsidRPr="002E06C4" w:rsidRDefault="005139C5" w:rsidP="0080499B">
            <w:pPr>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75.79%</w:t>
            </w:r>
          </w:p>
        </w:tc>
      </w:tr>
    </w:tbl>
    <w:p w14:paraId="3EE2E9A2" w14:textId="77777777" w:rsidR="005139C5" w:rsidRPr="002E06C4" w:rsidRDefault="005139C5" w:rsidP="005139C5">
      <w:pPr>
        <w:spacing w:line="276" w:lineRule="auto"/>
        <w:jc w:val="both"/>
        <w:rPr>
          <w:rFonts w:asciiTheme="majorHAnsi" w:hAnsiTheme="majorHAnsi" w:cs="Times New Roman"/>
          <w:lang w:val="sq-AL"/>
        </w:rPr>
      </w:pPr>
    </w:p>
    <w:p w14:paraId="2229D115" w14:textId="77777777" w:rsidR="005139C5" w:rsidRPr="002E06C4" w:rsidRDefault="005139C5" w:rsidP="006C0253">
      <w:pPr>
        <w:numPr>
          <w:ilvl w:val="0"/>
          <w:numId w:val="19"/>
        </w:numPr>
        <w:ind w:left="360"/>
        <w:contextualSpacing/>
        <w:jc w:val="both"/>
        <w:rPr>
          <w:rFonts w:asciiTheme="majorHAnsi" w:eastAsiaTheme="minorHAnsi" w:hAnsiTheme="majorHAnsi" w:cs="Times New Roman"/>
          <w:sz w:val="22"/>
          <w:szCs w:val="22"/>
          <w:lang w:val="sq-AL"/>
        </w:rPr>
      </w:pPr>
      <w:r w:rsidRPr="002E06C4">
        <w:rPr>
          <w:rFonts w:asciiTheme="majorHAnsi" w:eastAsia="Times New Roman" w:hAnsiTheme="majorHAnsi" w:cs="Times New Roman"/>
          <w:lang w:val="sq-AL"/>
        </w:rPr>
        <w:t xml:space="preserve">Në lidhje me disa nga treguesit e performancës për </w:t>
      </w:r>
      <w:r w:rsidRPr="002E06C4">
        <w:rPr>
          <w:rFonts w:asciiTheme="majorHAnsi" w:eastAsia="Times New Roman" w:hAnsiTheme="majorHAnsi" w:cs="Times New Roman"/>
          <w:b/>
          <w:lang w:val="sq-AL"/>
        </w:rPr>
        <w:t>Komisionin e Pavarur të Kualifikimit</w:t>
      </w:r>
      <w:r w:rsidRPr="002E06C4">
        <w:rPr>
          <w:rFonts w:asciiTheme="majorHAnsi" w:eastAsia="Times New Roman" w:hAnsiTheme="majorHAnsi" w:cs="Times New Roman"/>
          <w:lang w:val="sq-AL"/>
        </w:rPr>
        <w:t xml:space="preserve"> për vitin 2018,  përmendim: </w:t>
      </w:r>
    </w:p>
    <w:p w14:paraId="3946D551" w14:textId="77777777" w:rsidR="005139C5" w:rsidRPr="002E06C4" w:rsidRDefault="005139C5" w:rsidP="006C0253">
      <w:pPr>
        <w:numPr>
          <w:ilvl w:val="1"/>
          <w:numId w:val="19"/>
        </w:numPr>
        <w:contextualSpacing/>
        <w:jc w:val="both"/>
        <w:rPr>
          <w:rFonts w:asciiTheme="majorHAnsi" w:hAnsiTheme="majorHAnsi" w:cs="Times New Roman"/>
          <w:lang w:val="sq-AL"/>
        </w:rPr>
      </w:pPr>
      <w:r w:rsidRPr="002E06C4">
        <w:rPr>
          <w:rFonts w:asciiTheme="majorHAnsi" w:hAnsiTheme="majorHAnsi" w:cs="Times New Roman"/>
          <w:color w:val="000000"/>
          <w:lang w:val="sq-AL"/>
        </w:rPr>
        <w:t xml:space="preserve">Numri dosjeve të shortuara është 237 subjekte. </w:t>
      </w:r>
    </w:p>
    <w:p w14:paraId="6D72513A" w14:textId="77777777" w:rsidR="005139C5" w:rsidRPr="002E06C4" w:rsidRDefault="005139C5" w:rsidP="006C0253">
      <w:pPr>
        <w:numPr>
          <w:ilvl w:val="1"/>
          <w:numId w:val="19"/>
        </w:numPr>
        <w:contextualSpacing/>
        <w:jc w:val="both"/>
        <w:rPr>
          <w:rFonts w:asciiTheme="majorHAnsi" w:hAnsiTheme="majorHAnsi" w:cs="Times New Roman"/>
          <w:lang w:val="sq-AL"/>
        </w:rPr>
      </w:pPr>
      <w:r w:rsidRPr="002E06C4">
        <w:rPr>
          <w:rFonts w:asciiTheme="majorHAnsi" w:hAnsiTheme="majorHAnsi" w:cs="Times New Roman"/>
          <w:color w:val="000000"/>
          <w:lang w:val="sq-AL"/>
        </w:rPr>
        <w:t>Numri i dosjeve të marra në shqyrtim është rreth 200 dosje.</w:t>
      </w:r>
    </w:p>
    <w:p w14:paraId="55A2FEE0" w14:textId="77777777" w:rsidR="005139C5" w:rsidRPr="002E06C4" w:rsidRDefault="005139C5" w:rsidP="006C0253">
      <w:pPr>
        <w:numPr>
          <w:ilvl w:val="1"/>
          <w:numId w:val="19"/>
        </w:numPr>
        <w:contextualSpacing/>
        <w:jc w:val="both"/>
        <w:rPr>
          <w:rFonts w:asciiTheme="majorHAnsi" w:hAnsiTheme="majorHAnsi" w:cs="Times New Roman"/>
          <w:lang w:val="sq-AL"/>
        </w:rPr>
      </w:pPr>
      <w:r w:rsidRPr="002E06C4">
        <w:rPr>
          <w:rFonts w:asciiTheme="majorHAnsi" w:hAnsiTheme="majorHAnsi" w:cs="Times New Roman"/>
          <w:color w:val="000000"/>
          <w:lang w:val="sq-AL"/>
        </w:rPr>
        <w:t>Numri i vendimeve të marra nga KPK është për 92 subjekte të rivlerësimit kalimtar.</w:t>
      </w:r>
    </w:p>
    <w:p w14:paraId="6918CB49" w14:textId="77777777" w:rsidR="0080499B" w:rsidRPr="002E06C4" w:rsidRDefault="0080499B" w:rsidP="0080499B">
      <w:pPr>
        <w:ind w:left="360"/>
        <w:contextualSpacing/>
        <w:jc w:val="both"/>
        <w:rPr>
          <w:rFonts w:asciiTheme="majorHAnsi" w:hAnsiTheme="majorHAnsi" w:cs="Times New Roman"/>
          <w:sz w:val="8"/>
          <w:szCs w:val="8"/>
          <w:lang w:val="sq-AL"/>
        </w:rPr>
      </w:pPr>
    </w:p>
    <w:p w14:paraId="773BAFA5" w14:textId="77777777" w:rsidR="005139C5" w:rsidRPr="002E06C4" w:rsidRDefault="005139C5" w:rsidP="006C0253">
      <w:pPr>
        <w:numPr>
          <w:ilvl w:val="0"/>
          <w:numId w:val="19"/>
        </w:numPr>
        <w:ind w:left="360"/>
        <w:contextualSpacing/>
        <w:jc w:val="both"/>
        <w:rPr>
          <w:rFonts w:asciiTheme="majorHAnsi" w:hAnsiTheme="majorHAnsi" w:cs="Times New Roman"/>
          <w:lang w:val="sq-AL"/>
        </w:rPr>
      </w:pPr>
      <w:r w:rsidRPr="002E06C4">
        <w:rPr>
          <w:rFonts w:asciiTheme="majorHAnsi" w:hAnsiTheme="majorHAnsi" w:cs="Times New Roman"/>
          <w:color w:val="000000"/>
          <w:lang w:val="sq-AL"/>
        </w:rPr>
        <w:t xml:space="preserve">Nga ana e </w:t>
      </w:r>
      <w:r w:rsidRPr="002E06C4">
        <w:rPr>
          <w:rFonts w:asciiTheme="majorHAnsi" w:hAnsiTheme="majorHAnsi" w:cs="Times New Roman"/>
          <w:b/>
          <w:color w:val="000000"/>
          <w:lang w:val="sq-AL"/>
        </w:rPr>
        <w:t>Komisionerëve Publikë</w:t>
      </w:r>
      <w:r w:rsidRPr="002E06C4">
        <w:rPr>
          <w:rFonts w:asciiTheme="majorHAnsi" w:hAnsiTheme="majorHAnsi" w:cs="Times New Roman"/>
          <w:color w:val="000000"/>
          <w:lang w:val="sq-AL"/>
        </w:rPr>
        <w:t xml:space="preserve"> për vitin 2018 janë shqyrtuar 77 çështje të njoftuara nga KPK, nga 80 të planifikuara.</w:t>
      </w:r>
    </w:p>
    <w:p w14:paraId="47CE3E02" w14:textId="77777777" w:rsidR="0044331B" w:rsidRPr="002E06C4" w:rsidRDefault="0044331B" w:rsidP="0044331B">
      <w:pPr>
        <w:ind w:left="360"/>
        <w:contextualSpacing/>
        <w:jc w:val="both"/>
        <w:rPr>
          <w:rFonts w:asciiTheme="majorHAnsi" w:hAnsiTheme="majorHAnsi" w:cs="Times New Roman"/>
          <w:lang w:val="sq-AL"/>
        </w:rPr>
      </w:pPr>
    </w:p>
    <w:p w14:paraId="4E2DB050" w14:textId="77777777" w:rsidR="005139C5" w:rsidRDefault="005139C5" w:rsidP="005139C5">
      <w:pPr>
        <w:jc w:val="both"/>
        <w:rPr>
          <w:rFonts w:asciiTheme="majorHAnsi" w:hAnsiTheme="majorHAnsi" w:cs="Times New Roman"/>
          <w:lang w:val="sq-AL"/>
        </w:rPr>
      </w:pPr>
    </w:p>
    <w:p w14:paraId="49D1C1E2" w14:textId="77777777" w:rsidR="005F1700" w:rsidRDefault="005F1700" w:rsidP="005139C5">
      <w:pPr>
        <w:jc w:val="both"/>
        <w:rPr>
          <w:rFonts w:asciiTheme="majorHAnsi" w:hAnsiTheme="majorHAnsi" w:cs="Times New Roman"/>
          <w:lang w:val="sq-AL"/>
        </w:rPr>
      </w:pPr>
    </w:p>
    <w:p w14:paraId="0F07C642" w14:textId="77777777" w:rsidR="005F1700" w:rsidRDefault="005F1700" w:rsidP="005139C5">
      <w:pPr>
        <w:jc w:val="both"/>
        <w:rPr>
          <w:rFonts w:asciiTheme="majorHAnsi" w:hAnsiTheme="majorHAnsi" w:cs="Times New Roman"/>
          <w:lang w:val="sq-AL"/>
        </w:rPr>
      </w:pPr>
    </w:p>
    <w:p w14:paraId="384D8C92" w14:textId="77777777" w:rsidR="005F1700" w:rsidRDefault="005F1700" w:rsidP="005139C5">
      <w:pPr>
        <w:jc w:val="both"/>
        <w:rPr>
          <w:rFonts w:asciiTheme="majorHAnsi" w:hAnsiTheme="majorHAnsi" w:cs="Times New Roman"/>
          <w:lang w:val="sq-AL"/>
        </w:rPr>
      </w:pPr>
    </w:p>
    <w:p w14:paraId="12169888" w14:textId="77777777" w:rsidR="005F1700" w:rsidRDefault="005F1700" w:rsidP="005139C5">
      <w:pPr>
        <w:jc w:val="both"/>
        <w:rPr>
          <w:rFonts w:asciiTheme="majorHAnsi" w:hAnsiTheme="majorHAnsi" w:cs="Times New Roman"/>
          <w:lang w:val="sq-AL"/>
        </w:rPr>
      </w:pPr>
    </w:p>
    <w:p w14:paraId="07E64492" w14:textId="77777777" w:rsidR="005F1700" w:rsidRDefault="005F1700" w:rsidP="005139C5">
      <w:pPr>
        <w:jc w:val="both"/>
        <w:rPr>
          <w:rFonts w:asciiTheme="majorHAnsi" w:hAnsiTheme="majorHAnsi" w:cs="Times New Roman"/>
          <w:lang w:val="sq-AL"/>
        </w:rPr>
      </w:pPr>
    </w:p>
    <w:p w14:paraId="27E13A21" w14:textId="77777777" w:rsidR="005F1700" w:rsidRDefault="005F1700" w:rsidP="005139C5">
      <w:pPr>
        <w:jc w:val="both"/>
        <w:rPr>
          <w:rFonts w:asciiTheme="majorHAnsi" w:hAnsiTheme="majorHAnsi" w:cs="Times New Roman"/>
          <w:lang w:val="sq-AL"/>
        </w:rPr>
      </w:pPr>
    </w:p>
    <w:p w14:paraId="067FDA76" w14:textId="77777777" w:rsidR="005F1700" w:rsidRDefault="005F1700" w:rsidP="005139C5">
      <w:pPr>
        <w:jc w:val="both"/>
        <w:rPr>
          <w:rFonts w:asciiTheme="majorHAnsi" w:hAnsiTheme="majorHAnsi" w:cs="Times New Roman"/>
          <w:lang w:val="sq-AL"/>
        </w:rPr>
      </w:pPr>
    </w:p>
    <w:p w14:paraId="71EC8581" w14:textId="77777777" w:rsidR="005139C5" w:rsidRPr="002E06C4" w:rsidRDefault="005139C5" w:rsidP="005139C5">
      <w:pPr>
        <w:pStyle w:val="Heading3"/>
        <w:numPr>
          <w:ilvl w:val="2"/>
          <w:numId w:val="4"/>
        </w:numPr>
        <w:rPr>
          <w:rFonts w:cs="Times New Roman"/>
          <w:b/>
          <w:lang w:val="sq-AL"/>
        </w:rPr>
      </w:pPr>
      <w:bookmarkStart w:id="168" w:name="_Toc10033303"/>
      <w:bookmarkStart w:id="169" w:name="_Toc10721439"/>
      <w:bookmarkStart w:id="170" w:name="_Toc11134232"/>
      <w:r w:rsidRPr="002E06C4">
        <w:rPr>
          <w:rFonts w:cs="Times New Roman"/>
          <w:b/>
          <w:lang w:val="sq-AL"/>
        </w:rPr>
        <w:lastRenderedPageBreak/>
        <w:t>Financat, Ekonomia, Punësimi dhe Arsimi Profesional</w:t>
      </w:r>
      <w:bookmarkEnd w:id="168"/>
      <w:bookmarkEnd w:id="169"/>
      <w:bookmarkEnd w:id="170"/>
    </w:p>
    <w:p w14:paraId="19CA9F40" w14:textId="77777777" w:rsidR="005139C5" w:rsidRPr="002E06C4" w:rsidRDefault="005139C5" w:rsidP="005139C5">
      <w:pPr>
        <w:rPr>
          <w:rFonts w:asciiTheme="majorHAnsi" w:hAnsiTheme="majorHAnsi"/>
          <w:sz w:val="12"/>
          <w:szCs w:val="12"/>
          <w:lang w:val="sq-AL"/>
        </w:rPr>
      </w:pPr>
    </w:p>
    <w:p w14:paraId="0D4C179F" w14:textId="77777777" w:rsidR="005139C5" w:rsidRPr="002E06C4" w:rsidRDefault="005139C5" w:rsidP="005139C5">
      <w:pPr>
        <w:spacing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Shpenzimet e planifikuara dhe ato faktike si dhe realizimi në përqindje për vitin 2018 për Ministrinë e Financave dhe Ekonomisë, për të gjithë programet, paraqiten si më poshtë:</w:t>
      </w:r>
    </w:p>
    <w:p w14:paraId="3B32D92C" w14:textId="77777777" w:rsidR="005139C5" w:rsidRPr="002E06C4" w:rsidRDefault="005139C5" w:rsidP="005139C5">
      <w:pPr>
        <w:spacing w:line="276" w:lineRule="auto"/>
        <w:jc w:val="both"/>
        <w:rPr>
          <w:rFonts w:asciiTheme="majorHAnsi" w:hAnsiTheme="majorHAnsi" w:cs="Times New Roman"/>
          <w:sz w:val="12"/>
          <w:szCs w:val="12"/>
          <w:lang w:val="sq-AL"/>
        </w:rPr>
      </w:pPr>
    </w:p>
    <w:p w14:paraId="28C23F7B" w14:textId="77777777" w:rsidR="003E608B" w:rsidRPr="002E06C4" w:rsidRDefault="003E608B" w:rsidP="003E608B">
      <w:pPr>
        <w:pStyle w:val="Caption"/>
        <w:keepNext/>
        <w:spacing w:after="0"/>
        <w:rPr>
          <w:rFonts w:asciiTheme="majorHAnsi" w:hAnsiTheme="majorHAnsi" w:cs="Times New Roman"/>
          <w:lang w:val="sq-AL"/>
        </w:rPr>
      </w:pPr>
      <w:bookmarkStart w:id="171" w:name="_Toc11135134"/>
      <w:r>
        <w:t xml:space="preserve">Tabela </w:t>
      </w:r>
      <w:r w:rsidR="003D3813">
        <w:fldChar w:fldCharType="begin"/>
      </w:r>
      <w:r w:rsidR="003D3813">
        <w:instrText xml:space="preserve"> SEQ Tabela \* ARABIC </w:instrText>
      </w:r>
      <w:r w:rsidR="003D3813">
        <w:fldChar w:fldCharType="separate"/>
      </w:r>
      <w:r w:rsidR="006A57F3">
        <w:rPr>
          <w:noProof/>
        </w:rPr>
        <w:t>20</w:t>
      </w:r>
      <w:r w:rsidR="003D3813">
        <w:rPr>
          <w:noProof/>
        </w:rPr>
        <w:fldChar w:fldCharType="end"/>
      </w:r>
      <w:r w:rsidRPr="003E608B">
        <w:rPr>
          <w:rFonts w:asciiTheme="majorHAnsi" w:hAnsiTheme="majorHAnsi" w:cs="Times New Roman"/>
          <w:lang w:val="sq-AL"/>
        </w:rPr>
        <w:t xml:space="preserve"> </w:t>
      </w:r>
      <w:r w:rsidRPr="002E06C4">
        <w:rPr>
          <w:rFonts w:asciiTheme="majorHAnsi" w:hAnsiTheme="majorHAnsi" w:cs="Times New Roman"/>
          <w:lang w:val="sq-AL"/>
        </w:rPr>
        <w:t>Realizimi i buxhetit 2018 për Ministrinë e Financave dhe Ekonomisë</w:t>
      </w:r>
      <w:bookmarkEnd w:id="171"/>
    </w:p>
    <w:p w14:paraId="3F0A2B00" w14:textId="77777777" w:rsidR="005139C5" w:rsidRPr="002E06C4" w:rsidRDefault="005139C5" w:rsidP="005F1700">
      <w:pPr>
        <w:pStyle w:val="Caption"/>
        <w:spacing w:after="0"/>
        <w:jc w:val="right"/>
        <w:rPr>
          <w:rFonts w:asciiTheme="majorHAnsi" w:hAnsiTheme="majorHAnsi" w:cs="Times New Roman"/>
          <w:i w:val="0"/>
          <w:color w:val="000000"/>
          <w:sz w:val="20"/>
          <w:u w:val="single"/>
          <w:lang w:val="sq-AL"/>
        </w:rPr>
      </w:pPr>
      <w:r w:rsidRPr="002E06C4">
        <w:rPr>
          <w:rFonts w:asciiTheme="majorHAnsi" w:hAnsiTheme="majorHAnsi" w:cs="Times New Roman"/>
          <w:color w:val="000000"/>
          <w:sz w:val="20"/>
          <w:u w:val="single"/>
          <w:lang w:val="sq-AL"/>
        </w:rPr>
        <w:t>Në mijë lekë</w:t>
      </w:r>
    </w:p>
    <w:tbl>
      <w:tblPr>
        <w:tblW w:w="11087"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454"/>
        <w:gridCol w:w="3966"/>
        <w:gridCol w:w="1125"/>
        <w:gridCol w:w="1125"/>
        <w:gridCol w:w="1226"/>
        <w:gridCol w:w="1034"/>
        <w:gridCol w:w="1031"/>
        <w:gridCol w:w="1126"/>
      </w:tblGrid>
      <w:tr w:rsidR="005139C5" w:rsidRPr="002E06C4" w14:paraId="1E3AE741" w14:textId="77777777" w:rsidTr="005F1700">
        <w:trPr>
          <w:trHeight w:val="209"/>
          <w:jc w:val="center"/>
        </w:trPr>
        <w:tc>
          <w:tcPr>
            <w:tcW w:w="454" w:type="dxa"/>
            <w:shd w:val="clear" w:color="auto" w:fill="auto"/>
            <w:vAlign w:val="center"/>
            <w:hideMark/>
          </w:tcPr>
          <w:p w14:paraId="04206643"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 </w:t>
            </w:r>
          </w:p>
        </w:tc>
        <w:tc>
          <w:tcPr>
            <w:tcW w:w="3966" w:type="dxa"/>
            <w:shd w:val="clear" w:color="auto" w:fill="auto"/>
            <w:vAlign w:val="center"/>
            <w:hideMark/>
          </w:tcPr>
          <w:p w14:paraId="69FFC1D9"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p>
        </w:tc>
        <w:tc>
          <w:tcPr>
            <w:tcW w:w="2250" w:type="dxa"/>
            <w:gridSpan w:val="2"/>
            <w:shd w:val="clear" w:color="auto" w:fill="auto"/>
            <w:vAlign w:val="center"/>
            <w:hideMark/>
          </w:tcPr>
          <w:p w14:paraId="13BC93CD"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Plani 2018</w:t>
            </w:r>
          </w:p>
        </w:tc>
        <w:tc>
          <w:tcPr>
            <w:tcW w:w="2260" w:type="dxa"/>
            <w:gridSpan w:val="2"/>
            <w:shd w:val="clear" w:color="auto" w:fill="auto"/>
            <w:vAlign w:val="center"/>
            <w:hideMark/>
          </w:tcPr>
          <w:p w14:paraId="447EDD83"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Fakti 2018</w:t>
            </w:r>
          </w:p>
        </w:tc>
        <w:tc>
          <w:tcPr>
            <w:tcW w:w="2157" w:type="dxa"/>
            <w:gridSpan w:val="2"/>
            <w:shd w:val="clear" w:color="auto" w:fill="auto"/>
            <w:vAlign w:val="center"/>
            <w:hideMark/>
          </w:tcPr>
          <w:p w14:paraId="5204D3B7"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Përqindja  e realizimit</w:t>
            </w:r>
          </w:p>
        </w:tc>
      </w:tr>
      <w:tr w:rsidR="005139C5" w:rsidRPr="002E06C4" w14:paraId="0A93836A" w14:textId="77777777" w:rsidTr="005F1700">
        <w:trPr>
          <w:trHeight w:val="246"/>
          <w:jc w:val="center"/>
        </w:trPr>
        <w:tc>
          <w:tcPr>
            <w:tcW w:w="454" w:type="dxa"/>
            <w:shd w:val="clear" w:color="auto" w:fill="auto"/>
            <w:vAlign w:val="center"/>
            <w:hideMark/>
          </w:tcPr>
          <w:p w14:paraId="54C65EEF"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NR</w:t>
            </w:r>
          </w:p>
        </w:tc>
        <w:tc>
          <w:tcPr>
            <w:tcW w:w="3966" w:type="dxa"/>
            <w:shd w:val="clear" w:color="auto" w:fill="auto"/>
            <w:vAlign w:val="center"/>
            <w:hideMark/>
          </w:tcPr>
          <w:p w14:paraId="5934EB1D"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Emërtimi i Programit</w:t>
            </w:r>
          </w:p>
        </w:tc>
        <w:tc>
          <w:tcPr>
            <w:tcW w:w="1125" w:type="dxa"/>
            <w:shd w:val="clear" w:color="auto" w:fill="auto"/>
            <w:vAlign w:val="center"/>
            <w:hideMark/>
          </w:tcPr>
          <w:p w14:paraId="5E2C8DC7"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Korrente</w:t>
            </w:r>
          </w:p>
        </w:tc>
        <w:tc>
          <w:tcPr>
            <w:tcW w:w="1125" w:type="dxa"/>
            <w:shd w:val="clear" w:color="auto" w:fill="auto"/>
            <w:vAlign w:val="center"/>
            <w:hideMark/>
          </w:tcPr>
          <w:p w14:paraId="6E47E7C1"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Investime</w:t>
            </w:r>
          </w:p>
        </w:tc>
        <w:tc>
          <w:tcPr>
            <w:tcW w:w="1226" w:type="dxa"/>
            <w:shd w:val="clear" w:color="auto" w:fill="auto"/>
            <w:vAlign w:val="center"/>
            <w:hideMark/>
          </w:tcPr>
          <w:p w14:paraId="5792B67F"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Korrente</w:t>
            </w:r>
          </w:p>
        </w:tc>
        <w:tc>
          <w:tcPr>
            <w:tcW w:w="1034" w:type="dxa"/>
            <w:shd w:val="clear" w:color="auto" w:fill="auto"/>
            <w:vAlign w:val="center"/>
            <w:hideMark/>
          </w:tcPr>
          <w:p w14:paraId="327008D2"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Investime</w:t>
            </w:r>
          </w:p>
        </w:tc>
        <w:tc>
          <w:tcPr>
            <w:tcW w:w="1031" w:type="dxa"/>
            <w:shd w:val="clear" w:color="auto" w:fill="auto"/>
            <w:vAlign w:val="center"/>
            <w:hideMark/>
          </w:tcPr>
          <w:p w14:paraId="0F0F1C3C"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Korrente</w:t>
            </w:r>
          </w:p>
        </w:tc>
        <w:tc>
          <w:tcPr>
            <w:tcW w:w="1126" w:type="dxa"/>
            <w:shd w:val="clear" w:color="auto" w:fill="auto"/>
            <w:vAlign w:val="center"/>
            <w:hideMark/>
          </w:tcPr>
          <w:p w14:paraId="51BAE943"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Investime</w:t>
            </w:r>
          </w:p>
        </w:tc>
      </w:tr>
      <w:tr w:rsidR="005139C5" w:rsidRPr="002E06C4" w14:paraId="2DFBFF67" w14:textId="77777777" w:rsidTr="005F1700">
        <w:trPr>
          <w:trHeight w:val="246"/>
          <w:jc w:val="center"/>
        </w:trPr>
        <w:tc>
          <w:tcPr>
            <w:tcW w:w="454" w:type="dxa"/>
            <w:shd w:val="clear" w:color="auto" w:fill="auto"/>
            <w:vAlign w:val="center"/>
            <w:hideMark/>
          </w:tcPr>
          <w:p w14:paraId="58252557"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w:t>
            </w:r>
          </w:p>
        </w:tc>
        <w:tc>
          <w:tcPr>
            <w:tcW w:w="3966" w:type="dxa"/>
            <w:shd w:val="clear" w:color="auto" w:fill="auto"/>
            <w:noWrap/>
            <w:vAlign w:val="center"/>
            <w:hideMark/>
          </w:tcPr>
          <w:p w14:paraId="24165E69"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Planifikimi, Menaxhimi dhe Administrimi</w:t>
            </w:r>
          </w:p>
        </w:tc>
        <w:tc>
          <w:tcPr>
            <w:tcW w:w="1125" w:type="dxa"/>
            <w:shd w:val="clear" w:color="auto" w:fill="auto"/>
            <w:noWrap/>
            <w:vAlign w:val="center"/>
            <w:hideMark/>
          </w:tcPr>
          <w:p w14:paraId="0930B9E4"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771,901</w:t>
            </w:r>
          </w:p>
        </w:tc>
        <w:tc>
          <w:tcPr>
            <w:tcW w:w="1125" w:type="dxa"/>
            <w:shd w:val="clear" w:color="auto" w:fill="auto"/>
            <w:noWrap/>
            <w:vAlign w:val="center"/>
            <w:hideMark/>
          </w:tcPr>
          <w:p w14:paraId="2D5807D7"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383,183</w:t>
            </w:r>
          </w:p>
        </w:tc>
        <w:tc>
          <w:tcPr>
            <w:tcW w:w="1226" w:type="dxa"/>
            <w:shd w:val="clear" w:color="auto" w:fill="auto"/>
            <w:noWrap/>
            <w:vAlign w:val="center"/>
            <w:hideMark/>
          </w:tcPr>
          <w:p w14:paraId="25319CCC"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593,180</w:t>
            </w:r>
          </w:p>
        </w:tc>
        <w:tc>
          <w:tcPr>
            <w:tcW w:w="1034" w:type="dxa"/>
            <w:shd w:val="clear" w:color="auto" w:fill="auto"/>
            <w:noWrap/>
            <w:vAlign w:val="center"/>
            <w:hideMark/>
          </w:tcPr>
          <w:p w14:paraId="7B5901D7"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327,794</w:t>
            </w:r>
          </w:p>
        </w:tc>
        <w:tc>
          <w:tcPr>
            <w:tcW w:w="1031" w:type="dxa"/>
            <w:shd w:val="clear" w:color="auto" w:fill="auto"/>
            <w:vAlign w:val="center"/>
            <w:hideMark/>
          </w:tcPr>
          <w:p w14:paraId="20A89D1A"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76.85%</w:t>
            </w:r>
          </w:p>
        </w:tc>
        <w:tc>
          <w:tcPr>
            <w:tcW w:w="1126" w:type="dxa"/>
            <w:shd w:val="clear" w:color="auto" w:fill="auto"/>
            <w:vAlign w:val="center"/>
            <w:hideMark/>
          </w:tcPr>
          <w:p w14:paraId="7F9FBBFE"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85.55%</w:t>
            </w:r>
          </w:p>
        </w:tc>
      </w:tr>
      <w:tr w:rsidR="005139C5" w:rsidRPr="002E06C4" w14:paraId="0E79623E" w14:textId="77777777" w:rsidTr="005F1700">
        <w:trPr>
          <w:trHeight w:val="246"/>
          <w:jc w:val="center"/>
        </w:trPr>
        <w:tc>
          <w:tcPr>
            <w:tcW w:w="454" w:type="dxa"/>
            <w:shd w:val="clear" w:color="auto" w:fill="auto"/>
            <w:vAlign w:val="center"/>
            <w:hideMark/>
          </w:tcPr>
          <w:p w14:paraId="3781DD46"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3966" w:type="dxa"/>
            <w:shd w:val="clear" w:color="auto" w:fill="auto"/>
            <w:noWrap/>
            <w:vAlign w:val="center"/>
            <w:hideMark/>
          </w:tcPr>
          <w:p w14:paraId="0C128B84"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1125" w:type="dxa"/>
            <w:shd w:val="clear" w:color="auto" w:fill="auto"/>
            <w:noWrap/>
            <w:vAlign w:val="center"/>
            <w:hideMark/>
          </w:tcPr>
          <w:p w14:paraId="3E7F0C90"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5" w:type="dxa"/>
            <w:shd w:val="clear" w:color="auto" w:fill="auto"/>
            <w:noWrap/>
            <w:vAlign w:val="center"/>
            <w:hideMark/>
          </w:tcPr>
          <w:p w14:paraId="2B11C056"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462,982</w:t>
            </w:r>
          </w:p>
        </w:tc>
        <w:tc>
          <w:tcPr>
            <w:tcW w:w="1226" w:type="dxa"/>
            <w:shd w:val="clear" w:color="auto" w:fill="auto"/>
            <w:noWrap/>
            <w:vAlign w:val="center"/>
            <w:hideMark/>
          </w:tcPr>
          <w:p w14:paraId="630C7CC8"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034" w:type="dxa"/>
            <w:shd w:val="clear" w:color="auto" w:fill="auto"/>
            <w:noWrap/>
            <w:vAlign w:val="center"/>
            <w:hideMark/>
          </w:tcPr>
          <w:p w14:paraId="711BE0D1"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287,545</w:t>
            </w:r>
          </w:p>
        </w:tc>
        <w:tc>
          <w:tcPr>
            <w:tcW w:w="1031" w:type="dxa"/>
            <w:shd w:val="clear" w:color="auto" w:fill="auto"/>
            <w:vAlign w:val="center"/>
            <w:hideMark/>
          </w:tcPr>
          <w:p w14:paraId="558C9BCC"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6" w:type="dxa"/>
            <w:shd w:val="clear" w:color="auto" w:fill="auto"/>
            <w:vAlign w:val="center"/>
            <w:hideMark/>
          </w:tcPr>
          <w:p w14:paraId="0E41D447"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62.11%</w:t>
            </w:r>
          </w:p>
        </w:tc>
      </w:tr>
      <w:tr w:rsidR="005139C5" w:rsidRPr="002E06C4" w14:paraId="11212595" w14:textId="77777777" w:rsidTr="005F1700">
        <w:trPr>
          <w:trHeight w:val="246"/>
          <w:jc w:val="center"/>
        </w:trPr>
        <w:tc>
          <w:tcPr>
            <w:tcW w:w="454" w:type="dxa"/>
            <w:shd w:val="clear" w:color="auto" w:fill="auto"/>
            <w:vAlign w:val="center"/>
            <w:hideMark/>
          </w:tcPr>
          <w:p w14:paraId="61BA8BB6"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w:t>
            </w:r>
          </w:p>
        </w:tc>
        <w:tc>
          <w:tcPr>
            <w:tcW w:w="3966" w:type="dxa"/>
            <w:shd w:val="clear" w:color="auto" w:fill="auto"/>
            <w:noWrap/>
            <w:vAlign w:val="center"/>
            <w:hideMark/>
          </w:tcPr>
          <w:p w14:paraId="4C8E9EE1"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xml:space="preserve">Menaxhimi i Shpenzimeve Publike </w:t>
            </w:r>
          </w:p>
        </w:tc>
        <w:tc>
          <w:tcPr>
            <w:tcW w:w="1125" w:type="dxa"/>
            <w:shd w:val="clear" w:color="auto" w:fill="auto"/>
            <w:noWrap/>
            <w:vAlign w:val="center"/>
            <w:hideMark/>
          </w:tcPr>
          <w:p w14:paraId="16720ECF"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511,637</w:t>
            </w:r>
          </w:p>
        </w:tc>
        <w:tc>
          <w:tcPr>
            <w:tcW w:w="1125" w:type="dxa"/>
            <w:shd w:val="clear" w:color="auto" w:fill="auto"/>
            <w:noWrap/>
            <w:vAlign w:val="center"/>
            <w:hideMark/>
          </w:tcPr>
          <w:p w14:paraId="30AED259"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10,000</w:t>
            </w:r>
          </w:p>
        </w:tc>
        <w:tc>
          <w:tcPr>
            <w:tcW w:w="1226" w:type="dxa"/>
            <w:shd w:val="clear" w:color="auto" w:fill="auto"/>
            <w:noWrap/>
            <w:vAlign w:val="center"/>
            <w:hideMark/>
          </w:tcPr>
          <w:p w14:paraId="3DC86E2F"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459,083</w:t>
            </w:r>
          </w:p>
        </w:tc>
        <w:tc>
          <w:tcPr>
            <w:tcW w:w="1034" w:type="dxa"/>
            <w:shd w:val="clear" w:color="auto" w:fill="auto"/>
            <w:noWrap/>
            <w:vAlign w:val="center"/>
            <w:hideMark/>
          </w:tcPr>
          <w:p w14:paraId="4D37D059"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5,319</w:t>
            </w:r>
          </w:p>
        </w:tc>
        <w:tc>
          <w:tcPr>
            <w:tcW w:w="1031" w:type="dxa"/>
            <w:shd w:val="clear" w:color="auto" w:fill="auto"/>
            <w:vAlign w:val="center"/>
            <w:hideMark/>
          </w:tcPr>
          <w:p w14:paraId="7140C6E9"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89.73%</w:t>
            </w:r>
          </w:p>
        </w:tc>
        <w:tc>
          <w:tcPr>
            <w:tcW w:w="1126" w:type="dxa"/>
            <w:shd w:val="clear" w:color="auto" w:fill="auto"/>
            <w:vAlign w:val="center"/>
            <w:hideMark/>
          </w:tcPr>
          <w:p w14:paraId="5D1BDE04"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53.19%</w:t>
            </w:r>
          </w:p>
        </w:tc>
      </w:tr>
      <w:tr w:rsidR="005139C5" w:rsidRPr="002E06C4" w14:paraId="29F5C275" w14:textId="77777777" w:rsidTr="005F1700">
        <w:trPr>
          <w:trHeight w:val="246"/>
          <w:jc w:val="center"/>
        </w:trPr>
        <w:tc>
          <w:tcPr>
            <w:tcW w:w="454" w:type="dxa"/>
            <w:shd w:val="clear" w:color="auto" w:fill="auto"/>
            <w:vAlign w:val="center"/>
            <w:hideMark/>
          </w:tcPr>
          <w:p w14:paraId="3FAB8EB5"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w:t>
            </w:r>
          </w:p>
        </w:tc>
        <w:tc>
          <w:tcPr>
            <w:tcW w:w="3966" w:type="dxa"/>
            <w:shd w:val="clear" w:color="auto" w:fill="auto"/>
            <w:noWrap/>
            <w:vAlign w:val="center"/>
            <w:hideMark/>
          </w:tcPr>
          <w:p w14:paraId="338E9DD5"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xml:space="preserve"> Ekzekutimi i Pagesave te Ndryshme</w:t>
            </w:r>
          </w:p>
        </w:tc>
        <w:tc>
          <w:tcPr>
            <w:tcW w:w="1125" w:type="dxa"/>
            <w:shd w:val="clear" w:color="auto" w:fill="auto"/>
            <w:noWrap/>
            <w:vAlign w:val="center"/>
            <w:hideMark/>
          </w:tcPr>
          <w:p w14:paraId="0149B35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574,959</w:t>
            </w:r>
          </w:p>
        </w:tc>
        <w:tc>
          <w:tcPr>
            <w:tcW w:w="1125" w:type="dxa"/>
            <w:shd w:val="clear" w:color="auto" w:fill="auto"/>
            <w:noWrap/>
            <w:vAlign w:val="center"/>
            <w:hideMark/>
          </w:tcPr>
          <w:p w14:paraId="03711A7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226" w:type="dxa"/>
            <w:shd w:val="clear" w:color="auto" w:fill="auto"/>
            <w:noWrap/>
            <w:vAlign w:val="center"/>
            <w:hideMark/>
          </w:tcPr>
          <w:p w14:paraId="25105019"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542,814</w:t>
            </w:r>
          </w:p>
        </w:tc>
        <w:tc>
          <w:tcPr>
            <w:tcW w:w="1034" w:type="dxa"/>
            <w:shd w:val="clear" w:color="auto" w:fill="auto"/>
            <w:noWrap/>
            <w:vAlign w:val="center"/>
            <w:hideMark/>
          </w:tcPr>
          <w:p w14:paraId="7DDD9565"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031" w:type="dxa"/>
            <w:shd w:val="clear" w:color="auto" w:fill="auto"/>
            <w:vAlign w:val="center"/>
            <w:hideMark/>
          </w:tcPr>
          <w:p w14:paraId="38B93B17"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94.41%</w:t>
            </w:r>
          </w:p>
        </w:tc>
        <w:tc>
          <w:tcPr>
            <w:tcW w:w="1126" w:type="dxa"/>
            <w:shd w:val="clear" w:color="auto" w:fill="auto"/>
            <w:vAlign w:val="center"/>
            <w:hideMark/>
          </w:tcPr>
          <w:p w14:paraId="351CB919"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r>
      <w:tr w:rsidR="005139C5" w:rsidRPr="002E06C4" w14:paraId="79B8BA29" w14:textId="77777777" w:rsidTr="005F1700">
        <w:trPr>
          <w:trHeight w:val="246"/>
          <w:jc w:val="center"/>
        </w:trPr>
        <w:tc>
          <w:tcPr>
            <w:tcW w:w="454" w:type="dxa"/>
            <w:shd w:val="clear" w:color="auto" w:fill="auto"/>
            <w:vAlign w:val="center"/>
            <w:hideMark/>
          </w:tcPr>
          <w:p w14:paraId="5431DC31"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w:t>
            </w:r>
          </w:p>
        </w:tc>
        <w:tc>
          <w:tcPr>
            <w:tcW w:w="3966" w:type="dxa"/>
            <w:shd w:val="clear" w:color="auto" w:fill="auto"/>
            <w:noWrap/>
            <w:vAlign w:val="center"/>
            <w:hideMark/>
          </w:tcPr>
          <w:p w14:paraId="17D92DE7"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Menaxhimi i të Ardhurave Tatimore</w:t>
            </w:r>
          </w:p>
        </w:tc>
        <w:tc>
          <w:tcPr>
            <w:tcW w:w="1125" w:type="dxa"/>
            <w:shd w:val="clear" w:color="auto" w:fill="auto"/>
            <w:noWrap/>
            <w:vAlign w:val="center"/>
            <w:hideMark/>
          </w:tcPr>
          <w:p w14:paraId="01C2B231"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2,368,708</w:t>
            </w:r>
          </w:p>
        </w:tc>
        <w:tc>
          <w:tcPr>
            <w:tcW w:w="1125" w:type="dxa"/>
            <w:shd w:val="clear" w:color="auto" w:fill="auto"/>
            <w:noWrap/>
            <w:vAlign w:val="center"/>
            <w:hideMark/>
          </w:tcPr>
          <w:p w14:paraId="253AA8EA"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332,000</w:t>
            </w:r>
          </w:p>
        </w:tc>
        <w:tc>
          <w:tcPr>
            <w:tcW w:w="1226" w:type="dxa"/>
            <w:shd w:val="clear" w:color="auto" w:fill="auto"/>
            <w:noWrap/>
            <w:vAlign w:val="center"/>
            <w:hideMark/>
          </w:tcPr>
          <w:p w14:paraId="566EEBCE"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2,341,587</w:t>
            </w:r>
          </w:p>
        </w:tc>
        <w:tc>
          <w:tcPr>
            <w:tcW w:w="1034" w:type="dxa"/>
            <w:shd w:val="clear" w:color="auto" w:fill="auto"/>
            <w:noWrap/>
            <w:vAlign w:val="center"/>
            <w:hideMark/>
          </w:tcPr>
          <w:p w14:paraId="785923A9"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323,007</w:t>
            </w:r>
          </w:p>
        </w:tc>
        <w:tc>
          <w:tcPr>
            <w:tcW w:w="1031" w:type="dxa"/>
            <w:shd w:val="clear" w:color="auto" w:fill="auto"/>
            <w:vAlign w:val="center"/>
            <w:hideMark/>
          </w:tcPr>
          <w:p w14:paraId="0EBA04D5"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98.86%</w:t>
            </w:r>
          </w:p>
        </w:tc>
        <w:tc>
          <w:tcPr>
            <w:tcW w:w="1126" w:type="dxa"/>
            <w:shd w:val="clear" w:color="auto" w:fill="auto"/>
            <w:vAlign w:val="center"/>
            <w:hideMark/>
          </w:tcPr>
          <w:p w14:paraId="11580B5D"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97.29%</w:t>
            </w:r>
          </w:p>
        </w:tc>
      </w:tr>
      <w:tr w:rsidR="005139C5" w:rsidRPr="002E06C4" w14:paraId="4CF42E2F" w14:textId="77777777" w:rsidTr="005F1700">
        <w:trPr>
          <w:trHeight w:val="246"/>
          <w:jc w:val="center"/>
        </w:trPr>
        <w:tc>
          <w:tcPr>
            <w:tcW w:w="454" w:type="dxa"/>
            <w:shd w:val="clear" w:color="auto" w:fill="auto"/>
            <w:vAlign w:val="center"/>
            <w:hideMark/>
          </w:tcPr>
          <w:p w14:paraId="3ECAACC2"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3966" w:type="dxa"/>
            <w:shd w:val="clear" w:color="auto" w:fill="auto"/>
            <w:noWrap/>
            <w:vAlign w:val="center"/>
            <w:hideMark/>
          </w:tcPr>
          <w:p w14:paraId="00525DAE"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1125" w:type="dxa"/>
            <w:shd w:val="clear" w:color="auto" w:fill="auto"/>
            <w:noWrap/>
            <w:vAlign w:val="center"/>
            <w:hideMark/>
          </w:tcPr>
          <w:p w14:paraId="72E08F76"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5" w:type="dxa"/>
            <w:shd w:val="clear" w:color="auto" w:fill="auto"/>
            <w:noWrap/>
            <w:vAlign w:val="center"/>
            <w:hideMark/>
          </w:tcPr>
          <w:p w14:paraId="2BEC8500"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5,000</w:t>
            </w:r>
          </w:p>
        </w:tc>
        <w:tc>
          <w:tcPr>
            <w:tcW w:w="1226" w:type="dxa"/>
            <w:shd w:val="clear" w:color="auto" w:fill="auto"/>
            <w:noWrap/>
            <w:vAlign w:val="center"/>
            <w:hideMark/>
          </w:tcPr>
          <w:p w14:paraId="2BB71EDA"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034" w:type="dxa"/>
            <w:shd w:val="clear" w:color="auto" w:fill="auto"/>
            <w:noWrap/>
            <w:vAlign w:val="center"/>
            <w:hideMark/>
          </w:tcPr>
          <w:p w14:paraId="2B276079"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3,948</w:t>
            </w:r>
          </w:p>
        </w:tc>
        <w:tc>
          <w:tcPr>
            <w:tcW w:w="1031" w:type="dxa"/>
            <w:shd w:val="clear" w:color="auto" w:fill="auto"/>
            <w:vAlign w:val="center"/>
            <w:hideMark/>
          </w:tcPr>
          <w:p w14:paraId="20ACBC2E"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6" w:type="dxa"/>
            <w:shd w:val="clear" w:color="auto" w:fill="auto"/>
            <w:vAlign w:val="center"/>
            <w:hideMark/>
          </w:tcPr>
          <w:p w14:paraId="1DBBE95C"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78.97%</w:t>
            </w:r>
          </w:p>
        </w:tc>
      </w:tr>
      <w:tr w:rsidR="005139C5" w:rsidRPr="002E06C4" w14:paraId="45A46FF3" w14:textId="77777777" w:rsidTr="005F1700">
        <w:trPr>
          <w:trHeight w:val="246"/>
          <w:jc w:val="center"/>
        </w:trPr>
        <w:tc>
          <w:tcPr>
            <w:tcW w:w="454" w:type="dxa"/>
            <w:shd w:val="clear" w:color="auto" w:fill="auto"/>
            <w:vAlign w:val="center"/>
            <w:hideMark/>
          </w:tcPr>
          <w:p w14:paraId="4E9CB104"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w:t>
            </w:r>
          </w:p>
        </w:tc>
        <w:tc>
          <w:tcPr>
            <w:tcW w:w="3966" w:type="dxa"/>
            <w:shd w:val="clear" w:color="auto" w:fill="auto"/>
            <w:noWrap/>
            <w:vAlign w:val="center"/>
            <w:hideMark/>
          </w:tcPr>
          <w:p w14:paraId="6C3FCE87"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Menaxhimi i të Ardhurave Doganore</w:t>
            </w:r>
          </w:p>
        </w:tc>
        <w:tc>
          <w:tcPr>
            <w:tcW w:w="1125" w:type="dxa"/>
            <w:shd w:val="clear" w:color="auto" w:fill="auto"/>
            <w:noWrap/>
            <w:vAlign w:val="center"/>
            <w:hideMark/>
          </w:tcPr>
          <w:p w14:paraId="66E2F658"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3,203,560</w:t>
            </w:r>
          </w:p>
        </w:tc>
        <w:tc>
          <w:tcPr>
            <w:tcW w:w="1125" w:type="dxa"/>
            <w:shd w:val="clear" w:color="auto" w:fill="auto"/>
            <w:noWrap/>
            <w:vAlign w:val="center"/>
            <w:hideMark/>
          </w:tcPr>
          <w:p w14:paraId="2C117DFD"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269,348</w:t>
            </w:r>
          </w:p>
        </w:tc>
        <w:tc>
          <w:tcPr>
            <w:tcW w:w="1226" w:type="dxa"/>
            <w:shd w:val="clear" w:color="auto" w:fill="auto"/>
            <w:noWrap/>
            <w:vAlign w:val="center"/>
            <w:hideMark/>
          </w:tcPr>
          <w:p w14:paraId="361B1B97"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3,177,782</w:t>
            </w:r>
          </w:p>
        </w:tc>
        <w:tc>
          <w:tcPr>
            <w:tcW w:w="1034" w:type="dxa"/>
            <w:shd w:val="clear" w:color="auto" w:fill="auto"/>
            <w:noWrap/>
            <w:vAlign w:val="center"/>
            <w:hideMark/>
          </w:tcPr>
          <w:p w14:paraId="48FE510A"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164,112</w:t>
            </w:r>
          </w:p>
        </w:tc>
        <w:tc>
          <w:tcPr>
            <w:tcW w:w="1031" w:type="dxa"/>
            <w:shd w:val="clear" w:color="auto" w:fill="auto"/>
            <w:vAlign w:val="center"/>
            <w:hideMark/>
          </w:tcPr>
          <w:p w14:paraId="5F77B6A9"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99.20%</w:t>
            </w:r>
          </w:p>
        </w:tc>
        <w:tc>
          <w:tcPr>
            <w:tcW w:w="1126" w:type="dxa"/>
            <w:shd w:val="clear" w:color="auto" w:fill="auto"/>
            <w:vAlign w:val="center"/>
            <w:hideMark/>
          </w:tcPr>
          <w:p w14:paraId="0EA75CEC"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60.93%</w:t>
            </w:r>
          </w:p>
        </w:tc>
      </w:tr>
      <w:tr w:rsidR="005139C5" w:rsidRPr="002E06C4" w14:paraId="5EA127E5" w14:textId="77777777" w:rsidTr="005F1700">
        <w:trPr>
          <w:trHeight w:val="246"/>
          <w:jc w:val="center"/>
        </w:trPr>
        <w:tc>
          <w:tcPr>
            <w:tcW w:w="454" w:type="dxa"/>
            <w:shd w:val="clear" w:color="auto" w:fill="auto"/>
            <w:vAlign w:val="center"/>
            <w:hideMark/>
          </w:tcPr>
          <w:p w14:paraId="5067892E"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3966" w:type="dxa"/>
            <w:shd w:val="clear" w:color="auto" w:fill="auto"/>
            <w:noWrap/>
            <w:vAlign w:val="center"/>
            <w:hideMark/>
          </w:tcPr>
          <w:p w14:paraId="2F0683A0"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1125" w:type="dxa"/>
            <w:shd w:val="clear" w:color="auto" w:fill="auto"/>
            <w:noWrap/>
            <w:vAlign w:val="center"/>
            <w:hideMark/>
          </w:tcPr>
          <w:p w14:paraId="27F469C4"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5" w:type="dxa"/>
            <w:shd w:val="clear" w:color="auto" w:fill="auto"/>
            <w:noWrap/>
            <w:vAlign w:val="center"/>
            <w:hideMark/>
          </w:tcPr>
          <w:p w14:paraId="668A5978"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186,991</w:t>
            </w:r>
          </w:p>
        </w:tc>
        <w:tc>
          <w:tcPr>
            <w:tcW w:w="1226" w:type="dxa"/>
            <w:shd w:val="clear" w:color="auto" w:fill="auto"/>
            <w:noWrap/>
            <w:vAlign w:val="center"/>
            <w:hideMark/>
          </w:tcPr>
          <w:p w14:paraId="6497458E"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034" w:type="dxa"/>
            <w:shd w:val="clear" w:color="auto" w:fill="auto"/>
            <w:noWrap/>
            <w:vAlign w:val="center"/>
            <w:hideMark/>
          </w:tcPr>
          <w:p w14:paraId="1A54472F"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69,542</w:t>
            </w:r>
          </w:p>
        </w:tc>
        <w:tc>
          <w:tcPr>
            <w:tcW w:w="1031" w:type="dxa"/>
            <w:shd w:val="clear" w:color="auto" w:fill="auto"/>
            <w:vAlign w:val="center"/>
            <w:hideMark/>
          </w:tcPr>
          <w:p w14:paraId="2E3B8D73"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6" w:type="dxa"/>
            <w:shd w:val="clear" w:color="auto" w:fill="auto"/>
            <w:vAlign w:val="center"/>
            <w:hideMark/>
          </w:tcPr>
          <w:p w14:paraId="3DAE312C"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37.19%</w:t>
            </w:r>
          </w:p>
        </w:tc>
      </w:tr>
      <w:tr w:rsidR="005139C5" w:rsidRPr="002E06C4" w14:paraId="0FBDE03B" w14:textId="77777777" w:rsidTr="005F1700">
        <w:trPr>
          <w:trHeight w:val="246"/>
          <w:jc w:val="center"/>
        </w:trPr>
        <w:tc>
          <w:tcPr>
            <w:tcW w:w="454" w:type="dxa"/>
            <w:shd w:val="clear" w:color="auto" w:fill="auto"/>
            <w:vAlign w:val="center"/>
            <w:hideMark/>
          </w:tcPr>
          <w:p w14:paraId="67845DE5"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w:t>
            </w:r>
          </w:p>
        </w:tc>
        <w:tc>
          <w:tcPr>
            <w:tcW w:w="3966" w:type="dxa"/>
            <w:shd w:val="clear" w:color="auto" w:fill="auto"/>
            <w:noWrap/>
            <w:vAlign w:val="center"/>
            <w:hideMark/>
          </w:tcPr>
          <w:p w14:paraId="5C1314FF"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Lufta kundër Transaksioneve Financiare Jo-Ligjore</w:t>
            </w:r>
          </w:p>
        </w:tc>
        <w:tc>
          <w:tcPr>
            <w:tcW w:w="1125" w:type="dxa"/>
            <w:shd w:val="clear" w:color="auto" w:fill="auto"/>
            <w:noWrap/>
            <w:vAlign w:val="center"/>
            <w:hideMark/>
          </w:tcPr>
          <w:p w14:paraId="63196FAC"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70,800</w:t>
            </w:r>
          </w:p>
        </w:tc>
        <w:tc>
          <w:tcPr>
            <w:tcW w:w="1125" w:type="dxa"/>
            <w:shd w:val="clear" w:color="auto" w:fill="auto"/>
            <w:noWrap/>
            <w:vAlign w:val="center"/>
            <w:hideMark/>
          </w:tcPr>
          <w:p w14:paraId="61DE0F0C"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18,336</w:t>
            </w:r>
          </w:p>
        </w:tc>
        <w:tc>
          <w:tcPr>
            <w:tcW w:w="1226" w:type="dxa"/>
            <w:shd w:val="clear" w:color="auto" w:fill="auto"/>
            <w:noWrap/>
            <w:vAlign w:val="center"/>
            <w:hideMark/>
          </w:tcPr>
          <w:p w14:paraId="1EF418FA"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65,709</w:t>
            </w:r>
          </w:p>
        </w:tc>
        <w:tc>
          <w:tcPr>
            <w:tcW w:w="1034" w:type="dxa"/>
            <w:shd w:val="clear" w:color="auto" w:fill="auto"/>
            <w:noWrap/>
            <w:vAlign w:val="center"/>
            <w:hideMark/>
          </w:tcPr>
          <w:p w14:paraId="156EEB97"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18,310</w:t>
            </w:r>
          </w:p>
        </w:tc>
        <w:tc>
          <w:tcPr>
            <w:tcW w:w="1031" w:type="dxa"/>
            <w:shd w:val="clear" w:color="auto" w:fill="auto"/>
            <w:vAlign w:val="center"/>
            <w:hideMark/>
          </w:tcPr>
          <w:p w14:paraId="5B50BF3E"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92.81%</w:t>
            </w:r>
          </w:p>
        </w:tc>
        <w:tc>
          <w:tcPr>
            <w:tcW w:w="1126" w:type="dxa"/>
            <w:shd w:val="clear" w:color="auto" w:fill="auto"/>
            <w:vAlign w:val="center"/>
            <w:hideMark/>
          </w:tcPr>
          <w:p w14:paraId="43C5A0FD"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99.86%</w:t>
            </w:r>
          </w:p>
        </w:tc>
      </w:tr>
      <w:tr w:rsidR="005139C5" w:rsidRPr="002E06C4" w14:paraId="52D22983" w14:textId="77777777" w:rsidTr="005F1700">
        <w:trPr>
          <w:trHeight w:val="246"/>
          <w:jc w:val="center"/>
        </w:trPr>
        <w:tc>
          <w:tcPr>
            <w:tcW w:w="454" w:type="dxa"/>
            <w:shd w:val="clear" w:color="auto" w:fill="auto"/>
            <w:vAlign w:val="center"/>
            <w:hideMark/>
          </w:tcPr>
          <w:p w14:paraId="024FF481"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7</w:t>
            </w:r>
          </w:p>
        </w:tc>
        <w:tc>
          <w:tcPr>
            <w:tcW w:w="3966" w:type="dxa"/>
            <w:shd w:val="clear" w:color="auto" w:fill="auto"/>
            <w:noWrap/>
            <w:vAlign w:val="center"/>
            <w:hideMark/>
          </w:tcPr>
          <w:p w14:paraId="5063ADC3"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Mbështetje për Zhvillim Ekonomik</w:t>
            </w:r>
          </w:p>
        </w:tc>
        <w:tc>
          <w:tcPr>
            <w:tcW w:w="1125" w:type="dxa"/>
            <w:shd w:val="clear" w:color="auto" w:fill="auto"/>
            <w:noWrap/>
            <w:vAlign w:val="center"/>
            <w:hideMark/>
          </w:tcPr>
          <w:p w14:paraId="1B0DF4D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271,682</w:t>
            </w:r>
          </w:p>
        </w:tc>
        <w:tc>
          <w:tcPr>
            <w:tcW w:w="1125" w:type="dxa"/>
            <w:shd w:val="clear" w:color="auto" w:fill="auto"/>
            <w:noWrap/>
            <w:vAlign w:val="center"/>
            <w:hideMark/>
          </w:tcPr>
          <w:p w14:paraId="01760B1D"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55,800</w:t>
            </w:r>
          </w:p>
        </w:tc>
        <w:tc>
          <w:tcPr>
            <w:tcW w:w="1226" w:type="dxa"/>
            <w:shd w:val="clear" w:color="auto" w:fill="auto"/>
            <w:noWrap/>
            <w:vAlign w:val="center"/>
            <w:hideMark/>
          </w:tcPr>
          <w:p w14:paraId="2894FD7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255,574</w:t>
            </w:r>
          </w:p>
        </w:tc>
        <w:tc>
          <w:tcPr>
            <w:tcW w:w="1034" w:type="dxa"/>
            <w:shd w:val="clear" w:color="auto" w:fill="auto"/>
            <w:noWrap/>
            <w:vAlign w:val="center"/>
            <w:hideMark/>
          </w:tcPr>
          <w:p w14:paraId="76CBFB2B"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41,026</w:t>
            </w:r>
          </w:p>
        </w:tc>
        <w:tc>
          <w:tcPr>
            <w:tcW w:w="1031" w:type="dxa"/>
            <w:shd w:val="clear" w:color="auto" w:fill="auto"/>
            <w:vAlign w:val="center"/>
            <w:hideMark/>
          </w:tcPr>
          <w:p w14:paraId="0A6F9686"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94.07%</w:t>
            </w:r>
          </w:p>
        </w:tc>
        <w:tc>
          <w:tcPr>
            <w:tcW w:w="1126" w:type="dxa"/>
            <w:shd w:val="clear" w:color="auto" w:fill="auto"/>
            <w:vAlign w:val="center"/>
            <w:hideMark/>
          </w:tcPr>
          <w:p w14:paraId="75EE5224"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73.52%</w:t>
            </w:r>
          </w:p>
        </w:tc>
      </w:tr>
      <w:tr w:rsidR="005139C5" w:rsidRPr="002E06C4" w14:paraId="588775D2" w14:textId="77777777" w:rsidTr="005F1700">
        <w:trPr>
          <w:trHeight w:val="246"/>
          <w:jc w:val="center"/>
        </w:trPr>
        <w:tc>
          <w:tcPr>
            <w:tcW w:w="454" w:type="dxa"/>
            <w:shd w:val="clear" w:color="auto" w:fill="auto"/>
            <w:vAlign w:val="center"/>
            <w:hideMark/>
          </w:tcPr>
          <w:p w14:paraId="638F58EF"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3966" w:type="dxa"/>
            <w:shd w:val="clear" w:color="auto" w:fill="auto"/>
            <w:noWrap/>
            <w:vAlign w:val="center"/>
            <w:hideMark/>
          </w:tcPr>
          <w:p w14:paraId="0D53BA92"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1125" w:type="dxa"/>
            <w:shd w:val="clear" w:color="auto" w:fill="auto"/>
            <w:noWrap/>
            <w:vAlign w:val="center"/>
            <w:hideMark/>
          </w:tcPr>
          <w:p w14:paraId="60291C2C"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5" w:type="dxa"/>
            <w:shd w:val="clear" w:color="auto" w:fill="auto"/>
            <w:noWrap/>
            <w:vAlign w:val="center"/>
            <w:hideMark/>
          </w:tcPr>
          <w:p w14:paraId="242AB979"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207,000</w:t>
            </w:r>
          </w:p>
        </w:tc>
        <w:tc>
          <w:tcPr>
            <w:tcW w:w="1226" w:type="dxa"/>
            <w:shd w:val="clear" w:color="auto" w:fill="auto"/>
            <w:noWrap/>
            <w:vAlign w:val="center"/>
            <w:hideMark/>
          </w:tcPr>
          <w:p w14:paraId="161A299B"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034" w:type="dxa"/>
            <w:shd w:val="clear" w:color="auto" w:fill="auto"/>
            <w:noWrap/>
            <w:vAlign w:val="center"/>
            <w:hideMark/>
          </w:tcPr>
          <w:p w14:paraId="04BAE03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208,293</w:t>
            </w:r>
          </w:p>
        </w:tc>
        <w:tc>
          <w:tcPr>
            <w:tcW w:w="1031" w:type="dxa"/>
            <w:shd w:val="clear" w:color="auto" w:fill="auto"/>
            <w:vAlign w:val="center"/>
            <w:hideMark/>
          </w:tcPr>
          <w:p w14:paraId="1037C38C"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6" w:type="dxa"/>
            <w:shd w:val="clear" w:color="auto" w:fill="auto"/>
            <w:vAlign w:val="center"/>
            <w:hideMark/>
          </w:tcPr>
          <w:p w14:paraId="46557C1E"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100.62%</w:t>
            </w:r>
          </w:p>
        </w:tc>
      </w:tr>
      <w:tr w:rsidR="005139C5" w:rsidRPr="002E06C4" w14:paraId="394479C3" w14:textId="77777777" w:rsidTr="005F1700">
        <w:trPr>
          <w:trHeight w:val="246"/>
          <w:jc w:val="center"/>
        </w:trPr>
        <w:tc>
          <w:tcPr>
            <w:tcW w:w="454" w:type="dxa"/>
            <w:shd w:val="clear" w:color="auto" w:fill="auto"/>
            <w:vAlign w:val="center"/>
            <w:hideMark/>
          </w:tcPr>
          <w:p w14:paraId="5FBFDAD8"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w:t>
            </w:r>
          </w:p>
        </w:tc>
        <w:tc>
          <w:tcPr>
            <w:tcW w:w="3966" w:type="dxa"/>
            <w:shd w:val="clear" w:color="auto" w:fill="auto"/>
            <w:noWrap/>
            <w:vAlign w:val="center"/>
            <w:hideMark/>
          </w:tcPr>
          <w:p w14:paraId="5E3B7D57"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Mbështetje për Mbikq. e Tregut, Infrast. e Cilës. dhe Pron. Industr.</w:t>
            </w:r>
          </w:p>
        </w:tc>
        <w:tc>
          <w:tcPr>
            <w:tcW w:w="1125" w:type="dxa"/>
            <w:shd w:val="clear" w:color="auto" w:fill="auto"/>
            <w:noWrap/>
            <w:vAlign w:val="center"/>
            <w:hideMark/>
          </w:tcPr>
          <w:p w14:paraId="2B444986"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254,142</w:t>
            </w:r>
          </w:p>
        </w:tc>
        <w:tc>
          <w:tcPr>
            <w:tcW w:w="1125" w:type="dxa"/>
            <w:shd w:val="clear" w:color="auto" w:fill="auto"/>
            <w:noWrap/>
            <w:vAlign w:val="center"/>
            <w:hideMark/>
          </w:tcPr>
          <w:p w14:paraId="75C56820"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19,500</w:t>
            </w:r>
          </w:p>
        </w:tc>
        <w:tc>
          <w:tcPr>
            <w:tcW w:w="1226" w:type="dxa"/>
            <w:shd w:val="clear" w:color="auto" w:fill="auto"/>
            <w:noWrap/>
            <w:vAlign w:val="center"/>
            <w:hideMark/>
          </w:tcPr>
          <w:p w14:paraId="31389AA6"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241,869</w:t>
            </w:r>
          </w:p>
        </w:tc>
        <w:tc>
          <w:tcPr>
            <w:tcW w:w="1034" w:type="dxa"/>
            <w:shd w:val="clear" w:color="auto" w:fill="auto"/>
            <w:noWrap/>
            <w:vAlign w:val="center"/>
            <w:hideMark/>
          </w:tcPr>
          <w:p w14:paraId="63919211"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15,931</w:t>
            </w:r>
          </w:p>
        </w:tc>
        <w:tc>
          <w:tcPr>
            <w:tcW w:w="1031" w:type="dxa"/>
            <w:shd w:val="clear" w:color="auto" w:fill="auto"/>
            <w:vAlign w:val="center"/>
            <w:hideMark/>
          </w:tcPr>
          <w:p w14:paraId="629D861E"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95.17%</w:t>
            </w:r>
          </w:p>
        </w:tc>
        <w:tc>
          <w:tcPr>
            <w:tcW w:w="1126" w:type="dxa"/>
            <w:shd w:val="clear" w:color="auto" w:fill="auto"/>
            <w:vAlign w:val="center"/>
            <w:hideMark/>
          </w:tcPr>
          <w:p w14:paraId="502F14F9"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81.70%</w:t>
            </w:r>
          </w:p>
        </w:tc>
      </w:tr>
      <w:tr w:rsidR="005139C5" w:rsidRPr="002E06C4" w14:paraId="0CC73BFC" w14:textId="77777777" w:rsidTr="005F1700">
        <w:trPr>
          <w:trHeight w:val="246"/>
          <w:jc w:val="center"/>
        </w:trPr>
        <w:tc>
          <w:tcPr>
            <w:tcW w:w="454" w:type="dxa"/>
            <w:shd w:val="clear" w:color="auto" w:fill="auto"/>
            <w:vAlign w:val="center"/>
            <w:hideMark/>
          </w:tcPr>
          <w:p w14:paraId="12FFF77F"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3966" w:type="dxa"/>
            <w:shd w:val="clear" w:color="auto" w:fill="auto"/>
            <w:noWrap/>
            <w:vAlign w:val="center"/>
            <w:hideMark/>
          </w:tcPr>
          <w:p w14:paraId="00C68BD2"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1125" w:type="dxa"/>
            <w:shd w:val="clear" w:color="auto" w:fill="auto"/>
            <w:noWrap/>
            <w:vAlign w:val="center"/>
            <w:hideMark/>
          </w:tcPr>
          <w:p w14:paraId="5BEEB21B"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5" w:type="dxa"/>
            <w:shd w:val="clear" w:color="auto" w:fill="auto"/>
            <w:noWrap/>
            <w:vAlign w:val="center"/>
            <w:hideMark/>
          </w:tcPr>
          <w:p w14:paraId="6F33A63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5,000</w:t>
            </w:r>
          </w:p>
        </w:tc>
        <w:tc>
          <w:tcPr>
            <w:tcW w:w="1226" w:type="dxa"/>
            <w:shd w:val="clear" w:color="auto" w:fill="auto"/>
            <w:noWrap/>
            <w:vAlign w:val="center"/>
            <w:hideMark/>
          </w:tcPr>
          <w:p w14:paraId="2B7BE984"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034" w:type="dxa"/>
            <w:shd w:val="clear" w:color="auto" w:fill="auto"/>
            <w:noWrap/>
            <w:vAlign w:val="center"/>
            <w:hideMark/>
          </w:tcPr>
          <w:p w14:paraId="4BBA318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-98</w:t>
            </w:r>
          </w:p>
        </w:tc>
        <w:tc>
          <w:tcPr>
            <w:tcW w:w="1031" w:type="dxa"/>
            <w:shd w:val="clear" w:color="auto" w:fill="auto"/>
            <w:vAlign w:val="center"/>
            <w:hideMark/>
          </w:tcPr>
          <w:p w14:paraId="410A5026"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6" w:type="dxa"/>
            <w:shd w:val="clear" w:color="auto" w:fill="auto"/>
            <w:vAlign w:val="center"/>
            <w:hideMark/>
          </w:tcPr>
          <w:p w14:paraId="43B18850"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-1.96%</w:t>
            </w:r>
          </w:p>
        </w:tc>
      </w:tr>
      <w:tr w:rsidR="005139C5" w:rsidRPr="002E06C4" w14:paraId="12720CEE" w14:textId="77777777" w:rsidTr="005F1700">
        <w:trPr>
          <w:trHeight w:val="246"/>
          <w:jc w:val="center"/>
        </w:trPr>
        <w:tc>
          <w:tcPr>
            <w:tcW w:w="454" w:type="dxa"/>
            <w:shd w:val="clear" w:color="auto" w:fill="auto"/>
            <w:vAlign w:val="center"/>
            <w:hideMark/>
          </w:tcPr>
          <w:p w14:paraId="5254DAA2"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w:t>
            </w:r>
          </w:p>
        </w:tc>
        <w:tc>
          <w:tcPr>
            <w:tcW w:w="3966" w:type="dxa"/>
            <w:shd w:val="clear" w:color="auto" w:fill="auto"/>
            <w:noWrap/>
            <w:vAlign w:val="center"/>
            <w:hideMark/>
          </w:tcPr>
          <w:p w14:paraId="1C545983"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Sigurimi Shoqëror</w:t>
            </w:r>
          </w:p>
        </w:tc>
        <w:tc>
          <w:tcPr>
            <w:tcW w:w="1125" w:type="dxa"/>
            <w:shd w:val="clear" w:color="auto" w:fill="auto"/>
            <w:noWrap/>
            <w:vAlign w:val="center"/>
            <w:hideMark/>
          </w:tcPr>
          <w:p w14:paraId="6AFAB634"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43,849,000</w:t>
            </w:r>
          </w:p>
        </w:tc>
        <w:tc>
          <w:tcPr>
            <w:tcW w:w="1125" w:type="dxa"/>
            <w:shd w:val="clear" w:color="auto" w:fill="auto"/>
            <w:noWrap/>
            <w:vAlign w:val="center"/>
            <w:hideMark/>
          </w:tcPr>
          <w:p w14:paraId="2F2CCAE6"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226" w:type="dxa"/>
            <w:shd w:val="clear" w:color="auto" w:fill="auto"/>
            <w:noWrap/>
            <w:vAlign w:val="center"/>
            <w:hideMark/>
          </w:tcPr>
          <w:p w14:paraId="6470A382"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43,824,000</w:t>
            </w:r>
          </w:p>
        </w:tc>
        <w:tc>
          <w:tcPr>
            <w:tcW w:w="1034" w:type="dxa"/>
            <w:shd w:val="clear" w:color="auto" w:fill="auto"/>
            <w:noWrap/>
            <w:vAlign w:val="center"/>
            <w:hideMark/>
          </w:tcPr>
          <w:p w14:paraId="503D96C8"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031" w:type="dxa"/>
            <w:shd w:val="clear" w:color="auto" w:fill="auto"/>
            <w:vAlign w:val="center"/>
            <w:hideMark/>
          </w:tcPr>
          <w:p w14:paraId="65CE475A"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99.94%</w:t>
            </w:r>
          </w:p>
        </w:tc>
        <w:tc>
          <w:tcPr>
            <w:tcW w:w="1126" w:type="dxa"/>
            <w:shd w:val="clear" w:color="auto" w:fill="auto"/>
            <w:vAlign w:val="center"/>
            <w:hideMark/>
          </w:tcPr>
          <w:p w14:paraId="35943996"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r>
      <w:tr w:rsidR="005139C5" w:rsidRPr="002E06C4" w14:paraId="71F4B1FF" w14:textId="77777777" w:rsidTr="005F1700">
        <w:trPr>
          <w:trHeight w:val="246"/>
          <w:jc w:val="center"/>
        </w:trPr>
        <w:tc>
          <w:tcPr>
            <w:tcW w:w="454" w:type="dxa"/>
            <w:shd w:val="clear" w:color="auto" w:fill="auto"/>
            <w:vAlign w:val="center"/>
            <w:hideMark/>
          </w:tcPr>
          <w:p w14:paraId="3C66CD58"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10</w:t>
            </w:r>
          </w:p>
        </w:tc>
        <w:tc>
          <w:tcPr>
            <w:tcW w:w="3966" w:type="dxa"/>
            <w:shd w:val="clear" w:color="auto" w:fill="auto"/>
            <w:noWrap/>
            <w:vAlign w:val="center"/>
            <w:hideMark/>
          </w:tcPr>
          <w:p w14:paraId="4EE07C5D"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Tregu i Punës</w:t>
            </w:r>
          </w:p>
        </w:tc>
        <w:tc>
          <w:tcPr>
            <w:tcW w:w="1125" w:type="dxa"/>
            <w:shd w:val="clear" w:color="auto" w:fill="auto"/>
            <w:noWrap/>
            <w:vAlign w:val="center"/>
            <w:hideMark/>
          </w:tcPr>
          <w:p w14:paraId="150FDBFF"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1,222,618</w:t>
            </w:r>
          </w:p>
        </w:tc>
        <w:tc>
          <w:tcPr>
            <w:tcW w:w="1125" w:type="dxa"/>
            <w:shd w:val="clear" w:color="auto" w:fill="auto"/>
            <w:noWrap/>
            <w:vAlign w:val="center"/>
            <w:hideMark/>
          </w:tcPr>
          <w:p w14:paraId="1C7781CE"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76,031</w:t>
            </w:r>
          </w:p>
        </w:tc>
        <w:tc>
          <w:tcPr>
            <w:tcW w:w="1226" w:type="dxa"/>
            <w:shd w:val="clear" w:color="auto" w:fill="auto"/>
            <w:noWrap/>
            <w:vAlign w:val="center"/>
            <w:hideMark/>
          </w:tcPr>
          <w:p w14:paraId="2FBB9035"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1,165,399</w:t>
            </w:r>
          </w:p>
        </w:tc>
        <w:tc>
          <w:tcPr>
            <w:tcW w:w="1034" w:type="dxa"/>
            <w:shd w:val="clear" w:color="auto" w:fill="auto"/>
            <w:noWrap/>
            <w:vAlign w:val="center"/>
            <w:hideMark/>
          </w:tcPr>
          <w:p w14:paraId="499808F6"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62,189</w:t>
            </w:r>
          </w:p>
        </w:tc>
        <w:tc>
          <w:tcPr>
            <w:tcW w:w="1031" w:type="dxa"/>
            <w:shd w:val="clear" w:color="auto" w:fill="auto"/>
            <w:vAlign w:val="center"/>
            <w:hideMark/>
          </w:tcPr>
          <w:p w14:paraId="689C98AF"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95.32%</w:t>
            </w:r>
          </w:p>
        </w:tc>
        <w:tc>
          <w:tcPr>
            <w:tcW w:w="1126" w:type="dxa"/>
            <w:shd w:val="clear" w:color="auto" w:fill="auto"/>
            <w:vAlign w:val="center"/>
            <w:hideMark/>
          </w:tcPr>
          <w:p w14:paraId="5A9A712D"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81.79%</w:t>
            </w:r>
          </w:p>
        </w:tc>
      </w:tr>
      <w:tr w:rsidR="005139C5" w:rsidRPr="002E06C4" w14:paraId="0098BF56" w14:textId="77777777" w:rsidTr="005F1700">
        <w:trPr>
          <w:trHeight w:val="246"/>
          <w:jc w:val="center"/>
        </w:trPr>
        <w:tc>
          <w:tcPr>
            <w:tcW w:w="454" w:type="dxa"/>
            <w:shd w:val="clear" w:color="auto" w:fill="auto"/>
            <w:vAlign w:val="center"/>
            <w:hideMark/>
          </w:tcPr>
          <w:p w14:paraId="535D7DFE"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11</w:t>
            </w:r>
          </w:p>
        </w:tc>
        <w:tc>
          <w:tcPr>
            <w:tcW w:w="3966" w:type="dxa"/>
            <w:shd w:val="clear" w:color="auto" w:fill="auto"/>
            <w:noWrap/>
            <w:vAlign w:val="center"/>
            <w:hideMark/>
          </w:tcPr>
          <w:p w14:paraId="44B76AF1"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Inspektimi në Punë</w:t>
            </w:r>
          </w:p>
        </w:tc>
        <w:tc>
          <w:tcPr>
            <w:tcW w:w="1125" w:type="dxa"/>
            <w:shd w:val="clear" w:color="auto" w:fill="auto"/>
            <w:noWrap/>
            <w:vAlign w:val="center"/>
            <w:hideMark/>
          </w:tcPr>
          <w:p w14:paraId="4B8E6815"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173,590</w:t>
            </w:r>
          </w:p>
        </w:tc>
        <w:tc>
          <w:tcPr>
            <w:tcW w:w="1125" w:type="dxa"/>
            <w:shd w:val="clear" w:color="auto" w:fill="auto"/>
            <w:noWrap/>
            <w:vAlign w:val="center"/>
            <w:hideMark/>
          </w:tcPr>
          <w:p w14:paraId="313BC0E0"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10,000</w:t>
            </w:r>
          </w:p>
        </w:tc>
        <w:tc>
          <w:tcPr>
            <w:tcW w:w="1226" w:type="dxa"/>
            <w:shd w:val="clear" w:color="auto" w:fill="auto"/>
            <w:noWrap/>
            <w:vAlign w:val="center"/>
            <w:hideMark/>
          </w:tcPr>
          <w:p w14:paraId="5C6323A5"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155,317</w:t>
            </w:r>
          </w:p>
        </w:tc>
        <w:tc>
          <w:tcPr>
            <w:tcW w:w="1034" w:type="dxa"/>
            <w:shd w:val="clear" w:color="auto" w:fill="auto"/>
            <w:noWrap/>
            <w:vAlign w:val="center"/>
            <w:hideMark/>
          </w:tcPr>
          <w:p w14:paraId="625B5BB6"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9,937</w:t>
            </w:r>
          </w:p>
        </w:tc>
        <w:tc>
          <w:tcPr>
            <w:tcW w:w="1031" w:type="dxa"/>
            <w:shd w:val="clear" w:color="auto" w:fill="auto"/>
            <w:vAlign w:val="center"/>
            <w:hideMark/>
          </w:tcPr>
          <w:p w14:paraId="65DA4F19"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89.47%</w:t>
            </w:r>
          </w:p>
        </w:tc>
        <w:tc>
          <w:tcPr>
            <w:tcW w:w="1126" w:type="dxa"/>
            <w:shd w:val="clear" w:color="auto" w:fill="auto"/>
            <w:vAlign w:val="center"/>
            <w:hideMark/>
          </w:tcPr>
          <w:p w14:paraId="03196733"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99.37%</w:t>
            </w:r>
          </w:p>
        </w:tc>
      </w:tr>
      <w:tr w:rsidR="005139C5" w:rsidRPr="002E06C4" w14:paraId="39D68D1B" w14:textId="77777777" w:rsidTr="005F1700">
        <w:trPr>
          <w:trHeight w:val="246"/>
          <w:jc w:val="center"/>
        </w:trPr>
        <w:tc>
          <w:tcPr>
            <w:tcW w:w="454" w:type="dxa"/>
            <w:shd w:val="clear" w:color="auto" w:fill="auto"/>
            <w:vAlign w:val="center"/>
            <w:hideMark/>
          </w:tcPr>
          <w:p w14:paraId="7EF0F55F"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12</w:t>
            </w:r>
          </w:p>
        </w:tc>
        <w:tc>
          <w:tcPr>
            <w:tcW w:w="3966" w:type="dxa"/>
            <w:shd w:val="clear" w:color="auto" w:fill="auto"/>
            <w:noWrap/>
            <w:vAlign w:val="center"/>
            <w:hideMark/>
          </w:tcPr>
          <w:p w14:paraId="7D023803"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Arsimi i  Mesëm Profesional</w:t>
            </w:r>
          </w:p>
        </w:tc>
        <w:tc>
          <w:tcPr>
            <w:tcW w:w="1125" w:type="dxa"/>
            <w:shd w:val="clear" w:color="auto" w:fill="auto"/>
            <w:noWrap/>
            <w:vAlign w:val="center"/>
            <w:hideMark/>
          </w:tcPr>
          <w:p w14:paraId="592BB78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1,683,722</w:t>
            </w:r>
          </w:p>
        </w:tc>
        <w:tc>
          <w:tcPr>
            <w:tcW w:w="1125" w:type="dxa"/>
            <w:shd w:val="clear" w:color="auto" w:fill="auto"/>
            <w:noWrap/>
            <w:vAlign w:val="center"/>
            <w:hideMark/>
          </w:tcPr>
          <w:p w14:paraId="7D2BF022"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989,661</w:t>
            </w:r>
          </w:p>
        </w:tc>
        <w:tc>
          <w:tcPr>
            <w:tcW w:w="1226" w:type="dxa"/>
            <w:shd w:val="clear" w:color="auto" w:fill="auto"/>
            <w:noWrap/>
            <w:vAlign w:val="center"/>
            <w:hideMark/>
          </w:tcPr>
          <w:p w14:paraId="19A83680"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1,572,109</w:t>
            </w:r>
          </w:p>
        </w:tc>
        <w:tc>
          <w:tcPr>
            <w:tcW w:w="1034" w:type="dxa"/>
            <w:shd w:val="clear" w:color="auto" w:fill="auto"/>
            <w:noWrap/>
            <w:vAlign w:val="center"/>
            <w:hideMark/>
          </w:tcPr>
          <w:p w14:paraId="653F809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974,642</w:t>
            </w:r>
          </w:p>
        </w:tc>
        <w:tc>
          <w:tcPr>
            <w:tcW w:w="1031" w:type="dxa"/>
            <w:shd w:val="clear" w:color="auto" w:fill="auto"/>
            <w:vAlign w:val="center"/>
            <w:hideMark/>
          </w:tcPr>
          <w:p w14:paraId="50346A75"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93.37%</w:t>
            </w:r>
          </w:p>
        </w:tc>
        <w:tc>
          <w:tcPr>
            <w:tcW w:w="1126" w:type="dxa"/>
            <w:shd w:val="clear" w:color="auto" w:fill="auto"/>
            <w:vAlign w:val="center"/>
            <w:hideMark/>
          </w:tcPr>
          <w:p w14:paraId="05E4E94B"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98.48%</w:t>
            </w:r>
          </w:p>
        </w:tc>
      </w:tr>
      <w:tr w:rsidR="005139C5" w:rsidRPr="002E06C4" w14:paraId="6251308D" w14:textId="77777777" w:rsidTr="005F1700">
        <w:trPr>
          <w:trHeight w:val="246"/>
          <w:jc w:val="center"/>
        </w:trPr>
        <w:tc>
          <w:tcPr>
            <w:tcW w:w="454" w:type="dxa"/>
            <w:shd w:val="clear" w:color="auto" w:fill="auto"/>
            <w:vAlign w:val="center"/>
            <w:hideMark/>
          </w:tcPr>
          <w:p w14:paraId="76F01AC0"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3966" w:type="dxa"/>
            <w:shd w:val="clear" w:color="auto" w:fill="auto"/>
            <w:noWrap/>
            <w:vAlign w:val="center"/>
            <w:hideMark/>
          </w:tcPr>
          <w:p w14:paraId="743F1EB3"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Financimi i huaj</w:t>
            </w:r>
          </w:p>
        </w:tc>
        <w:tc>
          <w:tcPr>
            <w:tcW w:w="1125" w:type="dxa"/>
            <w:shd w:val="clear" w:color="auto" w:fill="auto"/>
            <w:noWrap/>
            <w:vAlign w:val="center"/>
            <w:hideMark/>
          </w:tcPr>
          <w:p w14:paraId="3489A90C"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5" w:type="dxa"/>
            <w:shd w:val="clear" w:color="auto" w:fill="auto"/>
            <w:noWrap/>
            <w:vAlign w:val="center"/>
            <w:hideMark/>
          </w:tcPr>
          <w:p w14:paraId="2026FA1E"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409,487</w:t>
            </w:r>
          </w:p>
        </w:tc>
        <w:tc>
          <w:tcPr>
            <w:tcW w:w="1226" w:type="dxa"/>
            <w:shd w:val="clear" w:color="auto" w:fill="auto"/>
            <w:noWrap/>
            <w:vAlign w:val="center"/>
            <w:hideMark/>
          </w:tcPr>
          <w:p w14:paraId="125612B0"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034" w:type="dxa"/>
            <w:shd w:val="clear" w:color="auto" w:fill="auto"/>
            <w:noWrap/>
            <w:vAlign w:val="center"/>
            <w:hideMark/>
          </w:tcPr>
          <w:p w14:paraId="0B17AFD9"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113,372</w:t>
            </w:r>
          </w:p>
        </w:tc>
        <w:tc>
          <w:tcPr>
            <w:tcW w:w="1031" w:type="dxa"/>
            <w:shd w:val="clear" w:color="auto" w:fill="auto"/>
            <w:vAlign w:val="center"/>
            <w:hideMark/>
          </w:tcPr>
          <w:p w14:paraId="26C1DD5E"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 </w:t>
            </w:r>
          </w:p>
        </w:tc>
        <w:tc>
          <w:tcPr>
            <w:tcW w:w="1126" w:type="dxa"/>
            <w:shd w:val="clear" w:color="auto" w:fill="auto"/>
            <w:vAlign w:val="center"/>
            <w:hideMark/>
          </w:tcPr>
          <w:p w14:paraId="76562833"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27.69%</w:t>
            </w:r>
          </w:p>
        </w:tc>
      </w:tr>
      <w:tr w:rsidR="005139C5" w:rsidRPr="002E06C4" w14:paraId="1B88BE7A" w14:textId="77777777" w:rsidTr="005F1700">
        <w:trPr>
          <w:trHeight w:val="246"/>
          <w:jc w:val="center"/>
        </w:trPr>
        <w:tc>
          <w:tcPr>
            <w:tcW w:w="454" w:type="dxa"/>
            <w:shd w:val="clear" w:color="auto" w:fill="auto"/>
            <w:vAlign w:val="center"/>
            <w:hideMark/>
          </w:tcPr>
          <w:p w14:paraId="5FC06D28"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13</w:t>
            </w:r>
          </w:p>
        </w:tc>
        <w:tc>
          <w:tcPr>
            <w:tcW w:w="3966" w:type="dxa"/>
            <w:shd w:val="clear" w:color="auto" w:fill="auto"/>
            <w:noWrap/>
            <w:vAlign w:val="center"/>
            <w:hideMark/>
          </w:tcPr>
          <w:p w14:paraId="742892DC" w14:textId="77777777" w:rsidR="005139C5" w:rsidRPr="002E06C4" w:rsidRDefault="005139C5" w:rsidP="0080499B">
            <w:pPr>
              <w:shd w:val="clear" w:color="auto" w:fill="FFFFFF" w:themeFill="background1"/>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Strehimi</w:t>
            </w:r>
          </w:p>
        </w:tc>
        <w:tc>
          <w:tcPr>
            <w:tcW w:w="1125" w:type="dxa"/>
            <w:shd w:val="clear" w:color="auto" w:fill="auto"/>
            <w:noWrap/>
            <w:vAlign w:val="center"/>
            <w:hideMark/>
          </w:tcPr>
          <w:p w14:paraId="53970160"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334,864</w:t>
            </w:r>
          </w:p>
        </w:tc>
        <w:tc>
          <w:tcPr>
            <w:tcW w:w="1125" w:type="dxa"/>
            <w:shd w:val="clear" w:color="auto" w:fill="auto"/>
            <w:noWrap/>
            <w:vAlign w:val="center"/>
            <w:hideMark/>
          </w:tcPr>
          <w:p w14:paraId="631C98AA"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199,200</w:t>
            </w:r>
          </w:p>
        </w:tc>
        <w:tc>
          <w:tcPr>
            <w:tcW w:w="1226" w:type="dxa"/>
            <w:shd w:val="clear" w:color="auto" w:fill="auto"/>
            <w:noWrap/>
            <w:vAlign w:val="center"/>
            <w:hideMark/>
          </w:tcPr>
          <w:p w14:paraId="5B1994F6"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323,018</w:t>
            </w:r>
          </w:p>
        </w:tc>
        <w:tc>
          <w:tcPr>
            <w:tcW w:w="1034" w:type="dxa"/>
            <w:shd w:val="clear" w:color="auto" w:fill="auto"/>
            <w:noWrap/>
            <w:vAlign w:val="center"/>
            <w:hideMark/>
          </w:tcPr>
          <w:p w14:paraId="7F748E16" w14:textId="77777777" w:rsidR="005139C5" w:rsidRPr="002E06C4" w:rsidRDefault="005139C5" w:rsidP="0080499B">
            <w:pPr>
              <w:shd w:val="clear" w:color="auto" w:fill="FFFFFF" w:themeFill="background1"/>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182,154</w:t>
            </w:r>
          </w:p>
        </w:tc>
        <w:tc>
          <w:tcPr>
            <w:tcW w:w="1031" w:type="dxa"/>
            <w:shd w:val="clear" w:color="auto" w:fill="auto"/>
            <w:vAlign w:val="center"/>
            <w:hideMark/>
          </w:tcPr>
          <w:p w14:paraId="357BD156"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96.46%</w:t>
            </w:r>
          </w:p>
        </w:tc>
        <w:tc>
          <w:tcPr>
            <w:tcW w:w="1126" w:type="dxa"/>
            <w:shd w:val="clear" w:color="auto" w:fill="auto"/>
            <w:vAlign w:val="center"/>
            <w:hideMark/>
          </w:tcPr>
          <w:p w14:paraId="6A1AA715" w14:textId="77777777" w:rsidR="005139C5" w:rsidRPr="002E06C4" w:rsidRDefault="005139C5" w:rsidP="0080499B">
            <w:pPr>
              <w:shd w:val="clear" w:color="auto" w:fill="FFFFFF" w:themeFill="background1"/>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91.44%</w:t>
            </w:r>
          </w:p>
        </w:tc>
      </w:tr>
      <w:tr w:rsidR="005139C5" w:rsidRPr="002E06C4" w14:paraId="1079F414" w14:textId="77777777" w:rsidTr="005F1700">
        <w:trPr>
          <w:trHeight w:val="246"/>
          <w:jc w:val="center"/>
        </w:trPr>
        <w:tc>
          <w:tcPr>
            <w:tcW w:w="454" w:type="dxa"/>
            <w:shd w:val="clear" w:color="auto" w:fill="auto"/>
            <w:noWrap/>
            <w:vAlign w:val="center"/>
            <w:hideMark/>
          </w:tcPr>
          <w:p w14:paraId="68000CBC" w14:textId="77777777" w:rsidR="005139C5" w:rsidRPr="002E06C4" w:rsidRDefault="005139C5" w:rsidP="0080499B">
            <w:pPr>
              <w:shd w:val="clear" w:color="auto" w:fill="FFFFFF" w:themeFill="background1"/>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 </w:t>
            </w:r>
          </w:p>
        </w:tc>
        <w:tc>
          <w:tcPr>
            <w:tcW w:w="3966" w:type="dxa"/>
            <w:shd w:val="clear" w:color="auto" w:fill="auto"/>
            <w:noWrap/>
            <w:vAlign w:val="center"/>
            <w:hideMark/>
          </w:tcPr>
          <w:p w14:paraId="64F56DE6"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TOTALI</w:t>
            </w:r>
          </w:p>
        </w:tc>
        <w:tc>
          <w:tcPr>
            <w:tcW w:w="1125" w:type="dxa"/>
            <w:shd w:val="clear" w:color="auto" w:fill="auto"/>
            <w:noWrap/>
            <w:vAlign w:val="center"/>
            <w:hideMark/>
          </w:tcPr>
          <w:p w14:paraId="3685F615" w14:textId="77777777" w:rsidR="005139C5" w:rsidRPr="002E06C4" w:rsidRDefault="005139C5" w:rsidP="0080499B">
            <w:pPr>
              <w:shd w:val="clear" w:color="auto" w:fill="FFFFFF" w:themeFill="background1"/>
              <w:jc w:val="right"/>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55,291,183</w:t>
            </w:r>
          </w:p>
        </w:tc>
        <w:tc>
          <w:tcPr>
            <w:tcW w:w="1125" w:type="dxa"/>
            <w:shd w:val="clear" w:color="auto" w:fill="auto"/>
            <w:noWrap/>
            <w:vAlign w:val="center"/>
            <w:hideMark/>
          </w:tcPr>
          <w:p w14:paraId="4C3E6230" w14:textId="77777777" w:rsidR="005139C5" w:rsidRPr="002E06C4" w:rsidRDefault="005139C5" w:rsidP="0080499B">
            <w:pPr>
              <w:shd w:val="clear" w:color="auto" w:fill="FFFFFF" w:themeFill="background1"/>
              <w:jc w:val="right"/>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3,639,519</w:t>
            </w:r>
          </w:p>
        </w:tc>
        <w:tc>
          <w:tcPr>
            <w:tcW w:w="1226" w:type="dxa"/>
            <w:shd w:val="clear" w:color="auto" w:fill="auto"/>
            <w:noWrap/>
            <w:vAlign w:val="center"/>
            <w:hideMark/>
          </w:tcPr>
          <w:p w14:paraId="1049AE1F" w14:textId="77777777" w:rsidR="005139C5" w:rsidRPr="002E06C4" w:rsidRDefault="005139C5" w:rsidP="0080499B">
            <w:pPr>
              <w:shd w:val="clear" w:color="auto" w:fill="FFFFFF" w:themeFill="background1"/>
              <w:jc w:val="right"/>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54,717,441</w:t>
            </w:r>
          </w:p>
        </w:tc>
        <w:tc>
          <w:tcPr>
            <w:tcW w:w="1034" w:type="dxa"/>
            <w:shd w:val="clear" w:color="auto" w:fill="auto"/>
            <w:noWrap/>
            <w:vAlign w:val="center"/>
            <w:hideMark/>
          </w:tcPr>
          <w:p w14:paraId="75A99734" w14:textId="77777777" w:rsidR="005139C5" w:rsidRPr="002E06C4" w:rsidRDefault="005139C5" w:rsidP="0080499B">
            <w:pPr>
              <w:shd w:val="clear" w:color="auto" w:fill="FFFFFF" w:themeFill="background1"/>
              <w:jc w:val="right"/>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2,807,023</w:t>
            </w:r>
          </w:p>
        </w:tc>
        <w:tc>
          <w:tcPr>
            <w:tcW w:w="1031" w:type="dxa"/>
            <w:shd w:val="clear" w:color="auto" w:fill="auto"/>
            <w:vAlign w:val="center"/>
            <w:hideMark/>
          </w:tcPr>
          <w:p w14:paraId="061A8BB9"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98.96%</w:t>
            </w:r>
          </w:p>
        </w:tc>
        <w:tc>
          <w:tcPr>
            <w:tcW w:w="1126" w:type="dxa"/>
            <w:shd w:val="clear" w:color="auto" w:fill="auto"/>
            <w:vAlign w:val="center"/>
            <w:hideMark/>
          </w:tcPr>
          <w:p w14:paraId="436EE5FD" w14:textId="77777777" w:rsidR="005139C5" w:rsidRPr="002E06C4" w:rsidRDefault="005139C5" w:rsidP="0080499B">
            <w:pPr>
              <w:shd w:val="clear" w:color="auto" w:fill="FFFFFF" w:themeFill="background1"/>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77.13%</w:t>
            </w:r>
          </w:p>
        </w:tc>
      </w:tr>
    </w:tbl>
    <w:p w14:paraId="31955C96" w14:textId="77777777" w:rsidR="005139C5" w:rsidRPr="002E06C4" w:rsidRDefault="005139C5" w:rsidP="005139C5">
      <w:pPr>
        <w:spacing w:before="240"/>
        <w:jc w:val="both"/>
        <w:rPr>
          <w:rFonts w:asciiTheme="majorHAnsi" w:hAnsiTheme="majorHAnsi" w:cs="Times New Roman"/>
          <w:lang w:val="sq-AL"/>
        </w:rPr>
      </w:pPr>
      <w:r w:rsidRPr="002E06C4">
        <w:rPr>
          <w:rFonts w:asciiTheme="majorHAnsi" w:hAnsiTheme="majorHAnsi" w:cs="Times New Roman"/>
          <w:lang w:val="sq-AL"/>
        </w:rPr>
        <w:t>Në programin “</w:t>
      </w:r>
      <w:r w:rsidRPr="002E06C4">
        <w:rPr>
          <w:rFonts w:asciiTheme="majorHAnsi" w:hAnsiTheme="majorHAnsi" w:cs="Times New Roman"/>
          <w:b/>
          <w:i/>
          <w:lang w:val="sq-AL"/>
        </w:rPr>
        <w:t>Arsimi i Mesëm Profesional</w:t>
      </w:r>
      <w:r w:rsidRPr="002E06C4">
        <w:rPr>
          <w:rFonts w:asciiTheme="majorHAnsi" w:hAnsiTheme="majorHAnsi" w:cs="Times New Roman"/>
          <w:lang w:val="sq-AL"/>
        </w:rPr>
        <w:t>”, me fondet buxhetore të planifikuara për vitin 2018 janë shënuar arritje cilësore dhe sasiore, konkretisht:</w:t>
      </w:r>
    </w:p>
    <w:p w14:paraId="4A0DBE9C"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Gjatë vitit 2018 arriti në 19,296 numri i nxënësve të cilët vazhdojnë arsimin e mesëm në drejtimin e arsimit profesional në vitin mësimor 2018-2019.</w:t>
      </w:r>
    </w:p>
    <w:p w14:paraId="0C563187"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Gjatë vitit 2018 janë hartuar dhe përmirësuar 20 skelet-kurrikula dhe mbi 15 materiale mësimore (të aksesueshme për të gjithë ofruesit e AFP online)</w:t>
      </w:r>
    </w:p>
    <w:p w14:paraId="61B6CD20"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Gjatë vitit 2018 janë hartuar 10 përshkrime/standarde të kualifikimeve profesionale (të aksesueshme për të gjithë ofruesit e AFP online)</w:t>
      </w:r>
    </w:p>
    <w:p w14:paraId="3CE83099"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Gjatë vitit 2018 janë draftuar 21 akte nënligjore dhe janë finalizuar 8 akte (udhëzime) dhe 5 Vendime të Këshillit të Ministrave të cilët janë në proces për t’u aprovuar.</w:t>
      </w:r>
    </w:p>
    <w:p w14:paraId="329D2D9B"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 xml:space="preserve">Gjatë vitit 2018 u miratua nga Parlamenti Shqiptar Ligji Nr. 23/2018, datë 10.05.2018 “Për disa ndryshime dhe plotësime të Ligjit 10247, datë 4.3.2010, “ Për Kornizën Shqiptare të Kualifikimeve (KSHK)”, dhe 3 projekt-vendime janë hartuar dhe janë ne pritje për miratim. </w:t>
      </w:r>
    </w:p>
    <w:p w14:paraId="52EB6CD9"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Gjatë vitit 2018 janë trajnuar 190 mësimdhënës.</w:t>
      </w:r>
    </w:p>
    <w:p w14:paraId="2CBB9CFF"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 xml:space="preserve">Gjatë vitit 2018 janë punësuar 46.9 përqind e të diplomuarve në AP për vitin mësimor paraardhës. </w:t>
      </w:r>
    </w:p>
    <w:p w14:paraId="3482A626"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 xml:space="preserve">Gjatë vitit 2018 ka vazhduar Promovimi i AF , janë organizuar ditët e hapura të shkollave, panairet rajonale  dhe u finalizua me panairin/olimpiadën e aftësive 2018 . </w:t>
      </w:r>
    </w:p>
    <w:p w14:paraId="132CCC89" w14:textId="77777777" w:rsidR="005F1700" w:rsidRDefault="005F1700" w:rsidP="005139C5">
      <w:pPr>
        <w:jc w:val="both"/>
        <w:rPr>
          <w:rFonts w:asciiTheme="majorHAnsi" w:hAnsiTheme="majorHAnsi" w:cs="Times New Roman"/>
          <w:lang w:val="sq-AL"/>
        </w:rPr>
      </w:pPr>
    </w:p>
    <w:p w14:paraId="38AF573F" w14:textId="77777777" w:rsidR="005139C5" w:rsidRPr="002E06C4" w:rsidRDefault="005139C5" w:rsidP="005139C5">
      <w:pPr>
        <w:jc w:val="both"/>
        <w:rPr>
          <w:rFonts w:asciiTheme="majorHAnsi" w:hAnsiTheme="majorHAnsi" w:cs="Times New Roman"/>
          <w:lang w:val="sq-AL"/>
        </w:rPr>
      </w:pPr>
      <w:r w:rsidRPr="002E06C4">
        <w:rPr>
          <w:rFonts w:asciiTheme="majorHAnsi" w:hAnsiTheme="majorHAnsi" w:cs="Times New Roman"/>
          <w:lang w:val="sq-AL"/>
        </w:rPr>
        <w:lastRenderedPageBreak/>
        <w:t>Në programin “</w:t>
      </w:r>
      <w:r w:rsidRPr="002E06C4">
        <w:rPr>
          <w:rFonts w:asciiTheme="majorHAnsi" w:hAnsiTheme="majorHAnsi" w:cs="Times New Roman"/>
          <w:b/>
          <w:i/>
          <w:lang w:val="sq-AL"/>
        </w:rPr>
        <w:t>Punësimi</w:t>
      </w:r>
      <w:r w:rsidRPr="002E06C4">
        <w:rPr>
          <w:rFonts w:asciiTheme="majorHAnsi" w:hAnsiTheme="majorHAnsi" w:cs="Times New Roman"/>
          <w:lang w:val="sq-AL"/>
        </w:rPr>
        <w:t>”, me fondet e buxhetit për vitin 2018 është arritur që:</w:t>
      </w:r>
    </w:p>
    <w:p w14:paraId="39B2DD8F"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 xml:space="preserve">Në Janar- Dhjetor 2018 janë punësuar 34,669 punëkërkues të papunë duke realizuar 138% të objektivit vjetor, ose rreth 50% më shumë se 12 mujori i vitit 2017. </w:t>
      </w:r>
    </w:p>
    <w:p w14:paraId="1DEA9057"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Për periudhën Janar- Dhjetor 2018 nga zbatimi i programeve të nxitjes  punesimit për vitin 2018 kanë përfituar 729 subjekte dhe 4,808 individë me nje fond prej 289 miljon leke. ( I planifikuar 490 miljon I rishikuar 289 miljon)</w:t>
      </w:r>
    </w:p>
    <w:p w14:paraId="4AB027D5" w14:textId="77777777" w:rsidR="005139C5" w:rsidRPr="002E06C4" w:rsidRDefault="005139C5" w:rsidP="006C0253">
      <w:pPr>
        <w:numPr>
          <w:ilvl w:val="0"/>
          <w:numId w:val="19"/>
        </w:numPr>
        <w:jc w:val="both"/>
        <w:rPr>
          <w:rFonts w:asciiTheme="majorHAnsi" w:hAnsiTheme="majorHAnsi" w:cs="Times New Roman"/>
          <w:lang w:val="sq-AL"/>
        </w:rPr>
      </w:pPr>
      <w:r w:rsidRPr="002E06C4">
        <w:rPr>
          <w:rFonts w:asciiTheme="majorHAnsi" w:hAnsiTheme="majorHAnsi" w:cs="Times New Roman"/>
          <w:lang w:val="sq-AL"/>
        </w:rPr>
        <w:t>Në vitin 2018 u regjistruan për të ndjekur programet e formimit profesional 16,574 individ dhe 64% ose 10,545 prej tyre u certifikuan.  Nga 16,574 persona të regjistruar në kurse formimi 8770 janë klientë Zyrave të punës ose 53% e tyre. Nder ta, janë certifikuar në një program formimi profesional 5307 punëkërkues të papunë, duke bërë kështu të mundur marrjen e një zanati me qëllimin për të qënë të aftë në tregun e punës dhe duke rritur mundësitë për punësimin e tyre.</w:t>
      </w:r>
    </w:p>
    <w:p w14:paraId="62F4E221" w14:textId="77777777" w:rsidR="005139C5" w:rsidRPr="002E06C4" w:rsidRDefault="005139C5" w:rsidP="005139C5">
      <w:pPr>
        <w:jc w:val="both"/>
        <w:rPr>
          <w:rFonts w:asciiTheme="majorHAnsi" w:hAnsiTheme="majorHAnsi" w:cs="Times New Roman"/>
          <w:lang w:val="sq-AL"/>
        </w:rPr>
      </w:pPr>
    </w:p>
    <w:p w14:paraId="6793FE54" w14:textId="77777777" w:rsidR="005139C5" w:rsidRPr="002E06C4" w:rsidRDefault="005139C5" w:rsidP="005139C5">
      <w:pPr>
        <w:jc w:val="both"/>
        <w:rPr>
          <w:rFonts w:asciiTheme="majorHAnsi" w:hAnsiTheme="majorHAnsi" w:cs="Times New Roman"/>
          <w:lang w:val="sq-AL"/>
        </w:rPr>
      </w:pPr>
      <w:r w:rsidRPr="002E06C4">
        <w:rPr>
          <w:rFonts w:asciiTheme="majorHAnsi" w:hAnsiTheme="majorHAnsi" w:cs="Times New Roman"/>
          <w:lang w:val="sq-AL"/>
        </w:rPr>
        <w:t>Në programin “</w:t>
      </w:r>
      <w:r w:rsidRPr="002E06C4">
        <w:rPr>
          <w:rFonts w:asciiTheme="majorHAnsi" w:hAnsiTheme="majorHAnsi" w:cs="Times New Roman"/>
          <w:b/>
          <w:i/>
          <w:lang w:val="sq-AL"/>
        </w:rPr>
        <w:t>Strehimi</w:t>
      </w:r>
      <w:r w:rsidRPr="002E06C4">
        <w:rPr>
          <w:rFonts w:asciiTheme="majorHAnsi" w:hAnsiTheme="majorHAnsi" w:cs="Times New Roman"/>
          <w:lang w:val="sq-AL"/>
        </w:rPr>
        <w:t xml:space="preserve">”, fondet e programeve sociale të strehimit janë rritur me 28% në krahasim me 2 vite më parë duke arritur vlerën e rreth 534 milionë lekë në vitin 2018. Objektivi i programit të strehimit është të sigurojë strehim të përshtatshëm e të përballueshëm për individë e familje që nuk përballojnë dot kostot e tregut të banesave. Realizimi i këtij objektivi është bërë duke shënuar arritje cilësore dhe sasiore si më poshtë:  </w:t>
      </w:r>
    </w:p>
    <w:p w14:paraId="3390BD66" w14:textId="77777777" w:rsidR="005139C5" w:rsidRPr="002E06C4" w:rsidRDefault="005139C5" w:rsidP="006C0253">
      <w:pPr>
        <w:numPr>
          <w:ilvl w:val="0"/>
          <w:numId w:val="42"/>
        </w:numPr>
        <w:jc w:val="both"/>
        <w:rPr>
          <w:rFonts w:asciiTheme="majorHAnsi" w:hAnsiTheme="majorHAnsi" w:cs="Times New Roman"/>
          <w:lang w:val="sq-AL"/>
        </w:rPr>
      </w:pPr>
      <w:r w:rsidRPr="002E06C4">
        <w:rPr>
          <w:rFonts w:asciiTheme="majorHAnsi" w:hAnsiTheme="majorHAnsi" w:cs="Times New Roman"/>
          <w:lang w:val="sq-AL"/>
        </w:rPr>
        <w:t>Trajtuar sipas programit të strehimit gjithësej 1545 familje, nëpërmjet produkteve të përmbledhura si më poshtë:</w:t>
      </w:r>
    </w:p>
    <w:p w14:paraId="52BEC693" w14:textId="77777777" w:rsidR="005139C5" w:rsidRPr="002E06C4" w:rsidRDefault="005139C5" w:rsidP="006C0253">
      <w:pPr>
        <w:numPr>
          <w:ilvl w:val="1"/>
          <w:numId w:val="17"/>
        </w:numPr>
        <w:jc w:val="both"/>
        <w:rPr>
          <w:rFonts w:asciiTheme="majorHAnsi" w:hAnsiTheme="majorHAnsi" w:cs="Times New Roman"/>
          <w:i/>
          <w:lang w:val="sq-AL"/>
        </w:rPr>
      </w:pPr>
      <w:r w:rsidRPr="002E06C4">
        <w:rPr>
          <w:rFonts w:asciiTheme="majorHAnsi" w:hAnsiTheme="majorHAnsi" w:cs="Times New Roman"/>
          <w:i/>
          <w:lang w:val="sq-AL"/>
        </w:rPr>
        <w:t>Investime për përmirësimin e banesave – 897 familje</w:t>
      </w:r>
    </w:p>
    <w:p w14:paraId="7BD4CB0B" w14:textId="77777777" w:rsidR="005139C5" w:rsidRPr="002E06C4" w:rsidRDefault="005139C5" w:rsidP="006C0253">
      <w:pPr>
        <w:numPr>
          <w:ilvl w:val="1"/>
          <w:numId w:val="17"/>
        </w:numPr>
        <w:jc w:val="both"/>
        <w:rPr>
          <w:rFonts w:asciiTheme="majorHAnsi" w:hAnsiTheme="majorHAnsi" w:cs="Times New Roman"/>
          <w:i/>
          <w:lang w:val="sq-AL"/>
        </w:rPr>
      </w:pPr>
      <w:r w:rsidRPr="002E06C4">
        <w:rPr>
          <w:rFonts w:asciiTheme="majorHAnsi" w:hAnsiTheme="majorHAnsi" w:cs="Times New Roman"/>
          <w:i/>
          <w:lang w:val="sq-AL"/>
        </w:rPr>
        <w:t>Subvencionimi i interesave të kredive – 15 familje</w:t>
      </w:r>
    </w:p>
    <w:p w14:paraId="2D7E5670" w14:textId="77777777" w:rsidR="005139C5" w:rsidRPr="002E06C4" w:rsidRDefault="005139C5" w:rsidP="006C0253">
      <w:pPr>
        <w:numPr>
          <w:ilvl w:val="1"/>
          <w:numId w:val="17"/>
        </w:numPr>
        <w:jc w:val="both"/>
        <w:rPr>
          <w:rFonts w:asciiTheme="majorHAnsi" w:hAnsiTheme="majorHAnsi" w:cs="Times New Roman"/>
          <w:i/>
          <w:lang w:val="sq-AL"/>
        </w:rPr>
      </w:pPr>
      <w:r w:rsidRPr="002E06C4">
        <w:rPr>
          <w:rFonts w:asciiTheme="majorHAnsi" w:hAnsiTheme="majorHAnsi" w:cs="Times New Roman"/>
          <w:i/>
          <w:lang w:val="sq-AL"/>
        </w:rPr>
        <w:t>Bonus qiraje – 633 familje</w:t>
      </w:r>
    </w:p>
    <w:p w14:paraId="62C6E0D3" w14:textId="77777777" w:rsidR="005139C5" w:rsidRPr="002E06C4" w:rsidRDefault="005139C5" w:rsidP="006C0253">
      <w:pPr>
        <w:numPr>
          <w:ilvl w:val="0"/>
          <w:numId w:val="42"/>
        </w:numPr>
        <w:jc w:val="both"/>
        <w:rPr>
          <w:rFonts w:asciiTheme="majorHAnsi" w:hAnsiTheme="majorHAnsi" w:cs="Times New Roman"/>
          <w:lang w:val="sq-AL"/>
        </w:rPr>
      </w:pPr>
      <w:r w:rsidRPr="002E06C4">
        <w:rPr>
          <w:rFonts w:asciiTheme="majorHAnsi" w:hAnsiTheme="majorHAnsi" w:cs="Times New Roman"/>
          <w:lang w:val="sq-AL"/>
        </w:rPr>
        <w:t>Numri i familjeve përfituese të kategorisë Rom dhe Egjiptian është rritur rreth 15% në krahasim me 1 vit më parë, për të gjitha produktet.</w:t>
      </w:r>
    </w:p>
    <w:p w14:paraId="02ABEC34" w14:textId="77777777" w:rsidR="005139C5" w:rsidRPr="002E06C4" w:rsidRDefault="005139C5" w:rsidP="006C0253">
      <w:pPr>
        <w:numPr>
          <w:ilvl w:val="0"/>
          <w:numId w:val="42"/>
        </w:numPr>
        <w:jc w:val="both"/>
        <w:rPr>
          <w:rFonts w:asciiTheme="majorHAnsi" w:hAnsiTheme="majorHAnsi" w:cs="Times New Roman"/>
          <w:lang w:val="sq-AL"/>
        </w:rPr>
      </w:pPr>
      <w:r w:rsidRPr="002E06C4">
        <w:rPr>
          <w:rFonts w:asciiTheme="majorHAnsi" w:hAnsiTheme="majorHAnsi" w:cs="Times New Roman"/>
          <w:lang w:val="sq-AL"/>
        </w:rPr>
        <w:t>Numri i familjeve që kanë përmirësuar kushtet e jetesës si rezultat i përfitimit nga programet sociale është rritur me 9% në krahasim me 1 vit më parë.</w:t>
      </w:r>
    </w:p>
    <w:p w14:paraId="1891296F" w14:textId="77777777" w:rsidR="005139C5" w:rsidRDefault="005139C5" w:rsidP="005139C5">
      <w:pPr>
        <w:jc w:val="both"/>
        <w:rPr>
          <w:rFonts w:asciiTheme="majorHAnsi" w:hAnsiTheme="majorHAnsi" w:cs="Times New Roman"/>
          <w:lang w:val="sq-AL"/>
        </w:rPr>
      </w:pPr>
    </w:p>
    <w:p w14:paraId="13EF570E" w14:textId="77777777" w:rsidR="005F1700" w:rsidRPr="002E06C4" w:rsidRDefault="005F1700" w:rsidP="005139C5">
      <w:pPr>
        <w:jc w:val="both"/>
        <w:rPr>
          <w:rFonts w:asciiTheme="majorHAnsi" w:hAnsiTheme="majorHAnsi" w:cs="Times New Roman"/>
          <w:lang w:val="sq-AL"/>
        </w:rPr>
      </w:pPr>
    </w:p>
    <w:p w14:paraId="5FEB6264" w14:textId="77777777" w:rsidR="005139C5" w:rsidRPr="002E06C4" w:rsidRDefault="005139C5" w:rsidP="005139C5">
      <w:pPr>
        <w:pStyle w:val="Heading3"/>
        <w:numPr>
          <w:ilvl w:val="2"/>
          <w:numId w:val="4"/>
        </w:numPr>
        <w:rPr>
          <w:rFonts w:cs="Times New Roman"/>
          <w:b/>
          <w:lang w:val="sq-AL"/>
        </w:rPr>
      </w:pPr>
      <w:bookmarkStart w:id="172" w:name="_Toc10033304"/>
      <w:bookmarkStart w:id="173" w:name="_Toc10721440"/>
      <w:bookmarkStart w:id="174" w:name="_Toc11134233"/>
      <w:r w:rsidRPr="002E06C4">
        <w:rPr>
          <w:rFonts w:cs="Times New Roman"/>
          <w:b/>
          <w:lang w:val="sq-AL"/>
        </w:rPr>
        <w:t>Mbrojtja</w:t>
      </w:r>
      <w:bookmarkEnd w:id="172"/>
      <w:bookmarkEnd w:id="173"/>
      <w:bookmarkEnd w:id="174"/>
    </w:p>
    <w:p w14:paraId="642A79E8" w14:textId="77777777" w:rsidR="003E608B" w:rsidRDefault="005139C5" w:rsidP="003E608B">
      <w:pPr>
        <w:spacing w:before="240"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Shpenzimet e planifikuara dhe ato faktike si dhe realizimi në përqindje për vitin 2018 për Ministrinë e Mbrojtjes, paraqiten si më poshtë:</w:t>
      </w:r>
    </w:p>
    <w:p w14:paraId="4C93A27B" w14:textId="77777777" w:rsidR="003E608B" w:rsidRPr="003E608B" w:rsidRDefault="003E608B" w:rsidP="003E608B">
      <w:pPr>
        <w:spacing w:before="240" w:line="276" w:lineRule="auto"/>
        <w:contextualSpacing/>
        <w:jc w:val="both"/>
        <w:rPr>
          <w:rFonts w:asciiTheme="majorHAnsi" w:hAnsiTheme="majorHAnsi" w:cs="Times New Roman"/>
          <w:lang w:val="sq-AL"/>
        </w:rPr>
      </w:pPr>
    </w:p>
    <w:p w14:paraId="56CD236C" w14:textId="77777777" w:rsidR="005139C5" w:rsidRPr="002E06C4" w:rsidRDefault="003E608B" w:rsidP="003E608B">
      <w:pPr>
        <w:pStyle w:val="Caption"/>
        <w:spacing w:after="0"/>
        <w:rPr>
          <w:rFonts w:asciiTheme="majorHAnsi" w:hAnsiTheme="majorHAnsi" w:cs="Times New Roman"/>
          <w:lang w:val="sq-AL"/>
        </w:rPr>
      </w:pPr>
      <w:bookmarkStart w:id="175" w:name="_Toc11135135"/>
      <w:r>
        <w:t xml:space="preserve">Tabela </w:t>
      </w:r>
      <w:r w:rsidR="003D3813">
        <w:fldChar w:fldCharType="begin"/>
      </w:r>
      <w:r w:rsidR="003D3813">
        <w:instrText xml:space="preserve"> SEQ Tabela \* ARABIC </w:instrText>
      </w:r>
      <w:r w:rsidR="003D3813">
        <w:fldChar w:fldCharType="separate"/>
      </w:r>
      <w:r w:rsidR="006A57F3">
        <w:rPr>
          <w:noProof/>
        </w:rPr>
        <w:t>21</w:t>
      </w:r>
      <w:r w:rsidR="003D3813">
        <w:rPr>
          <w:noProof/>
        </w:rPr>
        <w:fldChar w:fldCharType="end"/>
      </w:r>
      <w:r w:rsidRPr="003E608B">
        <w:rPr>
          <w:rFonts w:asciiTheme="majorHAnsi" w:hAnsiTheme="majorHAnsi" w:cs="Times New Roman"/>
          <w:lang w:val="sq-AL"/>
        </w:rPr>
        <w:t xml:space="preserve"> </w:t>
      </w:r>
      <w:r w:rsidRPr="002E06C4">
        <w:rPr>
          <w:rFonts w:asciiTheme="majorHAnsi" w:hAnsiTheme="majorHAnsi" w:cs="Times New Roman"/>
          <w:lang w:val="sq-AL"/>
        </w:rPr>
        <w:t>Realizimi i buxhetit 2018 për Ministrinë e Mbrojtjes</w:t>
      </w:r>
      <w:bookmarkEnd w:id="175"/>
    </w:p>
    <w:p w14:paraId="16D4BECD" w14:textId="77777777" w:rsidR="005139C5" w:rsidRPr="002E06C4" w:rsidRDefault="005139C5" w:rsidP="003E608B">
      <w:pPr>
        <w:spacing w:line="276" w:lineRule="auto"/>
        <w:ind w:left="2880" w:firstLine="720"/>
        <w:jc w:val="right"/>
        <w:rPr>
          <w:rFonts w:asciiTheme="majorHAnsi" w:hAnsiTheme="majorHAnsi" w:cs="Times New Roman"/>
          <w:i/>
          <w:color w:val="000000"/>
          <w:sz w:val="20"/>
          <w:lang w:val="sq-AL"/>
        </w:rPr>
      </w:pPr>
      <w:r w:rsidRPr="002E06C4">
        <w:rPr>
          <w:rFonts w:asciiTheme="majorHAnsi" w:hAnsiTheme="majorHAnsi" w:cs="Times New Roman"/>
          <w:i/>
          <w:color w:val="000000"/>
          <w:sz w:val="20"/>
          <w:lang w:val="sq-AL"/>
        </w:rPr>
        <w:t>Në mijë lekë</w:t>
      </w:r>
    </w:p>
    <w:tbl>
      <w:tblPr>
        <w:tblW w:w="9849" w:type="dxa"/>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4A0" w:firstRow="1" w:lastRow="0" w:firstColumn="1" w:lastColumn="0" w:noHBand="0" w:noVBand="1"/>
      </w:tblPr>
      <w:tblGrid>
        <w:gridCol w:w="436"/>
        <w:gridCol w:w="3588"/>
        <w:gridCol w:w="1041"/>
        <w:gridCol w:w="954"/>
        <w:gridCol w:w="1041"/>
        <w:gridCol w:w="954"/>
        <w:gridCol w:w="881"/>
        <w:gridCol w:w="954"/>
      </w:tblGrid>
      <w:tr w:rsidR="005139C5" w:rsidRPr="002E06C4" w14:paraId="042D3738" w14:textId="77777777" w:rsidTr="0080499B">
        <w:trPr>
          <w:trHeight w:val="225"/>
          <w:jc w:val="center"/>
        </w:trPr>
        <w:tc>
          <w:tcPr>
            <w:tcW w:w="436" w:type="dxa"/>
            <w:vMerge w:val="restart"/>
            <w:shd w:val="clear" w:color="auto" w:fill="auto"/>
            <w:vAlign w:val="center"/>
            <w:hideMark/>
          </w:tcPr>
          <w:p w14:paraId="7AA88CC5"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NR</w:t>
            </w:r>
          </w:p>
        </w:tc>
        <w:tc>
          <w:tcPr>
            <w:tcW w:w="3588" w:type="dxa"/>
            <w:vMerge w:val="restart"/>
            <w:shd w:val="clear" w:color="auto" w:fill="auto"/>
            <w:vAlign w:val="center"/>
            <w:hideMark/>
          </w:tcPr>
          <w:p w14:paraId="2F2D5AA7"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Emërtimi i Programit</w:t>
            </w:r>
          </w:p>
        </w:tc>
        <w:tc>
          <w:tcPr>
            <w:tcW w:w="1995" w:type="dxa"/>
            <w:gridSpan w:val="2"/>
            <w:shd w:val="clear" w:color="auto" w:fill="auto"/>
            <w:vAlign w:val="center"/>
            <w:hideMark/>
          </w:tcPr>
          <w:p w14:paraId="79FB8085"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Plani 2018</w:t>
            </w:r>
          </w:p>
        </w:tc>
        <w:tc>
          <w:tcPr>
            <w:tcW w:w="1995" w:type="dxa"/>
            <w:gridSpan w:val="2"/>
            <w:shd w:val="clear" w:color="auto" w:fill="auto"/>
            <w:vAlign w:val="center"/>
            <w:hideMark/>
          </w:tcPr>
          <w:p w14:paraId="407E75F0"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Fakti 2018</w:t>
            </w:r>
          </w:p>
        </w:tc>
        <w:tc>
          <w:tcPr>
            <w:tcW w:w="1835" w:type="dxa"/>
            <w:gridSpan w:val="2"/>
            <w:shd w:val="clear" w:color="auto" w:fill="auto"/>
            <w:vAlign w:val="center"/>
            <w:hideMark/>
          </w:tcPr>
          <w:p w14:paraId="4E7F4956"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Përqindja  e realizimit</w:t>
            </w:r>
          </w:p>
        </w:tc>
      </w:tr>
      <w:tr w:rsidR="005139C5" w:rsidRPr="002E06C4" w14:paraId="5B9C3FFE" w14:textId="77777777" w:rsidTr="0080499B">
        <w:trPr>
          <w:trHeight w:val="225"/>
          <w:jc w:val="center"/>
        </w:trPr>
        <w:tc>
          <w:tcPr>
            <w:tcW w:w="436" w:type="dxa"/>
            <w:vMerge/>
            <w:vAlign w:val="center"/>
            <w:hideMark/>
          </w:tcPr>
          <w:p w14:paraId="55AC240D" w14:textId="77777777" w:rsidR="005139C5" w:rsidRPr="002E06C4" w:rsidRDefault="005139C5" w:rsidP="0080499B">
            <w:pPr>
              <w:shd w:val="clear" w:color="auto" w:fill="FFFFFF" w:themeFill="background1"/>
              <w:rPr>
                <w:rFonts w:asciiTheme="majorHAnsi" w:eastAsia="Times New Roman" w:hAnsiTheme="majorHAnsi" w:cs="Calibri"/>
                <w:b/>
                <w:bCs/>
                <w:sz w:val="18"/>
                <w:szCs w:val="18"/>
                <w:lang w:val="sq-AL"/>
              </w:rPr>
            </w:pPr>
          </w:p>
        </w:tc>
        <w:tc>
          <w:tcPr>
            <w:tcW w:w="3588" w:type="dxa"/>
            <w:vMerge/>
            <w:vAlign w:val="center"/>
            <w:hideMark/>
          </w:tcPr>
          <w:p w14:paraId="47EFF637" w14:textId="77777777" w:rsidR="005139C5" w:rsidRPr="002E06C4" w:rsidRDefault="005139C5" w:rsidP="0080499B">
            <w:pPr>
              <w:shd w:val="clear" w:color="auto" w:fill="FFFFFF" w:themeFill="background1"/>
              <w:rPr>
                <w:rFonts w:asciiTheme="majorHAnsi" w:eastAsia="Times New Roman" w:hAnsiTheme="majorHAnsi" w:cs="Calibri"/>
                <w:b/>
                <w:bCs/>
                <w:sz w:val="18"/>
                <w:szCs w:val="18"/>
                <w:lang w:val="sq-AL"/>
              </w:rPr>
            </w:pPr>
          </w:p>
        </w:tc>
        <w:tc>
          <w:tcPr>
            <w:tcW w:w="1041" w:type="dxa"/>
            <w:shd w:val="clear" w:color="auto" w:fill="auto"/>
            <w:vAlign w:val="center"/>
            <w:hideMark/>
          </w:tcPr>
          <w:p w14:paraId="5BC5809C"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Korrente</w:t>
            </w:r>
          </w:p>
        </w:tc>
        <w:tc>
          <w:tcPr>
            <w:tcW w:w="953" w:type="dxa"/>
            <w:shd w:val="clear" w:color="auto" w:fill="auto"/>
            <w:vAlign w:val="center"/>
            <w:hideMark/>
          </w:tcPr>
          <w:p w14:paraId="42E3B857"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Investime</w:t>
            </w:r>
          </w:p>
        </w:tc>
        <w:tc>
          <w:tcPr>
            <w:tcW w:w="1041" w:type="dxa"/>
            <w:shd w:val="clear" w:color="auto" w:fill="auto"/>
            <w:vAlign w:val="center"/>
            <w:hideMark/>
          </w:tcPr>
          <w:p w14:paraId="3523A903"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Korrente</w:t>
            </w:r>
          </w:p>
        </w:tc>
        <w:tc>
          <w:tcPr>
            <w:tcW w:w="953" w:type="dxa"/>
            <w:shd w:val="clear" w:color="auto" w:fill="auto"/>
            <w:vAlign w:val="center"/>
            <w:hideMark/>
          </w:tcPr>
          <w:p w14:paraId="3417B5E7"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Investime</w:t>
            </w:r>
          </w:p>
        </w:tc>
        <w:tc>
          <w:tcPr>
            <w:tcW w:w="881" w:type="dxa"/>
            <w:shd w:val="clear" w:color="auto" w:fill="auto"/>
            <w:vAlign w:val="center"/>
            <w:hideMark/>
          </w:tcPr>
          <w:p w14:paraId="0CAA2248"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Korrente</w:t>
            </w:r>
          </w:p>
        </w:tc>
        <w:tc>
          <w:tcPr>
            <w:tcW w:w="953" w:type="dxa"/>
            <w:shd w:val="clear" w:color="auto" w:fill="auto"/>
            <w:vAlign w:val="center"/>
            <w:hideMark/>
          </w:tcPr>
          <w:p w14:paraId="75F1E2F1"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Investime</w:t>
            </w:r>
          </w:p>
        </w:tc>
      </w:tr>
      <w:tr w:rsidR="005139C5" w:rsidRPr="002E06C4" w14:paraId="5A5CC7E0" w14:textId="77777777" w:rsidTr="0080499B">
        <w:trPr>
          <w:trHeight w:val="225"/>
          <w:jc w:val="center"/>
        </w:trPr>
        <w:tc>
          <w:tcPr>
            <w:tcW w:w="436" w:type="dxa"/>
            <w:shd w:val="clear" w:color="auto" w:fill="auto"/>
            <w:vAlign w:val="center"/>
            <w:hideMark/>
          </w:tcPr>
          <w:p w14:paraId="144FEAA3"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w:t>
            </w:r>
          </w:p>
        </w:tc>
        <w:tc>
          <w:tcPr>
            <w:tcW w:w="3588" w:type="dxa"/>
            <w:shd w:val="clear" w:color="auto" w:fill="auto"/>
            <w:noWrap/>
            <w:vAlign w:val="center"/>
            <w:hideMark/>
          </w:tcPr>
          <w:p w14:paraId="58E93040" w14:textId="77777777" w:rsidR="005139C5" w:rsidRPr="002E06C4" w:rsidRDefault="005139C5" w:rsidP="0080499B">
            <w:pPr>
              <w:shd w:val="clear" w:color="auto" w:fill="FFFFFF" w:themeFill="background1"/>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Planifikimi, Menaxhimi dhe Administrimi</w:t>
            </w:r>
          </w:p>
        </w:tc>
        <w:tc>
          <w:tcPr>
            <w:tcW w:w="1041" w:type="dxa"/>
            <w:shd w:val="clear" w:color="auto" w:fill="auto"/>
            <w:noWrap/>
            <w:vAlign w:val="center"/>
            <w:hideMark/>
          </w:tcPr>
          <w:p w14:paraId="04ECFA92"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1,213,075</w:t>
            </w:r>
          </w:p>
        </w:tc>
        <w:tc>
          <w:tcPr>
            <w:tcW w:w="953" w:type="dxa"/>
            <w:shd w:val="clear" w:color="auto" w:fill="auto"/>
            <w:noWrap/>
            <w:vAlign w:val="center"/>
            <w:hideMark/>
          </w:tcPr>
          <w:p w14:paraId="1255550F"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28,000</w:t>
            </w:r>
          </w:p>
        </w:tc>
        <w:tc>
          <w:tcPr>
            <w:tcW w:w="1041" w:type="dxa"/>
            <w:shd w:val="clear" w:color="auto" w:fill="auto"/>
            <w:noWrap/>
            <w:vAlign w:val="center"/>
            <w:hideMark/>
          </w:tcPr>
          <w:p w14:paraId="6EACE5C1"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1,213,039</w:t>
            </w:r>
          </w:p>
        </w:tc>
        <w:tc>
          <w:tcPr>
            <w:tcW w:w="953" w:type="dxa"/>
            <w:shd w:val="clear" w:color="auto" w:fill="auto"/>
            <w:noWrap/>
            <w:vAlign w:val="center"/>
            <w:hideMark/>
          </w:tcPr>
          <w:p w14:paraId="79F71DFD"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19,995</w:t>
            </w:r>
          </w:p>
        </w:tc>
        <w:tc>
          <w:tcPr>
            <w:tcW w:w="881" w:type="dxa"/>
            <w:shd w:val="clear" w:color="auto" w:fill="auto"/>
            <w:vAlign w:val="center"/>
            <w:hideMark/>
          </w:tcPr>
          <w:p w14:paraId="18465CF0"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100.0%</w:t>
            </w:r>
          </w:p>
        </w:tc>
        <w:tc>
          <w:tcPr>
            <w:tcW w:w="953" w:type="dxa"/>
            <w:shd w:val="clear" w:color="auto" w:fill="auto"/>
            <w:vAlign w:val="center"/>
            <w:hideMark/>
          </w:tcPr>
          <w:p w14:paraId="5E681790"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71.4%</w:t>
            </w:r>
          </w:p>
        </w:tc>
      </w:tr>
      <w:tr w:rsidR="005139C5" w:rsidRPr="002E06C4" w14:paraId="1DFEA329" w14:textId="77777777" w:rsidTr="0080499B">
        <w:trPr>
          <w:trHeight w:val="225"/>
          <w:jc w:val="center"/>
        </w:trPr>
        <w:tc>
          <w:tcPr>
            <w:tcW w:w="436" w:type="dxa"/>
            <w:shd w:val="clear" w:color="auto" w:fill="auto"/>
            <w:vAlign w:val="center"/>
            <w:hideMark/>
          </w:tcPr>
          <w:p w14:paraId="346CD10A"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2</w:t>
            </w:r>
          </w:p>
        </w:tc>
        <w:tc>
          <w:tcPr>
            <w:tcW w:w="3588" w:type="dxa"/>
            <w:shd w:val="clear" w:color="auto" w:fill="auto"/>
            <w:noWrap/>
            <w:vAlign w:val="center"/>
            <w:hideMark/>
          </w:tcPr>
          <w:p w14:paraId="4D9C3F5A" w14:textId="77777777" w:rsidR="005139C5" w:rsidRPr="002E06C4" w:rsidRDefault="005139C5" w:rsidP="0080499B">
            <w:pPr>
              <w:shd w:val="clear" w:color="auto" w:fill="FFFFFF" w:themeFill="background1"/>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Forcat e Luftimit</w:t>
            </w:r>
          </w:p>
        </w:tc>
        <w:tc>
          <w:tcPr>
            <w:tcW w:w="1041" w:type="dxa"/>
            <w:shd w:val="clear" w:color="auto" w:fill="auto"/>
            <w:noWrap/>
            <w:vAlign w:val="center"/>
            <w:hideMark/>
          </w:tcPr>
          <w:p w14:paraId="7E374DE9"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4,719,598</w:t>
            </w:r>
          </w:p>
        </w:tc>
        <w:tc>
          <w:tcPr>
            <w:tcW w:w="953" w:type="dxa"/>
            <w:shd w:val="clear" w:color="auto" w:fill="auto"/>
            <w:noWrap/>
            <w:vAlign w:val="center"/>
            <w:hideMark/>
          </w:tcPr>
          <w:p w14:paraId="2AB4EB44"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1,837,163</w:t>
            </w:r>
          </w:p>
        </w:tc>
        <w:tc>
          <w:tcPr>
            <w:tcW w:w="1041" w:type="dxa"/>
            <w:shd w:val="clear" w:color="auto" w:fill="auto"/>
            <w:noWrap/>
            <w:vAlign w:val="center"/>
            <w:hideMark/>
          </w:tcPr>
          <w:p w14:paraId="79B260D9"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4,517,651</w:t>
            </w:r>
          </w:p>
        </w:tc>
        <w:tc>
          <w:tcPr>
            <w:tcW w:w="953" w:type="dxa"/>
            <w:shd w:val="clear" w:color="auto" w:fill="auto"/>
            <w:noWrap/>
            <w:vAlign w:val="center"/>
            <w:hideMark/>
          </w:tcPr>
          <w:p w14:paraId="4B3A5A2B"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1,811,244</w:t>
            </w:r>
          </w:p>
        </w:tc>
        <w:tc>
          <w:tcPr>
            <w:tcW w:w="881" w:type="dxa"/>
            <w:shd w:val="clear" w:color="auto" w:fill="auto"/>
            <w:vAlign w:val="center"/>
            <w:hideMark/>
          </w:tcPr>
          <w:p w14:paraId="18A20ED9"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95.7%</w:t>
            </w:r>
          </w:p>
        </w:tc>
        <w:tc>
          <w:tcPr>
            <w:tcW w:w="953" w:type="dxa"/>
            <w:shd w:val="clear" w:color="auto" w:fill="auto"/>
            <w:vAlign w:val="center"/>
            <w:hideMark/>
          </w:tcPr>
          <w:p w14:paraId="1C204B8A"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98.6%</w:t>
            </w:r>
          </w:p>
        </w:tc>
      </w:tr>
      <w:tr w:rsidR="005139C5" w:rsidRPr="002E06C4" w14:paraId="67A1B095" w14:textId="77777777" w:rsidTr="0080499B">
        <w:trPr>
          <w:trHeight w:val="225"/>
          <w:jc w:val="center"/>
        </w:trPr>
        <w:tc>
          <w:tcPr>
            <w:tcW w:w="436" w:type="dxa"/>
            <w:shd w:val="clear" w:color="auto" w:fill="auto"/>
            <w:vAlign w:val="center"/>
            <w:hideMark/>
          </w:tcPr>
          <w:p w14:paraId="4CC60DF2"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3</w:t>
            </w:r>
          </w:p>
        </w:tc>
        <w:tc>
          <w:tcPr>
            <w:tcW w:w="3588" w:type="dxa"/>
            <w:shd w:val="clear" w:color="auto" w:fill="auto"/>
            <w:noWrap/>
            <w:vAlign w:val="center"/>
            <w:hideMark/>
          </w:tcPr>
          <w:p w14:paraId="6511E3A4" w14:textId="77777777" w:rsidR="005139C5" w:rsidRPr="002E06C4" w:rsidRDefault="005139C5" w:rsidP="0080499B">
            <w:pPr>
              <w:shd w:val="clear" w:color="auto" w:fill="FFFFFF" w:themeFill="background1"/>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Arsimi Ushtarak</w:t>
            </w:r>
          </w:p>
        </w:tc>
        <w:tc>
          <w:tcPr>
            <w:tcW w:w="1041" w:type="dxa"/>
            <w:shd w:val="clear" w:color="auto" w:fill="auto"/>
            <w:noWrap/>
            <w:vAlign w:val="center"/>
            <w:hideMark/>
          </w:tcPr>
          <w:p w14:paraId="7A56E58A"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554,951</w:t>
            </w:r>
          </w:p>
        </w:tc>
        <w:tc>
          <w:tcPr>
            <w:tcW w:w="953" w:type="dxa"/>
            <w:shd w:val="clear" w:color="auto" w:fill="auto"/>
            <w:noWrap/>
            <w:vAlign w:val="center"/>
            <w:hideMark/>
          </w:tcPr>
          <w:p w14:paraId="72B0CC9A"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0</w:t>
            </w:r>
          </w:p>
        </w:tc>
        <w:tc>
          <w:tcPr>
            <w:tcW w:w="1041" w:type="dxa"/>
            <w:shd w:val="clear" w:color="auto" w:fill="auto"/>
            <w:noWrap/>
            <w:vAlign w:val="center"/>
            <w:hideMark/>
          </w:tcPr>
          <w:p w14:paraId="03A61853"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541,338</w:t>
            </w:r>
          </w:p>
        </w:tc>
        <w:tc>
          <w:tcPr>
            <w:tcW w:w="953" w:type="dxa"/>
            <w:shd w:val="clear" w:color="auto" w:fill="auto"/>
            <w:noWrap/>
            <w:vAlign w:val="center"/>
            <w:hideMark/>
          </w:tcPr>
          <w:p w14:paraId="15FFDCAE"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0</w:t>
            </w:r>
          </w:p>
        </w:tc>
        <w:tc>
          <w:tcPr>
            <w:tcW w:w="881" w:type="dxa"/>
            <w:shd w:val="clear" w:color="auto" w:fill="auto"/>
            <w:vAlign w:val="center"/>
            <w:hideMark/>
          </w:tcPr>
          <w:p w14:paraId="13C1BF5A"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97.5%</w:t>
            </w:r>
          </w:p>
        </w:tc>
        <w:tc>
          <w:tcPr>
            <w:tcW w:w="953" w:type="dxa"/>
            <w:shd w:val="clear" w:color="auto" w:fill="auto"/>
            <w:vAlign w:val="center"/>
            <w:hideMark/>
          </w:tcPr>
          <w:p w14:paraId="0AD6A5C2"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 </w:t>
            </w:r>
          </w:p>
        </w:tc>
      </w:tr>
      <w:tr w:rsidR="005139C5" w:rsidRPr="002E06C4" w14:paraId="4C36A568" w14:textId="77777777" w:rsidTr="0080499B">
        <w:trPr>
          <w:trHeight w:val="225"/>
          <w:jc w:val="center"/>
        </w:trPr>
        <w:tc>
          <w:tcPr>
            <w:tcW w:w="436" w:type="dxa"/>
            <w:shd w:val="clear" w:color="auto" w:fill="auto"/>
            <w:vAlign w:val="center"/>
            <w:hideMark/>
          </w:tcPr>
          <w:p w14:paraId="41002B4E"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w:t>
            </w:r>
          </w:p>
        </w:tc>
        <w:tc>
          <w:tcPr>
            <w:tcW w:w="3588" w:type="dxa"/>
            <w:shd w:val="clear" w:color="auto" w:fill="auto"/>
            <w:noWrap/>
            <w:vAlign w:val="center"/>
            <w:hideMark/>
          </w:tcPr>
          <w:p w14:paraId="3E8A2DBF" w14:textId="77777777" w:rsidR="005139C5" w:rsidRPr="002E06C4" w:rsidRDefault="005139C5" w:rsidP="0080499B">
            <w:pPr>
              <w:shd w:val="clear" w:color="auto" w:fill="FFFFFF" w:themeFill="background1"/>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Mbështetja e Luftimit</w:t>
            </w:r>
          </w:p>
        </w:tc>
        <w:tc>
          <w:tcPr>
            <w:tcW w:w="1041" w:type="dxa"/>
            <w:shd w:val="clear" w:color="auto" w:fill="auto"/>
            <w:noWrap/>
            <w:vAlign w:val="center"/>
            <w:hideMark/>
          </w:tcPr>
          <w:p w14:paraId="5609CD21"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4,661,555</w:t>
            </w:r>
          </w:p>
        </w:tc>
        <w:tc>
          <w:tcPr>
            <w:tcW w:w="953" w:type="dxa"/>
            <w:shd w:val="clear" w:color="auto" w:fill="auto"/>
            <w:noWrap/>
            <w:vAlign w:val="center"/>
            <w:hideMark/>
          </w:tcPr>
          <w:p w14:paraId="510F5589"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63,000</w:t>
            </w:r>
          </w:p>
        </w:tc>
        <w:tc>
          <w:tcPr>
            <w:tcW w:w="1041" w:type="dxa"/>
            <w:shd w:val="clear" w:color="auto" w:fill="auto"/>
            <w:noWrap/>
            <w:vAlign w:val="center"/>
            <w:hideMark/>
          </w:tcPr>
          <w:p w14:paraId="54514DD9"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4,631,154</w:t>
            </w:r>
          </w:p>
        </w:tc>
        <w:tc>
          <w:tcPr>
            <w:tcW w:w="953" w:type="dxa"/>
            <w:shd w:val="clear" w:color="auto" w:fill="auto"/>
            <w:noWrap/>
            <w:vAlign w:val="center"/>
            <w:hideMark/>
          </w:tcPr>
          <w:p w14:paraId="4E2458F2"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58,451</w:t>
            </w:r>
          </w:p>
        </w:tc>
        <w:tc>
          <w:tcPr>
            <w:tcW w:w="881" w:type="dxa"/>
            <w:shd w:val="clear" w:color="auto" w:fill="auto"/>
            <w:vAlign w:val="center"/>
            <w:hideMark/>
          </w:tcPr>
          <w:p w14:paraId="637510F5"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99.3%</w:t>
            </w:r>
          </w:p>
        </w:tc>
        <w:tc>
          <w:tcPr>
            <w:tcW w:w="953" w:type="dxa"/>
            <w:shd w:val="clear" w:color="auto" w:fill="auto"/>
            <w:vAlign w:val="center"/>
            <w:hideMark/>
          </w:tcPr>
          <w:p w14:paraId="1D186710"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92.8%</w:t>
            </w:r>
          </w:p>
        </w:tc>
      </w:tr>
      <w:tr w:rsidR="005139C5" w:rsidRPr="002E06C4" w14:paraId="1E426CC1" w14:textId="77777777" w:rsidTr="0080499B">
        <w:trPr>
          <w:trHeight w:val="225"/>
          <w:jc w:val="center"/>
        </w:trPr>
        <w:tc>
          <w:tcPr>
            <w:tcW w:w="436" w:type="dxa"/>
            <w:shd w:val="clear" w:color="auto" w:fill="auto"/>
            <w:vAlign w:val="center"/>
            <w:hideMark/>
          </w:tcPr>
          <w:p w14:paraId="67746364"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5</w:t>
            </w:r>
          </w:p>
        </w:tc>
        <w:tc>
          <w:tcPr>
            <w:tcW w:w="3588" w:type="dxa"/>
            <w:shd w:val="clear" w:color="auto" w:fill="auto"/>
            <w:noWrap/>
            <w:vAlign w:val="center"/>
            <w:hideMark/>
          </w:tcPr>
          <w:p w14:paraId="7715E0A5" w14:textId="77777777" w:rsidR="005139C5" w:rsidRPr="002E06C4" w:rsidRDefault="005139C5" w:rsidP="0080499B">
            <w:pPr>
              <w:shd w:val="clear" w:color="auto" w:fill="FFFFFF" w:themeFill="background1"/>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Mbështetje për Shëndetësinë</w:t>
            </w:r>
          </w:p>
        </w:tc>
        <w:tc>
          <w:tcPr>
            <w:tcW w:w="1041" w:type="dxa"/>
            <w:shd w:val="clear" w:color="auto" w:fill="auto"/>
            <w:noWrap/>
            <w:vAlign w:val="center"/>
            <w:hideMark/>
          </w:tcPr>
          <w:p w14:paraId="1D581AAC"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877,944</w:t>
            </w:r>
          </w:p>
        </w:tc>
        <w:tc>
          <w:tcPr>
            <w:tcW w:w="953" w:type="dxa"/>
            <w:shd w:val="clear" w:color="auto" w:fill="auto"/>
            <w:noWrap/>
            <w:vAlign w:val="center"/>
            <w:hideMark/>
          </w:tcPr>
          <w:p w14:paraId="5803EE5B"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5,000</w:t>
            </w:r>
          </w:p>
        </w:tc>
        <w:tc>
          <w:tcPr>
            <w:tcW w:w="1041" w:type="dxa"/>
            <w:shd w:val="clear" w:color="auto" w:fill="auto"/>
            <w:noWrap/>
            <w:vAlign w:val="center"/>
            <w:hideMark/>
          </w:tcPr>
          <w:p w14:paraId="29DC09E7"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870,382</w:t>
            </w:r>
          </w:p>
        </w:tc>
        <w:tc>
          <w:tcPr>
            <w:tcW w:w="953" w:type="dxa"/>
            <w:shd w:val="clear" w:color="auto" w:fill="auto"/>
            <w:noWrap/>
            <w:vAlign w:val="center"/>
            <w:hideMark/>
          </w:tcPr>
          <w:p w14:paraId="7974AB85"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4,905</w:t>
            </w:r>
          </w:p>
        </w:tc>
        <w:tc>
          <w:tcPr>
            <w:tcW w:w="881" w:type="dxa"/>
            <w:shd w:val="clear" w:color="auto" w:fill="auto"/>
            <w:vAlign w:val="center"/>
            <w:hideMark/>
          </w:tcPr>
          <w:p w14:paraId="0BE50DE6"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99.1%</w:t>
            </w:r>
          </w:p>
        </w:tc>
        <w:tc>
          <w:tcPr>
            <w:tcW w:w="953" w:type="dxa"/>
            <w:shd w:val="clear" w:color="auto" w:fill="auto"/>
            <w:vAlign w:val="center"/>
            <w:hideMark/>
          </w:tcPr>
          <w:p w14:paraId="6D52D857"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98.1%</w:t>
            </w:r>
          </w:p>
        </w:tc>
      </w:tr>
      <w:tr w:rsidR="005139C5" w:rsidRPr="002E06C4" w14:paraId="426F7910" w14:textId="77777777" w:rsidTr="0080499B">
        <w:trPr>
          <w:trHeight w:val="225"/>
          <w:jc w:val="center"/>
        </w:trPr>
        <w:tc>
          <w:tcPr>
            <w:tcW w:w="436" w:type="dxa"/>
            <w:shd w:val="clear" w:color="auto" w:fill="auto"/>
            <w:vAlign w:val="center"/>
            <w:hideMark/>
          </w:tcPr>
          <w:p w14:paraId="7552F85C"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6</w:t>
            </w:r>
          </w:p>
        </w:tc>
        <w:tc>
          <w:tcPr>
            <w:tcW w:w="3588" w:type="dxa"/>
            <w:shd w:val="clear" w:color="auto" w:fill="auto"/>
            <w:noWrap/>
            <w:vAlign w:val="center"/>
            <w:hideMark/>
          </w:tcPr>
          <w:p w14:paraId="0B0ECFDF" w14:textId="77777777" w:rsidR="005139C5" w:rsidRPr="002E06C4" w:rsidRDefault="005139C5" w:rsidP="0080499B">
            <w:pPr>
              <w:shd w:val="clear" w:color="auto" w:fill="FFFFFF" w:themeFill="background1"/>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Sigurimet Shoqerore per ushtaraket</w:t>
            </w:r>
          </w:p>
        </w:tc>
        <w:tc>
          <w:tcPr>
            <w:tcW w:w="1041" w:type="dxa"/>
            <w:shd w:val="clear" w:color="auto" w:fill="auto"/>
            <w:noWrap/>
            <w:vAlign w:val="center"/>
            <w:hideMark/>
          </w:tcPr>
          <w:p w14:paraId="52494799"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4,974,600</w:t>
            </w:r>
          </w:p>
        </w:tc>
        <w:tc>
          <w:tcPr>
            <w:tcW w:w="953" w:type="dxa"/>
            <w:shd w:val="clear" w:color="auto" w:fill="auto"/>
            <w:noWrap/>
            <w:vAlign w:val="center"/>
            <w:hideMark/>
          </w:tcPr>
          <w:p w14:paraId="604C8B27"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 </w:t>
            </w:r>
          </w:p>
        </w:tc>
        <w:tc>
          <w:tcPr>
            <w:tcW w:w="1041" w:type="dxa"/>
            <w:shd w:val="clear" w:color="auto" w:fill="auto"/>
            <w:noWrap/>
            <w:vAlign w:val="center"/>
            <w:hideMark/>
          </w:tcPr>
          <w:p w14:paraId="73833773"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4,974,600</w:t>
            </w:r>
          </w:p>
        </w:tc>
        <w:tc>
          <w:tcPr>
            <w:tcW w:w="953" w:type="dxa"/>
            <w:shd w:val="clear" w:color="auto" w:fill="auto"/>
            <w:noWrap/>
            <w:vAlign w:val="center"/>
            <w:hideMark/>
          </w:tcPr>
          <w:p w14:paraId="0BF32048"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 </w:t>
            </w:r>
          </w:p>
        </w:tc>
        <w:tc>
          <w:tcPr>
            <w:tcW w:w="881" w:type="dxa"/>
            <w:shd w:val="clear" w:color="auto" w:fill="auto"/>
            <w:vAlign w:val="center"/>
            <w:hideMark/>
          </w:tcPr>
          <w:p w14:paraId="092A140B"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100.0%</w:t>
            </w:r>
          </w:p>
        </w:tc>
        <w:tc>
          <w:tcPr>
            <w:tcW w:w="953" w:type="dxa"/>
            <w:shd w:val="clear" w:color="auto" w:fill="auto"/>
            <w:vAlign w:val="center"/>
            <w:hideMark/>
          </w:tcPr>
          <w:p w14:paraId="2E4FB214"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 </w:t>
            </w:r>
          </w:p>
        </w:tc>
      </w:tr>
      <w:tr w:rsidR="005139C5" w:rsidRPr="002E06C4" w14:paraId="1991DEF8" w14:textId="77777777" w:rsidTr="0080499B">
        <w:trPr>
          <w:trHeight w:val="225"/>
          <w:jc w:val="center"/>
        </w:trPr>
        <w:tc>
          <w:tcPr>
            <w:tcW w:w="436" w:type="dxa"/>
            <w:shd w:val="clear" w:color="auto" w:fill="auto"/>
            <w:vAlign w:val="center"/>
            <w:hideMark/>
          </w:tcPr>
          <w:p w14:paraId="498445CF"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7</w:t>
            </w:r>
          </w:p>
        </w:tc>
        <w:tc>
          <w:tcPr>
            <w:tcW w:w="3588" w:type="dxa"/>
            <w:shd w:val="clear" w:color="auto" w:fill="auto"/>
            <w:noWrap/>
            <w:vAlign w:val="center"/>
            <w:hideMark/>
          </w:tcPr>
          <w:p w14:paraId="7276FEB9" w14:textId="77777777" w:rsidR="005139C5" w:rsidRPr="002E06C4" w:rsidRDefault="005139C5" w:rsidP="0080499B">
            <w:pPr>
              <w:shd w:val="clear" w:color="auto" w:fill="FFFFFF" w:themeFill="background1"/>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Emergjencat Civile</w:t>
            </w:r>
          </w:p>
        </w:tc>
        <w:tc>
          <w:tcPr>
            <w:tcW w:w="1041" w:type="dxa"/>
            <w:shd w:val="clear" w:color="auto" w:fill="auto"/>
            <w:noWrap/>
            <w:vAlign w:val="center"/>
            <w:hideMark/>
          </w:tcPr>
          <w:p w14:paraId="5A16E7F5"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287,118</w:t>
            </w:r>
          </w:p>
        </w:tc>
        <w:tc>
          <w:tcPr>
            <w:tcW w:w="953" w:type="dxa"/>
            <w:shd w:val="clear" w:color="auto" w:fill="auto"/>
            <w:noWrap/>
            <w:vAlign w:val="center"/>
            <w:hideMark/>
          </w:tcPr>
          <w:p w14:paraId="3BCD7972"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95,000</w:t>
            </w:r>
          </w:p>
        </w:tc>
        <w:tc>
          <w:tcPr>
            <w:tcW w:w="1041" w:type="dxa"/>
            <w:shd w:val="clear" w:color="auto" w:fill="auto"/>
            <w:noWrap/>
            <w:vAlign w:val="center"/>
            <w:hideMark/>
          </w:tcPr>
          <w:p w14:paraId="54B8E347"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280,432</w:t>
            </w:r>
          </w:p>
        </w:tc>
        <w:tc>
          <w:tcPr>
            <w:tcW w:w="953" w:type="dxa"/>
            <w:shd w:val="clear" w:color="auto" w:fill="auto"/>
            <w:noWrap/>
            <w:vAlign w:val="center"/>
            <w:hideMark/>
          </w:tcPr>
          <w:p w14:paraId="53F404F7" w14:textId="77777777" w:rsidR="005139C5" w:rsidRPr="002E06C4" w:rsidRDefault="005139C5" w:rsidP="0080499B">
            <w:pPr>
              <w:shd w:val="clear" w:color="auto" w:fill="FFFFFF" w:themeFill="background1"/>
              <w:jc w:val="right"/>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76,468</w:t>
            </w:r>
          </w:p>
        </w:tc>
        <w:tc>
          <w:tcPr>
            <w:tcW w:w="881" w:type="dxa"/>
            <w:shd w:val="clear" w:color="auto" w:fill="auto"/>
            <w:vAlign w:val="center"/>
            <w:hideMark/>
          </w:tcPr>
          <w:p w14:paraId="536F6054"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97.7%</w:t>
            </w:r>
          </w:p>
        </w:tc>
        <w:tc>
          <w:tcPr>
            <w:tcW w:w="953" w:type="dxa"/>
            <w:shd w:val="clear" w:color="auto" w:fill="auto"/>
            <w:vAlign w:val="center"/>
            <w:hideMark/>
          </w:tcPr>
          <w:p w14:paraId="72CF663B" w14:textId="77777777" w:rsidR="005139C5" w:rsidRPr="002E06C4" w:rsidRDefault="005139C5" w:rsidP="0080499B">
            <w:pPr>
              <w:shd w:val="clear" w:color="auto" w:fill="FFFFFF" w:themeFill="background1"/>
              <w:jc w:val="center"/>
              <w:rPr>
                <w:rFonts w:asciiTheme="majorHAnsi" w:eastAsia="Times New Roman" w:hAnsiTheme="majorHAnsi" w:cs="Calibri"/>
                <w:sz w:val="18"/>
                <w:szCs w:val="18"/>
                <w:lang w:val="sq-AL"/>
              </w:rPr>
            </w:pPr>
            <w:r w:rsidRPr="002E06C4">
              <w:rPr>
                <w:rFonts w:asciiTheme="majorHAnsi" w:eastAsia="Times New Roman" w:hAnsiTheme="majorHAnsi" w:cs="Calibri"/>
                <w:sz w:val="18"/>
                <w:szCs w:val="18"/>
                <w:lang w:val="sq-AL"/>
              </w:rPr>
              <w:t>80.5%</w:t>
            </w:r>
          </w:p>
        </w:tc>
      </w:tr>
      <w:tr w:rsidR="005139C5" w:rsidRPr="002E06C4" w14:paraId="6744F28C" w14:textId="77777777" w:rsidTr="0080499B">
        <w:trPr>
          <w:trHeight w:val="225"/>
          <w:jc w:val="center"/>
        </w:trPr>
        <w:tc>
          <w:tcPr>
            <w:tcW w:w="436" w:type="dxa"/>
            <w:shd w:val="clear" w:color="auto" w:fill="auto"/>
            <w:vAlign w:val="center"/>
            <w:hideMark/>
          </w:tcPr>
          <w:p w14:paraId="0C239B8D"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 </w:t>
            </w:r>
          </w:p>
        </w:tc>
        <w:tc>
          <w:tcPr>
            <w:tcW w:w="3588" w:type="dxa"/>
            <w:shd w:val="clear" w:color="auto" w:fill="auto"/>
            <w:vAlign w:val="center"/>
            <w:hideMark/>
          </w:tcPr>
          <w:p w14:paraId="4D132053"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Totali MM</w:t>
            </w:r>
          </w:p>
        </w:tc>
        <w:tc>
          <w:tcPr>
            <w:tcW w:w="1041" w:type="dxa"/>
            <w:shd w:val="clear" w:color="auto" w:fill="auto"/>
            <w:vAlign w:val="center"/>
            <w:hideMark/>
          </w:tcPr>
          <w:p w14:paraId="71CC0184"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17,288,841</w:t>
            </w:r>
          </w:p>
        </w:tc>
        <w:tc>
          <w:tcPr>
            <w:tcW w:w="953" w:type="dxa"/>
            <w:shd w:val="clear" w:color="auto" w:fill="auto"/>
            <w:vAlign w:val="center"/>
            <w:hideMark/>
          </w:tcPr>
          <w:p w14:paraId="3A631E56"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2,028,163</w:t>
            </w:r>
          </w:p>
        </w:tc>
        <w:tc>
          <w:tcPr>
            <w:tcW w:w="1041" w:type="dxa"/>
            <w:shd w:val="clear" w:color="auto" w:fill="auto"/>
            <w:vAlign w:val="center"/>
            <w:hideMark/>
          </w:tcPr>
          <w:p w14:paraId="078FACFA"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17,028,597</w:t>
            </w:r>
          </w:p>
        </w:tc>
        <w:tc>
          <w:tcPr>
            <w:tcW w:w="953" w:type="dxa"/>
            <w:shd w:val="clear" w:color="auto" w:fill="auto"/>
            <w:vAlign w:val="center"/>
            <w:hideMark/>
          </w:tcPr>
          <w:p w14:paraId="2DEB9D3B"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1,971,063</w:t>
            </w:r>
          </w:p>
        </w:tc>
        <w:tc>
          <w:tcPr>
            <w:tcW w:w="881" w:type="dxa"/>
            <w:shd w:val="clear" w:color="auto" w:fill="auto"/>
            <w:vAlign w:val="center"/>
            <w:hideMark/>
          </w:tcPr>
          <w:p w14:paraId="42FBB2EE"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98.5%</w:t>
            </w:r>
          </w:p>
        </w:tc>
        <w:tc>
          <w:tcPr>
            <w:tcW w:w="953" w:type="dxa"/>
            <w:shd w:val="clear" w:color="auto" w:fill="auto"/>
            <w:vAlign w:val="center"/>
            <w:hideMark/>
          </w:tcPr>
          <w:p w14:paraId="4D0C2DC6" w14:textId="77777777" w:rsidR="005139C5" w:rsidRPr="002E06C4" w:rsidRDefault="005139C5" w:rsidP="0080499B">
            <w:pPr>
              <w:shd w:val="clear" w:color="auto" w:fill="FFFFFF" w:themeFill="background1"/>
              <w:jc w:val="center"/>
              <w:rPr>
                <w:rFonts w:asciiTheme="majorHAnsi" w:eastAsia="Times New Roman" w:hAnsiTheme="majorHAnsi" w:cs="Calibri"/>
                <w:b/>
                <w:bCs/>
                <w:sz w:val="18"/>
                <w:szCs w:val="18"/>
                <w:lang w:val="sq-AL"/>
              </w:rPr>
            </w:pPr>
            <w:r w:rsidRPr="002E06C4">
              <w:rPr>
                <w:rFonts w:asciiTheme="majorHAnsi" w:eastAsia="Times New Roman" w:hAnsiTheme="majorHAnsi" w:cs="Calibri"/>
                <w:b/>
                <w:bCs/>
                <w:sz w:val="18"/>
                <w:szCs w:val="18"/>
                <w:lang w:val="sq-AL"/>
              </w:rPr>
              <w:t>97.2%</w:t>
            </w:r>
          </w:p>
        </w:tc>
      </w:tr>
    </w:tbl>
    <w:p w14:paraId="5B19DB18" w14:textId="77777777" w:rsidR="005139C5" w:rsidRPr="002E06C4" w:rsidRDefault="005139C5" w:rsidP="005139C5">
      <w:pPr>
        <w:pStyle w:val="ListParagraph"/>
        <w:shd w:val="clear" w:color="auto" w:fill="FFFFFF" w:themeFill="background1"/>
        <w:spacing w:before="240" w:line="276" w:lineRule="auto"/>
        <w:ind w:left="-180"/>
        <w:jc w:val="both"/>
        <w:rPr>
          <w:rFonts w:asciiTheme="majorHAnsi" w:hAnsiTheme="majorHAnsi" w:cs="Times New Roman"/>
          <w:color w:val="000000"/>
          <w:lang w:val="sq-AL"/>
        </w:rPr>
      </w:pPr>
      <w:r w:rsidRPr="002E06C4">
        <w:rPr>
          <w:rFonts w:asciiTheme="majorHAnsi" w:hAnsiTheme="majorHAnsi" w:cs="Times New Roman"/>
          <w:color w:val="000000"/>
          <w:lang w:val="sq-AL"/>
        </w:rPr>
        <w:lastRenderedPageBreak/>
        <w:t>Projektet prioritare në aspektin e ndërveprueshmërisë me strukturat e NATO-s, si dhe në kuadër të rritjes së sigurisë kombëtare, janë:</w:t>
      </w:r>
    </w:p>
    <w:p w14:paraId="09F719B0" w14:textId="77777777" w:rsidR="005139C5" w:rsidRPr="002E06C4" w:rsidRDefault="005139C5" w:rsidP="006C0253">
      <w:pPr>
        <w:numPr>
          <w:ilvl w:val="0"/>
          <w:numId w:val="42"/>
        </w:numPr>
        <w:jc w:val="both"/>
        <w:rPr>
          <w:rFonts w:asciiTheme="majorHAnsi" w:hAnsiTheme="majorHAnsi" w:cs="Times New Roman"/>
          <w:lang w:val="sq-AL"/>
        </w:rPr>
      </w:pPr>
      <w:r w:rsidRPr="002E06C4">
        <w:rPr>
          <w:rFonts w:asciiTheme="majorHAnsi" w:hAnsiTheme="majorHAnsi" w:cs="Times New Roman"/>
          <w:lang w:val="sq-AL"/>
        </w:rPr>
        <w:t>Sistemet e Integruara të Vëzhgimit të Hapësirës Ajrore e Hapësirës Detare.</w:t>
      </w:r>
    </w:p>
    <w:p w14:paraId="67A132FA" w14:textId="77777777" w:rsidR="005139C5" w:rsidRPr="002E06C4" w:rsidRDefault="005139C5" w:rsidP="006C0253">
      <w:pPr>
        <w:numPr>
          <w:ilvl w:val="0"/>
          <w:numId w:val="42"/>
        </w:numPr>
        <w:jc w:val="both"/>
        <w:rPr>
          <w:rFonts w:asciiTheme="majorHAnsi" w:hAnsiTheme="majorHAnsi" w:cs="Times New Roman"/>
          <w:lang w:val="sq-AL"/>
        </w:rPr>
      </w:pPr>
      <w:r w:rsidRPr="002E06C4">
        <w:rPr>
          <w:rFonts w:asciiTheme="majorHAnsi" w:hAnsiTheme="majorHAnsi" w:cs="Times New Roman"/>
          <w:lang w:val="sq-AL"/>
        </w:rPr>
        <w:t>Kompletimi i Forcave të Armatosura me pajisje individuale të luftimit, në funksion të certifikimit të Batalionit të dytë të këmbësorisë si një komponent i gatshëm i NATO Response Force.</w:t>
      </w:r>
    </w:p>
    <w:p w14:paraId="2E2D89F2" w14:textId="77777777" w:rsidR="005139C5" w:rsidRPr="002E06C4" w:rsidRDefault="005139C5" w:rsidP="006C0253">
      <w:pPr>
        <w:numPr>
          <w:ilvl w:val="0"/>
          <w:numId w:val="42"/>
        </w:numPr>
        <w:jc w:val="both"/>
        <w:rPr>
          <w:rFonts w:asciiTheme="majorHAnsi" w:hAnsiTheme="majorHAnsi" w:cs="Times New Roman"/>
          <w:lang w:val="sq-AL"/>
        </w:rPr>
      </w:pPr>
      <w:r w:rsidRPr="002E06C4">
        <w:rPr>
          <w:rFonts w:asciiTheme="majorHAnsi" w:hAnsiTheme="majorHAnsi" w:cs="Times New Roman"/>
          <w:lang w:val="sq-AL"/>
        </w:rPr>
        <w:t>Shpenzimet operacionale u përdoren me efikasitet për kryerjen e misionit të Forcave të Armatosura si në rang kombëtar ashtu dhe në kuadër të misioneve paqeruajtëse, duke rritur prezencën e Forcave të Armatosura në Detin Egje, Afganistan, KFOR, etj. Gjatë vitit 2018, Forcat e Armatosura morën pjesë aktive ne përballimin e emergjencave civile dhe në ndihmë të komunitetit si me personel të gatshëm ashtu dhe me ndihma të menjëhershme për popullatën në vështirësi.</w:t>
      </w:r>
    </w:p>
    <w:p w14:paraId="2411DCB0" w14:textId="77777777" w:rsidR="005139C5" w:rsidRPr="002E06C4" w:rsidRDefault="005139C5" w:rsidP="006C0253">
      <w:pPr>
        <w:numPr>
          <w:ilvl w:val="0"/>
          <w:numId w:val="42"/>
        </w:numPr>
        <w:jc w:val="both"/>
        <w:rPr>
          <w:rFonts w:asciiTheme="majorHAnsi" w:hAnsiTheme="majorHAnsi" w:cs="Times New Roman"/>
          <w:lang w:val="sq-AL"/>
        </w:rPr>
      </w:pPr>
      <w:r w:rsidRPr="002E06C4">
        <w:rPr>
          <w:rFonts w:asciiTheme="majorHAnsi" w:hAnsiTheme="majorHAnsi" w:cs="Times New Roman"/>
          <w:lang w:val="sq-AL"/>
        </w:rPr>
        <w:t>Shpenzimet e parashikuara për Emergjencat Civile u realizuan në masën 100% duke shpërndare buxhetin e akorduar në mbështetje të familjeve të dëmtuara nga fatkeqësi të ndryshme natyrore dhe u ardhur në ndihmë të rreth 432 familjeve të dëmtuara.</w:t>
      </w:r>
    </w:p>
    <w:p w14:paraId="5C4C0242" w14:textId="77777777" w:rsidR="005139C5" w:rsidRDefault="005139C5" w:rsidP="005139C5">
      <w:pPr>
        <w:ind w:left="720"/>
        <w:jc w:val="both"/>
        <w:rPr>
          <w:rFonts w:asciiTheme="majorHAnsi" w:hAnsiTheme="majorHAnsi" w:cs="Times New Roman"/>
          <w:lang w:val="sq-AL"/>
        </w:rPr>
      </w:pPr>
    </w:p>
    <w:p w14:paraId="6AFF9243" w14:textId="77777777" w:rsidR="005F1700" w:rsidRPr="002E06C4" w:rsidRDefault="005F1700" w:rsidP="005139C5">
      <w:pPr>
        <w:ind w:left="720"/>
        <w:jc w:val="both"/>
        <w:rPr>
          <w:rFonts w:asciiTheme="majorHAnsi" w:hAnsiTheme="majorHAnsi" w:cs="Times New Roman"/>
          <w:lang w:val="sq-AL"/>
        </w:rPr>
      </w:pPr>
    </w:p>
    <w:p w14:paraId="699B10F2" w14:textId="77777777" w:rsidR="005139C5" w:rsidRPr="002E06C4" w:rsidRDefault="005139C5" w:rsidP="005139C5">
      <w:pPr>
        <w:pStyle w:val="Heading3"/>
        <w:numPr>
          <w:ilvl w:val="2"/>
          <w:numId w:val="4"/>
        </w:numPr>
        <w:rPr>
          <w:rFonts w:cs="Times New Roman"/>
          <w:b/>
          <w:lang w:val="sq-AL"/>
        </w:rPr>
      </w:pPr>
      <w:bookmarkStart w:id="176" w:name="_Toc10033299"/>
      <w:bookmarkStart w:id="177" w:name="_Toc10721435"/>
      <w:bookmarkStart w:id="178" w:name="_Toc11134234"/>
      <w:r w:rsidRPr="002E06C4">
        <w:rPr>
          <w:rFonts w:cs="Times New Roman"/>
          <w:b/>
          <w:lang w:val="sq-AL"/>
        </w:rPr>
        <w:t>Kultura</w:t>
      </w:r>
      <w:bookmarkEnd w:id="176"/>
      <w:bookmarkEnd w:id="177"/>
      <w:bookmarkEnd w:id="178"/>
    </w:p>
    <w:p w14:paraId="7CE5F072" w14:textId="77777777" w:rsidR="005139C5" w:rsidRPr="002E06C4" w:rsidRDefault="005139C5" w:rsidP="005139C5">
      <w:pPr>
        <w:spacing w:line="276" w:lineRule="auto"/>
        <w:jc w:val="both"/>
        <w:rPr>
          <w:rFonts w:asciiTheme="majorHAnsi" w:hAnsiTheme="majorHAnsi" w:cs="Times New Roman"/>
          <w:color w:val="000000"/>
          <w:sz w:val="12"/>
          <w:szCs w:val="12"/>
          <w:lang w:val="sq-AL"/>
        </w:rPr>
      </w:pPr>
    </w:p>
    <w:p w14:paraId="1C465222" w14:textId="77777777" w:rsidR="005139C5" w:rsidRPr="002E06C4" w:rsidRDefault="005139C5" w:rsidP="005139C5">
      <w:pPr>
        <w:spacing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Performanca e treguesve buxhetorë për dy programet e Ministrisë së Kulturës paraqitet si mëposhtë:</w:t>
      </w:r>
    </w:p>
    <w:p w14:paraId="50C99A9F" w14:textId="77777777" w:rsidR="005139C5" w:rsidRPr="002E06C4" w:rsidRDefault="005139C5" w:rsidP="005139C5">
      <w:pPr>
        <w:spacing w:line="276" w:lineRule="auto"/>
        <w:jc w:val="right"/>
        <w:rPr>
          <w:rFonts w:asciiTheme="majorHAnsi" w:hAnsiTheme="majorHAnsi" w:cs="Times New Roman"/>
          <w:bCs/>
          <w:i/>
          <w:iCs/>
          <w:sz w:val="12"/>
          <w:lang w:val="sq-AL"/>
        </w:rPr>
      </w:pPr>
    </w:p>
    <w:p w14:paraId="613DAF69" w14:textId="77777777" w:rsidR="005139C5" w:rsidRPr="002E06C4" w:rsidRDefault="005139C5" w:rsidP="005139C5">
      <w:pPr>
        <w:pStyle w:val="Caption"/>
        <w:keepNext/>
        <w:spacing w:after="0"/>
        <w:rPr>
          <w:rFonts w:asciiTheme="majorHAnsi" w:hAnsiTheme="majorHAnsi" w:cs="Times New Roman"/>
          <w:lang w:val="sq-AL"/>
        </w:rPr>
      </w:pPr>
      <w:bookmarkStart w:id="179" w:name="_Toc11135136"/>
      <w:r w:rsidRPr="002E06C4">
        <w:rPr>
          <w:rFonts w:asciiTheme="majorHAnsi" w:hAnsiTheme="majorHAnsi" w:cs="Times New Roman"/>
          <w:lang w:val="sq-AL"/>
        </w:rPr>
        <w:t xml:space="preserve">Tabela </w:t>
      </w:r>
      <w:r w:rsidR="00140052">
        <w:rPr>
          <w:rFonts w:asciiTheme="majorHAnsi" w:hAnsiTheme="majorHAnsi" w:cs="Times New Roman"/>
          <w:lang w:val="sq-AL"/>
        </w:rPr>
        <w:fldChar w:fldCharType="begin"/>
      </w:r>
      <w:r w:rsidR="00140052">
        <w:rPr>
          <w:rFonts w:asciiTheme="majorHAnsi" w:hAnsiTheme="majorHAnsi" w:cs="Times New Roman"/>
          <w:lang w:val="sq-AL"/>
        </w:rPr>
        <w:instrText xml:space="preserve"> SEQ Tabela \* ARABIC </w:instrText>
      </w:r>
      <w:r w:rsidR="00140052">
        <w:rPr>
          <w:rFonts w:asciiTheme="majorHAnsi" w:hAnsiTheme="majorHAnsi" w:cs="Times New Roman"/>
          <w:lang w:val="sq-AL"/>
        </w:rPr>
        <w:fldChar w:fldCharType="separate"/>
      </w:r>
      <w:r w:rsidR="006A57F3">
        <w:rPr>
          <w:rFonts w:asciiTheme="majorHAnsi" w:hAnsiTheme="majorHAnsi" w:cs="Times New Roman"/>
          <w:noProof/>
          <w:lang w:val="sq-AL"/>
        </w:rPr>
        <w:t>22</w:t>
      </w:r>
      <w:r w:rsidR="00140052">
        <w:rPr>
          <w:rFonts w:asciiTheme="majorHAnsi" w:hAnsiTheme="majorHAnsi" w:cs="Times New Roman"/>
          <w:lang w:val="sq-AL"/>
        </w:rPr>
        <w:fldChar w:fldCharType="end"/>
      </w:r>
      <w:r w:rsidRPr="002E06C4">
        <w:rPr>
          <w:rFonts w:asciiTheme="majorHAnsi" w:hAnsiTheme="majorHAnsi" w:cs="Times New Roman"/>
          <w:lang w:val="sq-AL"/>
        </w:rPr>
        <w:t xml:space="preserve"> Realizimi i buxhetit 2018 për Ministrinë e Kulturës</w:t>
      </w:r>
      <w:bookmarkEnd w:id="179"/>
    </w:p>
    <w:p w14:paraId="167F2D55" w14:textId="77777777" w:rsidR="005139C5" w:rsidRPr="002E06C4" w:rsidRDefault="005139C5" w:rsidP="005139C5">
      <w:pPr>
        <w:spacing w:line="276" w:lineRule="auto"/>
        <w:ind w:left="2880" w:firstLine="720"/>
        <w:jc w:val="right"/>
        <w:rPr>
          <w:rFonts w:asciiTheme="majorHAnsi" w:hAnsiTheme="majorHAnsi" w:cs="Times New Roman"/>
          <w:i/>
          <w:color w:val="000000"/>
          <w:sz w:val="20"/>
          <w:u w:val="single"/>
          <w:lang w:val="sq-AL"/>
        </w:rPr>
      </w:pPr>
      <w:r w:rsidRPr="002E06C4">
        <w:rPr>
          <w:rFonts w:asciiTheme="majorHAnsi" w:hAnsiTheme="majorHAnsi" w:cs="Times New Roman"/>
          <w:i/>
          <w:color w:val="000000"/>
          <w:sz w:val="20"/>
          <w:u w:val="single"/>
          <w:lang w:val="sq-AL"/>
        </w:rPr>
        <w:t>Në mijë lekë</w:t>
      </w:r>
    </w:p>
    <w:tbl>
      <w:tblPr>
        <w:tblStyle w:val="TableGridLight13"/>
        <w:tblW w:w="5384"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firstRow="1" w:lastRow="1" w:firstColumn="1" w:lastColumn="1" w:noHBand="0" w:noVBand="0"/>
      </w:tblPr>
      <w:tblGrid>
        <w:gridCol w:w="620"/>
        <w:gridCol w:w="2739"/>
        <w:gridCol w:w="1214"/>
        <w:gridCol w:w="1489"/>
        <w:gridCol w:w="1397"/>
        <w:gridCol w:w="1399"/>
        <w:gridCol w:w="1306"/>
        <w:gridCol w:w="1117"/>
      </w:tblGrid>
      <w:tr w:rsidR="005139C5" w:rsidRPr="002E06C4" w14:paraId="2D2D31B0" w14:textId="77777777" w:rsidTr="0080499B">
        <w:trPr>
          <w:trHeight w:val="345"/>
          <w:jc w:val="center"/>
        </w:trPr>
        <w:tc>
          <w:tcPr>
            <w:tcW w:w="275" w:type="pct"/>
            <w:vMerge w:val="restart"/>
          </w:tcPr>
          <w:p w14:paraId="27FAD5B8"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NR</w:t>
            </w:r>
          </w:p>
        </w:tc>
        <w:tc>
          <w:tcPr>
            <w:tcW w:w="1214" w:type="pct"/>
            <w:vMerge w:val="restart"/>
          </w:tcPr>
          <w:p w14:paraId="5CE5C464"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Emërtimi i Programit</w:t>
            </w:r>
          </w:p>
        </w:tc>
        <w:tc>
          <w:tcPr>
            <w:tcW w:w="1198" w:type="pct"/>
            <w:gridSpan w:val="2"/>
          </w:tcPr>
          <w:p w14:paraId="75AC1448" w14:textId="77777777" w:rsidR="005139C5" w:rsidRPr="002E06C4" w:rsidRDefault="005139C5" w:rsidP="0080499B">
            <w:pPr>
              <w:spacing w:line="276" w:lineRule="auto"/>
              <w:ind w:left="84"/>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Plani 2018</w:t>
            </w:r>
          </w:p>
        </w:tc>
        <w:tc>
          <w:tcPr>
            <w:tcW w:w="1239" w:type="pct"/>
            <w:gridSpan w:val="2"/>
          </w:tcPr>
          <w:p w14:paraId="6592F3D5"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Fakti 2018</w:t>
            </w:r>
          </w:p>
        </w:tc>
        <w:tc>
          <w:tcPr>
            <w:tcW w:w="1074" w:type="pct"/>
            <w:gridSpan w:val="2"/>
          </w:tcPr>
          <w:p w14:paraId="51A11EF3"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bCs/>
                <w:sz w:val="18"/>
                <w:szCs w:val="24"/>
                <w:lang w:val="sq-AL"/>
              </w:rPr>
              <w:t>Përqindja  e realizimit</w:t>
            </w:r>
          </w:p>
        </w:tc>
      </w:tr>
      <w:tr w:rsidR="005139C5" w:rsidRPr="002E06C4" w14:paraId="4AFBB19E" w14:textId="77777777" w:rsidTr="0080499B">
        <w:trPr>
          <w:trHeight w:val="180"/>
          <w:jc w:val="center"/>
        </w:trPr>
        <w:tc>
          <w:tcPr>
            <w:tcW w:w="275" w:type="pct"/>
            <w:vMerge/>
          </w:tcPr>
          <w:p w14:paraId="39D7E582"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1214" w:type="pct"/>
            <w:vMerge/>
          </w:tcPr>
          <w:p w14:paraId="2A8C8B63"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538" w:type="pct"/>
          </w:tcPr>
          <w:p w14:paraId="6CCC22AA" w14:textId="77777777" w:rsidR="005139C5" w:rsidRPr="002E06C4" w:rsidRDefault="005139C5" w:rsidP="0080499B">
            <w:pPr>
              <w:spacing w:line="276" w:lineRule="auto"/>
              <w:ind w:left="84"/>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660" w:type="pct"/>
          </w:tcPr>
          <w:p w14:paraId="6E5ABB75" w14:textId="77777777" w:rsidR="005139C5" w:rsidRPr="002E06C4" w:rsidRDefault="005139C5" w:rsidP="0080499B">
            <w:pPr>
              <w:spacing w:line="276" w:lineRule="auto"/>
              <w:ind w:left="84"/>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c>
          <w:tcPr>
            <w:tcW w:w="619" w:type="pct"/>
          </w:tcPr>
          <w:p w14:paraId="29D66055"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620" w:type="pct"/>
          </w:tcPr>
          <w:p w14:paraId="203A54DA"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c>
          <w:tcPr>
            <w:tcW w:w="579" w:type="pct"/>
          </w:tcPr>
          <w:p w14:paraId="78D5FCF8"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495" w:type="pct"/>
          </w:tcPr>
          <w:p w14:paraId="4456A4C3"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r>
      <w:tr w:rsidR="005139C5" w:rsidRPr="002E06C4" w14:paraId="134AA50D" w14:textId="77777777" w:rsidTr="0080499B">
        <w:trPr>
          <w:jc w:val="center"/>
        </w:trPr>
        <w:tc>
          <w:tcPr>
            <w:tcW w:w="275" w:type="pct"/>
          </w:tcPr>
          <w:p w14:paraId="34D9E001"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w:t>
            </w:r>
          </w:p>
        </w:tc>
        <w:tc>
          <w:tcPr>
            <w:tcW w:w="1214" w:type="pct"/>
          </w:tcPr>
          <w:p w14:paraId="25734588"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Trashëgimia kulturore dhe muzetë</w:t>
            </w:r>
          </w:p>
        </w:tc>
        <w:tc>
          <w:tcPr>
            <w:tcW w:w="538" w:type="pct"/>
          </w:tcPr>
          <w:p w14:paraId="523F2A9A"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465 676</w:t>
            </w:r>
          </w:p>
        </w:tc>
        <w:tc>
          <w:tcPr>
            <w:tcW w:w="660" w:type="pct"/>
          </w:tcPr>
          <w:p w14:paraId="5C5238A0"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193 000</w:t>
            </w:r>
          </w:p>
        </w:tc>
        <w:tc>
          <w:tcPr>
            <w:tcW w:w="619" w:type="pct"/>
          </w:tcPr>
          <w:p w14:paraId="5953346E"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457 744</w:t>
            </w:r>
          </w:p>
        </w:tc>
        <w:tc>
          <w:tcPr>
            <w:tcW w:w="620" w:type="pct"/>
          </w:tcPr>
          <w:p w14:paraId="680F45C9"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192 612</w:t>
            </w:r>
          </w:p>
        </w:tc>
        <w:tc>
          <w:tcPr>
            <w:tcW w:w="579" w:type="pct"/>
          </w:tcPr>
          <w:p w14:paraId="2CF52A74"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98.3%</w:t>
            </w:r>
          </w:p>
        </w:tc>
        <w:tc>
          <w:tcPr>
            <w:tcW w:w="495" w:type="pct"/>
          </w:tcPr>
          <w:p w14:paraId="546A7656"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99.8%</w:t>
            </w:r>
          </w:p>
        </w:tc>
      </w:tr>
      <w:tr w:rsidR="005139C5" w:rsidRPr="002E06C4" w14:paraId="75DF0410" w14:textId="77777777" w:rsidTr="0080499B">
        <w:trPr>
          <w:trHeight w:val="197"/>
          <w:jc w:val="center"/>
        </w:trPr>
        <w:tc>
          <w:tcPr>
            <w:tcW w:w="275" w:type="pct"/>
          </w:tcPr>
          <w:p w14:paraId="31AA951A"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w:t>
            </w:r>
          </w:p>
        </w:tc>
        <w:tc>
          <w:tcPr>
            <w:tcW w:w="1214" w:type="pct"/>
          </w:tcPr>
          <w:p w14:paraId="7826D4D1"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Arti dhe Kultura</w:t>
            </w:r>
          </w:p>
        </w:tc>
        <w:tc>
          <w:tcPr>
            <w:tcW w:w="538" w:type="pct"/>
          </w:tcPr>
          <w:p w14:paraId="04BF55FB"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804 798</w:t>
            </w:r>
          </w:p>
        </w:tc>
        <w:tc>
          <w:tcPr>
            <w:tcW w:w="660" w:type="pct"/>
          </w:tcPr>
          <w:p w14:paraId="3B5241FF"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660 000</w:t>
            </w:r>
          </w:p>
        </w:tc>
        <w:tc>
          <w:tcPr>
            <w:tcW w:w="619" w:type="pct"/>
          </w:tcPr>
          <w:p w14:paraId="5DBA95DF"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790 640</w:t>
            </w:r>
          </w:p>
        </w:tc>
        <w:tc>
          <w:tcPr>
            <w:tcW w:w="620" w:type="pct"/>
          </w:tcPr>
          <w:p w14:paraId="5A147BBB"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659 184</w:t>
            </w:r>
          </w:p>
        </w:tc>
        <w:tc>
          <w:tcPr>
            <w:tcW w:w="579" w:type="pct"/>
          </w:tcPr>
          <w:p w14:paraId="5EDB881A"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98.2%</w:t>
            </w:r>
          </w:p>
        </w:tc>
        <w:tc>
          <w:tcPr>
            <w:tcW w:w="495" w:type="pct"/>
          </w:tcPr>
          <w:p w14:paraId="27013F1D"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99.9%</w:t>
            </w:r>
          </w:p>
        </w:tc>
      </w:tr>
      <w:tr w:rsidR="005139C5" w:rsidRPr="002E06C4" w14:paraId="739706A7" w14:textId="77777777" w:rsidTr="0080499B">
        <w:trPr>
          <w:trHeight w:val="197"/>
          <w:jc w:val="center"/>
        </w:trPr>
        <w:tc>
          <w:tcPr>
            <w:tcW w:w="275" w:type="pct"/>
          </w:tcPr>
          <w:p w14:paraId="07ABD36D"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1214" w:type="pct"/>
          </w:tcPr>
          <w:p w14:paraId="65DAA894" w14:textId="77777777" w:rsidR="005139C5" w:rsidRPr="002E06C4" w:rsidRDefault="005139C5" w:rsidP="0080499B">
            <w:pPr>
              <w:spacing w:line="276" w:lineRule="auto"/>
              <w:rPr>
                <w:rFonts w:asciiTheme="majorHAnsi" w:eastAsia="Times New Roman" w:hAnsiTheme="majorHAnsi" w:cs="Times New Roman"/>
                <w:b/>
                <w:sz w:val="18"/>
                <w:szCs w:val="24"/>
                <w:lang w:val="sq-AL"/>
              </w:rPr>
            </w:pPr>
          </w:p>
        </w:tc>
        <w:tc>
          <w:tcPr>
            <w:tcW w:w="538" w:type="pct"/>
          </w:tcPr>
          <w:p w14:paraId="10822783" w14:textId="77777777" w:rsidR="005139C5" w:rsidRPr="002E06C4" w:rsidRDefault="005139C5" w:rsidP="0080499B">
            <w:pPr>
              <w:spacing w:line="276" w:lineRule="auto"/>
              <w:rPr>
                <w:rFonts w:asciiTheme="majorHAnsi" w:eastAsia="Times New Roman" w:hAnsiTheme="majorHAnsi" w:cs="Times New Roman"/>
                <w:b/>
                <w:sz w:val="18"/>
                <w:szCs w:val="24"/>
                <w:lang w:val="sq-AL"/>
              </w:rPr>
            </w:pPr>
          </w:p>
        </w:tc>
        <w:tc>
          <w:tcPr>
            <w:tcW w:w="660" w:type="pct"/>
          </w:tcPr>
          <w:p w14:paraId="6C3275B9"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p>
        </w:tc>
        <w:tc>
          <w:tcPr>
            <w:tcW w:w="619" w:type="pct"/>
          </w:tcPr>
          <w:p w14:paraId="66DB2FB1" w14:textId="77777777" w:rsidR="005139C5" w:rsidRPr="002E06C4" w:rsidRDefault="005139C5" w:rsidP="0080499B">
            <w:pPr>
              <w:spacing w:line="276" w:lineRule="auto"/>
              <w:rPr>
                <w:rFonts w:asciiTheme="majorHAnsi" w:eastAsia="Times New Roman" w:hAnsiTheme="majorHAnsi" w:cs="Times New Roman"/>
                <w:b/>
                <w:sz w:val="18"/>
                <w:szCs w:val="24"/>
                <w:lang w:val="sq-AL"/>
              </w:rPr>
            </w:pPr>
          </w:p>
        </w:tc>
        <w:tc>
          <w:tcPr>
            <w:tcW w:w="620" w:type="pct"/>
          </w:tcPr>
          <w:p w14:paraId="01C19250"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579" w:type="pct"/>
          </w:tcPr>
          <w:p w14:paraId="7A16C7F2" w14:textId="77777777" w:rsidR="005139C5" w:rsidRPr="002E06C4" w:rsidRDefault="005139C5" w:rsidP="0080499B">
            <w:pPr>
              <w:spacing w:line="276" w:lineRule="auto"/>
              <w:rPr>
                <w:rFonts w:asciiTheme="majorHAnsi" w:eastAsia="Times New Roman" w:hAnsiTheme="majorHAnsi" w:cs="Times New Roman"/>
                <w:b/>
                <w:sz w:val="18"/>
                <w:szCs w:val="24"/>
                <w:lang w:val="sq-AL"/>
              </w:rPr>
            </w:pPr>
          </w:p>
        </w:tc>
        <w:tc>
          <w:tcPr>
            <w:tcW w:w="495" w:type="pct"/>
          </w:tcPr>
          <w:p w14:paraId="57019AA8" w14:textId="77777777" w:rsidR="005139C5" w:rsidRPr="002E06C4" w:rsidRDefault="005139C5" w:rsidP="0080499B">
            <w:pPr>
              <w:spacing w:line="276" w:lineRule="auto"/>
              <w:rPr>
                <w:rFonts w:asciiTheme="majorHAnsi" w:eastAsia="Times New Roman" w:hAnsiTheme="majorHAnsi" w:cs="Times New Roman"/>
                <w:b/>
                <w:sz w:val="18"/>
                <w:szCs w:val="24"/>
                <w:lang w:val="sq-AL"/>
              </w:rPr>
            </w:pPr>
          </w:p>
        </w:tc>
      </w:tr>
    </w:tbl>
    <w:p w14:paraId="03E73CE4" w14:textId="77777777" w:rsidR="005139C5" w:rsidRPr="002E06C4" w:rsidRDefault="005139C5" w:rsidP="005139C5">
      <w:pPr>
        <w:spacing w:line="276" w:lineRule="auto"/>
        <w:jc w:val="both"/>
        <w:rPr>
          <w:rFonts w:asciiTheme="majorHAnsi" w:hAnsiTheme="majorHAnsi" w:cs="Times New Roman"/>
          <w:i/>
          <w:sz w:val="16"/>
          <w:u w:val="single"/>
          <w:lang w:val="sq-AL"/>
        </w:rPr>
      </w:pPr>
    </w:p>
    <w:p w14:paraId="5917B2FF" w14:textId="77777777" w:rsidR="005139C5" w:rsidRPr="002E06C4" w:rsidRDefault="005139C5" w:rsidP="005139C5">
      <w:pPr>
        <w:spacing w:line="276" w:lineRule="auto"/>
        <w:jc w:val="both"/>
        <w:rPr>
          <w:rFonts w:asciiTheme="majorHAnsi" w:hAnsiTheme="majorHAnsi" w:cs="Times New Roman"/>
          <w:lang w:val="sq-AL"/>
        </w:rPr>
      </w:pPr>
      <w:r w:rsidRPr="002E06C4">
        <w:rPr>
          <w:rFonts w:asciiTheme="majorHAnsi" w:hAnsiTheme="majorHAnsi" w:cs="Times New Roman"/>
          <w:lang w:val="sq-AL"/>
        </w:rPr>
        <w:t>Në programin</w:t>
      </w:r>
      <w:r w:rsidRPr="002E06C4">
        <w:rPr>
          <w:rFonts w:asciiTheme="majorHAnsi" w:hAnsiTheme="majorHAnsi" w:cs="Times New Roman"/>
          <w:b/>
          <w:lang w:val="sq-AL"/>
        </w:rPr>
        <w:t xml:space="preserve"> “Trashëgimia Kulturore</w:t>
      </w:r>
      <w:r w:rsidRPr="002E06C4">
        <w:rPr>
          <w:rFonts w:asciiTheme="majorHAnsi" w:hAnsiTheme="majorHAnsi" w:cs="Times New Roman"/>
          <w:lang w:val="sq-AL"/>
        </w:rPr>
        <w:t>” është realizuar promovimi, ruajtja, konservimi, restaurimi i objekteve dhe fondeve muzeore si dhe edukimi përmes trashëgimisë dhe aktiviteteve në funksion të saj. Këto objektiva gjatë vitit 2018 janë arritur nëpërmjet realizimit të produkteve si më poshtë:</w:t>
      </w:r>
    </w:p>
    <w:p w14:paraId="7D3AB501" w14:textId="77777777" w:rsidR="005139C5" w:rsidRPr="002E06C4" w:rsidRDefault="005139C5" w:rsidP="006C0253">
      <w:pPr>
        <w:numPr>
          <w:ilvl w:val="0"/>
          <w:numId w:val="20"/>
        </w:numPr>
        <w:spacing w:line="276" w:lineRule="auto"/>
        <w:jc w:val="both"/>
        <w:rPr>
          <w:rFonts w:asciiTheme="majorHAnsi" w:hAnsiTheme="majorHAnsi" w:cs="Times New Roman"/>
          <w:lang w:val="sq-AL"/>
        </w:rPr>
      </w:pPr>
      <w:r w:rsidRPr="002E06C4">
        <w:rPr>
          <w:rFonts w:asciiTheme="majorHAnsi" w:hAnsiTheme="majorHAnsi" w:cs="Times New Roman"/>
          <w:lang w:val="sq-AL"/>
        </w:rPr>
        <w:t>“Objekte të restauruara dhe të mirëmbajtura ”, me një kosto faktike prej 400 milion lekë, ku:</w:t>
      </w:r>
    </w:p>
    <w:p w14:paraId="503ED56F" w14:textId="77777777" w:rsidR="005139C5" w:rsidRPr="002E06C4" w:rsidRDefault="005139C5" w:rsidP="005139C5">
      <w:pPr>
        <w:spacing w:line="276" w:lineRule="auto"/>
        <w:ind w:left="720"/>
        <w:jc w:val="both"/>
        <w:rPr>
          <w:rFonts w:asciiTheme="majorHAnsi" w:hAnsiTheme="majorHAnsi" w:cs="Times New Roman"/>
          <w:lang w:val="sq-AL"/>
        </w:rPr>
      </w:pPr>
      <w:r w:rsidRPr="002E06C4">
        <w:rPr>
          <w:rFonts w:asciiTheme="majorHAnsi" w:hAnsiTheme="majorHAnsi" w:cs="Times New Roman"/>
          <w:lang w:val="sq-AL"/>
        </w:rPr>
        <w:t xml:space="preserve">U mundësua restaurimi i 10 objekteve, monument kulture si dhe hartimi i projektit për  Restaurimin dhe Riformulimin e linjës muzeore në Muzeun Historik Kombëtar –Tiranë, projekti i Restaurimit dhe rehabilitimit i hapësirave në Galerinë Kombëtare të Arteve, si dhe blerje pajisjesh kompjuterike për të plotësuar me të gjithë aksesorët e nevojshëm, biletaritë në disa muze apo monumente kulture të vizitueshëm me biletë.    </w:t>
      </w:r>
    </w:p>
    <w:p w14:paraId="158ED6B9" w14:textId="77777777" w:rsidR="005139C5" w:rsidRDefault="005139C5" w:rsidP="005139C5">
      <w:pPr>
        <w:spacing w:line="276" w:lineRule="auto"/>
        <w:ind w:left="720"/>
        <w:jc w:val="both"/>
        <w:rPr>
          <w:rFonts w:asciiTheme="majorHAnsi" w:hAnsiTheme="majorHAnsi" w:cs="Times New Roman"/>
          <w:lang w:val="sq-AL"/>
        </w:rPr>
      </w:pPr>
      <w:r w:rsidRPr="002E06C4">
        <w:rPr>
          <w:rFonts w:asciiTheme="majorHAnsi" w:hAnsiTheme="majorHAnsi" w:cs="Times New Roman"/>
          <w:lang w:val="sq-AL"/>
        </w:rPr>
        <w:t xml:space="preserve">Ka përfunduar puna për restaurimin e Kishës së Shën Mërisë në Ristoz, Korçë, Faza e III-të, të Kishës së Shën Mërisë Peshkëpi e Sipërme-Gjirokastër, restaurim Kisha e “Shën Apostujve” Hoshtevë, Zagori, Restaurim i kishës së Shën Nikollit-Lezhë Kisha e Shën Thanasit, Muzeu Etnografik, Kalaja e Shkodrës, Kalaja e Lezhës, Kishat e Voskopojës dhe Kishat e Vithkuqit, Muzeu Arkeologjik, etj. </w:t>
      </w:r>
    </w:p>
    <w:p w14:paraId="23D0310E" w14:textId="77777777" w:rsidR="005F1700" w:rsidRDefault="005F1700" w:rsidP="005F1700">
      <w:pPr>
        <w:spacing w:line="276" w:lineRule="auto"/>
        <w:jc w:val="both"/>
        <w:rPr>
          <w:rFonts w:asciiTheme="majorHAnsi" w:hAnsiTheme="majorHAnsi" w:cs="Times New Roman"/>
          <w:lang w:val="sq-AL"/>
        </w:rPr>
      </w:pPr>
    </w:p>
    <w:p w14:paraId="04F6A242" w14:textId="77777777" w:rsidR="005F1700" w:rsidRDefault="005F1700" w:rsidP="005F1700">
      <w:pPr>
        <w:spacing w:line="276" w:lineRule="auto"/>
        <w:jc w:val="both"/>
        <w:rPr>
          <w:rFonts w:asciiTheme="majorHAnsi" w:hAnsiTheme="majorHAnsi" w:cs="Times New Roman"/>
          <w:lang w:val="sq-AL"/>
        </w:rPr>
      </w:pPr>
    </w:p>
    <w:p w14:paraId="04BB6BFD" w14:textId="77777777" w:rsidR="005F1700" w:rsidRPr="002E06C4" w:rsidRDefault="005F1700" w:rsidP="005F1700">
      <w:pPr>
        <w:spacing w:line="276" w:lineRule="auto"/>
        <w:jc w:val="both"/>
        <w:rPr>
          <w:rFonts w:asciiTheme="majorHAnsi" w:hAnsiTheme="majorHAnsi" w:cs="Times New Roman"/>
          <w:lang w:val="sq-AL"/>
        </w:rPr>
      </w:pPr>
    </w:p>
    <w:p w14:paraId="252A6A41" w14:textId="77777777" w:rsidR="005139C5" w:rsidRPr="002E06C4" w:rsidRDefault="005139C5" w:rsidP="006C0253">
      <w:pPr>
        <w:pStyle w:val="ListParagraph"/>
        <w:numPr>
          <w:ilvl w:val="0"/>
          <w:numId w:val="20"/>
        </w:numPr>
        <w:spacing w:line="276" w:lineRule="auto"/>
        <w:jc w:val="both"/>
        <w:rPr>
          <w:rFonts w:asciiTheme="majorHAnsi" w:hAnsiTheme="majorHAnsi" w:cs="Times New Roman"/>
          <w:lang w:val="sq-AL"/>
        </w:rPr>
      </w:pPr>
      <w:r w:rsidRPr="002E06C4">
        <w:rPr>
          <w:rFonts w:asciiTheme="majorHAnsi" w:hAnsiTheme="majorHAnsi" w:cs="Times New Roman"/>
          <w:lang w:val="sq-AL"/>
        </w:rPr>
        <w:lastRenderedPageBreak/>
        <w:t xml:space="preserve">“Muze parqe të mirëmbajtura ” me një kosto faktike prej 190.2 milion lekë, ku: </w:t>
      </w:r>
    </w:p>
    <w:p w14:paraId="673B12EE"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 xml:space="preserve">Muzeu Kombëtar i Fotografisë “Marubi”, përveç performancës lidhur me vizitueshmërinë, ka realizuar dhe aktivitete të tjera me qëllim publikime të objekteve të trashëgimisë kulturore, si: janë organizuar ekspozita e konferenca si ekspozita “Urtësi sot e mot”, ekspozita e fotografit Angjelin Nënshati, “Dëshmitar midis dy kohëve, ekspozita e autores italiane Moira Ricci etj. </w:t>
      </w:r>
    </w:p>
    <w:p w14:paraId="60523410"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Muzeu Historik Kombëtar, gjatë vitit 2018, ka realizuar një sërë veprimtarish me karakter promovues, edukues në të gjithë pavionet e këtij muzeu si dhe restaurimi i një sërë objektesh të trashëgimisë kulturore pjesë e fondit të muzeut si dhe përfundimi i katalogut “Thesare nga Muzeu Historik Kombëtar”. Në kuadër të Vitit Mbarëkombëtar të Gjergj Kastriot Skërndërbeut janë kryer një sëre vizitash dhe aktivitete nga nxënësit e shkollave 9-vjeçare të qytetit, si dhe ekspozita lidhur me figurën e Heroit Kombëtar dhe epokës së lavdishme të tij.</w:t>
      </w:r>
    </w:p>
    <w:p w14:paraId="4CA43077"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 xml:space="preserve">Muzeu kombëtar “Gjethi’ është fokusuar në objektivat kryesore për promovimin e vlerave historiko-kulturore që mbart ky institucion, si dhe pritjen e vizitorëve, me qëllim njohjen dhe ndërgjegjësimin e brezit të ri mbi të kaluarën komuniste. </w:t>
      </w:r>
    </w:p>
    <w:p w14:paraId="51E41939"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Janë zhvilluar aktivitete në përkujtim të figurave të shquara dhe ngjarjeve të rëndësishme historiko-kulturore të krahinës së Korçës dhe të Shqipërisë në Muzeun e Arsimit Korçë.</w:t>
      </w:r>
    </w:p>
    <w:p w14:paraId="36A8914D"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 xml:space="preserve">Realizimi i aktiviteteve me karakter promovues, edukues në Qendrën Kombëtare të Muzeumeve Berat, në muzetë kombëtare “Gjergj Kastrioti Skenderbeu” dhe Entografik, Krujë, Muzeu Pavarësia Vlorë. </w:t>
      </w:r>
    </w:p>
    <w:p w14:paraId="7BDAF888"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Realizimi i punimeve restauruese të parqeve të Butrintit dhe Apolonisë.</w:t>
      </w:r>
    </w:p>
    <w:p w14:paraId="1A7D7723" w14:textId="77777777" w:rsidR="005139C5" w:rsidRPr="002E06C4" w:rsidRDefault="005139C5" w:rsidP="006C0253">
      <w:pPr>
        <w:numPr>
          <w:ilvl w:val="0"/>
          <w:numId w:val="20"/>
        </w:numPr>
        <w:spacing w:line="276" w:lineRule="auto"/>
        <w:jc w:val="both"/>
        <w:rPr>
          <w:rFonts w:asciiTheme="majorHAnsi" w:hAnsiTheme="majorHAnsi" w:cs="Times New Roman"/>
          <w:lang w:val="sq-AL"/>
        </w:rPr>
      </w:pPr>
      <w:r w:rsidRPr="002E06C4">
        <w:rPr>
          <w:rFonts w:asciiTheme="majorHAnsi" w:hAnsiTheme="majorHAnsi" w:cs="Times New Roman"/>
          <w:lang w:val="sq-AL"/>
        </w:rPr>
        <w:t>“Aktivitete, veprimtari kulturore”, me nje kosto faktike prej 43 milion lekë. Gjatë vitit 2018 janë organizuar një seri veprimtarish lokale, kombëtare dhe ndërkombëtare me qëllim promovimin e vlerave të trashëgimisë kulturore të ekspozuara ose të sjellë pranë publikut apo dhe të ekspozuara në ambjentet e Ministrisë së Kulturës si:</w:t>
      </w:r>
    </w:p>
    <w:p w14:paraId="5A504BC3"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 xml:space="preserve">Projekte me thirrje si “Traditë Art Kulturë”, projekti “, Festivali Ndërkombëtar Folklorik “Aulona Inter Folk Festival” në Vlorë, festivali i 15-të Mbarëkombëtar i Instrumentistëve të vegjël popullorë zhvilluar në Fushë Arrëz, projekti “Java e Ali Pashës”. </w:t>
      </w:r>
    </w:p>
    <w:p w14:paraId="55774DB5"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Festivali Folklorik Tipologjik Kombëtar i Këngës Popullore Qytetare, realizuar në Elbasan më 9-10 mars.</w:t>
      </w:r>
    </w:p>
    <w:p w14:paraId="5CECF8BC"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Projekti i Festivalit Përmeti Multikulturor 2018, u organizua në qytetin e Përmetit në datat 21-22-23 Qershor 2018.Në këtë festival morën pjesë 9 grupe me 140 artistë pjesëmarrës nga të cilët 15 fëmijë.</w:t>
      </w:r>
    </w:p>
    <w:p w14:paraId="0A0F384A"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U organizua Festivali i 15-të Mbarëkombëtar i Instrumentistëve të vegjël popullorë në qytetin e Fushë Arrëzit në datat 18, 19, 20 maj, zhvilluar nga Shoqata Eko-Turistike, Pukë.Morën pjesë 140 artistë të vegjël nga të gjithë trevat shqipfolëse.</w:t>
      </w:r>
    </w:p>
    <w:p w14:paraId="04EF2942"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Projekti “Java e Ali Pashës”, zhvilluar në Tepelenë në datat 25-28 Maj , ku morën pjesë 100 artistë nga të cilët 25 fëmijë.</w:t>
      </w:r>
    </w:p>
    <w:p w14:paraId="660E6932"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Realizimi i Ekspozitës me koleksionet e znj.Patricia Nugee, në Muzeun Historik Kombëtar me rastin e “Vitit Mbarëkombëtar të Gj.K.Skërnderbeut”</w:t>
      </w:r>
    </w:p>
    <w:p w14:paraId="51E6810C" w14:textId="77777777" w:rsidR="005139C5" w:rsidRPr="002E06C4" w:rsidRDefault="005139C5" w:rsidP="006C0253">
      <w:pPr>
        <w:numPr>
          <w:ilvl w:val="1"/>
          <w:numId w:val="24"/>
        </w:numPr>
        <w:jc w:val="both"/>
        <w:rPr>
          <w:rFonts w:asciiTheme="majorHAnsi" w:hAnsiTheme="majorHAnsi" w:cs="Times New Roman"/>
          <w:lang w:val="sq-AL"/>
        </w:rPr>
      </w:pPr>
      <w:r w:rsidRPr="002E06C4">
        <w:rPr>
          <w:rFonts w:asciiTheme="majorHAnsi" w:hAnsiTheme="majorHAnsi" w:cs="Times New Roman"/>
          <w:lang w:val="sq-AL"/>
        </w:rPr>
        <w:t>Aktivitete në kuadër të programit “Miku i Monumentit”, janë zhvilluar nga Drejtoritë Rajonale të Kulturës Kombëtare në bashkëpunim me Drejtoritë Arsimore Rajonale.</w:t>
      </w:r>
    </w:p>
    <w:p w14:paraId="12F19A0E" w14:textId="77777777" w:rsidR="005139C5" w:rsidRPr="002E06C4" w:rsidRDefault="005139C5" w:rsidP="006C0253">
      <w:pPr>
        <w:numPr>
          <w:ilvl w:val="0"/>
          <w:numId w:val="20"/>
        </w:numPr>
        <w:spacing w:line="276" w:lineRule="auto"/>
        <w:jc w:val="both"/>
        <w:rPr>
          <w:rFonts w:asciiTheme="majorHAnsi" w:hAnsiTheme="majorHAnsi" w:cs="Times New Roman"/>
          <w:lang w:val="sq-AL"/>
        </w:rPr>
      </w:pPr>
      <w:r w:rsidRPr="002E06C4">
        <w:rPr>
          <w:rFonts w:asciiTheme="majorHAnsi" w:hAnsiTheme="majorHAnsi" w:cs="Times New Roman"/>
          <w:lang w:val="sq-AL"/>
        </w:rPr>
        <w:lastRenderedPageBreak/>
        <w:t>“Objekte të inventarizuara”, me një kosto faktike prej 10.5 milion lekë. Gjatë vitit 2018 rezultojnë të regjistruara në Bazën e të dhënave shtetërore “Regjistri Kombëtar i Pasurive Kulturore gjithsej 77 192 objekte.</w:t>
      </w:r>
    </w:p>
    <w:p w14:paraId="59AFC5C1" w14:textId="77777777" w:rsidR="005139C5" w:rsidRPr="002E06C4" w:rsidRDefault="005139C5" w:rsidP="005139C5">
      <w:pPr>
        <w:spacing w:line="276" w:lineRule="auto"/>
        <w:jc w:val="both"/>
        <w:rPr>
          <w:rFonts w:asciiTheme="majorHAnsi" w:hAnsiTheme="majorHAnsi" w:cs="Times New Roman"/>
          <w:lang w:val="sq-AL"/>
        </w:rPr>
      </w:pPr>
    </w:p>
    <w:p w14:paraId="47425F92" w14:textId="77777777" w:rsidR="005139C5" w:rsidRPr="002E06C4" w:rsidRDefault="005139C5" w:rsidP="005139C5">
      <w:pPr>
        <w:spacing w:line="276" w:lineRule="auto"/>
        <w:jc w:val="both"/>
        <w:rPr>
          <w:rFonts w:asciiTheme="majorHAnsi" w:hAnsiTheme="majorHAnsi" w:cs="Times New Roman"/>
          <w:lang w:val="sq-AL"/>
        </w:rPr>
      </w:pPr>
      <w:r w:rsidRPr="002E06C4">
        <w:rPr>
          <w:rFonts w:asciiTheme="majorHAnsi" w:hAnsiTheme="majorHAnsi" w:cs="Times New Roman"/>
          <w:lang w:val="sq-AL"/>
        </w:rPr>
        <w:t>Në programin</w:t>
      </w:r>
      <w:r w:rsidRPr="002E06C4">
        <w:rPr>
          <w:rFonts w:asciiTheme="majorHAnsi" w:hAnsiTheme="majorHAnsi" w:cs="Times New Roman"/>
          <w:b/>
          <w:lang w:val="sq-AL"/>
        </w:rPr>
        <w:t xml:space="preserve"> “Arti dhe Kultura”</w:t>
      </w:r>
      <w:r w:rsidRPr="002E06C4">
        <w:rPr>
          <w:rFonts w:asciiTheme="majorHAnsi" w:hAnsiTheme="majorHAnsi" w:cs="Times New Roman"/>
          <w:lang w:val="sq-AL"/>
        </w:rPr>
        <w:t xml:space="preserve"> janë realizuar projekte artistike kulturore të cilët kanë siguruar gjithëpërfshirje në jetën social kulturore, në veçanti ato projekte të cilat kanë në fokus krijimtarinë artistike, edukimin dhe zhvillimin e audiencave si dhe integrimin gjinor. Ky objektiv është arritur nëpërmjet realizimit të produkteve, si më poshtë:</w:t>
      </w:r>
    </w:p>
    <w:p w14:paraId="58593170" w14:textId="77777777" w:rsidR="005139C5" w:rsidRPr="002E06C4" w:rsidRDefault="005139C5" w:rsidP="006C0253">
      <w:pPr>
        <w:numPr>
          <w:ilvl w:val="0"/>
          <w:numId w:val="20"/>
        </w:numPr>
        <w:spacing w:line="276" w:lineRule="auto"/>
        <w:jc w:val="both"/>
        <w:rPr>
          <w:rFonts w:asciiTheme="majorHAnsi" w:hAnsiTheme="majorHAnsi" w:cs="Times New Roman"/>
          <w:lang w:val="sq-AL"/>
        </w:rPr>
      </w:pPr>
      <w:r w:rsidRPr="002E06C4">
        <w:rPr>
          <w:rFonts w:asciiTheme="majorHAnsi" w:hAnsiTheme="majorHAnsi" w:cs="Times New Roman"/>
          <w:lang w:val="sq-AL"/>
        </w:rPr>
        <w:t>“Investime të reja në skenat bashkëkohore” me nje kosto faktike prej 659 milion lekë. Ka  përfunduar dhe është inauguruar Teatri i ri Turbina, me dy skena dhe platforma multifunksionale arti, si edhe është në proces Rikonstruksioni i Teatrit të Operës dhe Baletit.</w:t>
      </w:r>
    </w:p>
    <w:p w14:paraId="70CA87E0" w14:textId="77777777" w:rsidR="005139C5" w:rsidRPr="002E06C4" w:rsidRDefault="005139C5" w:rsidP="006C0253">
      <w:pPr>
        <w:numPr>
          <w:ilvl w:val="0"/>
          <w:numId w:val="20"/>
        </w:numPr>
        <w:spacing w:line="276" w:lineRule="auto"/>
        <w:jc w:val="both"/>
        <w:rPr>
          <w:rFonts w:asciiTheme="majorHAnsi" w:hAnsiTheme="majorHAnsi" w:cs="Times New Roman"/>
          <w:lang w:val="sq-AL"/>
        </w:rPr>
      </w:pPr>
      <w:r w:rsidRPr="002E06C4">
        <w:rPr>
          <w:rFonts w:asciiTheme="majorHAnsi" w:hAnsiTheme="majorHAnsi" w:cs="Times New Roman"/>
          <w:lang w:val="sq-AL"/>
        </w:rPr>
        <w:t>Veprimtari të realizuara me fondet e programit art kulturë sipas prioriteteve dhe integritetit gjinor” me nje kosto faktike prej 108.2 milion lekë. Ky produkt vjen si rezultat i mbështetjes së projekteve në dy drejtime:</w:t>
      </w:r>
    </w:p>
    <w:p w14:paraId="24CB95B0" w14:textId="77777777" w:rsidR="005139C5" w:rsidRPr="002E06C4" w:rsidRDefault="005139C5" w:rsidP="006C0253">
      <w:pPr>
        <w:numPr>
          <w:ilvl w:val="0"/>
          <w:numId w:val="18"/>
        </w:numPr>
        <w:spacing w:line="276" w:lineRule="auto"/>
        <w:jc w:val="both"/>
        <w:rPr>
          <w:rFonts w:asciiTheme="majorHAnsi" w:hAnsiTheme="majorHAnsi" w:cs="Times New Roman"/>
          <w:lang w:val="sq-AL"/>
        </w:rPr>
      </w:pPr>
      <w:r w:rsidRPr="002E06C4">
        <w:rPr>
          <w:rFonts w:asciiTheme="majorHAnsi" w:hAnsiTheme="majorHAnsi" w:cs="Times New Roman"/>
          <w:lang w:val="sq-AL"/>
        </w:rPr>
        <w:t>Projekte me thirrje: Për vitin 2018 janë vlerësuar dhe mbështetur nga një Kolegjium i posaçëm në MK, rreth 82 projekte fituese nga Ministria e Kulturës, mes 300 projekteve konkuruese në vlerën total 45.000.000 lekë.</w:t>
      </w:r>
    </w:p>
    <w:p w14:paraId="313A3769" w14:textId="77777777" w:rsidR="005139C5" w:rsidRPr="002E06C4" w:rsidRDefault="005139C5" w:rsidP="005139C5">
      <w:p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Tipare kyçe të projekteve fituese, kane qenë: projektet dhe eventet; prodhime kulturore letrare artistike; hulumtim dhe zhvillim; që sigurojnë përfshirje dhe punësim, zhvillim dhe edukim audiencash, vepra dhe projekte artistike kulturore  me karakter shëtitës, Inovacioni, Edukimi përmes Kulturës, Kreativiteti, etj. </w:t>
      </w:r>
    </w:p>
    <w:p w14:paraId="216C9302" w14:textId="77777777" w:rsidR="005139C5" w:rsidRPr="002E06C4" w:rsidRDefault="005139C5" w:rsidP="005139C5">
      <w:p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Disiplinat e aplikuara janë: Teatër, Muzikë, Dokumentar filmik, Ekspozita bashkëkohore dhe Koloni Arti,  Festivale Filmi, Teatrosh si dhe Botime të ndryshme. </w:t>
      </w:r>
    </w:p>
    <w:p w14:paraId="5D5081BA" w14:textId="77777777" w:rsidR="005139C5" w:rsidRPr="002E06C4" w:rsidRDefault="005139C5" w:rsidP="006C0253">
      <w:pPr>
        <w:numPr>
          <w:ilvl w:val="0"/>
          <w:numId w:val="18"/>
        </w:num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Përfituesit kryesorë të këtyre projekteve, janë individ dhe organizata, kryesisht artist, kurator, shkrimtar, producentë, promovues të art - kulturës, si dhe te tjerë që artin dhe kulturën i kanë të përfshira në veprimtaritë e tyre. </w:t>
      </w:r>
    </w:p>
    <w:p w14:paraId="748D99C7" w14:textId="77777777" w:rsidR="005139C5" w:rsidRPr="002E06C4" w:rsidRDefault="005139C5" w:rsidP="006C0253">
      <w:pPr>
        <w:numPr>
          <w:ilvl w:val="0"/>
          <w:numId w:val="18"/>
        </w:numPr>
        <w:spacing w:line="276" w:lineRule="auto"/>
        <w:jc w:val="both"/>
        <w:rPr>
          <w:rFonts w:asciiTheme="majorHAnsi" w:hAnsiTheme="majorHAnsi" w:cs="Times New Roman"/>
          <w:lang w:val="sq-AL"/>
        </w:rPr>
      </w:pPr>
      <w:r w:rsidRPr="002E06C4">
        <w:rPr>
          <w:rFonts w:asciiTheme="majorHAnsi" w:hAnsiTheme="majorHAnsi" w:cs="Times New Roman"/>
          <w:lang w:val="sq-AL"/>
        </w:rPr>
        <w:t>Target grupet kryesore që u janë drejtuar projektet përfituese për vitin 2018, janë: Audienca e gjerë, kritika / studiues të artit, brezi i ri dhe grupet vulnerabël “Përfaqësim jashtë vendit në programet komunitare, programet e bashkëpunimit, përfaqësimeve në festivale, panaire, rezidenca etj”, me nje kosto faktike prej 19 milion lekë duke siguruar rritjen e bashkëpunimeve dhe përfaqësimeve të artit dhe artistëve shqiptarë në evenimente dhe skena ndërkombëtare. Këtu përmendim pjesëmarrjen në Panairin e Librit në Lajpcig, si edhe përfaqësimi i Shqipërisë në edicionin e 12-të të Festivalit Ndërkombëtar Kulturor “Balkan Trafik”, që u mbajt në Bruksel.</w:t>
      </w:r>
    </w:p>
    <w:p w14:paraId="775165FE" w14:textId="77777777" w:rsidR="005139C5" w:rsidRPr="002E06C4" w:rsidRDefault="005139C5" w:rsidP="006C0253">
      <w:pPr>
        <w:numPr>
          <w:ilvl w:val="0"/>
          <w:numId w:val="36"/>
        </w:numPr>
        <w:spacing w:line="276" w:lineRule="auto"/>
        <w:jc w:val="both"/>
        <w:rPr>
          <w:rFonts w:asciiTheme="majorHAnsi" w:hAnsiTheme="majorHAnsi" w:cs="Times New Roman"/>
          <w:lang w:val="sq-AL"/>
        </w:rPr>
      </w:pPr>
      <w:r w:rsidRPr="002E06C4">
        <w:rPr>
          <w:rFonts w:asciiTheme="majorHAnsi" w:hAnsiTheme="majorHAnsi" w:cs="Times New Roman"/>
          <w:lang w:val="sq-AL"/>
        </w:rPr>
        <w:t>“Aktivitete artistike të realizuara në 9 institucionet qendrore të Artit dhe Kulturës me një kosto faktike prej 364 milion lekë.</w:t>
      </w:r>
    </w:p>
    <w:p w14:paraId="08C2C779" w14:textId="77777777" w:rsidR="005139C5" w:rsidRPr="002E06C4" w:rsidRDefault="005139C5" w:rsidP="006C0253">
      <w:pPr>
        <w:numPr>
          <w:ilvl w:val="1"/>
          <w:numId w:val="36"/>
        </w:num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Në institucionet e artit janë zhvilluar aktivitete të shumta artistike, në gjinitë dhe fushat respektive. Institucionet e artit, përveç kalendarit sezonal të miratuar me Bord Artistik, kanë bashkëpunuar për disa evente në partneritet ndërinstitucional, Ambasada, Institucione homologe, etj. </w:t>
      </w:r>
    </w:p>
    <w:p w14:paraId="336B2CB9" w14:textId="77777777" w:rsidR="0080499B" w:rsidRPr="002E06C4" w:rsidRDefault="0080499B" w:rsidP="005139C5">
      <w:pPr>
        <w:spacing w:line="276" w:lineRule="auto"/>
        <w:ind w:left="540"/>
        <w:jc w:val="both"/>
        <w:rPr>
          <w:rFonts w:asciiTheme="majorHAnsi" w:hAnsiTheme="majorHAnsi" w:cs="Times New Roman"/>
          <w:lang w:val="sq-AL"/>
        </w:rPr>
      </w:pPr>
    </w:p>
    <w:p w14:paraId="319F7ECA" w14:textId="77777777" w:rsidR="0044331B" w:rsidRPr="002E06C4" w:rsidRDefault="0044331B" w:rsidP="005139C5">
      <w:pPr>
        <w:spacing w:line="276" w:lineRule="auto"/>
        <w:ind w:left="540"/>
        <w:jc w:val="both"/>
        <w:rPr>
          <w:rFonts w:asciiTheme="majorHAnsi" w:hAnsiTheme="majorHAnsi" w:cs="Times New Roman"/>
          <w:lang w:val="sq-AL"/>
        </w:rPr>
      </w:pPr>
    </w:p>
    <w:p w14:paraId="4ECFCD18" w14:textId="77777777" w:rsidR="005139C5" w:rsidRPr="002E06C4" w:rsidRDefault="005139C5" w:rsidP="005139C5">
      <w:pPr>
        <w:pStyle w:val="Heading3"/>
        <w:numPr>
          <w:ilvl w:val="2"/>
          <w:numId w:val="4"/>
        </w:numPr>
        <w:spacing w:after="240"/>
        <w:rPr>
          <w:rFonts w:cs="Times New Roman"/>
          <w:b/>
          <w:lang w:val="sq-AL"/>
        </w:rPr>
      </w:pPr>
      <w:bookmarkStart w:id="180" w:name="_Toc10033301"/>
      <w:bookmarkStart w:id="181" w:name="_Toc10721437"/>
      <w:bookmarkStart w:id="182" w:name="_Toc11134235"/>
      <w:r w:rsidRPr="002E06C4">
        <w:rPr>
          <w:rFonts w:cs="Times New Roman"/>
          <w:b/>
          <w:lang w:val="sq-AL"/>
        </w:rPr>
        <w:lastRenderedPageBreak/>
        <w:t>Rendi dhe Siguria Publike</w:t>
      </w:r>
      <w:bookmarkEnd w:id="180"/>
      <w:bookmarkEnd w:id="181"/>
      <w:bookmarkEnd w:id="182"/>
    </w:p>
    <w:p w14:paraId="14FBF706" w14:textId="77777777" w:rsidR="005139C5" w:rsidRPr="002E06C4" w:rsidRDefault="005139C5" w:rsidP="005139C5">
      <w:pPr>
        <w:spacing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Performanca e treguesve buxhetorë për dy programet kryesore të Ministrisë së Brendshme paraqitet si më poshtë:</w:t>
      </w:r>
    </w:p>
    <w:p w14:paraId="21406AD6" w14:textId="77777777" w:rsidR="005139C5" w:rsidRPr="002E06C4" w:rsidRDefault="005139C5" w:rsidP="005139C5">
      <w:pPr>
        <w:spacing w:line="276" w:lineRule="auto"/>
        <w:jc w:val="both"/>
        <w:rPr>
          <w:rFonts w:asciiTheme="majorHAnsi" w:hAnsiTheme="majorHAnsi" w:cs="Times New Roman"/>
          <w:color w:val="000000"/>
          <w:sz w:val="12"/>
          <w:szCs w:val="12"/>
          <w:lang w:val="sq-AL"/>
        </w:rPr>
      </w:pPr>
    </w:p>
    <w:p w14:paraId="3F4F5C6C" w14:textId="77777777" w:rsidR="005139C5" w:rsidRPr="002E06C4" w:rsidRDefault="005139C5" w:rsidP="005139C5">
      <w:pPr>
        <w:pStyle w:val="Caption"/>
        <w:keepNext/>
        <w:spacing w:after="0"/>
        <w:rPr>
          <w:rFonts w:asciiTheme="majorHAnsi" w:hAnsiTheme="majorHAnsi" w:cs="Times New Roman"/>
          <w:lang w:val="sq-AL"/>
        </w:rPr>
      </w:pPr>
      <w:bookmarkStart w:id="183" w:name="_Toc11135137"/>
      <w:r w:rsidRPr="002E06C4">
        <w:rPr>
          <w:rFonts w:asciiTheme="majorHAnsi" w:hAnsiTheme="majorHAnsi" w:cs="Times New Roman"/>
          <w:lang w:val="sq-AL"/>
        </w:rPr>
        <w:t xml:space="preserve">Tabela </w:t>
      </w:r>
      <w:r w:rsidR="00140052">
        <w:rPr>
          <w:rFonts w:asciiTheme="majorHAnsi" w:hAnsiTheme="majorHAnsi" w:cs="Times New Roman"/>
          <w:lang w:val="sq-AL"/>
        </w:rPr>
        <w:fldChar w:fldCharType="begin"/>
      </w:r>
      <w:r w:rsidR="00140052">
        <w:rPr>
          <w:rFonts w:asciiTheme="majorHAnsi" w:hAnsiTheme="majorHAnsi" w:cs="Times New Roman"/>
          <w:lang w:val="sq-AL"/>
        </w:rPr>
        <w:instrText xml:space="preserve"> SEQ Tabela \* ARABIC </w:instrText>
      </w:r>
      <w:r w:rsidR="00140052">
        <w:rPr>
          <w:rFonts w:asciiTheme="majorHAnsi" w:hAnsiTheme="majorHAnsi" w:cs="Times New Roman"/>
          <w:lang w:val="sq-AL"/>
        </w:rPr>
        <w:fldChar w:fldCharType="separate"/>
      </w:r>
      <w:r w:rsidR="006A57F3">
        <w:rPr>
          <w:rFonts w:asciiTheme="majorHAnsi" w:hAnsiTheme="majorHAnsi" w:cs="Times New Roman"/>
          <w:noProof/>
          <w:lang w:val="sq-AL"/>
        </w:rPr>
        <w:t>23</w:t>
      </w:r>
      <w:r w:rsidR="00140052">
        <w:rPr>
          <w:rFonts w:asciiTheme="majorHAnsi" w:hAnsiTheme="majorHAnsi" w:cs="Times New Roman"/>
          <w:lang w:val="sq-AL"/>
        </w:rPr>
        <w:fldChar w:fldCharType="end"/>
      </w:r>
      <w:r w:rsidRPr="002E06C4">
        <w:rPr>
          <w:rFonts w:asciiTheme="majorHAnsi" w:hAnsiTheme="majorHAnsi" w:cs="Times New Roman"/>
          <w:lang w:val="sq-AL"/>
        </w:rPr>
        <w:t xml:space="preserve"> Realizimi i buxhetit 2018 për Ministrinë e Brendshme</w:t>
      </w:r>
      <w:bookmarkEnd w:id="183"/>
    </w:p>
    <w:p w14:paraId="62997C6A" w14:textId="77777777" w:rsidR="005139C5" w:rsidRPr="002E06C4" w:rsidRDefault="005139C5" w:rsidP="005139C5">
      <w:pPr>
        <w:spacing w:line="276" w:lineRule="auto"/>
        <w:ind w:left="2880" w:firstLine="720"/>
        <w:jc w:val="right"/>
        <w:rPr>
          <w:rFonts w:asciiTheme="majorHAnsi" w:hAnsiTheme="majorHAnsi" w:cs="Times New Roman"/>
          <w:i/>
          <w:color w:val="000000"/>
          <w:sz w:val="20"/>
          <w:u w:val="single"/>
          <w:lang w:val="sq-AL"/>
        </w:rPr>
      </w:pPr>
      <w:r w:rsidRPr="002E06C4">
        <w:rPr>
          <w:rFonts w:asciiTheme="majorHAnsi" w:hAnsiTheme="majorHAnsi" w:cs="Times New Roman"/>
          <w:i/>
          <w:color w:val="000000"/>
          <w:sz w:val="20"/>
          <w:u w:val="single"/>
          <w:lang w:val="sq-AL"/>
        </w:rPr>
        <w:t>Në mijë lekë</w:t>
      </w:r>
    </w:p>
    <w:tbl>
      <w:tblPr>
        <w:tblStyle w:val="TableGridLight1"/>
        <w:tblW w:w="5000"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1E0" w:firstRow="1" w:lastRow="1" w:firstColumn="1" w:lastColumn="1" w:noHBand="0" w:noVBand="0"/>
      </w:tblPr>
      <w:tblGrid>
        <w:gridCol w:w="578"/>
        <w:gridCol w:w="2376"/>
        <w:gridCol w:w="1364"/>
        <w:gridCol w:w="1274"/>
        <w:gridCol w:w="1370"/>
        <w:gridCol w:w="1272"/>
        <w:gridCol w:w="1077"/>
        <w:gridCol w:w="1165"/>
      </w:tblGrid>
      <w:tr w:rsidR="005139C5" w:rsidRPr="002E06C4" w14:paraId="6D4C4A04" w14:textId="77777777" w:rsidTr="0080499B">
        <w:trPr>
          <w:trHeight w:val="179"/>
          <w:jc w:val="center"/>
        </w:trPr>
        <w:tc>
          <w:tcPr>
            <w:tcW w:w="276" w:type="pct"/>
            <w:vMerge w:val="restart"/>
          </w:tcPr>
          <w:p w14:paraId="3546DEE7"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NR</w:t>
            </w:r>
          </w:p>
        </w:tc>
        <w:tc>
          <w:tcPr>
            <w:tcW w:w="1134" w:type="pct"/>
            <w:vMerge w:val="restart"/>
          </w:tcPr>
          <w:p w14:paraId="7AE20913"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Emërtimi i Programit</w:t>
            </w:r>
          </w:p>
        </w:tc>
        <w:tc>
          <w:tcPr>
            <w:tcW w:w="1259" w:type="pct"/>
            <w:gridSpan w:val="2"/>
          </w:tcPr>
          <w:p w14:paraId="4C8310D8" w14:textId="77777777" w:rsidR="005139C5" w:rsidRPr="002E06C4" w:rsidRDefault="005139C5" w:rsidP="0080499B">
            <w:pPr>
              <w:spacing w:line="276" w:lineRule="auto"/>
              <w:ind w:left="84"/>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Plani 2018</w:t>
            </w:r>
          </w:p>
        </w:tc>
        <w:tc>
          <w:tcPr>
            <w:tcW w:w="1261" w:type="pct"/>
            <w:gridSpan w:val="2"/>
          </w:tcPr>
          <w:p w14:paraId="5B29FA85"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Fakti 2018</w:t>
            </w:r>
          </w:p>
        </w:tc>
        <w:tc>
          <w:tcPr>
            <w:tcW w:w="1070" w:type="pct"/>
            <w:gridSpan w:val="2"/>
          </w:tcPr>
          <w:p w14:paraId="747CA82A"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bCs/>
                <w:sz w:val="18"/>
                <w:szCs w:val="24"/>
                <w:lang w:val="sq-AL"/>
              </w:rPr>
              <w:t>Përqindja  e realizimit</w:t>
            </w:r>
          </w:p>
        </w:tc>
      </w:tr>
      <w:tr w:rsidR="005139C5" w:rsidRPr="002E06C4" w14:paraId="165F7443" w14:textId="77777777" w:rsidTr="0080499B">
        <w:trPr>
          <w:trHeight w:val="89"/>
          <w:jc w:val="center"/>
        </w:trPr>
        <w:tc>
          <w:tcPr>
            <w:tcW w:w="276" w:type="pct"/>
            <w:vMerge/>
          </w:tcPr>
          <w:p w14:paraId="22C077E9"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1134" w:type="pct"/>
            <w:vMerge/>
          </w:tcPr>
          <w:p w14:paraId="4CC4F43E"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p>
        </w:tc>
        <w:tc>
          <w:tcPr>
            <w:tcW w:w="651" w:type="pct"/>
          </w:tcPr>
          <w:p w14:paraId="3ADADD1E" w14:textId="77777777" w:rsidR="005139C5" w:rsidRPr="002E06C4" w:rsidRDefault="005139C5" w:rsidP="0080499B">
            <w:pPr>
              <w:spacing w:line="276" w:lineRule="auto"/>
              <w:ind w:left="84"/>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608" w:type="pct"/>
          </w:tcPr>
          <w:p w14:paraId="7961A5A1" w14:textId="77777777" w:rsidR="005139C5" w:rsidRPr="002E06C4" w:rsidRDefault="005139C5" w:rsidP="0080499B">
            <w:pPr>
              <w:spacing w:line="276" w:lineRule="auto"/>
              <w:ind w:left="84"/>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c>
          <w:tcPr>
            <w:tcW w:w="654" w:type="pct"/>
          </w:tcPr>
          <w:p w14:paraId="321C1A9C"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607" w:type="pct"/>
          </w:tcPr>
          <w:p w14:paraId="7B3595BB"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c>
          <w:tcPr>
            <w:tcW w:w="514" w:type="pct"/>
          </w:tcPr>
          <w:p w14:paraId="51BE1693"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Korrente</w:t>
            </w:r>
          </w:p>
        </w:tc>
        <w:tc>
          <w:tcPr>
            <w:tcW w:w="556" w:type="pct"/>
          </w:tcPr>
          <w:p w14:paraId="0474F81F" w14:textId="77777777" w:rsidR="005139C5" w:rsidRPr="002E06C4" w:rsidRDefault="005139C5" w:rsidP="0080499B">
            <w:pPr>
              <w:spacing w:line="276" w:lineRule="auto"/>
              <w:jc w:val="center"/>
              <w:rPr>
                <w:rFonts w:asciiTheme="majorHAnsi" w:eastAsia="Times New Roman" w:hAnsiTheme="majorHAnsi" w:cs="Times New Roman"/>
                <w:b/>
                <w:sz w:val="18"/>
                <w:szCs w:val="24"/>
                <w:lang w:val="sq-AL"/>
              </w:rPr>
            </w:pPr>
            <w:r w:rsidRPr="002E06C4">
              <w:rPr>
                <w:rFonts w:asciiTheme="majorHAnsi" w:eastAsia="Times New Roman" w:hAnsiTheme="majorHAnsi" w:cs="Times New Roman"/>
                <w:b/>
                <w:sz w:val="18"/>
                <w:szCs w:val="24"/>
                <w:lang w:val="sq-AL"/>
              </w:rPr>
              <w:t>Investime</w:t>
            </w:r>
          </w:p>
        </w:tc>
      </w:tr>
      <w:tr w:rsidR="005139C5" w:rsidRPr="002E06C4" w14:paraId="55E2234E" w14:textId="77777777" w:rsidTr="0080499B">
        <w:trPr>
          <w:jc w:val="center"/>
        </w:trPr>
        <w:tc>
          <w:tcPr>
            <w:tcW w:w="276" w:type="pct"/>
          </w:tcPr>
          <w:p w14:paraId="66FBEE40"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w:t>
            </w:r>
          </w:p>
        </w:tc>
        <w:tc>
          <w:tcPr>
            <w:tcW w:w="1134" w:type="pct"/>
          </w:tcPr>
          <w:p w14:paraId="69F00B21"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Policia e Shtetit</w:t>
            </w:r>
          </w:p>
        </w:tc>
        <w:tc>
          <w:tcPr>
            <w:tcW w:w="651" w:type="pct"/>
          </w:tcPr>
          <w:p w14:paraId="38E7D0D3"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14,686,845</w:t>
            </w:r>
          </w:p>
        </w:tc>
        <w:tc>
          <w:tcPr>
            <w:tcW w:w="608" w:type="pct"/>
          </w:tcPr>
          <w:p w14:paraId="3042EE58"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1,299,177</w:t>
            </w:r>
          </w:p>
        </w:tc>
        <w:tc>
          <w:tcPr>
            <w:tcW w:w="654" w:type="pct"/>
          </w:tcPr>
          <w:p w14:paraId="12BE6895"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14,650,317</w:t>
            </w:r>
          </w:p>
        </w:tc>
        <w:tc>
          <w:tcPr>
            <w:tcW w:w="607" w:type="pct"/>
          </w:tcPr>
          <w:p w14:paraId="2DBEE1F7"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1,287,736</w:t>
            </w:r>
          </w:p>
        </w:tc>
        <w:tc>
          <w:tcPr>
            <w:tcW w:w="514" w:type="pct"/>
          </w:tcPr>
          <w:p w14:paraId="0EEF7F4D"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99.75%</w:t>
            </w:r>
          </w:p>
        </w:tc>
        <w:tc>
          <w:tcPr>
            <w:tcW w:w="556" w:type="pct"/>
          </w:tcPr>
          <w:p w14:paraId="14F353CA"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99.12%</w:t>
            </w:r>
          </w:p>
        </w:tc>
      </w:tr>
      <w:tr w:rsidR="005139C5" w:rsidRPr="002E06C4" w14:paraId="7FABAADB" w14:textId="77777777" w:rsidTr="0080499B">
        <w:trPr>
          <w:trHeight w:val="224"/>
          <w:jc w:val="center"/>
        </w:trPr>
        <w:tc>
          <w:tcPr>
            <w:tcW w:w="276" w:type="pct"/>
          </w:tcPr>
          <w:p w14:paraId="5F7146A5" w14:textId="77777777" w:rsidR="005139C5" w:rsidRPr="002E06C4" w:rsidRDefault="005139C5" w:rsidP="0080499B">
            <w:pPr>
              <w:spacing w:line="276" w:lineRule="auto"/>
              <w:rPr>
                <w:rFonts w:asciiTheme="majorHAnsi" w:eastAsia="Times New Roman" w:hAnsiTheme="majorHAnsi" w:cs="Times New Roman"/>
                <w:sz w:val="18"/>
                <w:szCs w:val="24"/>
                <w:lang w:val="sq-AL"/>
              </w:rPr>
            </w:pPr>
          </w:p>
        </w:tc>
        <w:tc>
          <w:tcPr>
            <w:tcW w:w="1134" w:type="pct"/>
          </w:tcPr>
          <w:p w14:paraId="17B00395" w14:textId="77777777" w:rsidR="005139C5" w:rsidRPr="002E06C4" w:rsidRDefault="005139C5" w:rsidP="0080499B">
            <w:pPr>
              <w:spacing w:line="276" w:lineRule="auto"/>
              <w:contextualSpacing/>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 xml:space="preserve">    Financimi i huaj</w:t>
            </w:r>
          </w:p>
        </w:tc>
        <w:tc>
          <w:tcPr>
            <w:tcW w:w="651" w:type="pct"/>
          </w:tcPr>
          <w:p w14:paraId="56862439"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p>
        </w:tc>
        <w:tc>
          <w:tcPr>
            <w:tcW w:w="608" w:type="pct"/>
          </w:tcPr>
          <w:p w14:paraId="73288847"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747,543</w:t>
            </w:r>
          </w:p>
        </w:tc>
        <w:tc>
          <w:tcPr>
            <w:tcW w:w="654" w:type="pct"/>
          </w:tcPr>
          <w:p w14:paraId="7501095F"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p>
        </w:tc>
        <w:tc>
          <w:tcPr>
            <w:tcW w:w="607" w:type="pct"/>
          </w:tcPr>
          <w:p w14:paraId="43D16BD6"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747,543</w:t>
            </w:r>
          </w:p>
        </w:tc>
        <w:tc>
          <w:tcPr>
            <w:tcW w:w="514" w:type="pct"/>
          </w:tcPr>
          <w:p w14:paraId="5422C0FD"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p>
        </w:tc>
        <w:tc>
          <w:tcPr>
            <w:tcW w:w="556" w:type="pct"/>
          </w:tcPr>
          <w:p w14:paraId="5452985B"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p>
        </w:tc>
      </w:tr>
      <w:tr w:rsidR="005139C5" w:rsidRPr="002E06C4" w14:paraId="56C7FCE5" w14:textId="77777777" w:rsidTr="0080499B">
        <w:trPr>
          <w:trHeight w:val="116"/>
          <w:jc w:val="center"/>
        </w:trPr>
        <w:tc>
          <w:tcPr>
            <w:tcW w:w="276" w:type="pct"/>
          </w:tcPr>
          <w:p w14:paraId="77C67E8E"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2.</w:t>
            </w:r>
          </w:p>
        </w:tc>
        <w:tc>
          <w:tcPr>
            <w:tcW w:w="1134" w:type="pct"/>
          </w:tcPr>
          <w:p w14:paraId="14F1F61D"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Garda e Republikës</w:t>
            </w:r>
          </w:p>
        </w:tc>
        <w:tc>
          <w:tcPr>
            <w:tcW w:w="651" w:type="pct"/>
          </w:tcPr>
          <w:p w14:paraId="217B7900"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1,504,404</w:t>
            </w:r>
          </w:p>
        </w:tc>
        <w:tc>
          <w:tcPr>
            <w:tcW w:w="608" w:type="pct"/>
          </w:tcPr>
          <w:p w14:paraId="18DDACE6"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159,000</w:t>
            </w:r>
          </w:p>
        </w:tc>
        <w:tc>
          <w:tcPr>
            <w:tcW w:w="654" w:type="pct"/>
          </w:tcPr>
          <w:p w14:paraId="0B3EBA5E"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1,501,992</w:t>
            </w:r>
          </w:p>
        </w:tc>
        <w:tc>
          <w:tcPr>
            <w:tcW w:w="607" w:type="pct"/>
          </w:tcPr>
          <w:p w14:paraId="00804E37" w14:textId="77777777" w:rsidR="005139C5" w:rsidRPr="002E06C4" w:rsidRDefault="005139C5" w:rsidP="0080499B">
            <w:pPr>
              <w:spacing w:line="276" w:lineRule="auto"/>
              <w:jc w:val="right"/>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158,127</w:t>
            </w:r>
          </w:p>
        </w:tc>
        <w:tc>
          <w:tcPr>
            <w:tcW w:w="514" w:type="pct"/>
          </w:tcPr>
          <w:p w14:paraId="554551F2" w14:textId="77777777" w:rsidR="005139C5" w:rsidRPr="002E06C4" w:rsidRDefault="005139C5" w:rsidP="0080499B">
            <w:pPr>
              <w:spacing w:line="276" w:lineRule="auto"/>
              <w:jc w:val="center"/>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99.84%</w:t>
            </w:r>
          </w:p>
        </w:tc>
        <w:tc>
          <w:tcPr>
            <w:tcW w:w="556" w:type="pct"/>
          </w:tcPr>
          <w:p w14:paraId="5F659312" w14:textId="77777777" w:rsidR="005139C5" w:rsidRPr="002E06C4" w:rsidRDefault="005139C5" w:rsidP="0080499B">
            <w:pPr>
              <w:spacing w:line="276" w:lineRule="auto"/>
              <w:rPr>
                <w:rFonts w:asciiTheme="majorHAnsi" w:eastAsia="Times New Roman" w:hAnsiTheme="majorHAnsi" w:cs="Times New Roman"/>
                <w:sz w:val="18"/>
                <w:szCs w:val="24"/>
                <w:lang w:val="sq-AL"/>
              </w:rPr>
            </w:pPr>
            <w:r w:rsidRPr="002E06C4">
              <w:rPr>
                <w:rFonts w:asciiTheme="majorHAnsi" w:eastAsia="Times New Roman" w:hAnsiTheme="majorHAnsi" w:cs="Times New Roman"/>
                <w:sz w:val="18"/>
                <w:szCs w:val="24"/>
                <w:lang w:val="sq-AL"/>
              </w:rPr>
              <w:t>99.45%</w:t>
            </w:r>
          </w:p>
        </w:tc>
      </w:tr>
    </w:tbl>
    <w:p w14:paraId="513DB17C" w14:textId="77777777" w:rsidR="0044331B" w:rsidRPr="002E06C4" w:rsidRDefault="0044331B" w:rsidP="005139C5">
      <w:pPr>
        <w:spacing w:line="276" w:lineRule="auto"/>
        <w:jc w:val="both"/>
        <w:rPr>
          <w:rFonts w:asciiTheme="majorHAnsi" w:hAnsiTheme="majorHAnsi" w:cs="Times New Roman"/>
          <w:lang w:val="sq-AL"/>
        </w:rPr>
      </w:pPr>
    </w:p>
    <w:p w14:paraId="46CEC926" w14:textId="77777777" w:rsidR="005139C5" w:rsidRPr="002E06C4" w:rsidRDefault="005139C5" w:rsidP="005139C5">
      <w:pPr>
        <w:spacing w:line="276" w:lineRule="auto"/>
        <w:jc w:val="both"/>
        <w:rPr>
          <w:rFonts w:asciiTheme="majorHAnsi" w:hAnsiTheme="majorHAnsi" w:cs="Times New Roman"/>
          <w:i/>
          <w:lang w:val="sq-AL"/>
        </w:rPr>
      </w:pPr>
      <w:r w:rsidRPr="002E06C4">
        <w:rPr>
          <w:rFonts w:asciiTheme="majorHAnsi" w:hAnsiTheme="majorHAnsi" w:cs="Times New Roman"/>
          <w:lang w:val="sq-AL"/>
        </w:rPr>
        <w:t>Në programin</w:t>
      </w:r>
      <w:r w:rsidRPr="002E06C4">
        <w:rPr>
          <w:rFonts w:asciiTheme="majorHAnsi" w:hAnsiTheme="majorHAnsi" w:cs="Times New Roman"/>
          <w:b/>
          <w:lang w:val="sq-AL"/>
        </w:rPr>
        <w:t xml:space="preserve"> “Policia e Shtetit</w:t>
      </w:r>
      <w:r w:rsidRPr="002E06C4">
        <w:rPr>
          <w:rFonts w:asciiTheme="majorHAnsi" w:hAnsiTheme="majorHAnsi" w:cs="Times New Roman"/>
          <w:lang w:val="sq-AL"/>
        </w:rPr>
        <w:t xml:space="preserve">”, me realizimin e fondeve me rreth 100%, është realizuar qëllimi i politikës së programit. Qëllimi i këtij progami është:  </w:t>
      </w:r>
      <w:r w:rsidRPr="002E06C4">
        <w:rPr>
          <w:rFonts w:asciiTheme="majorHAnsi" w:hAnsiTheme="majorHAnsi" w:cs="Times New Roman"/>
          <w:i/>
          <w:lang w:val="sq-AL"/>
        </w:rPr>
        <w:t xml:space="preserve">“Lufta pa kompromis dhe ndëshkimi i ashpër penal ndaj  grupeve dhe/ose organizatave kriminale të ndryshme, si dhe i grupeve me axhenda ekstremiste të dhunshme dhe terroriste duke shënjestëruar dhe goditur veprimtarinë e krimit të organizuar e rrjetet kriminale, sekuestruar dhe konfiskuar çdo aset ekonomik të paligjshëm. Përforcimi i zbatimit të ligjit për rritjen e nivelit të sigurisë publike dhe asaj rrugore. Menaxhimi efektiv, efeçient dhe i integruar i kufijve nëpërmjet mirëfunksionimit të 27 pikave të kalimit kufitar në Republikën e Shqipërisë. Forcimi i kapaciteteve institucionale, garantimi i pavarësisë operacionale të policisë së shtetit dhe konsolidimi i arsimit, kualifikimit dhe veçanërisht trajnimit të vazhdueshëm e të profilizuar të strukturave të Policisë së Shtetit.” </w:t>
      </w:r>
      <w:r w:rsidRPr="002E06C4">
        <w:rPr>
          <w:rFonts w:asciiTheme="majorHAnsi" w:hAnsiTheme="majorHAnsi" w:cs="Times New Roman"/>
          <w:lang w:val="sq-AL"/>
        </w:rPr>
        <w:t>Janë planifikuar 55 produkte, për realizimin e qëllimit të programit, të cilat konsistojnë në :</w:t>
      </w:r>
    </w:p>
    <w:p w14:paraId="06078E40"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w:t>
      </w:r>
      <w:r w:rsidRPr="002E06C4">
        <w:rPr>
          <w:rFonts w:asciiTheme="majorHAnsi" w:hAnsiTheme="majorHAnsi" w:cs="Times New Roman"/>
          <w:i/>
          <w:lang w:val="sq-AL"/>
        </w:rPr>
        <w:t>Hetimi i krimeve</w:t>
      </w:r>
      <w:r w:rsidRPr="002E06C4">
        <w:rPr>
          <w:rFonts w:asciiTheme="majorHAnsi" w:hAnsiTheme="majorHAnsi" w:cs="Times New Roman"/>
          <w:lang w:val="sq-AL"/>
        </w:rPr>
        <w:t>”, janë kryer 34,970 hetime, më kosto totale prej 2,692 milionë lekë,</w:t>
      </w:r>
    </w:p>
    <w:p w14:paraId="6AE8DFC0"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 xml:space="preserve">Ka patur 2,284 raste mbrojtjesh të menjëhershme ndaj grave dhe vajzave, me një kostim prej 50 milionë lekë, </w:t>
      </w:r>
    </w:p>
    <w:p w14:paraId="02DCB2ED"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Janë realizuar 66 operacione policore ndaj ekstremistëve e grupeve terroriste,</w:t>
      </w:r>
    </w:p>
    <w:p w14:paraId="67C8F068"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Janë realizuar 133 programe lidhur me mbështetjen për strategjinë anti-kanabis mbikqyrje ajrore.</w:t>
      </w:r>
    </w:p>
    <w:p w14:paraId="22BBBC79"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Janë realizuar 6,639 shërbime të policisë rrugore në rrugët nacionale që shoqërohen me një kosto prej 1,334 milionë lekë.</w:t>
      </w:r>
    </w:p>
    <w:p w14:paraId="173A2DA6"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Numri i operacioneve të sigurisë në kufi është 49 operacione të kryera të shoqëruara me një kosto prej 206.6 milionë lekë.</w:t>
      </w:r>
    </w:p>
    <w:p w14:paraId="2DF5FBEB"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Janë realizuar 536 hetime kundër krimit ndërkufitar me një shpenzim faktik prej 1,221 milionë lekë.</w:t>
      </w:r>
    </w:p>
    <w:p w14:paraId="50CE2C34"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Janë blerë  paisje për policinë shkencore, policinë kriminale dhe pajisje për databazin e gjurmëve të gishtave.</w:t>
      </w:r>
    </w:p>
    <w:p w14:paraId="1082ABD2"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Punonjës policorë të trajnim në shërbim, janë trajnuar 9,867 punonjës më një kosto prej 85 milionë lekë.</w:t>
      </w:r>
    </w:p>
    <w:p w14:paraId="00066478" w14:textId="77777777" w:rsidR="005139C5" w:rsidRPr="002E06C4" w:rsidRDefault="005139C5" w:rsidP="006C0253">
      <w:pPr>
        <w:numPr>
          <w:ilvl w:val="0"/>
          <w:numId w:val="39"/>
        </w:numPr>
        <w:jc w:val="both"/>
        <w:rPr>
          <w:rFonts w:asciiTheme="majorHAnsi" w:hAnsiTheme="majorHAnsi" w:cs="Times New Roman"/>
          <w:lang w:val="sq-AL"/>
        </w:rPr>
      </w:pPr>
      <w:r w:rsidRPr="002E06C4">
        <w:rPr>
          <w:rFonts w:asciiTheme="majorHAnsi" w:hAnsiTheme="majorHAnsi" w:cs="Times New Roman"/>
          <w:lang w:val="sq-AL"/>
        </w:rPr>
        <w:t>Janë trajtuar 112 bashkëshorte, me një kosto prej 39.8 milionë lekë.</w:t>
      </w:r>
    </w:p>
    <w:p w14:paraId="10490685" w14:textId="77777777" w:rsidR="005139C5" w:rsidRPr="002E06C4" w:rsidRDefault="005139C5" w:rsidP="005139C5">
      <w:pPr>
        <w:spacing w:line="276" w:lineRule="auto"/>
        <w:jc w:val="both"/>
        <w:rPr>
          <w:rFonts w:asciiTheme="majorHAnsi" w:hAnsiTheme="majorHAnsi" w:cs="Times New Roman"/>
          <w:b/>
          <w:i/>
          <w:lang w:val="sq-AL"/>
        </w:rPr>
      </w:pPr>
    </w:p>
    <w:p w14:paraId="5C8BD543" w14:textId="77777777" w:rsidR="005139C5" w:rsidRPr="002E06C4" w:rsidRDefault="005139C5" w:rsidP="005139C5">
      <w:pPr>
        <w:spacing w:line="276" w:lineRule="auto"/>
        <w:jc w:val="both"/>
        <w:rPr>
          <w:rFonts w:asciiTheme="majorHAnsi" w:hAnsiTheme="majorHAnsi" w:cs="Times New Roman"/>
          <w:lang w:val="sq-AL"/>
        </w:rPr>
      </w:pPr>
      <w:r w:rsidRPr="002E06C4">
        <w:rPr>
          <w:rFonts w:asciiTheme="majorHAnsi" w:hAnsiTheme="majorHAnsi" w:cs="Times New Roman"/>
          <w:b/>
          <w:lang w:val="sq-AL"/>
        </w:rPr>
        <w:t>Në programin “Garda e Republikës”</w:t>
      </w:r>
      <w:r w:rsidRPr="002E06C4">
        <w:rPr>
          <w:rFonts w:asciiTheme="majorHAnsi" w:hAnsiTheme="majorHAnsi" w:cs="Times New Roman"/>
          <w:lang w:val="sq-AL"/>
        </w:rPr>
        <w:t xml:space="preserve">, ka realizim të fondeve rreth 100 %, duke realizuar kështu edhe qëllimin e politikës së programit, e cila është : </w:t>
      </w:r>
      <w:r w:rsidRPr="002E06C4">
        <w:rPr>
          <w:rFonts w:asciiTheme="majorHAnsi" w:hAnsiTheme="majorHAnsi" w:cs="Times New Roman"/>
          <w:i/>
          <w:lang w:val="sq-AL"/>
        </w:rPr>
        <w:t xml:space="preserve">“Të kontribuojë në përmiresimin e vazhdueshëm të Sigurise së Personaliteteve Vendas dhe të Huaj, të Objekteve të Rëndësisë së Veçantë nëpërmjet rritjes së </w:t>
      </w:r>
      <w:r w:rsidRPr="002E06C4">
        <w:rPr>
          <w:rFonts w:asciiTheme="majorHAnsi" w:hAnsiTheme="majorHAnsi" w:cs="Times New Roman"/>
          <w:i/>
          <w:lang w:val="sq-AL"/>
        </w:rPr>
        <w:lastRenderedPageBreak/>
        <w:t>kapaciteteve menaxhuese dhe përputhjes me standartet europiane në fushën e sigurisë, duke synuar arritjen e nivelit 100% të sigurisë.”</w:t>
      </w:r>
      <w:r w:rsidRPr="002E06C4">
        <w:rPr>
          <w:rFonts w:asciiTheme="majorHAnsi" w:hAnsiTheme="majorHAnsi" w:cs="Times New Roman"/>
          <w:lang w:val="sq-AL"/>
        </w:rPr>
        <w:t xml:space="preserve"> </w:t>
      </w:r>
    </w:p>
    <w:p w14:paraId="7B8154A1" w14:textId="77777777" w:rsidR="005139C5" w:rsidRPr="002E06C4" w:rsidRDefault="005139C5" w:rsidP="005139C5">
      <w:pPr>
        <w:spacing w:line="276" w:lineRule="auto"/>
        <w:jc w:val="both"/>
        <w:rPr>
          <w:rFonts w:asciiTheme="majorHAnsi" w:hAnsiTheme="majorHAnsi" w:cs="Times New Roman"/>
          <w:lang w:val="sq-AL"/>
        </w:rPr>
      </w:pPr>
    </w:p>
    <w:p w14:paraId="2B98A4B1" w14:textId="77777777" w:rsidR="005139C5" w:rsidRPr="002E06C4" w:rsidRDefault="005139C5" w:rsidP="005139C5">
      <w:pPr>
        <w:spacing w:line="276" w:lineRule="auto"/>
        <w:jc w:val="both"/>
        <w:rPr>
          <w:rFonts w:asciiTheme="majorHAnsi" w:hAnsiTheme="majorHAnsi" w:cs="Times New Roman"/>
          <w:lang w:val="sq-AL"/>
        </w:rPr>
      </w:pPr>
      <w:r w:rsidRPr="002E06C4">
        <w:rPr>
          <w:rFonts w:asciiTheme="majorHAnsi" w:hAnsiTheme="majorHAnsi" w:cs="Times New Roman"/>
          <w:lang w:val="sq-AL"/>
        </w:rPr>
        <w:t>Janë realizuar plotësisht 6 produkte nga 6 të planifikuara.  Produktet që kanë kontribuar në realizimin e qëllimit të programit janë:</w:t>
      </w:r>
    </w:p>
    <w:p w14:paraId="19F2EC0D" w14:textId="77777777" w:rsidR="005139C5" w:rsidRPr="002E06C4" w:rsidRDefault="005139C5" w:rsidP="006C0253">
      <w:pPr>
        <w:numPr>
          <w:ilvl w:val="0"/>
          <w:numId w:val="40"/>
        </w:numPr>
        <w:jc w:val="both"/>
        <w:rPr>
          <w:rFonts w:asciiTheme="majorHAnsi" w:hAnsiTheme="majorHAnsi" w:cs="Times New Roman"/>
          <w:lang w:val="sq-AL"/>
        </w:rPr>
      </w:pPr>
      <w:r w:rsidRPr="002E06C4">
        <w:rPr>
          <w:rFonts w:asciiTheme="majorHAnsi" w:hAnsiTheme="majorHAnsi" w:cs="Times New Roman"/>
          <w:lang w:val="sq-AL"/>
        </w:rPr>
        <w:t>Ruajtja e 110 Personalitete VIP vendas dhe të huaj, me një kosto prej 1,315 milionë lekë.</w:t>
      </w:r>
    </w:p>
    <w:p w14:paraId="175668B8" w14:textId="77777777" w:rsidR="005139C5" w:rsidRPr="002E06C4" w:rsidRDefault="005139C5" w:rsidP="006C0253">
      <w:pPr>
        <w:numPr>
          <w:ilvl w:val="0"/>
          <w:numId w:val="40"/>
        </w:numPr>
        <w:jc w:val="both"/>
        <w:rPr>
          <w:rFonts w:asciiTheme="majorHAnsi" w:hAnsiTheme="majorHAnsi" w:cs="Times New Roman"/>
          <w:lang w:val="sq-AL"/>
        </w:rPr>
      </w:pPr>
      <w:r w:rsidRPr="002E06C4">
        <w:rPr>
          <w:rFonts w:asciiTheme="majorHAnsi" w:hAnsiTheme="majorHAnsi" w:cs="Times New Roman"/>
          <w:lang w:val="sq-AL"/>
        </w:rPr>
        <w:t>Janë blerë 22 mjete transporti për Gardën e Republikës</w:t>
      </w:r>
    </w:p>
    <w:p w14:paraId="68FC24F2" w14:textId="77777777" w:rsidR="005139C5" w:rsidRPr="002E06C4" w:rsidRDefault="005139C5" w:rsidP="006C0253">
      <w:pPr>
        <w:numPr>
          <w:ilvl w:val="0"/>
          <w:numId w:val="40"/>
        </w:numPr>
        <w:jc w:val="both"/>
        <w:rPr>
          <w:rFonts w:asciiTheme="majorHAnsi" w:hAnsiTheme="majorHAnsi" w:cs="Times New Roman"/>
          <w:lang w:val="sq-AL"/>
        </w:rPr>
      </w:pPr>
      <w:r w:rsidRPr="002E06C4">
        <w:rPr>
          <w:rFonts w:asciiTheme="majorHAnsi" w:hAnsiTheme="majorHAnsi" w:cs="Times New Roman"/>
          <w:lang w:val="sq-AL"/>
        </w:rPr>
        <w:t>Janë blerë 400 paisje speciale armatimi për Drejtorinë për Ruajtjen dhe Mbrojtjen e Anëtarëve të Vetingut dhe Ambasadorit të BE në Njësinë Speciale.</w:t>
      </w:r>
    </w:p>
    <w:p w14:paraId="2C224A68" w14:textId="77777777" w:rsidR="005139C5" w:rsidRPr="002E06C4" w:rsidRDefault="005139C5" w:rsidP="006C0253">
      <w:pPr>
        <w:numPr>
          <w:ilvl w:val="0"/>
          <w:numId w:val="40"/>
        </w:numPr>
        <w:jc w:val="both"/>
        <w:rPr>
          <w:rFonts w:asciiTheme="majorHAnsi" w:hAnsiTheme="majorHAnsi" w:cs="Times New Roman"/>
          <w:lang w:val="sq-AL"/>
        </w:rPr>
      </w:pPr>
      <w:r w:rsidRPr="002E06C4">
        <w:rPr>
          <w:rFonts w:asciiTheme="majorHAnsi" w:hAnsiTheme="majorHAnsi" w:cs="Times New Roman"/>
          <w:lang w:val="sq-AL"/>
        </w:rPr>
        <w:t>Janë blerë 480 paisje të ndryshme për funksionimin normal të përditshëm të aktivitetit në ambjentet e punës në Gardën e Republikës..</w:t>
      </w:r>
    </w:p>
    <w:p w14:paraId="3A8D403D" w14:textId="77777777" w:rsidR="005139C5" w:rsidRPr="002E06C4" w:rsidRDefault="005139C5" w:rsidP="005139C5">
      <w:pPr>
        <w:spacing w:line="276" w:lineRule="auto"/>
        <w:jc w:val="both"/>
        <w:rPr>
          <w:rFonts w:asciiTheme="majorHAnsi" w:hAnsiTheme="majorHAnsi" w:cs="Times New Roman"/>
          <w:b/>
          <w:i/>
          <w:color w:val="0070C0"/>
          <w:sz w:val="26"/>
          <w:szCs w:val="26"/>
          <w:u w:val="single"/>
          <w:lang w:val="sq-AL"/>
        </w:rPr>
      </w:pPr>
    </w:p>
    <w:p w14:paraId="57E63070" w14:textId="77777777" w:rsidR="0044331B" w:rsidRPr="002E06C4" w:rsidRDefault="0044331B" w:rsidP="005139C5">
      <w:pPr>
        <w:spacing w:line="276" w:lineRule="auto"/>
        <w:jc w:val="both"/>
        <w:rPr>
          <w:rFonts w:asciiTheme="majorHAnsi" w:hAnsiTheme="majorHAnsi" w:cs="Times New Roman"/>
          <w:b/>
          <w:i/>
          <w:color w:val="0070C0"/>
          <w:sz w:val="26"/>
          <w:szCs w:val="26"/>
          <w:u w:val="single"/>
          <w:lang w:val="sq-AL"/>
        </w:rPr>
      </w:pPr>
    </w:p>
    <w:p w14:paraId="34DD0F15" w14:textId="77777777" w:rsidR="005139C5" w:rsidRPr="002E06C4" w:rsidRDefault="005139C5" w:rsidP="005139C5">
      <w:pPr>
        <w:pStyle w:val="Heading3"/>
        <w:numPr>
          <w:ilvl w:val="2"/>
          <w:numId w:val="4"/>
        </w:numPr>
        <w:rPr>
          <w:rFonts w:cs="Times New Roman"/>
          <w:b/>
          <w:lang w:val="sq-AL"/>
        </w:rPr>
      </w:pPr>
      <w:bookmarkStart w:id="184" w:name="_Toc10033300"/>
      <w:bookmarkStart w:id="185" w:name="_Toc10721436"/>
      <w:bookmarkStart w:id="186" w:name="_Toc11134236"/>
      <w:r w:rsidRPr="002E06C4">
        <w:rPr>
          <w:rFonts w:cs="Times New Roman"/>
          <w:b/>
          <w:lang w:val="sq-AL"/>
        </w:rPr>
        <w:t>Politika e Jashtme</w:t>
      </w:r>
      <w:bookmarkEnd w:id="184"/>
      <w:bookmarkEnd w:id="185"/>
      <w:bookmarkEnd w:id="186"/>
    </w:p>
    <w:p w14:paraId="1F985CAB" w14:textId="77777777" w:rsidR="005139C5" w:rsidRPr="002E06C4" w:rsidRDefault="005139C5" w:rsidP="005139C5">
      <w:pPr>
        <w:spacing w:line="276" w:lineRule="auto"/>
        <w:jc w:val="both"/>
        <w:rPr>
          <w:rFonts w:asciiTheme="majorHAnsi" w:hAnsiTheme="majorHAnsi" w:cs="Times New Roman"/>
          <w:color w:val="000000"/>
          <w:sz w:val="12"/>
          <w:szCs w:val="12"/>
          <w:lang w:val="sq-AL"/>
        </w:rPr>
      </w:pPr>
    </w:p>
    <w:p w14:paraId="3327BCE7" w14:textId="77777777" w:rsidR="005139C5" w:rsidRPr="002E06C4" w:rsidRDefault="005139C5" w:rsidP="005139C5">
      <w:pPr>
        <w:spacing w:line="276" w:lineRule="auto"/>
        <w:jc w:val="both"/>
        <w:rPr>
          <w:rFonts w:asciiTheme="majorHAnsi" w:hAnsiTheme="majorHAnsi" w:cs="Times New Roman"/>
          <w:color w:val="000000"/>
          <w:lang w:val="sq-AL"/>
        </w:rPr>
      </w:pPr>
      <w:r w:rsidRPr="002E06C4">
        <w:rPr>
          <w:rFonts w:asciiTheme="majorHAnsi" w:hAnsiTheme="majorHAnsi" w:cs="Times New Roman"/>
          <w:color w:val="000000"/>
          <w:lang w:val="sq-AL"/>
        </w:rPr>
        <w:t>Performanca e treguesve buxhetorë për pesë programet kryesore në Ministrinë për Evropën dhe Punët e Jashtme paraqitet si më poshtë:</w:t>
      </w:r>
    </w:p>
    <w:p w14:paraId="1686A6EA" w14:textId="77777777" w:rsidR="005139C5" w:rsidRPr="002E06C4" w:rsidRDefault="005139C5" w:rsidP="005139C5">
      <w:pPr>
        <w:spacing w:line="276" w:lineRule="auto"/>
        <w:jc w:val="both"/>
        <w:rPr>
          <w:rFonts w:asciiTheme="majorHAnsi" w:hAnsiTheme="majorHAnsi" w:cs="Times New Roman"/>
          <w:color w:val="000000"/>
          <w:sz w:val="12"/>
          <w:szCs w:val="12"/>
          <w:lang w:val="sq-AL"/>
        </w:rPr>
      </w:pPr>
    </w:p>
    <w:p w14:paraId="46BE0CF0" w14:textId="77777777" w:rsidR="005139C5" w:rsidRPr="002E06C4" w:rsidRDefault="005139C5" w:rsidP="005139C5">
      <w:pPr>
        <w:pStyle w:val="Caption"/>
        <w:keepNext/>
        <w:spacing w:after="0"/>
        <w:rPr>
          <w:rFonts w:asciiTheme="majorHAnsi" w:hAnsiTheme="majorHAnsi" w:cs="Times New Roman"/>
          <w:lang w:val="sq-AL"/>
        </w:rPr>
      </w:pPr>
      <w:bookmarkStart w:id="187" w:name="_Toc11135138"/>
      <w:r w:rsidRPr="002E06C4">
        <w:rPr>
          <w:rFonts w:asciiTheme="majorHAnsi" w:hAnsiTheme="majorHAnsi" w:cs="Times New Roman"/>
          <w:lang w:val="sq-AL"/>
        </w:rPr>
        <w:t xml:space="preserve">Tabela </w:t>
      </w:r>
      <w:r w:rsidR="00140052">
        <w:rPr>
          <w:rFonts w:asciiTheme="majorHAnsi" w:hAnsiTheme="majorHAnsi" w:cs="Times New Roman"/>
          <w:lang w:val="sq-AL"/>
        </w:rPr>
        <w:fldChar w:fldCharType="begin"/>
      </w:r>
      <w:r w:rsidR="00140052">
        <w:rPr>
          <w:rFonts w:asciiTheme="majorHAnsi" w:hAnsiTheme="majorHAnsi" w:cs="Times New Roman"/>
          <w:lang w:val="sq-AL"/>
        </w:rPr>
        <w:instrText xml:space="preserve"> SEQ Tabela \* ARABIC </w:instrText>
      </w:r>
      <w:r w:rsidR="00140052">
        <w:rPr>
          <w:rFonts w:asciiTheme="majorHAnsi" w:hAnsiTheme="majorHAnsi" w:cs="Times New Roman"/>
          <w:lang w:val="sq-AL"/>
        </w:rPr>
        <w:fldChar w:fldCharType="separate"/>
      </w:r>
      <w:r w:rsidR="006A57F3">
        <w:rPr>
          <w:rFonts w:asciiTheme="majorHAnsi" w:hAnsiTheme="majorHAnsi" w:cs="Times New Roman"/>
          <w:noProof/>
          <w:lang w:val="sq-AL"/>
        </w:rPr>
        <w:t>24</w:t>
      </w:r>
      <w:r w:rsidR="00140052">
        <w:rPr>
          <w:rFonts w:asciiTheme="majorHAnsi" w:hAnsiTheme="majorHAnsi" w:cs="Times New Roman"/>
          <w:lang w:val="sq-AL"/>
        </w:rPr>
        <w:fldChar w:fldCharType="end"/>
      </w:r>
      <w:r w:rsidRPr="002E06C4">
        <w:rPr>
          <w:rFonts w:asciiTheme="majorHAnsi" w:hAnsiTheme="majorHAnsi" w:cs="Times New Roman"/>
          <w:lang w:val="sq-AL"/>
        </w:rPr>
        <w:t xml:space="preserve"> Realizimi i buxhetit 2018 për Ministrinë për Evropën dhe Punët e Jashtme</w:t>
      </w:r>
      <w:bookmarkEnd w:id="187"/>
    </w:p>
    <w:p w14:paraId="04033A4B" w14:textId="77777777" w:rsidR="005139C5" w:rsidRPr="002E06C4" w:rsidRDefault="005139C5" w:rsidP="005139C5">
      <w:pPr>
        <w:spacing w:line="276" w:lineRule="auto"/>
        <w:ind w:left="2880" w:firstLine="720"/>
        <w:jc w:val="right"/>
        <w:rPr>
          <w:rFonts w:asciiTheme="majorHAnsi" w:hAnsiTheme="majorHAnsi" w:cs="Times New Roman"/>
          <w:i/>
          <w:color w:val="000000"/>
          <w:sz w:val="20"/>
          <w:u w:val="single"/>
          <w:lang w:val="sq-AL"/>
        </w:rPr>
      </w:pPr>
      <w:r w:rsidRPr="002E06C4">
        <w:rPr>
          <w:rFonts w:asciiTheme="majorHAnsi" w:hAnsiTheme="majorHAnsi" w:cs="Times New Roman"/>
          <w:i/>
          <w:color w:val="000000"/>
          <w:sz w:val="20"/>
          <w:u w:val="single"/>
          <w:lang w:val="sq-AL"/>
        </w:rPr>
        <w:t>Në mijë lekë</w:t>
      </w:r>
    </w:p>
    <w:tbl>
      <w:tblPr>
        <w:tblStyle w:val="TableGridLight14"/>
        <w:tblW w:w="10071"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000" w:firstRow="0" w:lastRow="0" w:firstColumn="0" w:lastColumn="0" w:noHBand="0" w:noVBand="0"/>
      </w:tblPr>
      <w:tblGrid>
        <w:gridCol w:w="493"/>
        <w:gridCol w:w="2595"/>
        <w:gridCol w:w="1242"/>
        <w:gridCol w:w="1267"/>
        <w:gridCol w:w="1105"/>
        <w:gridCol w:w="1108"/>
        <w:gridCol w:w="926"/>
        <w:gridCol w:w="1335"/>
      </w:tblGrid>
      <w:tr w:rsidR="005139C5" w:rsidRPr="002E06C4" w14:paraId="316E975F" w14:textId="77777777" w:rsidTr="0080499B">
        <w:trPr>
          <w:trHeight w:val="164"/>
        </w:trPr>
        <w:tc>
          <w:tcPr>
            <w:tcW w:w="493" w:type="dxa"/>
            <w:vMerge w:val="restart"/>
          </w:tcPr>
          <w:p w14:paraId="0AE00054" w14:textId="77777777" w:rsidR="005139C5" w:rsidRPr="002E06C4" w:rsidRDefault="005139C5" w:rsidP="0080499B">
            <w:pPr>
              <w:spacing w:line="276" w:lineRule="auto"/>
              <w:jc w:val="both"/>
              <w:rPr>
                <w:rFonts w:asciiTheme="majorHAnsi" w:eastAsia="Times New Roman" w:hAnsiTheme="majorHAnsi" w:cs="Times New Roman"/>
                <w:b/>
                <w:bCs/>
                <w:sz w:val="18"/>
                <w:szCs w:val="18"/>
                <w:lang w:val="sq-AL"/>
              </w:rPr>
            </w:pPr>
          </w:p>
          <w:p w14:paraId="4E794904" w14:textId="77777777" w:rsidR="005139C5" w:rsidRPr="002E06C4" w:rsidRDefault="005139C5" w:rsidP="0080499B">
            <w:pPr>
              <w:spacing w:line="276" w:lineRule="auto"/>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NR</w:t>
            </w:r>
          </w:p>
        </w:tc>
        <w:tc>
          <w:tcPr>
            <w:tcW w:w="2595" w:type="dxa"/>
            <w:vMerge w:val="restart"/>
          </w:tcPr>
          <w:p w14:paraId="1DF308A1" w14:textId="77777777" w:rsidR="005139C5" w:rsidRPr="002E06C4" w:rsidRDefault="005139C5" w:rsidP="0080499B">
            <w:pPr>
              <w:spacing w:line="276" w:lineRule="auto"/>
              <w:jc w:val="both"/>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Emërtimi i Programit</w:t>
            </w:r>
          </w:p>
        </w:tc>
        <w:tc>
          <w:tcPr>
            <w:tcW w:w="2509" w:type="dxa"/>
            <w:gridSpan w:val="2"/>
          </w:tcPr>
          <w:p w14:paraId="0F9ECABA" w14:textId="77777777" w:rsidR="005139C5" w:rsidRPr="002E06C4" w:rsidRDefault="005139C5" w:rsidP="0080499B">
            <w:pPr>
              <w:spacing w:line="276" w:lineRule="auto"/>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Plani 2018</w:t>
            </w:r>
          </w:p>
        </w:tc>
        <w:tc>
          <w:tcPr>
            <w:tcW w:w="2213" w:type="dxa"/>
            <w:gridSpan w:val="2"/>
          </w:tcPr>
          <w:p w14:paraId="59D40AED" w14:textId="77777777" w:rsidR="005139C5" w:rsidRPr="002E06C4" w:rsidRDefault="005139C5" w:rsidP="0080499B">
            <w:pPr>
              <w:spacing w:line="276" w:lineRule="auto"/>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Fakti 2018</w:t>
            </w:r>
          </w:p>
        </w:tc>
        <w:tc>
          <w:tcPr>
            <w:tcW w:w="2261" w:type="dxa"/>
            <w:gridSpan w:val="2"/>
          </w:tcPr>
          <w:p w14:paraId="36B3F945" w14:textId="77777777" w:rsidR="005139C5" w:rsidRPr="002E06C4" w:rsidRDefault="005139C5" w:rsidP="0080499B">
            <w:pPr>
              <w:spacing w:line="276" w:lineRule="auto"/>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Përqindja  e realizimit</w:t>
            </w:r>
          </w:p>
        </w:tc>
      </w:tr>
      <w:tr w:rsidR="005139C5" w:rsidRPr="002E06C4" w14:paraId="0C6F3317" w14:textId="77777777" w:rsidTr="0080499B">
        <w:trPr>
          <w:trHeight w:val="153"/>
        </w:trPr>
        <w:tc>
          <w:tcPr>
            <w:tcW w:w="493" w:type="dxa"/>
            <w:vMerge/>
          </w:tcPr>
          <w:p w14:paraId="7AB1E00A" w14:textId="77777777" w:rsidR="005139C5" w:rsidRPr="002E06C4" w:rsidRDefault="005139C5" w:rsidP="0080499B">
            <w:pPr>
              <w:spacing w:line="276" w:lineRule="auto"/>
              <w:jc w:val="both"/>
              <w:rPr>
                <w:rFonts w:asciiTheme="majorHAnsi" w:eastAsia="Times New Roman" w:hAnsiTheme="majorHAnsi" w:cs="Times New Roman"/>
                <w:color w:val="FF0000"/>
                <w:sz w:val="18"/>
                <w:szCs w:val="18"/>
                <w:lang w:val="sq-AL"/>
              </w:rPr>
            </w:pPr>
          </w:p>
        </w:tc>
        <w:tc>
          <w:tcPr>
            <w:tcW w:w="2595" w:type="dxa"/>
            <w:vMerge/>
          </w:tcPr>
          <w:p w14:paraId="14ECD93F" w14:textId="77777777" w:rsidR="005139C5" w:rsidRPr="002E06C4" w:rsidRDefault="005139C5" w:rsidP="0080499B">
            <w:pPr>
              <w:spacing w:line="276" w:lineRule="auto"/>
              <w:jc w:val="both"/>
              <w:rPr>
                <w:rFonts w:asciiTheme="majorHAnsi" w:eastAsia="Times New Roman" w:hAnsiTheme="majorHAnsi" w:cs="Times New Roman"/>
                <w:color w:val="FF0000"/>
                <w:sz w:val="18"/>
                <w:szCs w:val="18"/>
                <w:lang w:val="sq-AL"/>
              </w:rPr>
            </w:pPr>
          </w:p>
        </w:tc>
        <w:tc>
          <w:tcPr>
            <w:tcW w:w="1242" w:type="dxa"/>
          </w:tcPr>
          <w:p w14:paraId="5D56F1DE" w14:textId="77777777" w:rsidR="005139C5" w:rsidRPr="002E06C4" w:rsidRDefault="005139C5" w:rsidP="0080499B">
            <w:pPr>
              <w:spacing w:line="276" w:lineRule="auto"/>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Korrente</w:t>
            </w:r>
          </w:p>
        </w:tc>
        <w:tc>
          <w:tcPr>
            <w:tcW w:w="1267" w:type="dxa"/>
          </w:tcPr>
          <w:p w14:paraId="6B89C363" w14:textId="77777777" w:rsidR="005139C5" w:rsidRPr="002E06C4" w:rsidRDefault="005139C5" w:rsidP="0080499B">
            <w:pPr>
              <w:spacing w:line="276" w:lineRule="auto"/>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Investime</w:t>
            </w:r>
          </w:p>
        </w:tc>
        <w:tc>
          <w:tcPr>
            <w:tcW w:w="1105" w:type="dxa"/>
          </w:tcPr>
          <w:p w14:paraId="1F19A2D4" w14:textId="77777777" w:rsidR="005139C5" w:rsidRPr="002E06C4" w:rsidRDefault="005139C5" w:rsidP="0080499B">
            <w:pPr>
              <w:spacing w:line="276" w:lineRule="auto"/>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Korrente</w:t>
            </w:r>
          </w:p>
        </w:tc>
        <w:tc>
          <w:tcPr>
            <w:tcW w:w="1108" w:type="dxa"/>
          </w:tcPr>
          <w:p w14:paraId="35886E37" w14:textId="77777777" w:rsidR="005139C5" w:rsidRPr="002E06C4" w:rsidRDefault="005139C5" w:rsidP="0080499B">
            <w:pPr>
              <w:spacing w:line="276" w:lineRule="auto"/>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Investime</w:t>
            </w:r>
          </w:p>
        </w:tc>
        <w:tc>
          <w:tcPr>
            <w:tcW w:w="926" w:type="dxa"/>
          </w:tcPr>
          <w:p w14:paraId="4DF90D98" w14:textId="77777777" w:rsidR="005139C5" w:rsidRPr="002E06C4" w:rsidRDefault="005139C5" w:rsidP="0080499B">
            <w:pPr>
              <w:spacing w:line="276" w:lineRule="auto"/>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Korrente</w:t>
            </w:r>
          </w:p>
        </w:tc>
        <w:tc>
          <w:tcPr>
            <w:tcW w:w="1335" w:type="dxa"/>
          </w:tcPr>
          <w:p w14:paraId="668B6359" w14:textId="77777777" w:rsidR="005139C5" w:rsidRPr="002E06C4" w:rsidRDefault="005139C5" w:rsidP="0080499B">
            <w:pPr>
              <w:spacing w:line="276" w:lineRule="auto"/>
              <w:jc w:val="center"/>
              <w:rPr>
                <w:rFonts w:asciiTheme="majorHAnsi" w:eastAsia="Times New Roman" w:hAnsiTheme="majorHAnsi" w:cs="Times New Roman"/>
                <w:b/>
                <w:bCs/>
                <w:sz w:val="18"/>
                <w:szCs w:val="18"/>
                <w:lang w:val="sq-AL"/>
              </w:rPr>
            </w:pPr>
            <w:r w:rsidRPr="002E06C4">
              <w:rPr>
                <w:rFonts w:asciiTheme="majorHAnsi" w:eastAsia="Times New Roman" w:hAnsiTheme="majorHAnsi" w:cs="Times New Roman"/>
                <w:b/>
                <w:bCs/>
                <w:sz w:val="18"/>
                <w:szCs w:val="18"/>
                <w:lang w:val="sq-AL"/>
              </w:rPr>
              <w:t>Investime</w:t>
            </w:r>
          </w:p>
        </w:tc>
      </w:tr>
      <w:tr w:rsidR="005139C5" w:rsidRPr="002E06C4" w14:paraId="610E94E6" w14:textId="77777777" w:rsidTr="0080499B">
        <w:trPr>
          <w:trHeight w:val="409"/>
        </w:trPr>
        <w:tc>
          <w:tcPr>
            <w:tcW w:w="493" w:type="dxa"/>
          </w:tcPr>
          <w:p w14:paraId="2107A018" w14:textId="77777777" w:rsidR="005139C5" w:rsidRPr="002E06C4" w:rsidRDefault="005139C5" w:rsidP="0080499B">
            <w:pPr>
              <w:spacing w:line="276" w:lineRule="auto"/>
              <w:jc w:val="both"/>
              <w:rPr>
                <w:rFonts w:asciiTheme="majorHAnsi" w:eastAsia="Times New Roman" w:hAnsiTheme="majorHAnsi" w:cs="Times New Roman"/>
                <w:color w:val="FF0000"/>
                <w:sz w:val="18"/>
                <w:szCs w:val="18"/>
                <w:lang w:val="sq-AL"/>
              </w:rPr>
            </w:pPr>
            <w:r w:rsidRPr="002E06C4">
              <w:rPr>
                <w:rFonts w:asciiTheme="majorHAnsi" w:eastAsia="Times New Roman" w:hAnsiTheme="majorHAnsi" w:cs="Times New Roman"/>
                <w:sz w:val="18"/>
                <w:szCs w:val="18"/>
                <w:lang w:val="sq-AL"/>
              </w:rPr>
              <w:t>1.</w:t>
            </w:r>
          </w:p>
        </w:tc>
        <w:tc>
          <w:tcPr>
            <w:tcW w:w="2595" w:type="dxa"/>
          </w:tcPr>
          <w:p w14:paraId="3C958F09" w14:textId="77777777" w:rsidR="005139C5" w:rsidRPr="002E06C4" w:rsidRDefault="005139C5" w:rsidP="0080499B">
            <w:pPr>
              <w:spacing w:line="276" w:lineRule="auto"/>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Planifikimi, Menaxhimi dhe Administrimi</w:t>
            </w:r>
          </w:p>
        </w:tc>
        <w:tc>
          <w:tcPr>
            <w:tcW w:w="1242" w:type="dxa"/>
            <w:vAlign w:val="bottom"/>
          </w:tcPr>
          <w:p w14:paraId="509D2FB3"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108,500</w:t>
            </w:r>
          </w:p>
        </w:tc>
        <w:tc>
          <w:tcPr>
            <w:tcW w:w="1267" w:type="dxa"/>
            <w:vAlign w:val="bottom"/>
          </w:tcPr>
          <w:p w14:paraId="393BC14A"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102,000</w:t>
            </w:r>
          </w:p>
        </w:tc>
        <w:tc>
          <w:tcPr>
            <w:tcW w:w="1105" w:type="dxa"/>
            <w:vAlign w:val="bottom"/>
          </w:tcPr>
          <w:p w14:paraId="447316DD"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108,307</w:t>
            </w:r>
          </w:p>
        </w:tc>
        <w:tc>
          <w:tcPr>
            <w:tcW w:w="1108" w:type="dxa"/>
            <w:vAlign w:val="bottom"/>
          </w:tcPr>
          <w:p w14:paraId="0E40F41B"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100,248</w:t>
            </w:r>
          </w:p>
        </w:tc>
        <w:tc>
          <w:tcPr>
            <w:tcW w:w="926" w:type="dxa"/>
            <w:vAlign w:val="bottom"/>
          </w:tcPr>
          <w:p w14:paraId="6CE15EC9"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99.8</w:t>
            </w:r>
          </w:p>
        </w:tc>
        <w:tc>
          <w:tcPr>
            <w:tcW w:w="1335" w:type="dxa"/>
            <w:vAlign w:val="bottom"/>
          </w:tcPr>
          <w:p w14:paraId="1CFE40F4"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98.3</w:t>
            </w:r>
          </w:p>
        </w:tc>
      </w:tr>
      <w:tr w:rsidR="005139C5" w:rsidRPr="002E06C4" w14:paraId="02C391D2" w14:textId="77777777" w:rsidTr="0080499B">
        <w:trPr>
          <w:trHeight w:val="409"/>
        </w:trPr>
        <w:tc>
          <w:tcPr>
            <w:tcW w:w="493" w:type="dxa"/>
          </w:tcPr>
          <w:p w14:paraId="0773279B" w14:textId="77777777" w:rsidR="005139C5" w:rsidRPr="002E06C4" w:rsidRDefault="005139C5" w:rsidP="0080499B">
            <w:pPr>
              <w:spacing w:line="276" w:lineRule="auto"/>
              <w:jc w:val="both"/>
              <w:rPr>
                <w:rFonts w:asciiTheme="majorHAnsi" w:eastAsia="Times New Roman" w:hAnsiTheme="majorHAnsi" w:cs="Times New Roman"/>
                <w:sz w:val="18"/>
                <w:szCs w:val="18"/>
                <w:lang w:val="sq-AL"/>
              </w:rPr>
            </w:pPr>
          </w:p>
        </w:tc>
        <w:tc>
          <w:tcPr>
            <w:tcW w:w="2595" w:type="dxa"/>
          </w:tcPr>
          <w:p w14:paraId="67C315EF" w14:textId="77777777" w:rsidR="005139C5" w:rsidRPr="002E06C4" w:rsidRDefault="005139C5" w:rsidP="0080499B">
            <w:pPr>
              <w:spacing w:line="276" w:lineRule="auto"/>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 i huaj</w:t>
            </w:r>
          </w:p>
        </w:tc>
        <w:tc>
          <w:tcPr>
            <w:tcW w:w="1242" w:type="dxa"/>
            <w:vAlign w:val="bottom"/>
          </w:tcPr>
          <w:p w14:paraId="422D6D9B" w14:textId="77777777" w:rsidR="005139C5" w:rsidRPr="002E06C4" w:rsidRDefault="005139C5" w:rsidP="0080499B">
            <w:pPr>
              <w:jc w:val="right"/>
              <w:rPr>
                <w:rFonts w:asciiTheme="majorHAnsi" w:hAnsiTheme="majorHAnsi" w:cs="Times New Roman"/>
                <w:sz w:val="18"/>
                <w:szCs w:val="18"/>
                <w:lang w:val="sq-AL"/>
              </w:rPr>
            </w:pPr>
          </w:p>
        </w:tc>
        <w:tc>
          <w:tcPr>
            <w:tcW w:w="1267" w:type="dxa"/>
            <w:vAlign w:val="bottom"/>
          </w:tcPr>
          <w:p w14:paraId="63D2AFD8" w14:textId="77777777" w:rsidR="005139C5" w:rsidRPr="002E06C4" w:rsidRDefault="005139C5" w:rsidP="0080499B">
            <w:pPr>
              <w:jc w:val="right"/>
              <w:rPr>
                <w:rFonts w:asciiTheme="majorHAnsi" w:hAnsiTheme="majorHAnsi" w:cs="Times New Roman"/>
                <w:sz w:val="18"/>
                <w:szCs w:val="18"/>
                <w:lang w:val="sq-AL"/>
              </w:rPr>
            </w:pPr>
          </w:p>
        </w:tc>
        <w:tc>
          <w:tcPr>
            <w:tcW w:w="1105" w:type="dxa"/>
            <w:vAlign w:val="bottom"/>
          </w:tcPr>
          <w:p w14:paraId="24B0D7D3" w14:textId="77777777" w:rsidR="005139C5" w:rsidRPr="002E06C4" w:rsidRDefault="005139C5" w:rsidP="0080499B">
            <w:pPr>
              <w:jc w:val="right"/>
              <w:rPr>
                <w:rFonts w:asciiTheme="majorHAnsi" w:hAnsiTheme="majorHAnsi" w:cs="Times New Roman"/>
                <w:sz w:val="18"/>
                <w:szCs w:val="18"/>
                <w:lang w:val="sq-AL"/>
              </w:rPr>
            </w:pPr>
          </w:p>
        </w:tc>
        <w:tc>
          <w:tcPr>
            <w:tcW w:w="1108" w:type="dxa"/>
            <w:vAlign w:val="bottom"/>
          </w:tcPr>
          <w:p w14:paraId="2F5471C6"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15,952</w:t>
            </w:r>
          </w:p>
        </w:tc>
        <w:tc>
          <w:tcPr>
            <w:tcW w:w="926" w:type="dxa"/>
            <w:vAlign w:val="bottom"/>
          </w:tcPr>
          <w:p w14:paraId="559D94A4" w14:textId="77777777" w:rsidR="005139C5" w:rsidRPr="002E06C4" w:rsidRDefault="005139C5" w:rsidP="0080499B">
            <w:pPr>
              <w:jc w:val="right"/>
              <w:rPr>
                <w:rFonts w:asciiTheme="majorHAnsi" w:hAnsiTheme="majorHAnsi" w:cs="Times New Roman"/>
                <w:sz w:val="18"/>
                <w:szCs w:val="18"/>
                <w:lang w:val="sq-AL"/>
              </w:rPr>
            </w:pPr>
          </w:p>
        </w:tc>
        <w:tc>
          <w:tcPr>
            <w:tcW w:w="1335" w:type="dxa"/>
            <w:vAlign w:val="bottom"/>
          </w:tcPr>
          <w:p w14:paraId="195C3E02" w14:textId="77777777" w:rsidR="005139C5" w:rsidRPr="002E06C4" w:rsidRDefault="005139C5" w:rsidP="0080499B">
            <w:pPr>
              <w:jc w:val="right"/>
              <w:rPr>
                <w:rFonts w:asciiTheme="majorHAnsi" w:hAnsiTheme="majorHAnsi" w:cs="Times New Roman"/>
                <w:sz w:val="18"/>
                <w:szCs w:val="18"/>
                <w:lang w:val="sq-AL"/>
              </w:rPr>
            </w:pPr>
          </w:p>
        </w:tc>
      </w:tr>
      <w:tr w:rsidR="005139C5" w:rsidRPr="002E06C4" w14:paraId="71EE5157" w14:textId="77777777" w:rsidTr="0080499B">
        <w:trPr>
          <w:trHeight w:val="289"/>
        </w:trPr>
        <w:tc>
          <w:tcPr>
            <w:tcW w:w="493" w:type="dxa"/>
          </w:tcPr>
          <w:p w14:paraId="23BDD685" w14:textId="77777777" w:rsidR="005139C5" w:rsidRPr="002E06C4" w:rsidRDefault="005139C5" w:rsidP="0080499B">
            <w:pPr>
              <w:spacing w:line="276" w:lineRule="auto"/>
              <w:jc w:val="both"/>
              <w:rPr>
                <w:rFonts w:asciiTheme="majorHAnsi" w:eastAsia="Times New Roman" w:hAnsiTheme="majorHAnsi" w:cs="Times New Roman"/>
                <w:color w:val="FF0000"/>
                <w:sz w:val="18"/>
                <w:szCs w:val="18"/>
                <w:lang w:val="sq-AL"/>
              </w:rPr>
            </w:pPr>
            <w:r w:rsidRPr="002E06C4">
              <w:rPr>
                <w:rFonts w:asciiTheme="majorHAnsi" w:eastAsia="Times New Roman" w:hAnsiTheme="majorHAnsi" w:cs="Times New Roman"/>
                <w:sz w:val="18"/>
                <w:szCs w:val="18"/>
                <w:lang w:val="sq-AL"/>
              </w:rPr>
              <w:t>2.</w:t>
            </w:r>
          </w:p>
        </w:tc>
        <w:tc>
          <w:tcPr>
            <w:tcW w:w="2595" w:type="dxa"/>
          </w:tcPr>
          <w:p w14:paraId="44DB6CC2" w14:textId="77777777" w:rsidR="005139C5" w:rsidRPr="002E06C4" w:rsidRDefault="005139C5" w:rsidP="0080499B">
            <w:pPr>
              <w:spacing w:line="276" w:lineRule="auto"/>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Mbeshtetje diplomatike jashte shtetit</w:t>
            </w:r>
          </w:p>
        </w:tc>
        <w:tc>
          <w:tcPr>
            <w:tcW w:w="1242" w:type="dxa"/>
            <w:vAlign w:val="bottom"/>
          </w:tcPr>
          <w:p w14:paraId="30E8210C"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2,169,089</w:t>
            </w:r>
          </w:p>
        </w:tc>
        <w:tc>
          <w:tcPr>
            <w:tcW w:w="1267" w:type="dxa"/>
            <w:vAlign w:val="bottom"/>
          </w:tcPr>
          <w:p w14:paraId="5448A9A4"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10,000</w:t>
            </w:r>
          </w:p>
        </w:tc>
        <w:tc>
          <w:tcPr>
            <w:tcW w:w="1105" w:type="dxa"/>
            <w:vAlign w:val="bottom"/>
          </w:tcPr>
          <w:p w14:paraId="02A0E215"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2,167,131</w:t>
            </w:r>
          </w:p>
        </w:tc>
        <w:tc>
          <w:tcPr>
            <w:tcW w:w="1108" w:type="dxa"/>
            <w:vAlign w:val="bottom"/>
          </w:tcPr>
          <w:p w14:paraId="710DE983"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10,000</w:t>
            </w:r>
          </w:p>
        </w:tc>
        <w:tc>
          <w:tcPr>
            <w:tcW w:w="926" w:type="dxa"/>
            <w:vAlign w:val="bottom"/>
          </w:tcPr>
          <w:p w14:paraId="3DC43509"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99.9</w:t>
            </w:r>
          </w:p>
        </w:tc>
        <w:tc>
          <w:tcPr>
            <w:tcW w:w="1335" w:type="dxa"/>
          </w:tcPr>
          <w:p w14:paraId="2B338126" w14:textId="77777777" w:rsidR="005139C5" w:rsidRPr="002E06C4" w:rsidRDefault="005139C5" w:rsidP="0080499B">
            <w:pPr>
              <w:spacing w:line="276" w:lineRule="auto"/>
              <w:jc w:val="center"/>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100.0</w:t>
            </w:r>
          </w:p>
        </w:tc>
      </w:tr>
      <w:tr w:rsidR="005139C5" w:rsidRPr="002E06C4" w14:paraId="52B2917B" w14:textId="77777777" w:rsidTr="0080499B">
        <w:trPr>
          <w:trHeight w:val="289"/>
        </w:trPr>
        <w:tc>
          <w:tcPr>
            <w:tcW w:w="493" w:type="dxa"/>
          </w:tcPr>
          <w:p w14:paraId="5EB35BD5" w14:textId="77777777" w:rsidR="005139C5" w:rsidRPr="002E06C4" w:rsidRDefault="005139C5" w:rsidP="0080499B">
            <w:pPr>
              <w:spacing w:line="276" w:lineRule="auto"/>
              <w:jc w:val="both"/>
              <w:rPr>
                <w:rFonts w:asciiTheme="majorHAnsi" w:eastAsia="Times New Roman" w:hAnsiTheme="majorHAnsi" w:cs="Times New Roman"/>
                <w:color w:val="FF0000"/>
                <w:sz w:val="18"/>
                <w:szCs w:val="18"/>
                <w:lang w:val="sq-AL"/>
              </w:rPr>
            </w:pPr>
            <w:r w:rsidRPr="002E06C4">
              <w:rPr>
                <w:rFonts w:asciiTheme="majorHAnsi" w:eastAsia="Times New Roman" w:hAnsiTheme="majorHAnsi" w:cs="Times New Roman"/>
                <w:sz w:val="18"/>
                <w:szCs w:val="18"/>
                <w:lang w:val="sq-AL"/>
              </w:rPr>
              <w:t>3.</w:t>
            </w:r>
          </w:p>
        </w:tc>
        <w:tc>
          <w:tcPr>
            <w:tcW w:w="2595" w:type="dxa"/>
          </w:tcPr>
          <w:p w14:paraId="21D6E381" w14:textId="77777777" w:rsidR="005139C5" w:rsidRPr="002E06C4" w:rsidRDefault="005139C5" w:rsidP="0080499B">
            <w:pPr>
              <w:spacing w:line="276" w:lineRule="auto"/>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Aktiviteti diplomatik dhe konsullor i MPJ</w:t>
            </w:r>
          </w:p>
        </w:tc>
        <w:tc>
          <w:tcPr>
            <w:tcW w:w="1242" w:type="dxa"/>
            <w:vAlign w:val="bottom"/>
          </w:tcPr>
          <w:p w14:paraId="4BE29FA2"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192,400</w:t>
            </w:r>
          </w:p>
        </w:tc>
        <w:tc>
          <w:tcPr>
            <w:tcW w:w="1267" w:type="dxa"/>
            <w:vAlign w:val="bottom"/>
          </w:tcPr>
          <w:p w14:paraId="5012E68A"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w:t>
            </w:r>
          </w:p>
        </w:tc>
        <w:tc>
          <w:tcPr>
            <w:tcW w:w="1105" w:type="dxa"/>
            <w:vAlign w:val="bottom"/>
          </w:tcPr>
          <w:p w14:paraId="00230A10"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192,067</w:t>
            </w:r>
          </w:p>
        </w:tc>
        <w:tc>
          <w:tcPr>
            <w:tcW w:w="1108" w:type="dxa"/>
            <w:vAlign w:val="bottom"/>
          </w:tcPr>
          <w:p w14:paraId="5B45B7B1"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w:t>
            </w:r>
          </w:p>
        </w:tc>
        <w:tc>
          <w:tcPr>
            <w:tcW w:w="926" w:type="dxa"/>
            <w:vAlign w:val="bottom"/>
          </w:tcPr>
          <w:p w14:paraId="1CA4DDC4"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99.8</w:t>
            </w:r>
          </w:p>
        </w:tc>
        <w:tc>
          <w:tcPr>
            <w:tcW w:w="1335" w:type="dxa"/>
            <w:vAlign w:val="bottom"/>
          </w:tcPr>
          <w:p w14:paraId="7BDC6F9B" w14:textId="77777777" w:rsidR="005139C5" w:rsidRPr="002E06C4" w:rsidRDefault="005139C5" w:rsidP="0080499B">
            <w:pPr>
              <w:rPr>
                <w:rFonts w:asciiTheme="majorHAnsi" w:hAnsiTheme="majorHAnsi" w:cs="Times New Roman"/>
                <w:sz w:val="18"/>
                <w:szCs w:val="18"/>
                <w:lang w:val="sq-AL"/>
              </w:rPr>
            </w:pPr>
            <w:r w:rsidRPr="002E06C4">
              <w:rPr>
                <w:rFonts w:asciiTheme="majorHAnsi" w:hAnsiTheme="majorHAnsi" w:cs="Times New Roman"/>
                <w:sz w:val="18"/>
                <w:szCs w:val="18"/>
                <w:lang w:val="sq-AL"/>
              </w:rPr>
              <w:t>-</w:t>
            </w:r>
          </w:p>
        </w:tc>
      </w:tr>
      <w:tr w:rsidR="005139C5" w:rsidRPr="002E06C4" w14:paraId="3E425E9F" w14:textId="77777777" w:rsidTr="0080499B">
        <w:trPr>
          <w:trHeight w:val="289"/>
        </w:trPr>
        <w:tc>
          <w:tcPr>
            <w:tcW w:w="493" w:type="dxa"/>
          </w:tcPr>
          <w:p w14:paraId="27840569" w14:textId="77777777" w:rsidR="005139C5" w:rsidRPr="002E06C4" w:rsidRDefault="005139C5" w:rsidP="0080499B">
            <w:pPr>
              <w:spacing w:line="276" w:lineRule="auto"/>
              <w:jc w:val="both"/>
              <w:rPr>
                <w:rFonts w:asciiTheme="majorHAnsi" w:eastAsia="Times New Roman" w:hAnsiTheme="majorHAnsi" w:cs="Times New Roman"/>
                <w:color w:val="FF0000"/>
                <w:sz w:val="18"/>
                <w:szCs w:val="18"/>
                <w:lang w:val="sq-AL"/>
              </w:rPr>
            </w:pPr>
            <w:r w:rsidRPr="002E06C4">
              <w:rPr>
                <w:rFonts w:asciiTheme="majorHAnsi" w:eastAsia="Times New Roman" w:hAnsiTheme="majorHAnsi" w:cs="Times New Roman"/>
                <w:sz w:val="18"/>
                <w:szCs w:val="18"/>
                <w:lang w:val="sq-AL"/>
              </w:rPr>
              <w:t>4.</w:t>
            </w:r>
          </w:p>
        </w:tc>
        <w:tc>
          <w:tcPr>
            <w:tcW w:w="2595" w:type="dxa"/>
          </w:tcPr>
          <w:p w14:paraId="0ED04BF0" w14:textId="77777777" w:rsidR="005139C5" w:rsidRPr="002E06C4" w:rsidRDefault="005139C5" w:rsidP="0080499B">
            <w:pPr>
              <w:spacing w:line="276" w:lineRule="auto"/>
              <w:jc w:val="both"/>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Mbeshtetje institucionale për procesin e Integrimit</w:t>
            </w:r>
          </w:p>
        </w:tc>
        <w:tc>
          <w:tcPr>
            <w:tcW w:w="1242" w:type="dxa"/>
            <w:vAlign w:val="bottom"/>
          </w:tcPr>
          <w:p w14:paraId="67FDF1E7"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103,330</w:t>
            </w:r>
          </w:p>
        </w:tc>
        <w:tc>
          <w:tcPr>
            <w:tcW w:w="1267" w:type="dxa"/>
          </w:tcPr>
          <w:p w14:paraId="14362235"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41,000</w:t>
            </w:r>
          </w:p>
        </w:tc>
        <w:tc>
          <w:tcPr>
            <w:tcW w:w="1105" w:type="dxa"/>
            <w:vAlign w:val="bottom"/>
          </w:tcPr>
          <w:p w14:paraId="7BCB0552"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103,330</w:t>
            </w:r>
          </w:p>
        </w:tc>
        <w:tc>
          <w:tcPr>
            <w:tcW w:w="1108" w:type="dxa"/>
          </w:tcPr>
          <w:p w14:paraId="3698123A"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32,808</w:t>
            </w:r>
          </w:p>
        </w:tc>
        <w:tc>
          <w:tcPr>
            <w:tcW w:w="926" w:type="dxa"/>
            <w:vAlign w:val="bottom"/>
          </w:tcPr>
          <w:p w14:paraId="0300033B"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100.0</w:t>
            </w:r>
          </w:p>
        </w:tc>
        <w:tc>
          <w:tcPr>
            <w:tcW w:w="1335" w:type="dxa"/>
            <w:vAlign w:val="bottom"/>
          </w:tcPr>
          <w:p w14:paraId="32889ED7"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80.0</w:t>
            </w:r>
          </w:p>
        </w:tc>
      </w:tr>
      <w:tr w:rsidR="005139C5" w:rsidRPr="002E06C4" w14:paraId="324A73FE" w14:textId="77777777" w:rsidTr="0080499B">
        <w:trPr>
          <w:trHeight w:val="289"/>
        </w:trPr>
        <w:tc>
          <w:tcPr>
            <w:tcW w:w="493" w:type="dxa"/>
          </w:tcPr>
          <w:p w14:paraId="1334D34E" w14:textId="77777777" w:rsidR="005139C5" w:rsidRPr="002E06C4" w:rsidRDefault="005139C5" w:rsidP="0080499B">
            <w:pPr>
              <w:spacing w:line="276" w:lineRule="auto"/>
              <w:jc w:val="both"/>
              <w:rPr>
                <w:rFonts w:asciiTheme="majorHAnsi" w:eastAsia="Times New Roman" w:hAnsiTheme="majorHAnsi" w:cs="Times New Roman"/>
                <w:sz w:val="18"/>
                <w:szCs w:val="18"/>
                <w:lang w:val="sq-AL"/>
              </w:rPr>
            </w:pPr>
          </w:p>
        </w:tc>
        <w:tc>
          <w:tcPr>
            <w:tcW w:w="2595" w:type="dxa"/>
          </w:tcPr>
          <w:p w14:paraId="6C9B0D22" w14:textId="77777777" w:rsidR="005139C5" w:rsidRPr="002E06C4" w:rsidRDefault="005139C5" w:rsidP="0080499B">
            <w:pPr>
              <w:spacing w:line="276" w:lineRule="auto"/>
              <w:jc w:val="right"/>
              <w:rPr>
                <w:rFonts w:asciiTheme="majorHAnsi" w:eastAsia="Times New Roman" w:hAnsiTheme="majorHAnsi" w:cs="Times New Roman"/>
                <w:sz w:val="18"/>
                <w:szCs w:val="18"/>
                <w:lang w:val="sq-AL"/>
              </w:rPr>
            </w:pPr>
            <w:r w:rsidRPr="002E06C4">
              <w:rPr>
                <w:rFonts w:asciiTheme="majorHAnsi" w:eastAsia="Times New Roman" w:hAnsiTheme="majorHAnsi" w:cs="Times New Roman"/>
                <w:sz w:val="18"/>
                <w:szCs w:val="18"/>
                <w:lang w:val="sq-AL"/>
              </w:rPr>
              <w:t>Financim i huaj</w:t>
            </w:r>
          </w:p>
        </w:tc>
        <w:tc>
          <w:tcPr>
            <w:tcW w:w="1242" w:type="dxa"/>
            <w:vAlign w:val="bottom"/>
          </w:tcPr>
          <w:p w14:paraId="1353BB3A" w14:textId="77777777" w:rsidR="005139C5" w:rsidRPr="002E06C4" w:rsidRDefault="005139C5" w:rsidP="0080499B">
            <w:pPr>
              <w:jc w:val="right"/>
              <w:rPr>
                <w:rFonts w:asciiTheme="majorHAnsi" w:hAnsiTheme="majorHAnsi" w:cs="Times New Roman"/>
                <w:sz w:val="18"/>
                <w:szCs w:val="18"/>
                <w:lang w:val="sq-AL"/>
              </w:rPr>
            </w:pPr>
          </w:p>
        </w:tc>
        <w:tc>
          <w:tcPr>
            <w:tcW w:w="1267" w:type="dxa"/>
          </w:tcPr>
          <w:p w14:paraId="0E426CE0"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190,000</w:t>
            </w:r>
          </w:p>
        </w:tc>
        <w:tc>
          <w:tcPr>
            <w:tcW w:w="1105" w:type="dxa"/>
            <w:vAlign w:val="bottom"/>
          </w:tcPr>
          <w:p w14:paraId="255787D2" w14:textId="77777777" w:rsidR="005139C5" w:rsidRPr="002E06C4" w:rsidRDefault="005139C5" w:rsidP="0080499B">
            <w:pPr>
              <w:jc w:val="right"/>
              <w:rPr>
                <w:rFonts w:asciiTheme="majorHAnsi" w:hAnsiTheme="majorHAnsi" w:cs="Times New Roman"/>
                <w:sz w:val="18"/>
                <w:szCs w:val="18"/>
                <w:lang w:val="sq-AL"/>
              </w:rPr>
            </w:pPr>
          </w:p>
        </w:tc>
        <w:tc>
          <w:tcPr>
            <w:tcW w:w="1108" w:type="dxa"/>
          </w:tcPr>
          <w:p w14:paraId="2A0250D7" w14:textId="77777777" w:rsidR="005139C5" w:rsidRPr="002E06C4" w:rsidRDefault="005139C5" w:rsidP="0080499B">
            <w:pPr>
              <w:jc w:val="right"/>
              <w:rPr>
                <w:rFonts w:asciiTheme="majorHAnsi" w:hAnsiTheme="majorHAnsi" w:cs="Times New Roman"/>
                <w:sz w:val="18"/>
                <w:szCs w:val="18"/>
                <w:lang w:val="sq-AL"/>
              </w:rPr>
            </w:pPr>
            <w:r w:rsidRPr="002E06C4">
              <w:rPr>
                <w:rFonts w:asciiTheme="majorHAnsi" w:hAnsiTheme="majorHAnsi" w:cs="Times New Roman"/>
                <w:sz w:val="18"/>
                <w:szCs w:val="18"/>
                <w:lang w:val="sq-AL"/>
              </w:rPr>
              <w:t>14,672</w:t>
            </w:r>
          </w:p>
        </w:tc>
        <w:tc>
          <w:tcPr>
            <w:tcW w:w="926" w:type="dxa"/>
            <w:vAlign w:val="bottom"/>
          </w:tcPr>
          <w:p w14:paraId="35E421DF" w14:textId="77777777" w:rsidR="005139C5" w:rsidRPr="002E06C4" w:rsidRDefault="005139C5" w:rsidP="0080499B">
            <w:pPr>
              <w:jc w:val="right"/>
              <w:rPr>
                <w:rFonts w:asciiTheme="majorHAnsi" w:hAnsiTheme="majorHAnsi" w:cs="Times New Roman"/>
                <w:sz w:val="18"/>
                <w:szCs w:val="18"/>
                <w:lang w:val="sq-AL"/>
              </w:rPr>
            </w:pPr>
          </w:p>
        </w:tc>
        <w:tc>
          <w:tcPr>
            <w:tcW w:w="1335" w:type="dxa"/>
          </w:tcPr>
          <w:p w14:paraId="0BF432B8" w14:textId="77777777" w:rsidR="005139C5" w:rsidRPr="002E06C4" w:rsidRDefault="005139C5" w:rsidP="0080499B">
            <w:pPr>
              <w:spacing w:line="276" w:lineRule="auto"/>
              <w:jc w:val="center"/>
              <w:rPr>
                <w:rFonts w:asciiTheme="majorHAnsi" w:eastAsia="Times New Roman" w:hAnsiTheme="majorHAnsi" w:cs="Times New Roman"/>
                <w:sz w:val="18"/>
                <w:szCs w:val="18"/>
                <w:lang w:val="sq-AL"/>
              </w:rPr>
            </w:pPr>
          </w:p>
        </w:tc>
      </w:tr>
      <w:tr w:rsidR="005139C5" w:rsidRPr="002E06C4" w14:paraId="15698052" w14:textId="77777777" w:rsidTr="0080499B">
        <w:trPr>
          <w:trHeight w:val="289"/>
        </w:trPr>
        <w:tc>
          <w:tcPr>
            <w:tcW w:w="493" w:type="dxa"/>
          </w:tcPr>
          <w:p w14:paraId="6D50A51F" w14:textId="77777777" w:rsidR="005139C5" w:rsidRPr="002E06C4" w:rsidRDefault="005139C5" w:rsidP="0080499B">
            <w:pPr>
              <w:spacing w:line="276" w:lineRule="auto"/>
              <w:jc w:val="both"/>
              <w:rPr>
                <w:rFonts w:asciiTheme="majorHAnsi" w:eastAsia="Times New Roman" w:hAnsiTheme="majorHAnsi" w:cs="Times New Roman"/>
                <w:b/>
                <w:color w:val="FF0000"/>
                <w:sz w:val="18"/>
                <w:szCs w:val="18"/>
                <w:lang w:val="sq-AL"/>
              </w:rPr>
            </w:pPr>
          </w:p>
        </w:tc>
        <w:tc>
          <w:tcPr>
            <w:tcW w:w="2595" w:type="dxa"/>
          </w:tcPr>
          <w:p w14:paraId="49DB8BE6" w14:textId="77777777" w:rsidR="005139C5" w:rsidRPr="002E06C4" w:rsidRDefault="005139C5" w:rsidP="0080499B">
            <w:pPr>
              <w:spacing w:line="276" w:lineRule="auto"/>
              <w:jc w:val="center"/>
              <w:rPr>
                <w:rFonts w:asciiTheme="majorHAnsi" w:eastAsia="Times New Roman" w:hAnsiTheme="majorHAnsi" w:cs="Times New Roman"/>
                <w:b/>
                <w:sz w:val="18"/>
                <w:szCs w:val="18"/>
                <w:lang w:val="sq-AL"/>
              </w:rPr>
            </w:pPr>
            <w:r w:rsidRPr="002E06C4">
              <w:rPr>
                <w:rFonts w:asciiTheme="majorHAnsi" w:eastAsia="Times New Roman" w:hAnsiTheme="majorHAnsi" w:cs="Times New Roman"/>
                <w:b/>
                <w:sz w:val="18"/>
                <w:szCs w:val="18"/>
                <w:lang w:val="sq-AL"/>
              </w:rPr>
              <w:t>TOTAL</w:t>
            </w:r>
          </w:p>
        </w:tc>
        <w:tc>
          <w:tcPr>
            <w:tcW w:w="1242" w:type="dxa"/>
            <w:vAlign w:val="bottom"/>
          </w:tcPr>
          <w:p w14:paraId="0692D74A"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2,573,319</w:t>
            </w:r>
          </w:p>
        </w:tc>
        <w:tc>
          <w:tcPr>
            <w:tcW w:w="1267" w:type="dxa"/>
          </w:tcPr>
          <w:p w14:paraId="4A59F877"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343,000</w:t>
            </w:r>
          </w:p>
        </w:tc>
        <w:tc>
          <w:tcPr>
            <w:tcW w:w="1105" w:type="dxa"/>
            <w:vAlign w:val="bottom"/>
          </w:tcPr>
          <w:p w14:paraId="789DCB1D"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2,570,835</w:t>
            </w:r>
          </w:p>
        </w:tc>
        <w:tc>
          <w:tcPr>
            <w:tcW w:w="1108" w:type="dxa"/>
          </w:tcPr>
          <w:p w14:paraId="5886083A" w14:textId="77777777" w:rsidR="005139C5" w:rsidRPr="002E06C4" w:rsidRDefault="005139C5" w:rsidP="0080499B">
            <w:pPr>
              <w:spacing w:line="276" w:lineRule="auto"/>
              <w:jc w:val="cente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173,180</w:t>
            </w:r>
          </w:p>
        </w:tc>
        <w:tc>
          <w:tcPr>
            <w:tcW w:w="926" w:type="dxa"/>
            <w:vAlign w:val="bottom"/>
          </w:tcPr>
          <w:p w14:paraId="28F67A1B" w14:textId="77777777" w:rsidR="005139C5" w:rsidRPr="002E06C4" w:rsidRDefault="005139C5" w:rsidP="0080499B">
            <w:pPr>
              <w:jc w:val="right"/>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99.9</w:t>
            </w:r>
          </w:p>
        </w:tc>
        <w:tc>
          <w:tcPr>
            <w:tcW w:w="1335" w:type="dxa"/>
          </w:tcPr>
          <w:p w14:paraId="12B719E7" w14:textId="77777777" w:rsidR="005139C5" w:rsidRPr="002E06C4" w:rsidRDefault="005139C5" w:rsidP="0080499B">
            <w:pPr>
              <w:spacing w:line="276" w:lineRule="auto"/>
              <w:jc w:val="center"/>
              <w:rPr>
                <w:rFonts w:asciiTheme="majorHAnsi" w:hAnsiTheme="majorHAnsi" w:cs="Times New Roman"/>
                <w:b/>
                <w:bCs/>
                <w:sz w:val="18"/>
                <w:szCs w:val="18"/>
                <w:lang w:val="sq-AL"/>
              </w:rPr>
            </w:pPr>
            <w:r w:rsidRPr="002E06C4">
              <w:rPr>
                <w:rFonts w:asciiTheme="majorHAnsi" w:hAnsiTheme="majorHAnsi" w:cs="Times New Roman"/>
                <w:b/>
                <w:bCs/>
                <w:sz w:val="18"/>
                <w:szCs w:val="18"/>
                <w:lang w:val="sq-AL"/>
              </w:rPr>
              <w:t>50.5</w:t>
            </w:r>
          </w:p>
        </w:tc>
      </w:tr>
    </w:tbl>
    <w:p w14:paraId="0B6C959F" w14:textId="77777777" w:rsidR="005139C5" w:rsidRPr="002E06C4" w:rsidRDefault="005139C5" w:rsidP="005139C5">
      <w:pPr>
        <w:spacing w:before="240" w:line="276" w:lineRule="auto"/>
        <w:jc w:val="both"/>
        <w:rPr>
          <w:rFonts w:asciiTheme="majorHAnsi" w:hAnsiTheme="majorHAnsi" w:cs="Times New Roman"/>
          <w:noProof/>
          <w:lang w:val="sq-AL"/>
        </w:rPr>
      </w:pPr>
      <w:r w:rsidRPr="002E06C4">
        <w:rPr>
          <w:rFonts w:asciiTheme="majorHAnsi" w:hAnsiTheme="majorHAnsi" w:cs="Times New Roman"/>
          <w:noProof/>
          <w:lang w:val="sq-AL"/>
        </w:rPr>
        <w:t>Programi “</w:t>
      </w:r>
      <w:r w:rsidRPr="002E06C4">
        <w:rPr>
          <w:rFonts w:asciiTheme="majorHAnsi" w:hAnsiTheme="majorHAnsi" w:cs="Times New Roman"/>
          <w:b/>
          <w:noProof/>
          <w:lang w:val="sq-AL"/>
        </w:rPr>
        <w:t>Mbështetje institucionale në procesin e integrimit</w:t>
      </w:r>
      <w:r w:rsidRPr="002E06C4">
        <w:rPr>
          <w:rFonts w:asciiTheme="majorHAnsi" w:hAnsiTheme="majorHAnsi" w:cs="Times New Roman"/>
          <w:noProof/>
          <w:lang w:val="sq-AL"/>
        </w:rPr>
        <w:t xml:space="preserve">” ka në thelb të tij zbatimin e prioriteteve të politikes së jashtme të qeverisë dhe Strategjisë Kombëtare për Zhvillim dhe Integrim me qasje drejtimin teknik dhe bashkërendim të procesit të anëtarësimit të RSH-së në Bashkimin Evropian. Programi fokusohet kryesisht në zbatimin e Marrëveshjes së Stabilizim- Asociimit me BE-në,  hapjen e negociatave për anëtarësim dhe përmirësimin e menaxhimit të fondeve të BE-së nëpërmjet rritjes së kapacitete absorbuese të përfituesve nga programet IPA në Shqipëri.  </w:t>
      </w:r>
    </w:p>
    <w:p w14:paraId="5FB4A158" w14:textId="77777777" w:rsidR="005139C5" w:rsidRPr="002E06C4" w:rsidRDefault="005139C5" w:rsidP="005139C5">
      <w:pPr>
        <w:spacing w:before="240" w:line="276" w:lineRule="auto"/>
        <w:jc w:val="both"/>
        <w:rPr>
          <w:rFonts w:asciiTheme="majorHAnsi" w:hAnsiTheme="majorHAnsi" w:cs="Times New Roman"/>
          <w:noProof/>
          <w:lang w:val="sq-AL"/>
        </w:rPr>
      </w:pPr>
      <w:r w:rsidRPr="002E06C4">
        <w:rPr>
          <w:rFonts w:asciiTheme="majorHAnsi" w:hAnsiTheme="majorHAnsi" w:cs="Times New Roman"/>
          <w:noProof/>
          <w:lang w:val="sq-AL"/>
        </w:rPr>
        <w:t>Objektivat që synon te përmbush programi janë:</w:t>
      </w:r>
    </w:p>
    <w:p w14:paraId="2F9E89BB" w14:textId="77777777" w:rsidR="005139C5" w:rsidRPr="002E06C4" w:rsidRDefault="005139C5" w:rsidP="006C0253">
      <w:pPr>
        <w:numPr>
          <w:ilvl w:val="0"/>
          <w:numId w:val="37"/>
        </w:numPr>
        <w:spacing w:line="276" w:lineRule="auto"/>
        <w:jc w:val="both"/>
        <w:rPr>
          <w:rFonts w:asciiTheme="majorHAnsi" w:hAnsiTheme="majorHAnsi" w:cs="Times New Roman"/>
          <w:noProof/>
          <w:lang w:val="sq-AL"/>
        </w:rPr>
      </w:pPr>
      <w:r w:rsidRPr="002E06C4">
        <w:rPr>
          <w:rFonts w:asciiTheme="majorHAnsi" w:hAnsiTheme="majorHAnsi" w:cs="Times New Roman"/>
          <w:noProof/>
          <w:lang w:val="sq-AL"/>
        </w:rPr>
        <w:t>Rritja e efiçencë dhe aftësisë përthithëse të fondeve të BE-së në Shqipëri, nëpërmjet përmirësimit të procesit të programimit dhe monitorimit të zbatimit të projekteve.</w:t>
      </w:r>
    </w:p>
    <w:p w14:paraId="70169FD3" w14:textId="77777777" w:rsidR="005139C5" w:rsidRPr="002E06C4" w:rsidRDefault="005139C5" w:rsidP="006C0253">
      <w:pPr>
        <w:numPr>
          <w:ilvl w:val="0"/>
          <w:numId w:val="37"/>
        </w:numPr>
        <w:spacing w:line="276" w:lineRule="auto"/>
        <w:jc w:val="both"/>
        <w:rPr>
          <w:rFonts w:asciiTheme="majorHAnsi" w:hAnsiTheme="majorHAnsi" w:cs="Times New Roman"/>
          <w:noProof/>
          <w:lang w:val="sq-AL"/>
        </w:rPr>
      </w:pPr>
      <w:r w:rsidRPr="002E06C4">
        <w:rPr>
          <w:rFonts w:asciiTheme="majorHAnsi" w:hAnsiTheme="majorHAnsi" w:cs="Times New Roman"/>
          <w:noProof/>
          <w:lang w:val="sq-AL"/>
        </w:rPr>
        <w:lastRenderedPageBreak/>
        <w:t>Monitorimi dhe raportimi mbi zbatimin e plotë të Marrëveshjes së Stabilizim Associimit dhe hapjen e negociatave të anëtarësimit me BE-në.</w:t>
      </w:r>
    </w:p>
    <w:p w14:paraId="2EFE5A23" w14:textId="77777777" w:rsidR="005139C5" w:rsidRPr="002E06C4" w:rsidRDefault="005139C5" w:rsidP="005139C5">
      <w:pPr>
        <w:spacing w:before="240" w:line="276" w:lineRule="auto"/>
        <w:jc w:val="both"/>
        <w:rPr>
          <w:rFonts w:asciiTheme="majorHAnsi" w:hAnsiTheme="majorHAnsi" w:cs="Times New Roman"/>
          <w:noProof/>
          <w:lang w:val="sq-AL"/>
        </w:rPr>
      </w:pPr>
      <w:r w:rsidRPr="002E06C4">
        <w:rPr>
          <w:rFonts w:asciiTheme="majorHAnsi" w:hAnsiTheme="majorHAnsi" w:cs="Times New Roman"/>
          <w:noProof/>
          <w:lang w:val="sq-AL"/>
        </w:rPr>
        <w:t xml:space="preserve">Në këtë program janë realizuar disa produkte me kosto faktike </w:t>
      </w:r>
      <w:r w:rsidRPr="002E06C4">
        <w:rPr>
          <w:rFonts w:asciiTheme="majorHAnsi" w:hAnsiTheme="majorHAnsi" w:cs="Times New Roman"/>
          <w:bCs/>
          <w:noProof/>
          <w:lang w:val="sq-AL"/>
        </w:rPr>
        <w:t>200,922</w:t>
      </w:r>
      <w:r w:rsidRPr="002E06C4">
        <w:rPr>
          <w:rFonts w:asciiTheme="majorHAnsi" w:hAnsiTheme="majorHAnsi" w:cs="Times New Roman"/>
          <w:b/>
          <w:bCs/>
          <w:noProof/>
          <w:lang w:val="sq-AL"/>
        </w:rPr>
        <w:t xml:space="preserve"> </w:t>
      </w:r>
      <w:r w:rsidRPr="002E06C4">
        <w:rPr>
          <w:rFonts w:asciiTheme="majorHAnsi" w:hAnsiTheme="majorHAnsi" w:cs="Times New Roman"/>
          <w:noProof/>
          <w:lang w:val="sq-AL"/>
        </w:rPr>
        <w:t xml:space="preserve"> mijë lekë, ku përmendim: </w:t>
      </w:r>
    </w:p>
    <w:p w14:paraId="6ED4CD8C" w14:textId="77777777" w:rsidR="005139C5" w:rsidRPr="002E06C4" w:rsidRDefault="005139C5" w:rsidP="006C0253">
      <w:pPr>
        <w:numPr>
          <w:ilvl w:val="0"/>
          <w:numId w:val="38"/>
        </w:numPr>
        <w:spacing w:line="276" w:lineRule="auto"/>
        <w:jc w:val="both"/>
        <w:rPr>
          <w:rFonts w:asciiTheme="majorHAnsi" w:hAnsiTheme="majorHAnsi" w:cs="Times New Roman"/>
          <w:noProof/>
          <w:lang w:val="sq-AL"/>
        </w:rPr>
      </w:pPr>
      <w:r w:rsidRPr="002E06C4">
        <w:rPr>
          <w:rFonts w:asciiTheme="majorHAnsi" w:hAnsiTheme="majorHAnsi" w:cs="Times New Roman"/>
          <w:noProof/>
          <w:lang w:val="sq-AL"/>
        </w:rPr>
        <w:t>Hartimi i Planit Kombëtar për Integrimin Evropian 2018 – 2020 u miratua me Vendimin e Këshillit të Ministrave Nr. 246, datë 9.05.2018 “Për miratimin e Planit Kombëtar për Integrimin Evropian 2018 – 2020”.</w:t>
      </w:r>
    </w:p>
    <w:p w14:paraId="74DE7615" w14:textId="77777777" w:rsidR="005139C5" w:rsidRPr="002E06C4" w:rsidRDefault="005139C5" w:rsidP="006C0253">
      <w:pPr>
        <w:numPr>
          <w:ilvl w:val="0"/>
          <w:numId w:val="38"/>
        </w:numPr>
        <w:spacing w:line="276" w:lineRule="auto"/>
        <w:jc w:val="both"/>
        <w:rPr>
          <w:rFonts w:asciiTheme="majorHAnsi" w:hAnsiTheme="majorHAnsi" w:cs="Times New Roman"/>
          <w:noProof/>
          <w:lang w:val="sq-AL"/>
        </w:rPr>
      </w:pPr>
      <w:r w:rsidRPr="002E06C4">
        <w:rPr>
          <w:rFonts w:asciiTheme="majorHAnsi" w:hAnsiTheme="majorHAnsi" w:cs="Times New Roman"/>
          <w:noProof/>
          <w:lang w:val="sq-AL"/>
        </w:rPr>
        <w:t xml:space="preserve">Zhvillimi i 8 takimeve të institucioneve të përbashkëta Bashkimi Evropian – Shqipëri në kuadër të zbatimit të Marrëveshjes së Stabilizim-Asociimit dhe 5 takime shpjeguese në kuadër të procesit </w:t>
      </w:r>
      <w:r w:rsidRPr="002E06C4">
        <w:rPr>
          <w:rFonts w:asciiTheme="majorHAnsi" w:hAnsiTheme="majorHAnsi" w:cs="Times New Roman"/>
          <w:i/>
          <w:noProof/>
          <w:lang w:val="sq-AL"/>
        </w:rPr>
        <w:t>screening</w:t>
      </w:r>
      <w:r w:rsidRPr="002E06C4">
        <w:rPr>
          <w:rFonts w:asciiTheme="majorHAnsi" w:hAnsiTheme="majorHAnsi" w:cs="Times New Roman"/>
          <w:noProof/>
          <w:lang w:val="sq-AL"/>
        </w:rPr>
        <w:t xml:space="preserve"> për kapitujt negociues 23, 24, 5, 32, dhe 3.</w:t>
      </w:r>
    </w:p>
    <w:p w14:paraId="1564F825" w14:textId="77777777" w:rsidR="005139C5" w:rsidRPr="002E06C4" w:rsidRDefault="005139C5" w:rsidP="006C0253">
      <w:pPr>
        <w:numPr>
          <w:ilvl w:val="0"/>
          <w:numId w:val="38"/>
        </w:numPr>
        <w:spacing w:line="276" w:lineRule="auto"/>
        <w:jc w:val="both"/>
        <w:rPr>
          <w:rFonts w:asciiTheme="majorHAnsi" w:hAnsiTheme="majorHAnsi" w:cs="Times New Roman"/>
          <w:noProof/>
          <w:lang w:val="sq-AL"/>
        </w:rPr>
      </w:pPr>
      <w:r w:rsidRPr="002E06C4">
        <w:rPr>
          <w:rFonts w:asciiTheme="majorHAnsi" w:hAnsiTheme="majorHAnsi" w:cs="Times New Roman"/>
          <w:noProof/>
          <w:lang w:val="sq-AL"/>
        </w:rPr>
        <w:t>Pjesëmarrja e Shqipërisë në të tetë Programet e Bashkëpunimit Territorial 2014 – 2020 me Greqinë, Kosovën, Maqedoninë, Malin e Zi si dhe programet shumëpalëshe ADRION, MESDHEU, Balkan MED, Itali – Mali i Zi – Shqipëri.</w:t>
      </w:r>
    </w:p>
    <w:p w14:paraId="5D90684D" w14:textId="77777777" w:rsidR="0080499B" w:rsidRDefault="0080499B" w:rsidP="0080499B">
      <w:pPr>
        <w:spacing w:line="276" w:lineRule="auto"/>
        <w:ind w:left="720"/>
        <w:jc w:val="both"/>
        <w:rPr>
          <w:rFonts w:asciiTheme="majorHAnsi" w:hAnsiTheme="majorHAnsi" w:cs="Times New Roman"/>
          <w:noProof/>
          <w:lang w:val="sq-AL"/>
        </w:rPr>
      </w:pPr>
    </w:p>
    <w:p w14:paraId="07FE290B" w14:textId="77777777" w:rsidR="005F1700" w:rsidRDefault="005F1700" w:rsidP="0080499B">
      <w:pPr>
        <w:spacing w:line="276" w:lineRule="auto"/>
        <w:ind w:left="720"/>
        <w:jc w:val="both"/>
        <w:rPr>
          <w:rFonts w:asciiTheme="majorHAnsi" w:hAnsiTheme="majorHAnsi" w:cs="Times New Roman"/>
          <w:noProof/>
          <w:lang w:val="sq-AL"/>
        </w:rPr>
      </w:pPr>
    </w:p>
    <w:p w14:paraId="3C794105" w14:textId="77777777" w:rsidR="005F1700" w:rsidRPr="002E06C4" w:rsidRDefault="005F1700" w:rsidP="0080499B">
      <w:pPr>
        <w:spacing w:line="276" w:lineRule="auto"/>
        <w:ind w:left="720"/>
        <w:jc w:val="both"/>
        <w:rPr>
          <w:rFonts w:asciiTheme="majorHAnsi" w:hAnsiTheme="majorHAnsi" w:cs="Times New Roman"/>
          <w:noProof/>
          <w:lang w:val="sq-AL"/>
        </w:rPr>
      </w:pPr>
    </w:p>
    <w:p w14:paraId="12C0353C" w14:textId="77777777" w:rsidR="002350D2" w:rsidRPr="002E06C4" w:rsidRDefault="002350D2" w:rsidP="005B1BD0">
      <w:pPr>
        <w:pStyle w:val="Heading2"/>
        <w:numPr>
          <w:ilvl w:val="1"/>
          <w:numId w:val="4"/>
        </w:numPr>
        <w:ind w:left="540" w:hanging="540"/>
        <w:rPr>
          <w:rFonts w:cs="Times New Roman"/>
          <w:noProof/>
          <w:color w:val="4F81BD" w:themeColor="accent1"/>
          <w:lang w:val="sq-AL"/>
        </w:rPr>
      </w:pPr>
      <w:bookmarkStart w:id="188" w:name="_Toc11134237"/>
      <w:r w:rsidRPr="002E06C4">
        <w:rPr>
          <w:rFonts w:cs="Times New Roman"/>
          <w:noProof/>
          <w:color w:val="4F81BD" w:themeColor="accent1"/>
          <w:lang w:val="sq-AL"/>
        </w:rPr>
        <w:t>Fondi rezerv</w:t>
      </w:r>
      <w:r w:rsidR="00C33B16" w:rsidRPr="002E06C4">
        <w:rPr>
          <w:rFonts w:cs="Times New Roman"/>
          <w:noProof/>
          <w:color w:val="4F81BD" w:themeColor="accent1"/>
          <w:lang w:val="sq-AL"/>
        </w:rPr>
        <w:t>ë</w:t>
      </w:r>
      <w:r w:rsidRPr="002E06C4">
        <w:rPr>
          <w:rFonts w:cs="Times New Roman"/>
          <w:noProof/>
          <w:color w:val="4F81BD" w:themeColor="accent1"/>
          <w:lang w:val="sq-AL"/>
        </w:rPr>
        <w:t xml:space="preserve"> </w:t>
      </w:r>
      <w:r w:rsidR="003F6966" w:rsidRPr="002E06C4">
        <w:rPr>
          <w:rFonts w:cs="Times New Roman"/>
          <w:noProof/>
          <w:color w:val="4F81BD" w:themeColor="accent1"/>
          <w:lang w:val="sq-AL"/>
        </w:rPr>
        <w:t xml:space="preserve">dhe </w:t>
      </w:r>
      <w:r w:rsidR="00077771" w:rsidRPr="002E06C4">
        <w:rPr>
          <w:rFonts w:cs="Times New Roman"/>
          <w:noProof/>
          <w:color w:val="4F81BD" w:themeColor="accent1"/>
          <w:lang w:val="sq-AL"/>
        </w:rPr>
        <w:t>K</w:t>
      </w:r>
      <w:r w:rsidR="00E45519" w:rsidRPr="002E06C4">
        <w:rPr>
          <w:rFonts w:cs="Times New Roman"/>
          <w:noProof/>
          <w:color w:val="4F81BD" w:themeColor="accent1"/>
          <w:lang w:val="sq-AL"/>
        </w:rPr>
        <w:t>onti</w:t>
      </w:r>
      <w:r w:rsidRPr="002E06C4">
        <w:rPr>
          <w:rFonts w:cs="Times New Roman"/>
          <w:noProof/>
          <w:color w:val="4F81BD" w:themeColor="accent1"/>
          <w:lang w:val="sq-AL"/>
        </w:rPr>
        <w:t>gjenc</w:t>
      </w:r>
      <w:bookmarkEnd w:id="137"/>
      <w:bookmarkEnd w:id="138"/>
      <w:r w:rsidR="00077771" w:rsidRPr="002E06C4">
        <w:rPr>
          <w:rFonts w:cs="Times New Roman"/>
          <w:noProof/>
          <w:color w:val="4F81BD" w:themeColor="accent1"/>
          <w:lang w:val="sq-AL"/>
        </w:rPr>
        <w:t>a</w:t>
      </w:r>
      <w:bookmarkEnd w:id="188"/>
    </w:p>
    <w:p w14:paraId="72C6FF28" w14:textId="77777777" w:rsidR="009F1868" w:rsidRPr="002E06C4" w:rsidRDefault="009F1868" w:rsidP="00146CA5">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lang w:val="sq-AL"/>
        </w:rPr>
        <w:t>Fondi rezervë i pla</w:t>
      </w:r>
      <w:r w:rsidR="00D3198F" w:rsidRPr="002E06C4">
        <w:rPr>
          <w:rFonts w:asciiTheme="majorHAnsi" w:eastAsia="SimSun" w:hAnsiTheme="majorHAnsi" w:cs="Times New Roman"/>
          <w:lang w:val="sq-AL"/>
        </w:rPr>
        <w:t>nifikuar në nivelin 2,7 miliard</w:t>
      </w:r>
      <w:r w:rsidRPr="002E06C4">
        <w:rPr>
          <w:rFonts w:asciiTheme="majorHAnsi" w:eastAsia="SimSun" w:hAnsiTheme="majorHAnsi" w:cs="Times New Roman"/>
          <w:lang w:val="sq-AL"/>
        </w:rPr>
        <w:t xml:space="preserve"> lekë në buxhetin fillestar 2018, i ndryshuar me Aktin Normativ nr. 2 datë </w:t>
      </w:r>
      <w:r w:rsidRPr="002E06C4">
        <w:rPr>
          <w:rFonts w:asciiTheme="majorHAnsi" w:hAnsiTheme="majorHAnsi" w:cs="Times New Roman"/>
          <w:lang w:val="sq-AL"/>
        </w:rPr>
        <w:t>19.12.2018</w:t>
      </w:r>
      <w:r w:rsidR="00D3198F" w:rsidRPr="002E06C4">
        <w:rPr>
          <w:rFonts w:asciiTheme="majorHAnsi" w:hAnsiTheme="majorHAnsi" w:cs="Times New Roman"/>
          <w:lang w:val="sq-AL"/>
        </w:rPr>
        <w:t xml:space="preserve"> në masën 1.5 miliard</w:t>
      </w:r>
      <w:r w:rsidRPr="002E06C4">
        <w:rPr>
          <w:rFonts w:asciiTheme="majorHAnsi" w:hAnsiTheme="majorHAnsi" w:cs="Times New Roman"/>
          <w:lang w:val="sq-AL"/>
        </w:rPr>
        <w:t xml:space="preserve"> lekë, </w:t>
      </w:r>
      <w:r w:rsidRPr="002E06C4">
        <w:rPr>
          <w:rFonts w:asciiTheme="majorHAnsi" w:eastAsia="SimSun" w:hAnsiTheme="majorHAnsi" w:cs="Times New Roman"/>
          <w:lang w:val="sq-AL"/>
        </w:rPr>
        <w:t xml:space="preserve">është përdorur gjatë vitit 2018 për shpenzime të tjera korrente (shpenzime operative dhe transferta të brendshme rreth 74 përqind); për investime publike (rreth 23 përqind) dhe për shpenzime personeli (rreth 23 përqind). </w:t>
      </w:r>
    </w:p>
    <w:p w14:paraId="5737A2DB" w14:textId="77777777" w:rsidR="009F1868" w:rsidRPr="002E06C4" w:rsidRDefault="009F1868" w:rsidP="00146CA5">
      <w:pPr>
        <w:spacing w:before="240" w:line="276" w:lineRule="auto"/>
        <w:jc w:val="both"/>
        <w:rPr>
          <w:rFonts w:asciiTheme="majorHAnsi" w:eastAsia="SimSun" w:hAnsiTheme="majorHAnsi" w:cs="Times New Roman"/>
          <w:lang w:val="sq-AL"/>
        </w:rPr>
      </w:pPr>
      <w:r w:rsidRPr="002E06C4">
        <w:rPr>
          <w:rFonts w:asciiTheme="majorHAnsi" w:hAnsiTheme="majorHAnsi" w:cs="Times New Roman"/>
          <w:bCs/>
          <w:lang w:val="sq-AL"/>
        </w:rPr>
        <w:t>Fondi Kontigjencë për risqet e borxhit, i plan</w:t>
      </w:r>
      <w:r w:rsidR="00D3198F" w:rsidRPr="002E06C4">
        <w:rPr>
          <w:rFonts w:asciiTheme="majorHAnsi" w:hAnsiTheme="majorHAnsi" w:cs="Times New Roman"/>
          <w:bCs/>
          <w:lang w:val="sq-AL"/>
        </w:rPr>
        <w:t>ifikuar në masën prej 4 miliard</w:t>
      </w:r>
      <w:r w:rsidRPr="002E06C4">
        <w:rPr>
          <w:rFonts w:asciiTheme="majorHAnsi" w:hAnsiTheme="majorHAnsi" w:cs="Times New Roman"/>
          <w:bCs/>
          <w:lang w:val="sq-AL"/>
        </w:rPr>
        <w:t xml:space="preserve"> lekë</w:t>
      </w:r>
      <w:r w:rsidRPr="002E06C4">
        <w:rPr>
          <w:rFonts w:asciiTheme="majorHAnsi" w:eastAsia="SimSun" w:hAnsiTheme="majorHAnsi" w:cs="Times New Roman"/>
          <w:lang w:val="sq-AL"/>
        </w:rPr>
        <w:t xml:space="preserve"> rezulton i papërdorur gjatë vitit 2018.</w:t>
      </w:r>
      <w:r w:rsidRPr="002E06C4">
        <w:rPr>
          <w:rStyle w:val="FootnoteReference"/>
          <w:rFonts w:asciiTheme="majorHAnsi" w:eastAsia="SimSun" w:hAnsiTheme="majorHAnsi" w:cs="Times New Roman"/>
          <w:lang w:val="sq-AL"/>
        </w:rPr>
        <w:footnoteReference w:id="6"/>
      </w:r>
    </w:p>
    <w:p w14:paraId="0C6F992F" w14:textId="77777777" w:rsidR="0044331B" w:rsidRDefault="0044331B" w:rsidP="0044331B">
      <w:pPr>
        <w:jc w:val="both"/>
        <w:rPr>
          <w:rFonts w:asciiTheme="majorHAnsi" w:eastAsia="SimSun" w:hAnsiTheme="majorHAnsi" w:cs="Times New Roman"/>
          <w:lang w:val="sq-AL"/>
        </w:rPr>
      </w:pPr>
    </w:p>
    <w:p w14:paraId="30544996" w14:textId="77777777" w:rsidR="005F1700" w:rsidRDefault="005F1700" w:rsidP="0044331B">
      <w:pPr>
        <w:jc w:val="both"/>
        <w:rPr>
          <w:rFonts w:asciiTheme="majorHAnsi" w:eastAsia="SimSun" w:hAnsiTheme="majorHAnsi" w:cs="Times New Roman"/>
          <w:lang w:val="sq-AL"/>
        </w:rPr>
      </w:pPr>
    </w:p>
    <w:p w14:paraId="2C97CB19" w14:textId="77777777" w:rsidR="005F1700" w:rsidRDefault="005F1700" w:rsidP="0044331B">
      <w:pPr>
        <w:jc w:val="both"/>
        <w:rPr>
          <w:rFonts w:asciiTheme="majorHAnsi" w:eastAsia="SimSun" w:hAnsiTheme="majorHAnsi" w:cs="Times New Roman"/>
          <w:lang w:val="sq-AL"/>
        </w:rPr>
      </w:pPr>
    </w:p>
    <w:p w14:paraId="56573C1F" w14:textId="77777777" w:rsidR="005F1700" w:rsidRDefault="005F1700" w:rsidP="0044331B">
      <w:pPr>
        <w:jc w:val="both"/>
        <w:rPr>
          <w:rFonts w:asciiTheme="majorHAnsi" w:eastAsia="SimSun" w:hAnsiTheme="majorHAnsi" w:cs="Times New Roman"/>
          <w:lang w:val="sq-AL"/>
        </w:rPr>
      </w:pPr>
    </w:p>
    <w:p w14:paraId="6BAA5A62" w14:textId="77777777" w:rsidR="005F1700" w:rsidRDefault="005F1700" w:rsidP="0044331B">
      <w:pPr>
        <w:jc w:val="both"/>
        <w:rPr>
          <w:rFonts w:asciiTheme="majorHAnsi" w:eastAsia="SimSun" w:hAnsiTheme="majorHAnsi" w:cs="Times New Roman"/>
          <w:lang w:val="sq-AL"/>
        </w:rPr>
      </w:pPr>
    </w:p>
    <w:p w14:paraId="015A5BBD" w14:textId="77777777" w:rsidR="005F1700" w:rsidRDefault="005F1700" w:rsidP="0044331B">
      <w:pPr>
        <w:jc w:val="both"/>
        <w:rPr>
          <w:rFonts w:asciiTheme="majorHAnsi" w:eastAsia="SimSun" w:hAnsiTheme="majorHAnsi" w:cs="Times New Roman"/>
          <w:lang w:val="sq-AL"/>
        </w:rPr>
      </w:pPr>
    </w:p>
    <w:p w14:paraId="027E1823" w14:textId="77777777" w:rsidR="005F1700" w:rsidRDefault="005F1700" w:rsidP="0044331B">
      <w:pPr>
        <w:jc w:val="both"/>
        <w:rPr>
          <w:rFonts w:asciiTheme="majorHAnsi" w:eastAsia="SimSun" w:hAnsiTheme="majorHAnsi" w:cs="Times New Roman"/>
          <w:lang w:val="sq-AL"/>
        </w:rPr>
      </w:pPr>
    </w:p>
    <w:p w14:paraId="3A70AC37" w14:textId="77777777" w:rsidR="005F1700" w:rsidRDefault="005F1700" w:rsidP="0044331B">
      <w:pPr>
        <w:jc w:val="both"/>
        <w:rPr>
          <w:rFonts w:asciiTheme="majorHAnsi" w:eastAsia="SimSun" w:hAnsiTheme="majorHAnsi" w:cs="Times New Roman"/>
          <w:lang w:val="sq-AL"/>
        </w:rPr>
      </w:pPr>
    </w:p>
    <w:p w14:paraId="0F8B937C" w14:textId="77777777" w:rsidR="005F1700" w:rsidRDefault="005F1700" w:rsidP="0044331B">
      <w:pPr>
        <w:jc w:val="both"/>
        <w:rPr>
          <w:rFonts w:asciiTheme="majorHAnsi" w:eastAsia="SimSun" w:hAnsiTheme="majorHAnsi" w:cs="Times New Roman"/>
          <w:lang w:val="sq-AL"/>
        </w:rPr>
      </w:pPr>
    </w:p>
    <w:p w14:paraId="78A5AA93" w14:textId="77777777" w:rsidR="005F1700" w:rsidRDefault="005F1700" w:rsidP="0044331B">
      <w:pPr>
        <w:jc w:val="both"/>
        <w:rPr>
          <w:rFonts w:asciiTheme="majorHAnsi" w:eastAsia="SimSun" w:hAnsiTheme="majorHAnsi" w:cs="Times New Roman"/>
          <w:lang w:val="sq-AL"/>
        </w:rPr>
      </w:pPr>
    </w:p>
    <w:p w14:paraId="068DC1E4" w14:textId="77777777" w:rsidR="005F1700" w:rsidRDefault="005F1700" w:rsidP="0044331B">
      <w:pPr>
        <w:jc w:val="both"/>
        <w:rPr>
          <w:rFonts w:asciiTheme="majorHAnsi" w:eastAsia="SimSun" w:hAnsiTheme="majorHAnsi" w:cs="Times New Roman"/>
          <w:lang w:val="sq-AL"/>
        </w:rPr>
      </w:pPr>
    </w:p>
    <w:p w14:paraId="0753FE4E" w14:textId="77777777" w:rsidR="005F1700" w:rsidRDefault="005F1700" w:rsidP="0044331B">
      <w:pPr>
        <w:jc w:val="both"/>
        <w:rPr>
          <w:rFonts w:asciiTheme="majorHAnsi" w:eastAsia="SimSun" w:hAnsiTheme="majorHAnsi" w:cs="Times New Roman"/>
          <w:lang w:val="sq-AL"/>
        </w:rPr>
      </w:pPr>
    </w:p>
    <w:p w14:paraId="3C4FABD6" w14:textId="77777777" w:rsidR="005F1700" w:rsidRDefault="005F1700" w:rsidP="0044331B">
      <w:pPr>
        <w:jc w:val="both"/>
        <w:rPr>
          <w:rFonts w:asciiTheme="majorHAnsi" w:eastAsia="SimSun" w:hAnsiTheme="majorHAnsi" w:cs="Times New Roman"/>
          <w:lang w:val="sq-AL"/>
        </w:rPr>
      </w:pPr>
    </w:p>
    <w:p w14:paraId="577FFEBE" w14:textId="77777777" w:rsidR="005F1700" w:rsidRDefault="005F1700" w:rsidP="0044331B">
      <w:pPr>
        <w:jc w:val="both"/>
        <w:rPr>
          <w:rFonts w:asciiTheme="majorHAnsi" w:eastAsia="SimSun" w:hAnsiTheme="majorHAnsi" w:cs="Times New Roman"/>
          <w:lang w:val="sq-AL"/>
        </w:rPr>
      </w:pPr>
    </w:p>
    <w:p w14:paraId="645C9C3B" w14:textId="77777777" w:rsidR="005F1700" w:rsidRDefault="005F1700" w:rsidP="0044331B">
      <w:pPr>
        <w:jc w:val="both"/>
        <w:rPr>
          <w:rFonts w:asciiTheme="majorHAnsi" w:eastAsia="SimSun" w:hAnsiTheme="majorHAnsi" w:cs="Times New Roman"/>
          <w:lang w:val="sq-AL"/>
        </w:rPr>
      </w:pPr>
    </w:p>
    <w:p w14:paraId="4FE28223" w14:textId="77777777" w:rsidR="005F1700" w:rsidRPr="002E06C4" w:rsidRDefault="005F1700" w:rsidP="0044331B">
      <w:pPr>
        <w:jc w:val="both"/>
        <w:rPr>
          <w:rFonts w:asciiTheme="majorHAnsi" w:eastAsia="SimSun" w:hAnsiTheme="majorHAnsi" w:cs="Times New Roman"/>
          <w:lang w:val="sq-AL"/>
        </w:rPr>
      </w:pPr>
    </w:p>
    <w:p w14:paraId="3FA75879" w14:textId="77777777" w:rsidR="00A94670" w:rsidRPr="005F1700" w:rsidRDefault="005F1700" w:rsidP="00A2716B">
      <w:pPr>
        <w:pStyle w:val="Heading1"/>
        <w:numPr>
          <w:ilvl w:val="0"/>
          <w:numId w:val="4"/>
        </w:numPr>
        <w:rPr>
          <w:rFonts w:cs="Times New Roman"/>
          <w:b/>
          <w:lang w:val="sq-AL"/>
        </w:rPr>
      </w:pPr>
      <w:bookmarkStart w:id="189" w:name="_Toc10033281"/>
      <w:bookmarkStart w:id="190" w:name="_Toc10721418"/>
      <w:bookmarkStart w:id="191" w:name="_Toc11134238"/>
      <w:r w:rsidRPr="005F1700">
        <w:rPr>
          <w:rFonts w:cs="Times New Roman"/>
          <w:b/>
          <w:lang w:val="sq-AL"/>
        </w:rPr>
        <w:lastRenderedPageBreak/>
        <w:t>BUXHETI VENDOR</w:t>
      </w:r>
      <w:bookmarkEnd w:id="189"/>
      <w:bookmarkEnd w:id="190"/>
      <w:bookmarkEnd w:id="191"/>
      <w:r w:rsidRPr="005F1700">
        <w:rPr>
          <w:rFonts w:cs="Times New Roman"/>
          <w:b/>
          <w:lang w:val="sq-AL"/>
        </w:rPr>
        <w:t xml:space="preserve"> </w:t>
      </w:r>
    </w:p>
    <w:p w14:paraId="11F9F90B" w14:textId="77777777" w:rsidR="00AC045F" w:rsidRPr="002E06C4" w:rsidRDefault="00AC045F" w:rsidP="00AC045F">
      <w:pPr>
        <w:spacing w:before="240" w:line="276" w:lineRule="auto"/>
        <w:jc w:val="both"/>
        <w:rPr>
          <w:rFonts w:asciiTheme="majorHAnsi" w:eastAsia="SimSun" w:hAnsiTheme="majorHAnsi" w:cs="Times New Roman"/>
          <w:lang w:val="sq-AL"/>
        </w:rPr>
      </w:pPr>
      <w:r w:rsidRPr="002E06C4">
        <w:rPr>
          <w:rFonts w:asciiTheme="majorHAnsi" w:eastAsia="SimSun" w:hAnsiTheme="majorHAnsi" w:cs="Times New Roman"/>
          <w:b/>
          <w:i/>
          <w:lang w:val="sq-AL"/>
        </w:rPr>
        <w:t>Shpenzimet për Pushtetin Vendor</w:t>
      </w:r>
      <w:r w:rsidRPr="002E06C4">
        <w:rPr>
          <w:rFonts w:asciiTheme="majorHAnsi" w:eastAsia="SimSun" w:hAnsiTheme="majorHAnsi" w:cs="Times New Roman"/>
          <w:lang w:val="sq-AL"/>
        </w:rPr>
        <w:t>, për vitin 2018 kanë përbërë 12.5 përqind të shpenzimeve korente. Kundrejt të njëjtës periudhë të vitit 2017 ky nivel rezulton 6.7 përqind më i lartë ose rreth 3.13 miliard LEK më shumë. Niveli i shpenzimeve për Pushtetin Vendor, për vitin 2018, arriti në masën rreth 49.6 miliardë LEK.</w:t>
      </w:r>
    </w:p>
    <w:p w14:paraId="3DD3E1BB" w14:textId="77777777" w:rsidR="00E45519" w:rsidRPr="002E06C4" w:rsidRDefault="00E45519" w:rsidP="00E45519">
      <w:pPr>
        <w:pStyle w:val="Caption"/>
        <w:keepNext/>
        <w:spacing w:after="0"/>
        <w:rPr>
          <w:rFonts w:asciiTheme="majorHAnsi" w:hAnsiTheme="majorHAnsi" w:cs="Times New Roman"/>
          <w:lang w:val="sq-AL"/>
        </w:rPr>
      </w:pPr>
    </w:p>
    <w:p w14:paraId="04878865" w14:textId="77777777" w:rsidR="005C6E2E" w:rsidRPr="002E06C4" w:rsidRDefault="005C6E2E" w:rsidP="00146CA5">
      <w:pPr>
        <w:pStyle w:val="Caption"/>
        <w:keepNext/>
        <w:spacing w:after="0"/>
        <w:rPr>
          <w:rFonts w:asciiTheme="majorHAnsi" w:hAnsiTheme="majorHAnsi" w:cs="Times New Roman"/>
          <w:lang w:val="sq-AL"/>
        </w:rPr>
      </w:pPr>
      <w:bookmarkStart w:id="192" w:name="_Toc11141712"/>
      <w:r w:rsidRPr="002E06C4">
        <w:rPr>
          <w:rFonts w:asciiTheme="majorHAnsi" w:hAnsiTheme="majorHAnsi" w:cs="Times New Roman"/>
          <w:lang w:val="sq-AL"/>
        </w:rPr>
        <w:t xml:space="preserve">Grafiku </w:t>
      </w:r>
      <w:r w:rsidRPr="002E06C4">
        <w:rPr>
          <w:rFonts w:asciiTheme="majorHAnsi" w:hAnsiTheme="majorHAnsi" w:cs="Times New Roman"/>
          <w:lang w:val="sq-AL"/>
        </w:rPr>
        <w:fldChar w:fldCharType="begin"/>
      </w:r>
      <w:r w:rsidRPr="002E06C4">
        <w:rPr>
          <w:rFonts w:asciiTheme="majorHAnsi" w:hAnsiTheme="majorHAnsi" w:cs="Times New Roman"/>
          <w:lang w:val="sq-AL"/>
        </w:rPr>
        <w:instrText xml:space="preserve"> SEQ Grafiku \* ARABIC </w:instrText>
      </w:r>
      <w:r w:rsidRPr="002E06C4">
        <w:rPr>
          <w:rFonts w:asciiTheme="majorHAnsi" w:hAnsiTheme="majorHAnsi" w:cs="Times New Roman"/>
          <w:lang w:val="sq-AL"/>
        </w:rPr>
        <w:fldChar w:fldCharType="separate"/>
      </w:r>
      <w:r w:rsidR="006A57F3">
        <w:rPr>
          <w:rFonts w:asciiTheme="majorHAnsi" w:hAnsiTheme="majorHAnsi" w:cs="Times New Roman"/>
          <w:noProof/>
          <w:lang w:val="sq-AL"/>
        </w:rPr>
        <w:t>36</w:t>
      </w:r>
      <w:r w:rsidRPr="002E06C4">
        <w:rPr>
          <w:rFonts w:asciiTheme="majorHAnsi" w:hAnsiTheme="majorHAnsi" w:cs="Times New Roman"/>
          <w:lang w:val="sq-AL"/>
        </w:rPr>
        <w:fldChar w:fldCharType="end"/>
      </w:r>
      <w:r w:rsidRPr="002E06C4">
        <w:rPr>
          <w:rFonts w:asciiTheme="majorHAnsi" w:hAnsiTheme="majorHAnsi" w:cs="Times New Roman"/>
          <w:lang w:val="sq-AL"/>
        </w:rPr>
        <w:t xml:space="preserve"> Shpenzimet e pushtetit vendor n</w:t>
      </w:r>
      <w:r w:rsidR="00C33B16" w:rsidRPr="002E06C4">
        <w:rPr>
          <w:rFonts w:asciiTheme="majorHAnsi" w:hAnsiTheme="majorHAnsi" w:cs="Times New Roman"/>
          <w:lang w:val="sq-AL"/>
        </w:rPr>
        <w:t>ë</w:t>
      </w:r>
      <w:r w:rsidR="001F4829" w:rsidRPr="002E06C4">
        <w:rPr>
          <w:rFonts w:asciiTheme="majorHAnsi" w:hAnsiTheme="majorHAnsi" w:cs="Times New Roman"/>
          <w:lang w:val="sq-AL"/>
        </w:rPr>
        <w:t xml:space="preserve"> rritje dhe ritmi i</w:t>
      </w:r>
      <w:r w:rsidRPr="002E06C4">
        <w:rPr>
          <w:rFonts w:asciiTheme="majorHAnsi" w:hAnsiTheme="majorHAnsi" w:cs="Times New Roman"/>
          <w:lang w:val="sq-AL"/>
        </w:rPr>
        <w:t xml:space="preserve"> rritjes s</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tyre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miliard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192"/>
    </w:p>
    <w:p w14:paraId="5E884CC7" w14:textId="77777777" w:rsidR="00AC045F" w:rsidRPr="002E06C4" w:rsidRDefault="00AC045F" w:rsidP="00AC045F">
      <w:pPr>
        <w:jc w:val="center"/>
        <w:rPr>
          <w:rFonts w:asciiTheme="majorHAnsi" w:eastAsia="SimSun" w:hAnsiTheme="majorHAnsi" w:cs="Times New Roman"/>
          <w:lang w:val="sq-AL"/>
        </w:rPr>
      </w:pPr>
      <w:r w:rsidRPr="002E06C4">
        <w:rPr>
          <w:rFonts w:asciiTheme="majorHAnsi" w:hAnsiTheme="majorHAnsi" w:cs="Times New Roman"/>
          <w:noProof/>
        </w:rPr>
        <w:drawing>
          <wp:inline distT="0" distB="0" distL="0" distR="0" wp14:anchorId="3C8CB873" wp14:editId="7D8CEA04">
            <wp:extent cx="6019800" cy="2072640"/>
            <wp:effectExtent l="0" t="0" r="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9800" cy="2072640"/>
                    </a:xfrm>
                    <a:prstGeom prst="rect">
                      <a:avLst/>
                    </a:prstGeom>
                    <a:noFill/>
                  </pic:spPr>
                </pic:pic>
              </a:graphicData>
            </a:graphic>
          </wp:inline>
        </w:drawing>
      </w:r>
    </w:p>
    <w:p w14:paraId="2DF65013" w14:textId="77777777" w:rsidR="00AC045F" w:rsidRPr="002E06C4" w:rsidRDefault="00AC045F" w:rsidP="00AC045F">
      <w:pPr>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r w:rsidR="005C6E2E" w:rsidRPr="002E06C4">
        <w:rPr>
          <w:rFonts w:asciiTheme="majorHAnsi" w:eastAsia="SimSun" w:hAnsiTheme="majorHAnsi" w:cs="Times New Roman"/>
          <w:i/>
          <w:sz w:val="20"/>
          <w:lang w:val="sq-AL"/>
        </w:rPr>
        <w:t xml:space="preserve"> </w:t>
      </w:r>
    </w:p>
    <w:p w14:paraId="5D6AC450" w14:textId="77777777" w:rsidR="00AC045F" w:rsidRPr="002E06C4" w:rsidRDefault="00AC045F" w:rsidP="00AC045F">
      <w:pPr>
        <w:tabs>
          <w:tab w:val="left" w:pos="1005"/>
        </w:tabs>
        <w:spacing w:before="240" w:line="276" w:lineRule="auto"/>
        <w:jc w:val="both"/>
        <w:rPr>
          <w:rFonts w:asciiTheme="majorHAnsi" w:eastAsia="SimSun" w:hAnsiTheme="majorHAnsi" w:cs="Times New Roman"/>
          <w:lang w:val="sq-AL"/>
        </w:rPr>
      </w:pPr>
      <w:r w:rsidRPr="002E06C4">
        <w:rPr>
          <w:rFonts w:asciiTheme="majorHAnsi" w:hAnsiTheme="majorHAnsi" w:cs="Times New Roman"/>
          <w:lang w:val="sq-AL"/>
        </w:rPr>
        <w:t>Shpenzimet e pushtetit vendor</w:t>
      </w:r>
      <w:r w:rsidRPr="002E06C4">
        <w:rPr>
          <w:rFonts w:asciiTheme="majorHAnsi" w:hAnsiTheme="majorHAnsi" w:cs="Times New Roman"/>
          <w:b/>
          <w:lang w:val="sq-AL"/>
        </w:rPr>
        <w:t xml:space="preserve"> </w:t>
      </w:r>
      <w:r w:rsidRPr="002E06C4">
        <w:rPr>
          <w:rFonts w:asciiTheme="majorHAnsi" w:hAnsiTheme="majorHAnsi" w:cs="Times New Roman"/>
          <w:lang w:val="sq-AL"/>
        </w:rPr>
        <w:t xml:space="preserve">janë një tregues i rëndësishëm i procesit të menaxhimit të financave publike në nivel vendor. Ndër vite shpenzimet e pushtetit vendor paraqiten si një tregues me rritje të lehtë dhe kjo vjen si pasojë e rritjes së nivelit të shërbimeve dhe funksioneve që pushteti vendor ofron tashmë për qytetarët. Buxheti vendor për vitin 2018 ishte planifikuar 3.1 për qind e PBB-së dhe krahasuar me vitin 2013 është rritur me 1.1 për qind të PBB-së, ndërkohë që për periudhën 2006 - 2013 ishte rritur nga 0.1 deri në 0.4 për qind e PBB-së. Rritja e buxhetit vendor në një vlerë të konsiderueshmë prej rreth 49.6 miliard lekë në vitin 2018 ose e thënë ndryshe 7 % më shumë se një vit më parë, tregon rëndësinë dhe vlerësimin që i është kushtuar procesit të decentralizmit dhe zbatimit të reformës administrativo-territoriale. </w:t>
      </w:r>
      <w:bookmarkStart w:id="193" w:name="_Toc8810312"/>
      <w:r w:rsidRPr="002E06C4">
        <w:rPr>
          <w:rFonts w:asciiTheme="majorHAnsi" w:eastAsia="SimSun" w:hAnsiTheme="majorHAnsi" w:cs="Times New Roman"/>
          <w:lang w:val="sq-AL"/>
        </w:rPr>
        <w:t>Shpenzimet e pushtetit vendor sipas strukturës kanë pësuar luhatje të vogla por në tërësi struktura ka mbetur e njëjtë. Duke ju referuara grafikut të mëposhtëm pjesën më të madhe të shpenzimeve e zënë shpenzimet kapitale dhe ato të personelit ndërkohë që pas tyre vinë shpenzimet operative që kryejnë NJVQV-të.</w:t>
      </w:r>
    </w:p>
    <w:p w14:paraId="63FA21FA" w14:textId="77777777" w:rsidR="002350D2" w:rsidRPr="002E06C4" w:rsidRDefault="002350D2" w:rsidP="001509BA">
      <w:pPr>
        <w:pStyle w:val="Caption"/>
        <w:keepNext/>
        <w:spacing w:after="0"/>
        <w:rPr>
          <w:rFonts w:asciiTheme="majorHAnsi" w:hAnsiTheme="majorHAnsi" w:cs="Times New Roman"/>
          <w:lang w:val="sq-AL"/>
        </w:rPr>
      </w:pPr>
      <w:bookmarkStart w:id="194" w:name="_Toc11141713"/>
      <w:bookmarkEnd w:id="193"/>
      <w:r w:rsidRPr="002E06C4">
        <w:rPr>
          <w:rFonts w:asciiTheme="majorHAnsi" w:hAnsiTheme="majorHAnsi" w:cs="Times New Roman"/>
          <w:lang w:val="sq-AL"/>
        </w:rPr>
        <w:t xml:space="preserve">Grafiku </w:t>
      </w:r>
      <w:r w:rsidRPr="002E06C4">
        <w:rPr>
          <w:rFonts w:asciiTheme="majorHAnsi" w:hAnsiTheme="majorHAnsi" w:cs="Times New Roman"/>
          <w:lang w:val="sq-AL"/>
        </w:rPr>
        <w:fldChar w:fldCharType="begin"/>
      </w:r>
      <w:r w:rsidRPr="002E06C4">
        <w:rPr>
          <w:rFonts w:asciiTheme="majorHAnsi" w:hAnsiTheme="majorHAnsi" w:cs="Times New Roman"/>
          <w:lang w:val="sq-AL"/>
        </w:rPr>
        <w:instrText xml:space="preserve"> SEQ Grafiku \* ARABIC </w:instrText>
      </w:r>
      <w:r w:rsidRPr="002E06C4">
        <w:rPr>
          <w:rFonts w:asciiTheme="majorHAnsi" w:hAnsiTheme="majorHAnsi" w:cs="Times New Roman"/>
          <w:lang w:val="sq-AL"/>
        </w:rPr>
        <w:fldChar w:fldCharType="separate"/>
      </w:r>
      <w:r w:rsidR="006A57F3">
        <w:rPr>
          <w:rFonts w:asciiTheme="majorHAnsi" w:hAnsiTheme="majorHAnsi" w:cs="Times New Roman"/>
          <w:noProof/>
          <w:lang w:val="sq-AL"/>
        </w:rPr>
        <w:t>37</w:t>
      </w:r>
      <w:r w:rsidRPr="002E06C4">
        <w:rPr>
          <w:rFonts w:asciiTheme="majorHAnsi" w:hAnsiTheme="majorHAnsi" w:cs="Times New Roman"/>
          <w:lang w:val="sq-AL"/>
        </w:rPr>
        <w:fldChar w:fldCharType="end"/>
      </w:r>
      <w:r w:rsidRPr="002E06C4">
        <w:rPr>
          <w:rFonts w:asciiTheme="majorHAnsi" w:hAnsiTheme="majorHAnsi" w:cs="Times New Roman"/>
          <w:lang w:val="sq-AL"/>
        </w:rPr>
        <w:t xml:space="preserve"> Shpenzimet e pushtetit vendor sipas klasifikimit ekonomik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milion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194"/>
    </w:p>
    <w:p w14:paraId="0DF669C3" w14:textId="77777777" w:rsidR="00AC045F" w:rsidRPr="002E06C4" w:rsidRDefault="00AC045F" w:rsidP="00E45519">
      <w:pPr>
        <w:spacing w:line="276" w:lineRule="auto"/>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21FA9E48" wp14:editId="2696E954">
            <wp:extent cx="5486400" cy="1798320"/>
            <wp:effectExtent l="0" t="0" r="0" b="1143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1440D92" w14:textId="77777777" w:rsidR="00AC045F" w:rsidRPr="002E06C4" w:rsidRDefault="00AC045F" w:rsidP="00AC045F">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6AC96890" w14:textId="77777777" w:rsidR="00AC045F" w:rsidRPr="002E06C4" w:rsidRDefault="00AC045F" w:rsidP="00AC045F">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lastRenderedPageBreak/>
        <w:t>Menaxhimi financiar në nivel vendor tashmë ka hyrë në një fazë të detajuar analize dhe monitorimi, proces i cili do të vazhdojë për të identifikuar problematikat financiare që tashmë po marrin zgjidhje në pjesën më të madhe të njësive. Pas miratimit dhe fillimit të zbatimit të reformës administrativo-territoriale janë bërë përmirësime të dukshme në drejtimit të rritjes së efektivitetit dhe eficiencës së kryerjes së shpenzimeve. Më poshtë janë paraqitur në mënyrë të përmbledhur tabela e ndryshimeve të të ardhurave dhe shpenzimeve të pushtetit vendor në nivel artikulli për dy vitet e fundit buxheore.</w:t>
      </w:r>
    </w:p>
    <w:p w14:paraId="4BBD43F0" w14:textId="77777777" w:rsidR="00E45519" w:rsidRPr="002E06C4" w:rsidRDefault="00E45519" w:rsidP="00E45519">
      <w:pPr>
        <w:spacing w:line="276" w:lineRule="auto"/>
        <w:rPr>
          <w:rFonts w:asciiTheme="majorHAnsi" w:eastAsia="SimSun" w:hAnsiTheme="majorHAnsi" w:cs="Times New Roman"/>
          <w:i/>
          <w:color w:val="4F81BD" w:themeColor="accent1"/>
          <w:sz w:val="8"/>
          <w:szCs w:val="8"/>
          <w:lang w:val="sq-AL"/>
        </w:rPr>
      </w:pPr>
      <w:bookmarkStart w:id="195" w:name="_Toc515446557"/>
    </w:p>
    <w:p w14:paraId="36E4301F" w14:textId="77777777" w:rsidR="00AC045F" w:rsidRPr="002E06C4" w:rsidRDefault="00AC045F" w:rsidP="00E45519">
      <w:pPr>
        <w:spacing w:line="276" w:lineRule="auto"/>
        <w:rPr>
          <w:rFonts w:asciiTheme="majorHAnsi" w:eastAsia="SimSun" w:hAnsiTheme="majorHAnsi" w:cs="Times New Roman"/>
          <w:color w:val="4F81BD" w:themeColor="accent1"/>
          <w:sz w:val="18"/>
          <w:szCs w:val="18"/>
          <w:lang w:val="sq-AL"/>
        </w:rPr>
      </w:pPr>
      <w:bookmarkStart w:id="196" w:name="_Toc11135139"/>
      <w:r w:rsidRPr="002E06C4">
        <w:rPr>
          <w:rFonts w:asciiTheme="majorHAnsi" w:eastAsia="SimSun" w:hAnsiTheme="majorHAnsi" w:cs="Times New Roman"/>
          <w:color w:val="4F81BD" w:themeColor="accent1"/>
          <w:sz w:val="18"/>
          <w:szCs w:val="18"/>
          <w:lang w:val="sq-AL"/>
        </w:rPr>
        <w:t xml:space="preserve">Tabela </w:t>
      </w:r>
      <w:r w:rsidR="00140052">
        <w:rPr>
          <w:rFonts w:asciiTheme="majorHAnsi" w:eastAsia="SimSun" w:hAnsiTheme="majorHAnsi" w:cs="Times New Roman"/>
          <w:color w:val="4F81BD" w:themeColor="accent1"/>
          <w:sz w:val="18"/>
          <w:szCs w:val="18"/>
          <w:lang w:val="sq-AL"/>
        </w:rPr>
        <w:fldChar w:fldCharType="begin"/>
      </w:r>
      <w:r w:rsidR="00140052">
        <w:rPr>
          <w:rFonts w:asciiTheme="majorHAnsi" w:eastAsia="SimSun" w:hAnsiTheme="majorHAnsi" w:cs="Times New Roman"/>
          <w:color w:val="4F81BD" w:themeColor="accent1"/>
          <w:sz w:val="18"/>
          <w:szCs w:val="18"/>
          <w:lang w:val="sq-AL"/>
        </w:rPr>
        <w:instrText xml:space="preserve"> SEQ Tabela \* ARABIC </w:instrText>
      </w:r>
      <w:r w:rsidR="00140052">
        <w:rPr>
          <w:rFonts w:asciiTheme="majorHAnsi" w:eastAsia="SimSun" w:hAnsiTheme="majorHAnsi" w:cs="Times New Roman"/>
          <w:color w:val="4F81BD" w:themeColor="accent1"/>
          <w:sz w:val="18"/>
          <w:szCs w:val="18"/>
          <w:lang w:val="sq-AL"/>
        </w:rPr>
        <w:fldChar w:fldCharType="separate"/>
      </w:r>
      <w:r w:rsidR="006A57F3">
        <w:rPr>
          <w:rFonts w:asciiTheme="majorHAnsi" w:eastAsia="SimSun" w:hAnsiTheme="majorHAnsi" w:cs="Times New Roman"/>
          <w:noProof/>
          <w:color w:val="4F81BD" w:themeColor="accent1"/>
          <w:sz w:val="18"/>
          <w:szCs w:val="18"/>
          <w:lang w:val="sq-AL"/>
        </w:rPr>
        <w:t>25</w:t>
      </w:r>
      <w:r w:rsidR="00140052">
        <w:rPr>
          <w:rFonts w:asciiTheme="majorHAnsi" w:eastAsia="SimSun" w:hAnsiTheme="majorHAnsi" w:cs="Times New Roman"/>
          <w:color w:val="4F81BD" w:themeColor="accent1"/>
          <w:sz w:val="18"/>
          <w:szCs w:val="18"/>
          <w:lang w:val="sq-AL"/>
        </w:rPr>
        <w:fldChar w:fldCharType="end"/>
      </w:r>
      <w:r w:rsidR="001F4829" w:rsidRPr="002E06C4">
        <w:rPr>
          <w:rFonts w:asciiTheme="majorHAnsi" w:eastAsia="SimSun" w:hAnsiTheme="majorHAnsi" w:cs="Times New Roman"/>
          <w:color w:val="4F81BD" w:themeColor="accent1"/>
          <w:sz w:val="18"/>
          <w:szCs w:val="18"/>
          <w:lang w:val="sq-AL"/>
        </w:rPr>
        <w:t xml:space="preserve"> </w:t>
      </w:r>
      <w:r w:rsidR="005C6E2E" w:rsidRPr="002E06C4">
        <w:rPr>
          <w:rFonts w:asciiTheme="majorHAnsi" w:eastAsia="SimSun" w:hAnsiTheme="majorHAnsi" w:cs="Times New Roman"/>
          <w:color w:val="4F81BD" w:themeColor="accent1"/>
          <w:sz w:val="18"/>
          <w:szCs w:val="18"/>
          <w:lang w:val="sq-AL"/>
        </w:rPr>
        <w:t xml:space="preserve"> </w:t>
      </w:r>
      <w:r w:rsidRPr="002E06C4">
        <w:rPr>
          <w:rFonts w:asciiTheme="majorHAnsi" w:hAnsiTheme="majorHAnsi" w:cs="Times New Roman"/>
          <w:iCs/>
          <w:color w:val="4F81BD" w:themeColor="accent1"/>
          <w:sz w:val="18"/>
          <w:szCs w:val="18"/>
          <w:lang w:val="sq-AL"/>
        </w:rPr>
        <w:t>Të ardhurat dhe shpenzimet e pushtetit vendor, sipas natyrës</w:t>
      </w:r>
      <w:bookmarkEnd w:id="195"/>
      <w:bookmarkEnd w:id="196"/>
    </w:p>
    <w:tbl>
      <w:tblPr>
        <w:tblStyle w:val="GridTable4-Accent51"/>
        <w:tblW w:w="5416" w:type="pct"/>
        <w:jc w:val="center"/>
        <w:tblLook w:val="04A0" w:firstRow="1" w:lastRow="0" w:firstColumn="1" w:lastColumn="0" w:noHBand="0" w:noVBand="1"/>
      </w:tblPr>
      <w:tblGrid>
        <w:gridCol w:w="647"/>
        <w:gridCol w:w="4253"/>
        <w:gridCol w:w="1457"/>
        <w:gridCol w:w="113"/>
        <w:gridCol w:w="1396"/>
        <w:gridCol w:w="1396"/>
        <w:gridCol w:w="2086"/>
      </w:tblGrid>
      <w:tr w:rsidR="00AC045F" w:rsidRPr="002E06C4" w14:paraId="3126CB46" w14:textId="77777777" w:rsidTr="002C4DD7">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6B16D83F" w14:textId="77777777" w:rsidR="00AC045F" w:rsidRPr="002E06C4" w:rsidRDefault="00AC045F" w:rsidP="001509BA">
            <w:pPr>
              <w:spacing w:line="256" w:lineRule="auto"/>
              <w:jc w:val="center"/>
              <w:rPr>
                <w:rFonts w:asciiTheme="majorHAnsi" w:hAnsiTheme="majorHAnsi" w:cs="Times New Roman"/>
                <w:sz w:val="18"/>
                <w:lang w:val="sq-AL"/>
              </w:rPr>
            </w:pPr>
          </w:p>
        </w:tc>
        <w:tc>
          <w:tcPr>
            <w:tcW w:w="1874" w:type="pct"/>
            <w:noWrap/>
            <w:hideMark/>
          </w:tcPr>
          <w:p w14:paraId="6672D18F" w14:textId="77777777" w:rsidR="00AC045F" w:rsidRPr="002E06C4" w:rsidRDefault="00AC045F" w:rsidP="00AC045F">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18"/>
                <w:szCs w:val="20"/>
                <w:lang w:val="sq-AL"/>
              </w:rPr>
            </w:pPr>
          </w:p>
        </w:tc>
        <w:tc>
          <w:tcPr>
            <w:tcW w:w="642" w:type="pct"/>
            <w:noWrap/>
            <w:hideMark/>
          </w:tcPr>
          <w:p w14:paraId="5DDE51B6" w14:textId="77777777" w:rsidR="00AC045F" w:rsidRPr="002E06C4" w:rsidRDefault="00AC045F" w:rsidP="00AC045F">
            <w:pP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000000"/>
                <w:sz w:val="18"/>
                <w:szCs w:val="22"/>
                <w:lang w:val="sq-AL" w:eastAsia="sq-AL"/>
              </w:rPr>
            </w:pPr>
            <w:r w:rsidRPr="002E06C4">
              <w:rPr>
                <w:rFonts w:asciiTheme="majorHAnsi" w:hAnsiTheme="majorHAnsi" w:cs="Times New Roman"/>
                <w:color w:val="000000"/>
                <w:sz w:val="18"/>
                <w:szCs w:val="22"/>
                <w:lang w:val="sq-AL" w:eastAsia="sq-AL"/>
              </w:rPr>
              <w:t> </w:t>
            </w:r>
          </w:p>
        </w:tc>
        <w:tc>
          <w:tcPr>
            <w:tcW w:w="2199" w:type="pct"/>
            <w:gridSpan w:val="4"/>
            <w:noWrap/>
            <w:hideMark/>
          </w:tcPr>
          <w:p w14:paraId="34F18923" w14:textId="77777777" w:rsidR="00AC045F" w:rsidRPr="002E06C4" w:rsidRDefault="00AC045F" w:rsidP="00AC045F">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iCs/>
                <w:color w:val="000000"/>
                <w:sz w:val="18"/>
                <w:szCs w:val="18"/>
                <w:lang w:val="sq-AL" w:eastAsia="sq-AL"/>
              </w:rPr>
            </w:pPr>
            <w:r w:rsidRPr="002E06C4">
              <w:rPr>
                <w:rFonts w:asciiTheme="majorHAnsi" w:hAnsiTheme="majorHAnsi" w:cs="Times New Roman"/>
                <w:iCs/>
                <w:color w:val="000000"/>
                <w:sz w:val="18"/>
                <w:szCs w:val="18"/>
                <w:lang w:val="sq-AL" w:eastAsia="sq-AL"/>
              </w:rPr>
              <w:t>Të dhëna progresive (në milionë LEK)</w:t>
            </w:r>
          </w:p>
        </w:tc>
      </w:tr>
      <w:tr w:rsidR="00AC045F" w:rsidRPr="002E06C4" w14:paraId="0C17944C" w14:textId="77777777" w:rsidTr="0080499B">
        <w:trPr>
          <w:cnfStyle w:val="000000100000" w:firstRow="0" w:lastRow="0" w:firstColumn="0" w:lastColumn="0" w:oddVBand="0" w:evenVBand="0" w:oddHBand="1" w:evenHBand="0" w:firstRowFirstColumn="0" w:firstRowLastColumn="0" w:lastRowFirstColumn="0" w:lastRowLastColumn="0"/>
          <w:trHeight w:val="148"/>
          <w:jc w:val="center"/>
        </w:trPr>
        <w:tc>
          <w:tcPr>
            <w:cnfStyle w:val="001000000000" w:firstRow="0" w:lastRow="0" w:firstColumn="1" w:lastColumn="0" w:oddVBand="0" w:evenVBand="0" w:oddHBand="0" w:evenHBand="0" w:firstRowFirstColumn="0" w:firstRowLastColumn="0" w:lastRowFirstColumn="0" w:lastRowLastColumn="0"/>
            <w:tcW w:w="285" w:type="pct"/>
            <w:vMerge w:val="restart"/>
            <w:noWrap/>
            <w:hideMark/>
          </w:tcPr>
          <w:p w14:paraId="385101D0" w14:textId="77777777" w:rsidR="00AC045F" w:rsidRPr="002E06C4" w:rsidRDefault="00AC045F" w:rsidP="00AC045F">
            <w:pPr>
              <w:jc w:val="both"/>
              <w:rPr>
                <w:rFonts w:asciiTheme="majorHAnsi" w:hAnsiTheme="majorHAnsi" w:cs="Times New Roman"/>
                <w:b w:val="0"/>
                <w:bCs w:val="0"/>
                <w:color w:val="000000"/>
                <w:sz w:val="18"/>
                <w:szCs w:val="20"/>
                <w:lang w:val="sq-AL" w:eastAsia="sq-AL"/>
              </w:rPr>
            </w:pPr>
            <w:r w:rsidRPr="002E06C4">
              <w:rPr>
                <w:rFonts w:asciiTheme="majorHAnsi" w:hAnsiTheme="majorHAnsi" w:cs="Times New Roman"/>
                <w:b w:val="0"/>
                <w:bCs w:val="0"/>
                <w:color w:val="000000"/>
                <w:sz w:val="18"/>
                <w:szCs w:val="20"/>
                <w:lang w:val="sq-AL" w:eastAsia="sq-AL"/>
              </w:rPr>
              <w:t>Nr</w:t>
            </w:r>
          </w:p>
        </w:tc>
        <w:tc>
          <w:tcPr>
            <w:tcW w:w="1874" w:type="pct"/>
            <w:vMerge w:val="restart"/>
            <w:noWrap/>
            <w:hideMark/>
          </w:tcPr>
          <w:p w14:paraId="16BF6A0C" w14:textId="77777777" w:rsidR="00AC045F" w:rsidRPr="002E06C4" w:rsidRDefault="00AC045F" w:rsidP="00AC045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18"/>
                <w:szCs w:val="20"/>
                <w:lang w:val="sq-AL" w:eastAsia="sq-AL"/>
              </w:rPr>
            </w:pPr>
            <w:r w:rsidRPr="002E06C4">
              <w:rPr>
                <w:rFonts w:asciiTheme="majorHAnsi" w:hAnsiTheme="majorHAnsi" w:cs="Times New Roman"/>
                <w:b/>
                <w:bCs/>
                <w:color w:val="000000"/>
                <w:sz w:val="18"/>
                <w:szCs w:val="20"/>
                <w:lang w:val="sq-AL" w:eastAsia="sq-AL"/>
              </w:rPr>
              <w:t xml:space="preserve">E </w:t>
            </w:r>
            <w:r w:rsidR="001F4829" w:rsidRPr="002E06C4">
              <w:rPr>
                <w:rFonts w:asciiTheme="majorHAnsi" w:hAnsiTheme="majorHAnsi" w:cs="Times New Roman"/>
                <w:b/>
                <w:bCs/>
                <w:color w:val="000000"/>
                <w:sz w:val="18"/>
                <w:szCs w:val="20"/>
                <w:lang w:val="sq-AL" w:eastAsia="sq-AL"/>
              </w:rPr>
              <w:t xml:space="preserve"> M  Ë</w:t>
            </w:r>
            <w:r w:rsidRPr="002E06C4">
              <w:rPr>
                <w:rFonts w:asciiTheme="majorHAnsi" w:hAnsiTheme="majorHAnsi" w:cs="Times New Roman"/>
                <w:b/>
                <w:bCs/>
                <w:color w:val="000000"/>
                <w:sz w:val="18"/>
                <w:szCs w:val="20"/>
                <w:lang w:val="sq-AL" w:eastAsia="sq-AL"/>
              </w:rPr>
              <w:t xml:space="preserve">  R  T  I  M  I</w:t>
            </w:r>
          </w:p>
        </w:tc>
        <w:tc>
          <w:tcPr>
            <w:tcW w:w="1307" w:type="pct"/>
            <w:gridSpan w:val="3"/>
            <w:noWrap/>
            <w:hideMark/>
          </w:tcPr>
          <w:p w14:paraId="48540DE6" w14:textId="77777777" w:rsidR="00AC045F" w:rsidRPr="002E06C4" w:rsidRDefault="00AC045F" w:rsidP="00AC045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18"/>
                <w:szCs w:val="20"/>
                <w:lang w:val="sq-AL" w:eastAsia="sq-AL"/>
              </w:rPr>
            </w:pPr>
            <w:r w:rsidRPr="002E06C4">
              <w:rPr>
                <w:rFonts w:asciiTheme="majorHAnsi" w:hAnsiTheme="majorHAnsi" w:cs="Times New Roman"/>
                <w:b/>
                <w:bCs/>
                <w:color w:val="000000"/>
                <w:sz w:val="18"/>
                <w:szCs w:val="20"/>
                <w:lang w:val="sq-AL" w:eastAsia="sq-AL"/>
              </w:rPr>
              <w:t>Fakt 12 mujori</w:t>
            </w:r>
          </w:p>
        </w:tc>
        <w:tc>
          <w:tcPr>
            <w:tcW w:w="1534" w:type="pct"/>
            <w:gridSpan w:val="2"/>
            <w:noWrap/>
            <w:hideMark/>
          </w:tcPr>
          <w:p w14:paraId="5BA60B97" w14:textId="77777777" w:rsidR="00AC045F" w:rsidRPr="002E06C4" w:rsidRDefault="00AC045F" w:rsidP="00AC045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18"/>
                <w:szCs w:val="20"/>
                <w:lang w:val="sq-AL" w:eastAsia="sq-AL"/>
              </w:rPr>
            </w:pPr>
            <w:r w:rsidRPr="002E06C4">
              <w:rPr>
                <w:rFonts w:asciiTheme="majorHAnsi" w:hAnsiTheme="majorHAnsi" w:cs="Times New Roman"/>
                <w:b/>
                <w:bCs/>
                <w:color w:val="000000"/>
                <w:sz w:val="18"/>
                <w:szCs w:val="20"/>
                <w:lang w:val="sq-AL" w:eastAsia="sq-AL"/>
              </w:rPr>
              <w:t>Diferenca</w:t>
            </w:r>
          </w:p>
        </w:tc>
      </w:tr>
      <w:tr w:rsidR="00AC045F" w:rsidRPr="002E06C4" w14:paraId="0827E2B6" w14:textId="77777777" w:rsidTr="0080499B">
        <w:trPr>
          <w:trHeight w:val="184"/>
          <w:jc w:val="center"/>
        </w:trPr>
        <w:tc>
          <w:tcPr>
            <w:cnfStyle w:val="001000000000" w:firstRow="0" w:lastRow="0" w:firstColumn="1" w:lastColumn="0" w:oddVBand="0" w:evenVBand="0" w:oddHBand="0" w:evenHBand="0" w:firstRowFirstColumn="0" w:firstRowLastColumn="0" w:lastRowFirstColumn="0" w:lastRowLastColumn="0"/>
            <w:tcW w:w="285" w:type="pct"/>
            <w:vMerge/>
            <w:hideMark/>
          </w:tcPr>
          <w:p w14:paraId="7FA0E56C" w14:textId="77777777" w:rsidR="00AC045F" w:rsidRPr="002E06C4" w:rsidRDefault="00AC045F" w:rsidP="00AC045F">
            <w:pPr>
              <w:spacing w:line="276" w:lineRule="auto"/>
              <w:rPr>
                <w:rFonts w:asciiTheme="majorHAnsi" w:hAnsiTheme="majorHAnsi" w:cs="Times New Roman"/>
                <w:b w:val="0"/>
                <w:bCs w:val="0"/>
                <w:color w:val="000000"/>
                <w:sz w:val="18"/>
                <w:szCs w:val="20"/>
                <w:lang w:val="sq-AL" w:eastAsia="sq-AL"/>
              </w:rPr>
            </w:pPr>
          </w:p>
        </w:tc>
        <w:tc>
          <w:tcPr>
            <w:tcW w:w="1874" w:type="pct"/>
            <w:vMerge/>
            <w:hideMark/>
          </w:tcPr>
          <w:p w14:paraId="5A8E5AD1" w14:textId="77777777" w:rsidR="00AC045F" w:rsidRPr="002E06C4" w:rsidRDefault="00AC045F" w:rsidP="00AC045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szCs w:val="20"/>
                <w:lang w:val="sq-AL" w:eastAsia="sq-AL"/>
              </w:rPr>
            </w:pPr>
          </w:p>
        </w:tc>
        <w:tc>
          <w:tcPr>
            <w:tcW w:w="692" w:type="pct"/>
            <w:gridSpan w:val="2"/>
            <w:vMerge w:val="restart"/>
            <w:noWrap/>
            <w:hideMark/>
          </w:tcPr>
          <w:p w14:paraId="223EE410" w14:textId="77777777" w:rsidR="00AC045F" w:rsidRPr="002E06C4" w:rsidRDefault="00AC045F" w:rsidP="00AC04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szCs w:val="20"/>
                <w:lang w:val="sq-AL" w:eastAsia="sq-AL"/>
              </w:rPr>
            </w:pPr>
            <w:r w:rsidRPr="002E06C4">
              <w:rPr>
                <w:rFonts w:asciiTheme="majorHAnsi" w:hAnsiTheme="majorHAnsi" w:cs="Times New Roman"/>
                <w:b/>
                <w:bCs/>
                <w:color w:val="000000"/>
                <w:sz w:val="18"/>
                <w:szCs w:val="20"/>
                <w:lang w:val="sq-AL" w:eastAsia="sq-AL"/>
              </w:rPr>
              <w:t>2018</w:t>
            </w:r>
          </w:p>
        </w:tc>
        <w:tc>
          <w:tcPr>
            <w:tcW w:w="615" w:type="pct"/>
            <w:vMerge w:val="restart"/>
            <w:noWrap/>
            <w:hideMark/>
          </w:tcPr>
          <w:p w14:paraId="61BFEF03" w14:textId="77777777" w:rsidR="00AC045F" w:rsidRPr="002E06C4" w:rsidRDefault="00AC045F" w:rsidP="00AC04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szCs w:val="20"/>
                <w:lang w:val="sq-AL" w:eastAsia="sq-AL"/>
              </w:rPr>
            </w:pPr>
            <w:r w:rsidRPr="002E06C4">
              <w:rPr>
                <w:rFonts w:asciiTheme="majorHAnsi" w:hAnsiTheme="majorHAnsi" w:cs="Times New Roman"/>
                <w:b/>
                <w:bCs/>
                <w:color w:val="000000"/>
                <w:sz w:val="18"/>
                <w:szCs w:val="20"/>
                <w:lang w:val="sq-AL" w:eastAsia="sq-AL"/>
              </w:rPr>
              <w:t>2017</w:t>
            </w:r>
          </w:p>
        </w:tc>
        <w:tc>
          <w:tcPr>
            <w:tcW w:w="615" w:type="pct"/>
            <w:hideMark/>
          </w:tcPr>
          <w:p w14:paraId="1B411E95" w14:textId="77777777" w:rsidR="00AC045F" w:rsidRPr="002E06C4" w:rsidRDefault="00AC045F" w:rsidP="00AC04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szCs w:val="20"/>
                <w:lang w:val="sq-AL" w:eastAsia="sq-AL"/>
              </w:rPr>
            </w:pPr>
            <w:r w:rsidRPr="002E06C4">
              <w:rPr>
                <w:rFonts w:asciiTheme="majorHAnsi" w:hAnsiTheme="majorHAnsi" w:cs="Times New Roman"/>
                <w:b/>
                <w:bCs/>
                <w:color w:val="000000"/>
                <w:sz w:val="18"/>
                <w:szCs w:val="20"/>
                <w:lang w:val="sq-AL" w:eastAsia="sq-AL"/>
              </w:rPr>
              <w:t>2018 /</w:t>
            </w:r>
          </w:p>
        </w:tc>
        <w:tc>
          <w:tcPr>
            <w:tcW w:w="919" w:type="pct"/>
            <w:vMerge w:val="restart"/>
            <w:hideMark/>
          </w:tcPr>
          <w:p w14:paraId="2C3F0176" w14:textId="77777777" w:rsidR="00AC045F" w:rsidRPr="002E06C4" w:rsidRDefault="00AC045F" w:rsidP="00AC04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szCs w:val="20"/>
                <w:lang w:val="sq-AL" w:eastAsia="sq-AL"/>
              </w:rPr>
            </w:pPr>
            <w:r w:rsidRPr="002E06C4">
              <w:rPr>
                <w:rFonts w:asciiTheme="majorHAnsi" w:hAnsiTheme="majorHAnsi" w:cs="Times New Roman"/>
                <w:b/>
                <w:bCs/>
                <w:color w:val="000000"/>
                <w:sz w:val="18"/>
                <w:szCs w:val="20"/>
                <w:lang w:val="sq-AL" w:eastAsia="sq-AL"/>
              </w:rPr>
              <w:t>% e 2018 kundrejt 2017</w:t>
            </w:r>
          </w:p>
        </w:tc>
      </w:tr>
      <w:tr w:rsidR="00AC045F" w:rsidRPr="002E06C4" w14:paraId="78C6B2D8" w14:textId="77777777" w:rsidTr="0080499B">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285" w:type="pct"/>
            <w:vMerge/>
            <w:hideMark/>
          </w:tcPr>
          <w:p w14:paraId="7D312798" w14:textId="77777777" w:rsidR="00AC045F" w:rsidRPr="002E06C4" w:rsidRDefault="00AC045F" w:rsidP="00AC045F">
            <w:pPr>
              <w:spacing w:line="276" w:lineRule="auto"/>
              <w:rPr>
                <w:rFonts w:asciiTheme="majorHAnsi" w:hAnsiTheme="majorHAnsi" w:cs="Times New Roman"/>
                <w:b w:val="0"/>
                <w:bCs w:val="0"/>
                <w:color w:val="000000"/>
                <w:sz w:val="18"/>
                <w:szCs w:val="20"/>
                <w:lang w:val="sq-AL" w:eastAsia="sq-AL"/>
              </w:rPr>
            </w:pPr>
          </w:p>
        </w:tc>
        <w:tc>
          <w:tcPr>
            <w:tcW w:w="1874" w:type="pct"/>
            <w:vMerge/>
            <w:hideMark/>
          </w:tcPr>
          <w:p w14:paraId="61C8FD5C" w14:textId="77777777" w:rsidR="00AC045F" w:rsidRPr="002E06C4" w:rsidRDefault="00AC045F" w:rsidP="00AC045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18"/>
                <w:szCs w:val="20"/>
                <w:lang w:val="sq-AL" w:eastAsia="sq-AL"/>
              </w:rPr>
            </w:pPr>
          </w:p>
        </w:tc>
        <w:tc>
          <w:tcPr>
            <w:tcW w:w="692" w:type="pct"/>
            <w:gridSpan w:val="2"/>
            <w:vMerge/>
            <w:hideMark/>
          </w:tcPr>
          <w:p w14:paraId="76AC9819" w14:textId="77777777" w:rsidR="00AC045F" w:rsidRPr="002E06C4" w:rsidRDefault="00AC045F" w:rsidP="00AC045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18"/>
                <w:szCs w:val="20"/>
                <w:lang w:val="sq-AL" w:eastAsia="sq-AL"/>
              </w:rPr>
            </w:pPr>
          </w:p>
        </w:tc>
        <w:tc>
          <w:tcPr>
            <w:tcW w:w="615" w:type="pct"/>
            <w:vMerge/>
            <w:hideMark/>
          </w:tcPr>
          <w:p w14:paraId="5653E394" w14:textId="77777777" w:rsidR="00AC045F" w:rsidRPr="002E06C4" w:rsidRDefault="00AC045F" w:rsidP="00AC045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18"/>
                <w:szCs w:val="20"/>
                <w:lang w:val="sq-AL" w:eastAsia="sq-AL"/>
              </w:rPr>
            </w:pPr>
          </w:p>
        </w:tc>
        <w:tc>
          <w:tcPr>
            <w:tcW w:w="615" w:type="pct"/>
            <w:hideMark/>
          </w:tcPr>
          <w:p w14:paraId="6B4E7F34" w14:textId="77777777" w:rsidR="00AC045F" w:rsidRPr="002E06C4" w:rsidRDefault="00AC045F" w:rsidP="00AC045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18"/>
                <w:szCs w:val="20"/>
                <w:lang w:val="sq-AL" w:eastAsia="sq-AL"/>
              </w:rPr>
            </w:pPr>
            <w:r w:rsidRPr="002E06C4">
              <w:rPr>
                <w:rFonts w:asciiTheme="majorHAnsi" w:hAnsiTheme="majorHAnsi" w:cs="Times New Roman"/>
                <w:b/>
                <w:bCs/>
                <w:color w:val="000000"/>
                <w:sz w:val="18"/>
                <w:szCs w:val="20"/>
                <w:lang w:val="sq-AL" w:eastAsia="sq-AL"/>
              </w:rPr>
              <w:t>2017</w:t>
            </w:r>
          </w:p>
        </w:tc>
        <w:tc>
          <w:tcPr>
            <w:tcW w:w="919" w:type="pct"/>
            <w:vMerge/>
            <w:hideMark/>
          </w:tcPr>
          <w:p w14:paraId="3D72D0F2" w14:textId="77777777" w:rsidR="00AC045F" w:rsidRPr="002E06C4" w:rsidRDefault="00AC045F" w:rsidP="00AC045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color w:val="000000"/>
                <w:sz w:val="18"/>
                <w:szCs w:val="20"/>
                <w:lang w:val="sq-AL" w:eastAsia="sq-AL"/>
              </w:rPr>
            </w:pPr>
          </w:p>
        </w:tc>
      </w:tr>
      <w:tr w:rsidR="002C4DD7" w:rsidRPr="002E06C4" w14:paraId="62F5290F" w14:textId="77777777" w:rsidTr="0080499B">
        <w:trPr>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79C80DFD" w14:textId="77777777" w:rsidR="002C4DD7" w:rsidRPr="002E06C4" w:rsidRDefault="002C4DD7" w:rsidP="002C4DD7">
            <w:pPr>
              <w:jc w:val="center"/>
              <w:rPr>
                <w:rFonts w:asciiTheme="majorHAnsi" w:hAnsiTheme="majorHAnsi" w:cs="Times New Roman"/>
                <w:b w:val="0"/>
                <w:bCs w:val="0"/>
                <w:color w:val="000000"/>
                <w:sz w:val="18"/>
                <w:szCs w:val="22"/>
                <w:lang w:val="sq-AL" w:eastAsia="sq-AL"/>
              </w:rPr>
            </w:pPr>
            <w:r w:rsidRPr="002E06C4">
              <w:rPr>
                <w:rFonts w:asciiTheme="majorHAnsi" w:hAnsiTheme="majorHAnsi" w:cs="Times New Roman"/>
                <w:b w:val="0"/>
                <w:bCs w:val="0"/>
                <w:color w:val="000000"/>
                <w:sz w:val="18"/>
                <w:szCs w:val="22"/>
                <w:lang w:val="sq-AL" w:eastAsia="sq-AL"/>
              </w:rPr>
              <w:t>I.</w:t>
            </w:r>
          </w:p>
        </w:tc>
        <w:tc>
          <w:tcPr>
            <w:tcW w:w="1874" w:type="pct"/>
            <w:noWrap/>
            <w:hideMark/>
          </w:tcPr>
          <w:p w14:paraId="0ACD9721" w14:textId="77777777" w:rsidR="002C4DD7" w:rsidRPr="002E06C4" w:rsidRDefault="002C4DD7" w:rsidP="002C4DD7">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szCs w:val="22"/>
                <w:lang w:val="sq-AL" w:eastAsia="sq-AL"/>
              </w:rPr>
            </w:pPr>
            <w:r w:rsidRPr="002E06C4">
              <w:rPr>
                <w:rFonts w:asciiTheme="majorHAnsi" w:hAnsiTheme="majorHAnsi" w:cs="Times New Roman"/>
                <w:b/>
                <w:bCs/>
                <w:color w:val="000000"/>
                <w:sz w:val="18"/>
                <w:szCs w:val="22"/>
                <w:lang w:val="sq-AL" w:eastAsia="sq-AL"/>
              </w:rPr>
              <w:t>Të ardhura nga Pushteti vendor</w:t>
            </w:r>
          </w:p>
        </w:tc>
        <w:tc>
          <w:tcPr>
            <w:tcW w:w="692" w:type="pct"/>
            <w:gridSpan w:val="2"/>
            <w:noWrap/>
            <w:hideMark/>
          </w:tcPr>
          <w:p w14:paraId="0C2B75FA"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lang w:val="sq-AL" w:eastAsia="sq-AL"/>
              </w:rPr>
            </w:pPr>
            <w:r w:rsidRPr="002E06C4">
              <w:rPr>
                <w:rFonts w:asciiTheme="majorHAnsi" w:hAnsiTheme="majorHAnsi" w:cs="Times New Roman"/>
                <w:b/>
                <w:bCs/>
                <w:color w:val="000000"/>
                <w:sz w:val="18"/>
                <w:lang w:val="sq-AL" w:eastAsia="sq-AL"/>
              </w:rPr>
              <w:t>21.863</w:t>
            </w:r>
          </w:p>
        </w:tc>
        <w:tc>
          <w:tcPr>
            <w:tcW w:w="615" w:type="pct"/>
            <w:noWrap/>
            <w:hideMark/>
          </w:tcPr>
          <w:p w14:paraId="7A59B901"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lang w:val="sq-AL" w:eastAsia="sq-AL"/>
              </w:rPr>
            </w:pPr>
            <w:r w:rsidRPr="002E06C4">
              <w:rPr>
                <w:rFonts w:asciiTheme="majorHAnsi" w:hAnsiTheme="majorHAnsi" w:cs="Times New Roman"/>
                <w:b/>
                <w:bCs/>
                <w:color w:val="000000"/>
                <w:sz w:val="18"/>
                <w:lang w:val="sq-AL" w:eastAsia="sq-AL"/>
              </w:rPr>
              <w:t>18.447</w:t>
            </w:r>
          </w:p>
        </w:tc>
        <w:tc>
          <w:tcPr>
            <w:tcW w:w="615" w:type="pct"/>
            <w:noWrap/>
            <w:hideMark/>
          </w:tcPr>
          <w:p w14:paraId="5F1B5C9D"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lang w:val="sq-AL" w:eastAsia="sq-AL"/>
              </w:rPr>
            </w:pPr>
            <w:r w:rsidRPr="002E06C4">
              <w:rPr>
                <w:rFonts w:asciiTheme="majorHAnsi" w:hAnsiTheme="majorHAnsi" w:cs="Times New Roman"/>
                <w:b/>
                <w:bCs/>
                <w:color w:val="000000"/>
                <w:sz w:val="18"/>
                <w:lang w:val="sq-AL" w:eastAsia="sq-AL"/>
              </w:rPr>
              <w:t>3.416</w:t>
            </w:r>
          </w:p>
        </w:tc>
        <w:tc>
          <w:tcPr>
            <w:tcW w:w="919" w:type="pct"/>
            <w:noWrap/>
            <w:hideMark/>
          </w:tcPr>
          <w:p w14:paraId="37BCD99D" w14:textId="77777777" w:rsidR="002C4DD7" w:rsidRPr="00DF1136"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lang w:val="sq-AL" w:eastAsia="sq-AL"/>
              </w:rPr>
            </w:pPr>
            <w:r w:rsidRPr="00DF1136">
              <w:rPr>
                <w:rFonts w:asciiTheme="majorHAnsi" w:hAnsiTheme="majorHAnsi" w:cs="Times New Roman"/>
                <w:b/>
                <w:bCs/>
                <w:color w:val="000000"/>
                <w:sz w:val="18"/>
                <w:lang w:val="sq-AL" w:eastAsia="sq-AL"/>
              </w:rPr>
              <w:t>119%</w:t>
            </w:r>
          </w:p>
        </w:tc>
      </w:tr>
      <w:tr w:rsidR="002C4DD7" w:rsidRPr="002E06C4" w14:paraId="60C335DF" w14:textId="77777777" w:rsidTr="0080499B">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72351A29" w14:textId="77777777" w:rsidR="002C4DD7" w:rsidRPr="00DF1136" w:rsidRDefault="002C4DD7" w:rsidP="002C4DD7">
            <w:pPr>
              <w:jc w:val="right"/>
              <w:rPr>
                <w:rFonts w:asciiTheme="majorHAnsi" w:hAnsiTheme="majorHAnsi" w:cs="Times New Roman"/>
                <w:b w:val="0"/>
                <w:bCs w:val="0"/>
                <w:color w:val="000000"/>
                <w:sz w:val="18"/>
                <w:lang w:val="sq-AL" w:eastAsia="sq-AL"/>
              </w:rPr>
            </w:pPr>
            <w:r w:rsidRPr="00DF1136">
              <w:rPr>
                <w:rFonts w:asciiTheme="majorHAnsi" w:hAnsiTheme="majorHAnsi" w:cs="Times New Roman"/>
                <w:color w:val="000000"/>
                <w:sz w:val="18"/>
                <w:lang w:val="sq-AL" w:eastAsia="sq-AL"/>
              </w:rPr>
              <w:t>119%</w:t>
            </w:r>
          </w:p>
        </w:tc>
        <w:tc>
          <w:tcPr>
            <w:tcW w:w="1874" w:type="pct"/>
            <w:noWrap/>
            <w:hideMark/>
          </w:tcPr>
          <w:p w14:paraId="7A397E71" w14:textId="77777777" w:rsidR="002C4DD7" w:rsidRPr="002E06C4" w:rsidRDefault="002C4DD7" w:rsidP="002C4DD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szCs w:val="22"/>
                <w:lang w:val="sq-AL" w:eastAsia="sq-AL"/>
              </w:rPr>
            </w:pPr>
            <w:r w:rsidRPr="002E06C4">
              <w:rPr>
                <w:rFonts w:asciiTheme="majorHAnsi" w:hAnsiTheme="majorHAnsi" w:cs="Times New Roman"/>
                <w:iCs/>
                <w:color w:val="000000"/>
                <w:sz w:val="18"/>
                <w:szCs w:val="22"/>
                <w:lang w:val="sq-AL" w:eastAsia="sq-AL"/>
              </w:rPr>
              <w:t>Taksa mbi pasurinë</w:t>
            </w:r>
          </w:p>
        </w:tc>
        <w:tc>
          <w:tcPr>
            <w:tcW w:w="692" w:type="pct"/>
            <w:gridSpan w:val="2"/>
            <w:noWrap/>
            <w:hideMark/>
          </w:tcPr>
          <w:p w14:paraId="0AB4B675"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sidRPr="002E06C4">
              <w:rPr>
                <w:rFonts w:asciiTheme="majorHAnsi" w:hAnsiTheme="majorHAnsi" w:cs="Times New Roman"/>
                <w:color w:val="000000"/>
                <w:sz w:val="18"/>
                <w:lang w:val="sq-AL" w:eastAsia="sq-AL"/>
              </w:rPr>
              <w:t>5.192</w:t>
            </w:r>
          </w:p>
        </w:tc>
        <w:tc>
          <w:tcPr>
            <w:tcW w:w="615" w:type="pct"/>
            <w:noWrap/>
            <w:hideMark/>
          </w:tcPr>
          <w:p w14:paraId="51C84E4A"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sidRPr="002E06C4">
              <w:rPr>
                <w:rFonts w:asciiTheme="majorHAnsi" w:hAnsiTheme="majorHAnsi" w:cs="Times New Roman"/>
                <w:color w:val="000000"/>
                <w:sz w:val="18"/>
                <w:lang w:val="sq-AL" w:eastAsia="sq-AL"/>
              </w:rPr>
              <w:t>4.879</w:t>
            </w:r>
          </w:p>
        </w:tc>
        <w:tc>
          <w:tcPr>
            <w:tcW w:w="615" w:type="pct"/>
            <w:noWrap/>
            <w:hideMark/>
          </w:tcPr>
          <w:p w14:paraId="0C705809"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sidRPr="002E06C4">
              <w:rPr>
                <w:rFonts w:asciiTheme="majorHAnsi" w:hAnsiTheme="majorHAnsi" w:cs="Times New Roman"/>
                <w:color w:val="000000"/>
                <w:sz w:val="18"/>
                <w:lang w:val="sq-AL" w:eastAsia="sq-AL"/>
              </w:rPr>
              <w:t>314</w:t>
            </w:r>
          </w:p>
        </w:tc>
        <w:tc>
          <w:tcPr>
            <w:tcW w:w="919" w:type="pct"/>
            <w:noWrap/>
            <w:hideMark/>
          </w:tcPr>
          <w:p w14:paraId="4CEDFB01" w14:textId="77777777" w:rsidR="002C4DD7" w:rsidRPr="00DF1136"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06</w:t>
            </w:r>
            <w:r>
              <w:rPr>
                <w:rFonts w:asciiTheme="majorHAnsi" w:hAnsiTheme="majorHAnsi" w:cs="Times New Roman"/>
                <w:color w:val="000000"/>
                <w:sz w:val="18"/>
                <w:lang w:val="sq-AL" w:eastAsia="sq-AL"/>
              </w:rPr>
              <w:t>%</w:t>
            </w:r>
          </w:p>
        </w:tc>
      </w:tr>
      <w:tr w:rsidR="002C4DD7" w:rsidRPr="002E06C4" w14:paraId="0F438709" w14:textId="77777777" w:rsidTr="0080499B">
        <w:trPr>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3BF6840E" w14:textId="77777777" w:rsidR="002C4DD7" w:rsidRPr="00DF1136" w:rsidRDefault="002C4DD7" w:rsidP="002C4DD7">
            <w:pPr>
              <w:jc w:val="right"/>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06</w:t>
            </w:r>
            <w:r>
              <w:rPr>
                <w:rFonts w:asciiTheme="majorHAnsi" w:hAnsiTheme="majorHAnsi" w:cs="Times New Roman"/>
                <w:color w:val="000000"/>
                <w:sz w:val="18"/>
                <w:lang w:val="sq-AL" w:eastAsia="sq-AL"/>
              </w:rPr>
              <w:t>%</w:t>
            </w:r>
          </w:p>
        </w:tc>
        <w:tc>
          <w:tcPr>
            <w:tcW w:w="1874" w:type="pct"/>
            <w:noWrap/>
            <w:hideMark/>
          </w:tcPr>
          <w:p w14:paraId="7B34D0F8" w14:textId="77777777" w:rsidR="002C4DD7" w:rsidRPr="002E06C4" w:rsidRDefault="002C4DD7" w:rsidP="002C4DD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szCs w:val="22"/>
                <w:lang w:val="sq-AL" w:eastAsia="sq-AL"/>
              </w:rPr>
            </w:pPr>
            <w:r w:rsidRPr="002E06C4">
              <w:rPr>
                <w:rFonts w:asciiTheme="majorHAnsi" w:hAnsiTheme="majorHAnsi" w:cs="Times New Roman"/>
                <w:iCs/>
                <w:color w:val="000000"/>
                <w:sz w:val="18"/>
                <w:szCs w:val="22"/>
                <w:lang w:val="sq-AL" w:eastAsia="sq-AL"/>
              </w:rPr>
              <w:t>Taksa e biznesit të vogël</w:t>
            </w:r>
          </w:p>
        </w:tc>
        <w:tc>
          <w:tcPr>
            <w:tcW w:w="692" w:type="pct"/>
            <w:gridSpan w:val="2"/>
            <w:noWrap/>
            <w:hideMark/>
          </w:tcPr>
          <w:p w14:paraId="3441A9AA"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316</w:t>
            </w:r>
          </w:p>
        </w:tc>
        <w:tc>
          <w:tcPr>
            <w:tcW w:w="615" w:type="pct"/>
            <w:noWrap/>
            <w:hideMark/>
          </w:tcPr>
          <w:p w14:paraId="5616A411"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296</w:t>
            </w:r>
          </w:p>
        </w:tc>
        <w:tc>
          <w:tcPr>
            <w:tcW w:w="615" w:type="pct"/>
            <w:noWrap/>
            <w:hideMark/>
          </w:tcPr>
          <w:p w14:paraId="3DA0FAB1"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20</w:t>
            </w:r>
          </w:p>
        </w:tc>
        <w:tc>
          <w:tcPr>
            <w:tcW w:w="919" w:type="pct"/>
            <w:noWrap/>
            <w:hideMark/>
          </w:tcPr>
          <w:p w14:paraId="63BE1BF6" w14:textId="77777777" w:rsidR="002C4DD7" w:rsidRPr="00DF1136"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07</w:t>
            </w:r>
            <w:r>
              <w:rPr>
                <w:rFonts w:asciiTheme="majorHAnsi" w:hAnsiTheme="majorHAnsi" w:cs="Times New Roman"/>
                <w:color w:val="000000"/>
                <w:sz w:val="18"/>
                <w:lang w:val="sq-AL" w:eastAsia="sq-AL"/>
              </w:rPr>
              <w:t>%</w:t>
            </w:r>
          </w:p>
        </w:tc>
      </w:tr>
      <w:tr w:rsidR="002C4DD7" w:rsidRPr="002E06C4" w14:paraId="4210F8E8" w14:textId="77777777" w:rsidTr="0080499B">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2CA00F81" w14:textId="77777777" w:rsidR="002C4DD7" w:rsidRPr="00DF1136" w:rsidRDefault="002C4DD7" w:rsidP="002C4DD7">
            <w:pPr>
              <w:jc w:val="right"/>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07</w:t>
            </w:r>
            <w:r>
              <w:rPr>
                <w:rFonts w:asciiTheme="majorHAnsi" w:hAnsiTheme="majorHAnsi" w:cs="Times New Roman"/>
                <w:color w:val="000000"/>
                <w:sz w:val="18"/>
                <w:lang w:val="sq-AL" w:eastAsia="sq-AL"/>
              </w:rPr>
              <w:t>%</w:t>
            </w:r>
          </w:p>
        </w:tc>
        <w:tc>
          <w:tcPr>
            <w:tcW w:w="1874" w:type="pct"/>
            <w:noWrap/>
            <w:hideMark/>
          </w:tcPr>
          <w:p w14:paraId="137F9A4A" w14:textId="77777777" w:rsidR="002C4DD7" w:rsidRPr="002E06C4" w:rsidRDefault="002C4DD7" w:rsidP="002C4DD7">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szCs w:val="22"/>
                <w:lang w:val="sq-AL" w:eastAsia="sq-AL"/>
              </w:rPr>
            </w:pPr>
            <w:r w:rsidRPr="002E06C4">
              <w:rPr>
                <w:rFonts w:asciiTheme="majorHAnsi" w:hAnsiTheme="majorHAnsi" w:cs="Times New Roman"/>
                <w:iCs/>
                <w:color w:val="000000"/>
                <w:sz w:val="18"/>
                <w:szCs w:val="22"/>
                <w:lang w:val="sq-AL" w:eastAsia="sq-AL"/>
              </w:rPr>
              <w:t>Taksa Lokale</w:t>
            </w:r>
          </w:p>
        </w:tc>
        <w:tc>
          <w:tcPr>
            <w:tcW w:w="692" w:type="pct"/>
            <w:gridSpan w:val="2"/>
            <w:noWrap/>
            <w:hideMark/>
          </w:tcPr>
          <w:p w14:paraId="214EB4DE"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16.354</w:t>
            </w:r>
          </w:p>
        </w:tc>
        <w:tc>
          <w:tcPr>
            <w:tcW w:w="615" w:type="pct"/>
            <w:noWrap/>
            <w:hideMark/>
          </w:tcPr>
          <w:p w14:paraId="637D7406"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13.273</w:t>
            </w:r>
          </w:p>
        </w:tc>
        <w:tc>
          <w:tcPr>
            <w:tcW w:w="615" w:type="pct"/>
            <w:noWrap/>
            <w:hideMark/>
          </w:tcPr>
          <w:p w14:paraId="5ED9000A"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3.082</w:t>
            </w:r>
          </w:p>
        </w:tc>
        <w:tc>
          <w:tcPr>
            <w:tcW w:w="919" w:type="pct"/>
            <w:noWrap/>
            <w:hideMark/>
          </w:tcPr>
          <w:p w14:paraId="45E3751F" w14:textId="77777777" w:rsidR="002C4DD7" w:rsidRPr="00DF1136"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sidRPr="00DF1136">
              <w:rPr>
                <w:rFonts w:asciiTheme="majorHAnsi" w:hAnsiTheme="majorHAnsi" w:cs="Times New Roman"/>
                <w:color w:val="000000"/>
                <w:sz w:val="18"/>
                <w:lang w:val="sq-AL" w:eastAsia="sq-AL"/>
              </w:rPr>
              <w:t>123</w:t>
            </w:r>
            <w:r>
              <w:rPr>
                <w:rFonts w:asciiTheme="majorHAnsi" w:hAnsiTheme="majorHAnsi" w:cs="Times New Roman"/>
                <w:color w:val="000000"/>
                <w:sz w:val="18"/>
                <w:lang w:val="sq-AL" w:eastAsia="sq-AL"/>
              </w:rPr>
              <w:t>%</w:t>
            </w:r>
          </w:p>
        </w:tc>
      </w:tr>
      <w:tr w:rsidR="002C4DD7" w:rsidRPr="002E06C4" w14:paraId="03C5A6B0" w14:textId="77777777" w:rsidTr="0080499B">
        <w:trPr>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2029C389" w14:textId="77777777" w:rsidR="002C4DD7" w:rsidRPr="00DF1136" w:rsidRDefault="002C4DD7" w:rsidP="002C4DD7">
            <w:pPr>
              <w:jc w:val="right"/>
              <w:rPr>
                <w:rFonts w:asciiTheme="majorHAnsi" w:hAnsiTheme="majorHAnsi" w:cs="Times New Roman"/>
                <w:color w:val="000000"/>
                <w:sz w:val="18"/>
                <w:lang w:val="sq-AL" w:eastAsia="sq-AL"/>
              </w:rPr>
            </w:pPr>
            <w:r w:rsidRPr="00DF1136">
              <w:rPr>
                <w:rFonts w:asciiTheme="majorHAnsi" w:hAnsiTheme="majorHAnsi" w:cs="Times New Roman"/>
                <w:color w:val="000000"/>
                <w:sz w:val="18"/>
                <w:lang w:val="sq-AL" w:eastAsia="sq-AL"/>
              </w:rPr>
              <w:t>123</w:t>
            </w:r>
            <w:r>
              <w:rPr>
                <w:rFonts w:asciiTheme="majorHAnsi" w:hAnsiTheme="majorHAnsi" w:cs="Times New Roman"/>
                <w:color w:val="000000"/>
                <w:sz w:val="18"/>
                <w:lang w:val="sq-AL" w:eastAsia="sq-AL"/>
              </w:rPr>
              <w:t>%</w:t>
            </w:r>
          </w:p>
        </w:tc>
        <w:tc>
          <w:tcPr>
            <w:tcW w:w="1874" w:type="pct"/>
            <w:noWrap/>
            <w:hideMark/>
          </w:tcPr>
          <w:p w14:paraId="7D3F1DC8" w14:textId="77777777" w:rsidR="002C4DD7" w:rsidRPr="002E06C4" w:rsidRDefault="002C4DD7" w:rsidP="002C4DD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szCs w:val="22"/>
                <w:lang w:val="sq-AL" w:eastAsia="sq-AL"/>
              </w:rPr>
            </w:pPr>
            <w:r w:rsidRPr="002E06C4">
              <w:rPr>
                <w:rFonts w:asciiTheme="majorHAnsi" w:hAnsiTheme="majorHAnsi" w:cs="Times New Roman"/>
                <w:b/>
                <w:bCs/>
                <w:color w:val="000000"/>
                <w:sz w:val="18"/>
                <w:szCs w:val="22"/>
                <w:lang w:val="sq-AL" w:eastAsia="sq-AL"/>
              </w:rPr>
              <w:t>Shpenzime nga Pushtetit Vendor</w:t>
            </w:r>
          </w:p>
        </w:tc>
        <w:tc>
          <w:tcPr>
            <w:tcW w:w="692" w:type="pct"/>
            <w:gridSpan w:val="2"/>
            <w:noWrap/>
            <w:hideMark/>
          </w:tcPr>
          <w:p w14:paraId="796678A4"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lang w:val="sq-AL" w:eastAsia="sq-AL"/>
              </w:rPr>
            </w:pPr>
            <w:r w:rsidRPr="002E06C4">
              <w:rPr>
                <w:rFonts w:asciiTheme="majorHAnsi" w:hAnsiTheme="majorHAnsi" w:cs="Times New Roman"/>
                <w:b/>
                <w:bCs/>
                <w:color w:val="000000"/>
                <w:sz w:val="18"/>
                <w:lang w:val="sq-AL" w:eastAsia="sq-AL"/>
              </w:rPr>
              <w:t>49.606</w:t>
            </w:r>
          </w:p>
        </w:tc>
        <w:tc>
          <w:tcPr>
            <w:tcW w:w="615" w:type="pct"/>
            <w:noWrap/>
            <w:hideMark/>
          </w:tcPr>
          <w:p w14:paraId="6B2F1680"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lang w:val="sq-AL" w:eastAsia="sq-AL"/>
              </w:rPr>
            </w:pPr>
            <w:r w:rsidRPr="002E06C4">
              <w:rPr>
                <w:rFonts w:asciiTheme="majorHAnsi" w:hAnsiTheme="majorHAnsi" w:cs="Times New Roman"/>
                <w:b/>
                <w:bCs/>
                <w:color w:val="000000"/>
                <w:sz w:val="18"/>
                <w:lang w:val="sq-AL" w:eastAsia="sq-AL"/>
              </w:rPr>
              <w:t>46.487</w:t>
            </w:r>
          </w:p>
        </w:tc>
        <w:tc>
          <w:tcPr>
            <w:tcW w:w="615" w:type="pct"/>
            <w:noWrap/>
            <w:hideMark/>
          </w:tcPr>
          <w:p w14:paraId="087F0E23"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lang w:val="sq-AL" w:eastAsia="sq-AL"/>
              </w:rPr>
            </w:pPr>
            <w:r w:rsidRPr="002E06C4">
              <w:rPr>
                <w:rFonts w:asciiTheme="majorHAnsi" w:hAnsiTheme="majorHAnsi" w:cs="Times New Roman"/>
                <w:b/>
                <w:bCs/>
                <w:color w:val="000000"/>
                <w:sz w:val="18"/>
                <w:lang w:val="sq-AL" w:eastAsia="sq-AL"/>
              </w:rPr>
              <w:t>3.118</w:t>
            </w:r>
          </w:p>
        </w:tc>
        <w:tc>
          <w:tcPr>
            <w:tcW w:w="919" w:type="pct"/>
            <w:noWrap/>
            <w:hideMark/>
          </w:tcPr>
          <w:p w14:paraId="0D4DFBE8" w14:textId="77777777" w:rsidR="002C4DD7" w:rsidRPr="00DF1136"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lang w:val="sq-AL" w:eastAsia="sq-AL"/>
              </w:rPr>
            </w:pPr>
            <w:r w:rsidRPr="00DF1136">
              <w:rPr>
                <w:rFonts w:asciiTheme="majorHAnsi" w:hAnsiTheme="majorHAnsi" w:cs="Times New Roman"/>
                <w:b/>
                <w:bCs/>
                <w:color w:val="000000"/>
                <w:sz w:val="18"/>
                <w:lang w:val="sq-AL" w:eastAsia="sq-AL"/>
              </w:rPr>
              <w:t>107%</w:t>
            </w:r>
          </w:p>
        </w:tc>
      </w:tr>
      <w:tr w:rsidR="002C4DD7" w:rsidRPr="002E06C4" w14:paraId="52D95C99" w14:textId="77777777" w:rsidTr="0080499B">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50985247" w14:textId="77777777" w:rsidR="002C4DD7" w:rsidRPr="00DF1136" w:rsidRDefault="002C4DD7" w:rsidP="002C4DD7">
            <w:pPr>
              <w:jc w:val="right"/>
              <w:rPr>
                <w:rFonts w:asciiTheme="majorHAnsi" w:hAnsiTheme="majorHAnsi" w:cs="Times New Roman"/>
                <w:b w:val="0"/>
                <w:bCs w:val="0"/>
                <w:color w:val="000000"/>
                <w:sz w:val="18"/>
                <w:lang w:val="sq-AL" w:eastAsia="sq-AL"/>
              </w:rPr>
            </w:pPr>
            <w:r w:rsidRPr="00DF1136">
              <w:rPr>
                <w:rFonts w:asciiTheme="majorHAnsi" w:hAnsiTheme="majorHAnsi" w:cs="Times New Roman"/>
                <w:color w:val="000000"/>
                <w:sz w:val="18"/>
                <w:lang w:val="sq-AL" w:eastAsia="sq-AL"/>
              </w:rPr>
              <w:t>107%</w:t>
            </w:r>
          </w:p>
        </w:tc>
        <w:tc>
          <w:tcPr>
            <w:tcW w:w="1874" w:type="pct"/>
            <w:noWrap/>
            <w:hideMark/>
          </w:tcPr>
          <w:p w14:paraId="7E994B4D" w14:textId="77777777" w:rsidR="002C4DD7" w:rsidRPr="002E06C4" w:rsidRDefault="002C4DD7" w:rsidP="002C4DD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iCs/>
                <w:color w:val="000000"/>
                <w:sz w:val="18"/>
                <w:szCs w:val="22"/>
                <w:lang w:val="sq-AL" w:eastAsia="sq-AL"/>
              </w:rPr>
            </w:pPr>
            <w:r w:rsidRPr="002E06C4">
              <w:rPr>
                <w:rFonts w:asciiTheme="majorHAnsi" w:hAnsiTheme="majorHAnsi" w:cs="Times New Roman"/>
                <w:b/>
                <w:bCs/>
                <w:iCs/>
                <w:color w:val="000000"/>
                <w:sz w:val="18"/>
                <w:szCs w:val="22"/>
                <w:lang w:val="sq-AL" w:eastAsia="sq-AL"/>
              </w:rPr>
              <w:t>Shpenzime Korente</w:t>
            </w:r>
          </w:p>
        </w:tc>
        <w:tc>
          <w:tcPr>
            <w:tcW w:w="692" w:type="pct"/>
            <w:gridSpan w:val="2"/>
            <w:noWrap/>
            <w:hideMark/>
          </w:tcPr>
          <w:p w14:paraId="59EABD2F"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sidRPr="002E06C4">
              <w:rPr>
                <w:rFonts w:asciiTheme="majorHAnsi" w:hAnsiTheme="majorHAnsi" w:cs="Times New Roman"/>
                <w:color w:val="000000"/>
                <w:sz w:val="18"/>
                <w:lang w:val="sq-AL" w:eastAsia="sq-AL"/>
              </w:rPr>
              <w:t>35.383</w:t>
            </w:r>
          </w:p>
        </w:tc>
        <w:tc>
          <w:tcPr>
            <w:tcW w:w="615" w:type="pct"/>
            <w:noWrap/>
            <w:hideMark/>
          </w:tcPr>
          <w:p w14:paraId="1D68A9CA"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sidRPr="002E06C4">
              <w:rPr>
                <w:rFonts w:asciiTheme="majorHAnsi" w:hAnsiTheme="majorHAnsi" w:cs="Times New Roman"/>
                <w:color w:val="000000"/>
                <w:sz w:val="18"/>
                <w:lang w:val="sq-AL" w:eastAsia="sq-AL"/>
              </w:rPr>
              <w:t>30.204</w:t>
            </w:r>
          </w:p>
        </w:tc>
        <w:tc>
          <w:tcPr>
            <w:tcW w:w="615" w:type="pct"/>
            <w:noWrap/>
            <w:hideMark/>
          </w:tcPr>
          <w:p w14:paraId="53466B92"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sidRPr="002E06C4">
              <w:rPr>
                <w:rFonts w:asciiTheme="majorHAnsi" w:hAnsiTheme="majorHAnsi" w:cs="Times New Roman"/>
                <w:color w:val="000000"/>
                <w:sz w:val="18"/>
                <w:lang w:val="sq-AL" w:eastAsia="sq-AL"/>
              </w:rPr>
              <w:t>5.179</w:t>
            </w:r>
          </w:p>
        </w:tc>
        <w:tc>
          <w:tcPr>
            <w:tcW w:w="919" w:type="pct"/>
            <w:noWrap/>
            <w:hideMark/>
          </w:tcPr>
          <w:p w14:paraId="4F999AED" w14:textId="77777777" w:rsidR="002C4DD7" w:rsidRPr="00DF1136"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17</w:t>
            </w:r>
            <w:r>
              <w:rPr>
                <w:rFonts w:asciiTheme="majorHAnsi" w:hAnsiTheme="majorHAnsi" w:cs="Times New Roman"/>
                <w:color w:val="000000"/>
                <w:sz w:val="18"/>
                <w:lang w:val="sq-AL" w:eastAsia="sq-AL"/>
              </w:rPr>
              <w:t>%</w:t>
            </w:r>
          </w:p>
        </w:tc>
      </w:tr>
      <w:tr w:rsidR="002C4DD7" w:rsidRPr="002E06C4" w14:paraId="3B55F30A" w14:textId="77777777" w:rsidTr="0080499B">
        <w:trPr>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77C24600" w14:textId="77777777" w:rsidR="002C4DD7" w:rsidRPr="00DF1136" w:rsidRDefault="002C4DD7" w:rsidP="002C4DD7">
            <w:pPr>
              <w:jc w:val="right"/>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17</w:t>
            </w:r>
            <w:r>
              <w:rPr>
                <w:rFonts w:asciiTheme="majorHAnsi" w:hAnsiTheme="majorHAnsi" w:cs="Times New Roman"/>
                <w:color w:val="000000"/>
                <w:sz w:val="18"/>
                <w:lang w:val="sq-AL" w:eastAsia="sq-AL"/>
              </w:rPr>
              <w:t>%</w:t>
            </w:r>
          </w:p>
        </w:tc>
        <w:tc>
          <w:tcPr>
            <w:tcW w:w="1874" w:type="pct"/>
            <w:noWrap/>
            <w:hideMark/>
          </w:tcPr>
          <w:p w14:paraId="730467D5" w14:textId="77777777" w:rsidR="002C4DD7" w:rsidRPr="002E06C4" w:rsidRDefault="002C4DD7" w:rsidP="002C4DD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szCs w:val="22"/>
                <w:lang w:val="sq-AL" w:eastAsia="sq-AL"/>
              </w:rPr>
            </w:pPr>
            <w:r w:rsidRPr="002E06C4">
              <w:rPr>
                <w:rFonts w:asciiTheme="majorHAnsi" w:hAnsiTheme="majorHAnsi" w:cs="Times New Roman"/>
                <w:iCs/>
                <w:color w:val="000000"/>
                <w:sz w:val="18"/>
                <w:szCs w:val="22"/>
                <w:lang w:val="sq-AL" w:eastAsia="sq-AL"/>
              </w:rPr>
              <w:t xml:space="preserve">Personeli </w:t>
            </w:r>
          </w:p>
        </w:tc>
        <w:tc>
          <w:tcPr>
            <w:tcW w:w="692" w:type="pct"/>
            <w:gridSpan w:val="2"/>
            <w:noWrap/>
            <w:hideMark/>
          </w:tcPr>
          <w:p w14:paraId="0B103DB5"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20.689</w:t>
            </w:r>
          </w:p>
        </w:tc>
        <w:tc>
          <w:tcPr>
            <w:tcW w:w="615" w:type="pct"/>
            <w:noWrap/>
            <w:hideMark/>
          </w:tcPr>
          <w:p w14:paraId="091C0ED1"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19.118</w:t>
            </w:r>
          </w:p>
        </w:tc>
        <w:tc>
          <w:tcPr>
            <w:tcW w:w="615" w:type="pct"/>
            <w:noWrap/>
            <w:hideMark/>
          </w:tcPr>
          <w:p w14:paraId="14711509"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1.571</w:t>
            </w:r>
          </w:p>
        </w:tc>
        <w:tc>
          <w:tcPr>
            <w:tcW w:w="919" w:type="pct"/>
            <w:noWrap/>
            <w:hideMark/>
          </w:tcPr>
          <w:p w14:paraId="5140BB15" w14:textId="77777777" w:rsidR="002C4DD7" w:rsidRPr="00DF1136"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18"/>
                <w:lang w:val="sq-AL" w:eastAsia="sq-AL"/>
              </w:rPr>
            </w:pPr>
            <w:r w:rsidRPr="00DF1136">
              <w:rPr>
                <w:rFonts w:asciiTheme="majorHAnsi" w:hAnsiTheme="majorHAnsi" w:cs="Times New Roman"/>
                <w:color w:val="000000"/>
                <w:sz w:val="18"/>
                <w:lang w:val="sq-AL" w:eastAsia="sq-AL"/>
              </w:rPr>
              <w:t>108</w:t>
            </w:r>
            <w:r>
              <w:rPr>
                <w:rFonts w:asciiTheme="majorHAnsi" w:hAnsiTheme="majorHAnsi" w:cs="Times New Roman"/>
                <w:color w:val="000000"/>
                <w:sz w:val="18"/>
                <w:lang w:val="sq-AL" w:eastAsia="sq-AL"/>
              </w:rPr>
              <w:t>%</w:t>
            </w:r>
          </w:p>
        </w:tc>
      </w:tr>
      <w:tr w:rsidR="002C4DD7" w:rsidRPr="002E06C4" w14:paraId="2091A84D" w14:textId="77777777" w:rsidTr="0080499B">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6B599B60" w14:textId="77777777" w:rsidR="002C4DD7" w:rsidRPr="00DF1136" w:rsidRDefault="002C4DD7" w:rsidP="002C4DD7">
            <w:pPr>
              <w:jc w:val="right"/>
              <w:rPr>
                <w:rFonts w:asciiTheme="majorHAnsi" w:hAnsiTheme="majorHAnsi" w:cs="Times New Roman"/>
                <w:color w:val="000000"/>
                <w:sz w:val="18"/>
                <w:lang w:val="sq-AL" w:eastAsia="sq-AL"/>
              </w:rPr>
            </w:pPr>
            <w:r w:rsidRPr="00DF1136">
              <w:rPr>
                <w:rFonts w:asciiTheme="majorHAnsi" w:hAnsiTheme="majorHAnsi" w:cs="Times New Roman"/>
                <w:color w:val="000000"/>
                <w:sz w:val="18"/>
                <w:lang w:val="sq-AL" w:eastAsia="sq-AL"/>
              </w:rPr>
              <w:t>108</w:t>
            </w:r>
            <w:r>
              <w:rPr>
                <w:rFonts w:asciiTheme="majorHAnsi" w:hAnsiTheme="majorHAnsi" w:cs="Times New Roman"/>
                <w:color w:val="000000"/>
                <w:sz w:val="18"/>
                <w:lang w:val="sq-AL" w:eastAsia="sq-AL"/>
              </w:rPr>
              <w:t>%</w:t>
            </w:r>
          </w:p>
        </w:tc>
        <w:tc>
          <w:tcPr>
            <w:tcW w:w="1874" w:type="pct"/>
            <w:noWrap/>
            <w:hideMark/>
          </w:tcPr>
          <w:p w14:paraId="67AA9C6C" w14:textId="77777777" w:rsidR="002C4DD7" w:rsidRPr="002E06C4" w:rsidRDefault="002C4DD7" w:rsidP="002C4DD7">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szCs w:val="22"/>
                <w:lang w:val="sq-AL" w:eastAsia="sq-AL"/>
              </w:rPr>
            </w:pPr>
            <w:r w:rsidRPr="002E06C4">
              <w:rPr>
                <w:rFonts w:asciiTheme="majorHAnsi" w:hAnsiTheme="majorHAnsi" w:cs="Times New Roman"/>
                <w:iCs/>
                <w:color w:val="000000"/>
                <w:sz w:val="18"/>
                <w:szCs w:val="22"/>
                <w:lang w:val="sq-AL" w:eastAsia="sq-AL"/>
              </w:rPr>
              <w:t>Shpenzime Oper. Mirmbajtje</w:t>
            </w:r>
          </w:p>
        </w:tc>
        <w:tc>
          <w:tcPr>
            <w:tcW w:w="692" w:type="pct"/>
            <w:gridSpan w:val="2"/>
            <w:noWrap/>
            <w:hideMark/>
          </w:tcPr>
          <w:p w14:paraId="173FC077"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13.475</w:t>
            </w:r>
          </w:p>
        </w:tc>
        <w:tc>
          <w:tcPr>
            <w:tcW w:w="615" w:type="pct"/>
            <w:noWrap/>
            <w:hideMark/>
          </w:tcPr>
          <w:p w14:paraId="03C757EC"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10.132</w:t>
            </w:r>
          </w:p>
        </w:tc>
        <w:tc>
          <w:tcPr>
            <w:tcW w:w="615" w:type="pct"/>
            <w:noWrap/>
            <w:hideMark/>
          </w:tcPr>
          <w:p w14:paraId="11849F2D"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3.344</w:t>
            </w:r>
          </w:p>
        </w:tc>
        <w:tc>
          <w:tcPr>
            <w:tcW w:w="919" w:type="pct"/>
            <w:noWrap/>
            <w:hideMark/>
          </w:tcPr>
          <w:p w14:paraId="27DB3BCB" w14:textId="77777777" w:rsidR="002C4DD7" w:rsidRPr="00DF1136"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33</w:t>
            </w:r>
            <w:r>
              <w:rPr>
                <w:rFonts w:asciiTheme="majorHAnsi" w:hAnsiTheme="majorHAnsi" w:cs="Times New Roman"/>
                <w:color w:val="000000"/>
                <w:sz w:val="18"/>
                <w:lang w:val="sq-AL" w:eastAsia="sq-AL"/>
              </w:rPr>
              <w:t>%</w:t>
            </w:r>
          </w:p>
        </w:tc>
      </w:tr>
      <w:tr w:rsidR="002C4DD7" w:rsidRPr="002E06C4" w14:paraId="37938066" w14:textId="77777777" w:rsidTr="0080499B">
        <w:trPr>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0EF24560" w14:textId="77777777" w:rsidR="002C4DD7" w:rsidRPr="00DF1136" w:rsidRDefault="002C4DD7" w:rsidP="002C4DD7">
            <w:pPr>
              <w:jc w:val="right"/>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33</w:t>
            </w:r>
            <w:r>
              <w:rPr>
                <w:rFonts w:asciiTheme="majorHAnsi" w:hAnsiTheme="majorHAnsi" w:cs="Times New Roman"/>
                <w:color w:val="000000"/>
                <w:sz w:val="18"/>
                <w:lang w:val="sq-AL" w:eastAsia="sq-AL"/>
              </w:rPr>
              <w:t>%</w:t>
            </w:r>
          </w:p>
        </w:tc>
        <w:tc>
          <w:tcPr>
            <w:tcW w:w="1874" w:type="pct"/>
            <w:noWrap/>
            <w:hideMark/>
          </w:tcPr>
          <w:p w14:paraId="7F5C3E93" w14:textId="77777777" w:rsidR="002C4DD7" w:rsidRPr="002E06C4" w:rsidRDefault="002C4DD7" w:rsidP="002C4DD7">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szCs w:val="22"/>
                <w:lang w:val="sq-AL" w:eastAsia="sq-AL"/>
              </w:rPr>
            </w:pPr>
            <w:r w:rsidRPr="002E06C4">
              <w:rPr>
                <w:rFonts w:asciiTheme="majorHAnsi" w:hAnsiTheme="majorHAnsi" w:cs="Times New Roman"/>
                <w:iCs/>
                <w:color w:val="000000"/>
                <w:sz w:val="18"/>
                <w:szCs w:val="22"/>
                <w:lang w:val="sq-AL" w:eastAsia="sq-AL"/>
              </w:rPr>
              <w:t>Subvencione</w:t>
            </w:r>
          </w:p>
        </w:tc>
        <w:tc>
          <w:tcPr>
            <w:tcW w:w="692" w:type="pct"/>
            <w:gridSpan w:val="2"/>
            <w:noWrap/>
            <w:hideMark/>
          </w:tcPr>
          <w:p w14:paraId="10D99148"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127</w:t>
            </w:r>
          </w:p>
        </w:tc>
        <w:tc>
          <w:tcPr>
            <w:tcW w:w="615" w:type="pct"/>
            <w:noWrap/>
            <w:hideMark/>
          </w:tcPr>
          <w:p w14:paraId="05A71EA6"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142</w:t>
            </w:r>
          </w:p>
        </w:tc>
        <w:tc>
          <w:tcPr>
            <w:tcW w:w="615" w:type="pct"/>
            <w:noWrap/>
            <w:hideMark/>
          </w:tcPr>
          <w:p w14:paraId="774F6F36"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-15</w:t>
            </w:r>
          </w:p>
        </w:tc>
        <w:tc>
          <w:tcPr>
            <w:tcW w:w="919" w:type="pct"/>
            <w:noWrap/>
            <w:hideMark/>
          </w:tcPr>
          <w:p w14:paraId="3D6A7190" w14:textId="77777777" w:rsidR="002C4DD7" w:rsidRPr="00DF1136"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sz w:val="18"/>
                <w:lang w:val="sq-AL" w:eastAsia="sq-AL"/>
              </w:rPr>
            </w:pPr>
            <w:r w:rsidRPr="00DF1136">
              <w:rPr>
                <w:rFonts w:asciiTheme="majorHAnsi" w:hAnsiTheme="majorHAnsi" w:cs="Times New Roman"/>
                <w:color w:val="000000"/>
                <w:sz w:val="18"/>
                <w:lang w:val="sq-AL" w:eastAsia="sq-AL"/>
              </w:rPr>
              <w:t>89</w:t>
            </w:r>
            <w:r>
              <w:rPr>
                <w:rFonts w:asciiTheme="majorHAnsi" w:hAnsiTheme="majorHAnsi" w:cs="Times New Roman"/>
                <w:color w:val="000000"/>
                <w:sz w:val="18"/>
                <w:lang w:val="sq-AL" w:eastAsia="sq-AL"/>
              </w:rPr>
              <w:t>%</w:t>
            </w:r>
          </w:p>
        </w:tc>
      </w:tr>
      <w:tr w:rsidR="002C4DD7" w:rsidRPr="002E06C4" w14:paraId="44D39939" w14:textId="77777777" w:rsidTr="0080499B">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30B18FCA" w14:textId="77777777" w:rsidR="002C4DD7" w:rsidRPr="00DF1136" w:rsidRDefault="002C4DD7" w:rsidP="002C4DD7">
            <w:pPr>
              <w:jc w:val="right"/>
              <w:rPr>
                <w:rFonts w:asciiTheme="majorHAnsi" w:hAnsiTheme="majorHAnsi" w:cs="Times New Roman"/>
                <w:color w:val="000000"/>
                <w:sz w:val="18"/>
                <w:lang w:val="sq-AL" w:eastAsia="sq-AL"/>
              </w:rPr>
            </w:pPr>
            <w:r w:rsidRPr="00DF1136">
              <w:rPr>
                <w:rFonts w:asciiTheme="majorHAnsi" w:hAnsiTheme="majorHAnsi" w:cs="Times New Roman"/>
                <w:color w:val="000000"/>
                <w:sz w:val="18"/>
                <w:lang w:val="sq-AL" w:eastAsia="sq-AL"/>
              </w:rPr>
              <w:t>89</w:t>
            </w:r>
            <w:r>
              <w:rPr>
                <w:rFonts w:asciiTheme="majorHAnsi" w:hAnsiTheme="majorHAnsi" w:cs="Times New Roman"/>
                <w:color w:val="000000"/>
                <w:sz w:val="18"/>
                <w:lang w:val="sq-AL" w:eastAsia="sq-AL"/>
              </w:rPr>
              <w:t>%</w:t>
            </w:r>
          </w:p>
        </w:tc>
        <w:tc>
          <w:tcPr>
            <w:tcW w:w="1874" w:type="pct"/>
            <w:noWrap/>
            <w:hideMark/>
          </w:tcPr>
          <w:p w14:paraId="26E5FDD8" w14:textId="77777777" w:rsidR="002C4DD7" w:rsidRPr="002E06C4" w:rsidRDefault="002C4DD7" w:rsidP="002C4DD7">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szCs w:val="22"/>
                <w:lang w:val="sq-AL" w:eastAsia="sq-AL"/>
              </w:rPr>
            </w:pPr>
            <w:r w:rsidRPr="002E06C4">
              <w:rPr>
                <w:rFonts w:asciiTheme="majorHAnsi" w:hAnsiTheme="majorHAnsi" w:cs="Times New Roman"/>
                <w:iCs/>
                <w:color w:val="000000"/>
                <w:sz w:val="18"/>
                <w:szCs w:val="22"/>
                <w:lang w:val="sq-AL" w:eastAsia="sq-AL"/>
              </w:rPr>
              <w:t>Te tjera</w:t>
            </w:r>
          </w:p>
        </w:tc>
        <w:tc>
          <w:tcPr>
            <w:tcW w:w="692" w:type="pct"/>
            <w:gridSpan w:val="2"/>
            <w:noWrap/>
            <w:hideMark/>
          </w:tcPr>
          <w:p w14:paraId="6048098E"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1.092</w:t>
            </w:r>
          </w:p>
        </w:tc>
        <w:tc>
          <w:tcPr>
            <w:tcW w:w="615" w:type="pct"/>
            <w:noWrap/>
            <w:hideMark/>
          </w:tcPr>
          <w:p w14:paraId="46A36E5E"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812</w:t>
            </w:r>
          </w:p>
        </w:tc>
        <w:tc>
          <w:tcPr>
            <w:tcW w:w="615" w:type="pct"/>
            <w:noWrap/>
            <w:hideMark/>
          </w:tcPr>
          <w:p w14:paraId="06CDE791"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lang w:val="sq-AL" w:eastAsia="sq-AL"/>
              </w:rPr>
            </w:pPr>
            <w:r w:rsidRPr="002E06C4">
              <w:rPr>
                <w:rFonts w:asciiTheme="majorHAnsi" w:hAnsiTheme="majorHAnsi" w:cs="Times New Roman"/>
                <w:iCs/>
                <w:color w:val="000000"/>
                <w:sz w:val="18"/>
                <w:lang w:val="sq-AL" w:eastAsia="sq-AL"/>
              </w:rPr>
              <w:t>280</w:t>
            </w:r>
          </w:p>
        </w:tc>
        <w:tc>
          <w:tcPr>
            <w:tcW w:w="919" w:type="pct"/>
            <w:noWrap/>
            <w:hideMark/>
          </w:tcPr>
          <w:p w14:paraId="243949DE" w14:textId="77777777" w:rsidR="002C4DD7" w:rsidRPr="00DF1136"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34</w:t>
            </w:r>
            <w:r>
              <w:rPr>
                <w:rFonts w:asciiTheme="majorHAnsi" w:hAnsiTheme="majorHAnsi" w:cs="Times New Roman"/>
                <w:color w:val="000000"/>
                <w:sz w:val="18"/>
                <w:lang w:val="sq-AL" w:eastAsia="sq-AL"/>
              </w:rPr>
              <w:t>%</w:t>
            </w:r>
          </w:p>
        </w:tc>
      </w:tr>
      <w:tr w:rsidR="002C4DD7" w:rsidRPr="002E06C4" w14:paraId="66DC9F31" w14:textId="77777777" w:rsidTr="0080499B">
        <w:trPr>
          <w:trHeight w:val="194"/>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04A9F5CE" w14:textId="77777777" w:rsidR="002C4DD7" w:rsidRPr="00DF1136" w:rsidRDefault="002C4DD7" w:rsidP="002C4DD7">
            <w:pPr>
              <w:jc w:val="right"/>
              <w:rPr>
                <w:rFonts w:asciiTheme="majorHAnsi" w:hAnsiTheme="majorHAnsi" w:cs="Times New Roman"/>
                <w:color w:val="000000"/>
                <w:sz w:val="18"/>
                <w:lang w:val="sq-AL" w:eastAsia="sq-AL"/>
              </w:rPr>
            </w:pPr>
            <w:r>
              <w:rPr>
                <w:rFonts w:asciiTheme="majorHAnsi" w:hAnsiTheme="majorHAnsi" w:cs="Times New Roman"/>
                <w:color w:val="000000"/>
                <w:sz w:val="18"/>
                <w:lang w:val="sq-AL" w:eastAsia="sq-AL"/>
              </w:rPr>
              <w:t>1</w:t>
            </w:r>
            <w:r w:rsidRPr="00DF1136">
              <w:rPr>
                <w:rFonts w:asciiTheme="majorHAnsi" w:hAnsiTheme="majorHAnsi" w:cs="Times New Roman"/>
                <w:color w:val="000000"/>
                <w:sz w:val="18"/>
                <w:lang w:val="sq-AL" w:eastAsia="sq-AL"/>
              </w:rPr>
              <w:t>34</w:t>
            </w:r>
            <w:r>
              <w:rPr>
                <w:rFonts w:asciiTheme="majorHAnsi" w:hAnsiTheme="majorHAnsi" w:cs="Times New Roman"/>
                <w:color w:val="000000"/>
                <w:sz w:val="18"/>
                <w:lang w:val="sq-AL" w:eastAsia="sq-AL"/>
              </w:rPr>
              <w:t>%</w:t>
            </w:r>
          </w:p>
        </w:tc>
        <w:tc>
          <w:tcPr>
            <w:tcW w:w="1874" w:type="pct"/>
            <w:noWrap/>
            <w:hideMark/>
          </w:tcPr>
          <w:p w14:paraId="07478800" w14:textId="77777777" w:rsidR="002C4DD7" w:rsidRPr="002E06C4" w:rsidRDefault="002C4DD7" w:rsidP="002C4DD7">
            <w:pP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iCs/>
                <w:color w:val="000000"/>
                <w:sz w:val="18"/>
                <w:szCs w:val="22"/>
                <w:lang w:val="sq-AL" w:eastAsia="sq-AL"/>
              </w:rPr>
            </w:pPr>
            <w:r w:rsidRPr="002E06C4">
              <w:rPr>
                <w:rFonts w:asciiTheme="majorHAnsi" w:hAnsiTheme="majorHAnsi" w:cs="Times New Roman"/>
                <w:b/>
                <w:bCs/>
                <w:iCs/>
                <w:color w:val="000000"/>
                <w:sz w:val="18"/>
                <w:szCs w:val="22"/>
                <w:lang w:val="sq-AL" w:eastAsia="sq-AL"/>
              </w:rPr>
              <w:t>Shpenzime Kapitale nga të cilat:</w:t>
            </w:r>
          </w:p>
        </w:tc>
        <w:tc>
          <w:tcPr>
            <w:tcW w:w="692" w:type="pct"/>
            <w:gridSpan w:val="2"/>
            <w:noWrap/>
            <w:hideMark/>
          </w:tcPr>
          <w:p w14:paraId="5E392943"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iCs/>
                <w:color w:val="000000"/>
                <w:sz w:val="18"/>
                <w:lang w:val="sq-AL" w:eastAsia="sq-AL"/>
              </w:rPr>
            </w:pPr>
            <w:r w:rsidRPr="002E06C4">
              <w:rPr>
                <w:rFonts w:asciiTheme="majorHAnsi" w:hAnsiTheme="majorHAnsi" w:cs="Times New Roman"/>
                <w:b/>
                <w:bCs/>
                <w:iCs/>
                <w:color w:val="000000"/>
                <w:sz w:val="18"/>
                <w:lang w:val="sq-AL" w:eastAsia="sq-AL"/>
              </w:rPr>
              <w:t>14.223</w:t>
            </w:r>
          </w:p>
        </w:tc>
        <w:tc>
          <w:tcPr>
            <w:tcW w:w="615" w:type="pct"/>
            <w:noWrap/>
            <w:hideMark/>
          </w:tcPr>
          <w:p w14:paraId="51F0D132"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iCs/>
                <w:color w:val="000000"/>
                <w:sz w:val="18"/>
                <w:lang w:val="sq-AL" w:eastAsia="sq-AL"/>
              </w:rPr>
            </w:pPr>
            <w:r w:rsidRPr="002E06C4">
              <w:rPr>
                <w:rFonts w:asciiTheme="majorHAnsi" w:hAnsiTheme="majorHAnsi" w:cs="Times New Roman"/>
                <w:b/>
                <w:bCs/>
                <w:iCs/>
                <w:color w:val="000000"/>
                <w:sz w:val="18"/>
                <w:lang w:val="sq-AL" w:eastAsia="sq-AL"/>
              </w:rPr>
              <w:t>16.283</w:t>
            </w:r>
          </w:p>
        </w:tc>
        <w:tc>
          <w:tcPr>
            <w:tcW w:w="615" w:type="pct"/>
            <w:noWrap/>
            <w:hideMark/>
          </w:tcPr>
          <w:p w14:paraId="1E964D8C" w14:textId="77777777" w:rsidR="002C4DD7" w:rsidRPr="002E06C4"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iCs/>
                <w:color w:val="000000"/>
                <w:sz w:val="18"/>
                <w:lang w:val="sq-AL" w:eastAsia="sq-AL"/>
              </w:rPr>
            </w:pPr>
            <w:r w:rsidRPr="002E06C4">
              <w:rPr>
                <w:rFonts w:asciiTheme="majorHAnsi" w:hAnsiTheme="majorHAnsi" w:cs="Times New Roman"/>
                <w:b/>
                <w:bCs/>
                <w:iCs/>
                <w:color w:val="000000"/>
                <w:sz w:val="18"/>
                <w:lang w:val="sq-AL" w:eastAsia="sq-AL"/>
              </w:rPr>
              <w:t>-2.061</w:t>
            </w:r>
          </w:p>
        </w:tc>
        <w:tc>
          <w:tcPr>
            <w:tcW w:w="919" w:type="pct"/>
            <w:noWrap/>
            <w:hideMark/>
          </w:tcPr>
          <w:p w14:paraId="0729BA4C" w14:textId="77777777" w:rsidR="002C4DD7" w:rsidRPr="00DF1136" w:rsidRDefault="002C4DD7" w:rsidP="002C4DD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bCs/>
                <w:color w:val="000000"/>
                <w:sz w:val="18"/>
                <w:lang w:val="sq-AL" w:eastAsia="sq-AL"/>
              </w:rPr>
            </w:pPr>
            <w:r w:rsidRPr="00DF1136">
              <w:rPr>
                <w:rFonts w:asciiTheme="majorHAnsi" w:hAnsiTheme="majorHAnsi" w:cs="Times New Roman"/>
                <w:b/>
                <w:bCs/>
                <w:color w:val="000000"/>
                <w:sz w:val="18"/>
                <w:lang w:val="sq-AL" w:eastAsia="sq-AL"/>
              </w:rPr>
              <w:t>87</w:t>
            </w:r>
            <w:r>
              <w:rPr>
                <w:rFonts w:asciiTheme="majorHAnsi" w:hAnsiTheme="majorHAnsi" w:cs="Times New Roman"/>
                <w:b/>
                <w:bCs/>
                <w:color w:val="000000"/>
                <w:sz w:val="18"/>
                <w:lang w:val="sq-AL" w:eastAsia="sq-AL"/>
              </w:rPr>
              <w:t>%</w:t>
            </w:r>
          </w:p>
        </w:tc>
      </w:tr>
      <w:tr w:rsidR="002C4DD7" w:rsidRPr="002E06C4" w14:paraId="2D691641" w14:textId="77777777" w:rsidTr="0080499B">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285" w:type="pct"/>
            <w:noWrap/>
            <w:hideMark/>
          </w:tcPr>
          <w:p w14:paraId="38D413BC" w14:textId="77777777" w:rsidR="002C4DD7" w:rsidRPr="00DF1136" w:rsidRDefault="002C4DD7" w:rsidP="002C4DD7">
            <w:pPr>
              <w:jc w:val="right"/>
              <w:rPr>
                <w:rFonts w:asciiTheme="majorHAnsi" w:hAnsiTheme="majorHAnsi" w:cs="Times New Roman"/>
                <w:b w:val="0"/>
                <w:bCs w:val="0"/>
                <w:color w:val="000000"/>
                <w:sz w:val="18"/>
                <w:lang w:val="sq-AL" w:eastAsia="sq-AL"/>
              </w:rPr>
            </w:pPr>
            <w:r w:rsidRPr="00DF1136">
              <w:rPr>
                <w:rFonts w:asciiTheme="majorHAnsi" w:hAnsiTheme="majorHAnsi" w:cs="Times New Roman"/>
                <w:color w:val="000000"/>
                <w:sz w:val="18"/>
                <w:lang w:val="sq-AL" w:eastAsia="sq-AL"/>
              </w:rPr>
              <w:t>87</w:t>
            </w:r>
            <w:r>
              <w:rPr>
                <w:rFonts w:asciiTheme="majorHAnsi" w:hAnsiTheme="majorHAnsi" w:cs="Times New Roman"/>
                <w:color w:val="000000"/>
                <w:sz w:val="18"/>
                <w:lang w:val="sq-AL" w:eastAsia="sq-AL"/>
              </w:rPr>
              <w:t>%</w:t>
            </w:r>
          </w:p>
        </w:tc>
        <w:tc>
          <w:tcPr>
            <w:tcW w:w="1874" w:type="pct"/>
            <w:noWrap/>
            <w:hideMark/>
          </w:tcPr>
          <w:p w14:paraId="3B05F395" w14:textId="77777777" w:rsidR="002C4DD7" w:rsidRPr="002E06C4" w:rsidRDefault="002C4DD7" w:rsidP="002C4DD7">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iCs/>
                <w:color w:val="000000"/>
                <w:sz w:val="18"/>
                <w:szCs w:val="22"/>
                <w:lang w:val="sq-AL" w:eastAsia="sq-AL"/>
              </w:rPr>
            </w:pPr>
            <w:r w:rsidRPr="002E06C4">
              <w:rPr>
                <w:rFonts w:asciiTheme="majorHAnsi" w:hAnsiTheme="majorHAnsi" w:cs="Times New Roman"/>
                <w:iCs/>
                <w:color w:val="000000"/>
                <w:sz w:val="18"/>
                <w:szCs w:val="22"/>
                <w:lang w:val="sq-AL" w:eastAsia="sq-AL"/>
              </w:rPr>
              <w:t>Financim i huaj</w:t>
            </w:r>
          </w:p>
        </w:tc>
        <w:tc>
          <w:tcPr>
            <w:tcW w:w="692" w:type="pct"/>
            <w:gridSpan w:val="2"/>
            <w:noWrap/>
            <w:hideMark/>
          </w:tcPr>
          <w:p w14:paraId="6E5E5E43"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iCs/>
                <w:color w:val="000000"/>
                <w:sz w:val="18"/>
                <w:lang w:val="sq-AL" w:eastAsia="sq-AL"/>
              </w:rPr>
            </w:pPr>
            <w:r w:rsidRPr="002E06C4">
              <w:rPr>
                <w:rFonts w:asciiTheme="majorHAnsi" w:hAnsiTheme="majorHAnsi" w:cs="Times New Roman"/>
                <w:b/>
                <w:bCs/>
                <w:iCs/>
                <w:color w:val="000000"/>
                <w:sz w:val="18"/>
                <w:lang w:val="sq-AL" w:eastAsia="sq-AL"/>
              </w:rPr>
              <w:t>1.019</w:t>
            </w:r>
          </w:p>
        </w:tc>
        <w:tc>
          <w:tcPr>
            <w:tcW w:w="615" w:type="pct"/>
            <w:noWrap/>
            <w:hideMark/>
          </w:tcPr>
          <w:p w14:paraId="355326F4"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iCs/>
                <w:color w:val="000000"/>
                <w:sz w:val="18"/>
                <w:lang w:val="sq-AL" w:eastAsia="sq-AL"/>
              </w:rPr>
            </w:pPr>
            <w:r w:rsidRPr="002E06C4">
              <w:rPr>
                <w:rFonts w:asciiTheme="majorHAnsi" w:hAnsiTheme="majorHAnsi" w:cs="Times New Roman"/>
                <w:b/>
                <w:bCs/>
                <w:iCs/>
                <w:color w:val="000000"/>
                <w:sz w:val="18"/>
                <w:lang w:val="sq-AL" w:eastAsia="sq-AL"/>
              </w:rPr>
              <w:t> </w:t>
            </w:r>
          </w:p>
        </w:tc>
        <w:tc>
          <w:tcPr>
            <w:tcW w:w="615" w:type="pct"/>
            <w:noWrap/>
            <w:hideMark/>
          </w:tcPr>
          <w:p w14:paraId="520A26CC" w14:textId="77777777" w:rsidR="002C4DD7" w:rsidRPr="002E06C4" w:rsidRDefault="002C4DD7" w:rsidP="002C4D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iCs/>
                <w:color w:val="000000"/>
                <w:sz w:val="18"/>
                <w:lang w:val="sq-AL" w:eastAsia="sq-AL"/>
              </w:rPr>
            </w:pPr>
            <w:r w:rsidRPr="002E06C4">
              <w:rPr>
                <w:rFonts w:asciiTheme="majorHAnsi" w:hAnsiTheme="majorHAnsi" w:cs="Times New Roman"/>
                <w:b/>
                <w:bCs/>
                <w:iCs/>
                <w:color w:val="000000"/>
                <w:sz w:val="18"/>
                <w:lang w:val="sq-AL" w:eastAsia="sq-AL"/>
              </w:rPr>
              <w:t>1.019</w:t>
            </w:r>
          </w:p>
        </w:tc>
        <w:tc>
          <w:tcPr>
            <w:tcW w:w="919" w:type="pct"/>
            <w:noWrap/>
            <w:hideMark/>
          </w:tcPr>
          <w:p w14:paraId="6A7F36E0" w14:textId="77777777" w:rsidR="002C4DD7" w:rsidRPr="002E06C4" w:rsidRDefault="002C4DD7" w:rsidP="002C4DD7">
            <w:pPr>
              <w:spacing w:after="160"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bCs/>
                <w:iCs/>
                <w:color w:val="000000"/>
                <w:sz w:val="18"/>
                <w:lang w:val="sq-AL" w:eastAsia="sq-AL"/>
              </w:rPr>
            </w:pPr>
          </w:p>
        </w:tc>
      </w:tr>
    </w:tbl>
    <w:p w14:paraId="33877E27" w14:textId="77777777" w:rsidR="00AC045F" w:rsidRPr="002E06C4" w:rsidRDefault="00AC045F" w:rsidP="00AC045F">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6FFF5D08" w14:textId="77777777" w:rsidR="0044331B" w:rsidRPr="002E06C4" w:rsidRDefault="0044331B" w:rsidP="00E45519">
      <w:pPr>
        <w:spacing w:line="276" w:lineRule="auto"/>
        <w:jc w:val="both"/>
        <w:rPr>
          <w:rFonts w:asciiTheme="majorHAnsi" w:hAnsiTheme="majorHAnsi" w:cs="Times New Roman"/>
          <w:i/>
          <w:sz w:val="12"/>
          <w:szCs w:val="12"/>
          <w:u w:val="single"/>
          <w:lang w:val="sq-AL"/>
        </w:rPr>
      </w:pPr>
    </w:p>
    <w:p w14:paraId="32A0E4F5" w14:textId="77777777" w:rsidR="00AC045F" w:rsidRPr="002E06C4" w:rsidRDefault="00AC045F" w:rsidP="00E45519">
      <w:pPr>
        <w:spacing w:line="276" w:lineRule="auto"/>
        <w:jc w:val="both"/>
        <w:rPr>
          <w:rFonts w:asciiTheme="majorHAnsi" w:hAnsiTheme="majorHAnsi" w:cs="Times New Roman"/>
          <w:lang w:val="sq-AL"/>
        </w:rPr>
      </w:pPr>
      <w:r w:rsidRPr="002E06C4">
        <w:rPr>
          <w:rFonts w:asciiTheme="majorHAnsi" w:hAnsiTheme="majorHAnsi" w:cs="Times New Roman"/>
          <w:i/>
          <w:u w:val="single"/>
          <w:lang w:val="sq-AL"/>
        </w:rPr>
        <w:t>Shpenzimet Vendore për Personelin</w:t>
      </w:r>
      <w:r w:rsidRPr="002E06C4">
        <w:rPr>
          <w:rFonts w:asciiTheme="majorHAnsi" w:hAnsiTheme="majorHAnsi" w:cs="Times New Roman"/>
          <w:b/>
          <w:lang w:val="sq-AL"/>
        </w:rPr>
        <w:t xml:space="preserve"> </w:t>
      </w:r>
      <w:r w:rsidRPr="002E06C4">
        <w:rPr>
          <w:rFonts w:asciiTheme="majorHAnsi" w:hAnsiTheme="majorHAnsi" w:cs="Times New Roman"/>
          <w:lang w:val="sq-AL"/>
        </w:rPr>
        <w:t>përbëjnë një pjesë të konsiderueshme të shpenzimeve totale të njësive të vetëqeverisjes vendore. Për vitin 2018 këto shpenzime janë realizuar në masën 20.6 miliard lekë ose rreth 1.5 miliard lekë më shumë se viti 2017. Rritja e shpenzimeve të personelit nga njësitë e vetëqeverisjes vendore nuk përbën rritje të ndjeshme por është një trend natyror i rritjes që njësitë vendore realizojnë me qëllim rritjen e sasisë dhe cilësisë së shërbimeve. Këto shpenzime për vitin 2018 zënë rreth 41.7% të totalit të shpenzimeve të pushetit vendor, trend i cili ka qënë i qëndrueshëm krahasuar edhe me vitet paraardhëse. Me rritjen e kompetencave që pushteti vendor ka për të ushtruar në shërbim të qytetarëve, ka lindur nevoja për rritjen e personelit në funksion të mbulimit me shërbime cilësore ndaj qytetarëve. Është vazhduar që disa nga funksionet e transferuara në vititn 2016 në pushtetin vendor të vazhdohet të kompletohen dhe financohen. Kështu gjatë vitit 2018 është bërë plotësismi i të gjitha bashkive më stacione të zjarrëfikësve si dhe plotësimi e funksionit të administrimit të pyjeve dhe ujitjes dhe kullimit.</w:t>
      </w:r>
    </w:p>
    <w:p w14:paraId="617C57F4" w14:textId="77777777" w:rsidR="00AC045F" w:rsidRPr="002E06C4" w:rsidRDefault="00AC045F" w:rsidP="00E45519">
      <w:pPr>
        <w:spacing w:line="276" w:lineRule="auto"/>
        <w:jc w:val="both"/>
        <w:rPr>
          <w:rFonts w:asciiTheme="majorHAnsi" w:hAnsiTheme="majorHAnsi" w:cs="Times New Roman"/>
          <w:lang w:val="sq-AL"/>
        </w:rPr>
      </w:pPr>
      <w:r w:rsidRPr="002E06C4">
        <w:rPr>
          <w:rFonts w:asciiTheme="majorHAnsi" w:hAnsiTheme="majorHAnsi" w:cs="Times New Roman"/>
          <w:i/>
          <w:u w:val="single"/>
          <w:lang w:val="sq-AL"/>
        </w:rPr>
        <w:t>Shpenzimet Vendore Operative</w:t>
      </w:r>
      <w:r w:rsidRPr="002E06C4">
        <w:rPr>
          <w:rFonts w:asciiTheme="majorHAnsi" w:hAnsiTheme="majorHAnsi" w:cs="Times New Roman"/>
          <w:lang w:val="sq-AL"/>
        </w:rPr>
        <w:t xml:space="preserve"> që janë shumë të rëndësishme për mbarëvajtjen dhe ushtrimin e funksioneve, rezultojnë më një rritje të lehtë në vitin 2018 në raport me një vit më parë. Shpenzimet operative përbëjnë rreth 27.1% të shpenzimeve të pushtetit vendor për vitin 2018, trend i cili rezulton i njëjtë edhe në raport me vitin 2017.Në raport me ndryshimin e pësuar nga një vit në tjetrin shpenzimet operative janë ato që kanë normën më të madhe të rritjes ose rreth 3.3 miliard lekë. Parë në këndvështrimin e procesit të menaxhimit financiar publik, rritja e shpenzimeve operative dhe të mirambajtjes me rreth 3.3 miliard lekë vjen për shkak të rritjes së veprave infrastrukturore që kanë nevojë për mirëmbajtje dhe janë nën përgjegjësinë e njësive të vetëqeverisjes vendore. Sigurisht, rritja e shpenzimeve të mirëmbajtjes është një shpenzim komplimentar i shpenzimeve për investime në kushtet </w:t>
      </w:r>
      <w:r w:rsidRPr="002E06C4">
        <w:rPr>
          <w:rFonts w:asciiTheme="majorHAnsi" w:hAnsiTheme="majorHAnsi" w:cs="Times New Roman"/>
          <w:lang w:val="sq-AL"/>
        </w:rPr>
        <w:lastRenderedPageBreak/>
        <w:t>kur në pothuajse 3 vitet e shkuara shpenzimet për investime nga njësitë e vetëqeverisjes vendore janë rritur ndjeshëm.</w:t>
      </w:r>
    </w:p>
    <w:p w14:paraId="7A471A62" w14:textId="77777777" w:rsidR="00AC045F" w:rsidRPr="002E06C4" w:rsidRDefault="00AC045F" w:rsidP="0080499B">
      <w:pPr>
        <w:spacing w:line="276" w:lineRule="auto"/>
        <w:jc w:val="both"/>
        <w:rPr>
          <w:rFonts w:asciiTheme="majorHAnsi" w:hAnsiTheme="majorHAnsi" w:cs="Times New Roman"/>
          <w:lang w:val="sq-AL"/>
        </w:rPr>
      </w:pPr>
      <w:r w:rsidRPr="002E06C4">
        <w:rPr>
          <w:rFonts w:asciiTheme="majorHAnsi" w:hAnsiTheme="majorHAnsi" w:cs="Times New Roman"/>
          <w:i/>
          <w:u w:val="single"/>
          <w:lang w:val="sq-AL"/>
        </w:rPr>
        <w:t>Shpenzimet Vendore për Subvencione dhe të tjera</w:t>
      </w:r>
      <w:r w:rsidRPr="002E06C4">
        <w:rPr>
          <w:rFonts w:asciiTheme="majorHAnsi" w:hAnsiTheme="majorHAnsi" w:cs="Times New Roman"/>
          <w:lang w:val="sq-AL"/>
        </w:rPr>
        <w:t xml:space="preserve"> janë shpenzimet që zhvillojnë njësitë e vetëqeverisjes vendore për të subvencionuar dhe mbuluar funksione të tjera administrative. Në këto kushte nga sa përcaktohet në tabelën mësipër në raport me vitin 2017, këto shpenzime në vitin 2018 kanë rritje në zërin të tjera dhe kanë rënie të zërin subvencione, ndryshime të cilat zënë një peshë të vogël në shpenzimet e pushtetit vendor. Tashmë njësitë e reja vendore duhet të planifikojnë më afatgjatë dhe mbështetur mbi një strategji të qartë zhvillimi dhe ofrimi të shërbimit publik, e në këto kushte është e nevojshme që në mënyrë vazhdueshme të mbështesë me subvencione zhvillimin ekonomik të zonës nën juridiksion.</w:t>
      </w:r>
    </w:p>
    <w:p w14:paraId="14CC0D47" w14:textId="77777777" w:rsidR="00AC045F" w:rsidRPr="002E06C4" w:rsidRDefault="00AC045F" w:rsidP="0080499B">
      <w:pPr>
        <w:spacing w:line="276" w:lineRule="auto"/>
        <w:jc w:val="both"/>
        <w:rPr>
          <w:rFonts w:asciiTheme="majorHAnsi" w:hAnsiTheme="majorHAnsi" w:cs="Times New Roman"/>
          <w:lang w:val="sq-AL"/>
        </w:rPr>
      </w:pPr>
      <w:r w:rsidRPr="002E06C4">
        <w:rPr>
          <w:rFonts w:asciiTheme="majorHAnsi" w:hAnsiTheme="majorHAnsi" w:cs="Times New Roman"/>
          <w:i/>
          <w:u w:val="single"/>
          <w:lang w:val="sq-AL"/>
        </w:rPr>
        <w:t>Shpenzimet Kapitale Vendore</w:t>
      </w:r>
      <w:r w:rsidRPr="002E06C4">
        <w:rPr>
          <w:rFonts w:asciiTheme="majorHAnsi" w:hAnsiTheme="majorHAnsi" w:cs="Times New Roman"/>
          <w:lang w:val="sq-AL"/>
        </w:rPr>
        <w:t xml:space="preserve"> janë një zë mjaft i rëndësishëm jo vetëm për faktin që përbëjnë një ndër zërat më të mëdha në shpenzimet e pushtetit vendor por edhe për shkak sepse këto shpenzime janë ato çfarë prek drejtpërdrejt qytetari e që kanë ndikim në cilësinë e jetës. Në vitin 2018 shpenzimet kapitale rezultojnë në një vlerë të konsiderueshme prej rreth 14.2 miliard</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lekë ose 28.7% të totalit të shpenzimeve të pushtetit vendor. Në mënyrë të vazhdueshme pushteti vendor po i vë një theks gjithmonë e më të madh rritjes së nivelit të investimeve me qëllim përmirësimin infrastrukturor të hapsirave që menaxhohen nga Bashkitë.</w:t>
      </w:r>
    </w:p>
    <w:p w14:paraId="73261104" w14:textId="77777777" w:rsidR="00AC045F" w:rsidRDefault="00356552" w:rsidP="0080499B">
      <w:pPr>
        <w:spacing w:line="276" w:lineRule="auto"/>
        <w:jc w:val="both"/>
        <w:rPr>
          <w:rFonts w:asciiTheme="majorHAnsi" w:hAnsiTheme="majorHAnsi" w:cs="Times New Roman"/>
          <w:lang w:val="sq-AL"/>
        </w:rPr>
      </w:pPr>
      <w:r w:rsidRPr="002E06C4">
        <w:rPr>
          <w:rFonts w:asciiTheme="majorHAnsi" w:hAnsiTheme="majorHAnsi" w:cs="Times New Roman"/>
          <w:lang w:val="sq-AL"/>
        </w:rPr>
        <w:t>Si pë</w:t>
      </w:r>
      <w:r w:rsidR="00AC045F" w:rsidRPr="002E06C4">
        <w:rPr>
          <w:rFonts w:asciiTheme="majorHAnsi" w:hAnsiTheme="majorHAnsi" w:cs="Times New Roman"/>
          <w:lang w:val="sq-AL"/>
        </w:rPr>
        <w:t xml:space="preserve">rfundim, mund të themi që </w:t>
      </w:r>
      <w:r w:rsidR="00AC045F" w:rsidRPr="002E06C4">
        <w:rPr>
          <w:rFonts w:asciiTheme="majorHAnsi" w:hAnsiTheme="majorHAnsi" w:cs="Times New Roman"/>
          <w:i/>
          <w:u w:val="single"/>
          <w:lang w:val="sq-AL"/>
        </w:rPr>
        <w:t>buxheti i vitit 2018 për njësitë e vetëqeverisjes vendore, ka garantuar një ndarje më të drejtë dhe transparente të financave dhe ka siguruar një proces efektiv të menaxhimit financiar në nivel vendor</w:t>
      </w:r>
      <w:r w:rsidR="00AC045F" w:rsidRPr="002E06C4">
        <w:rPr>
          <w:rFonts w:asciiTheme="majorHAnsi" w:hAnsiTheme="majorHAnsi" w:cs="Times New Roman"/>
          <w:lang w:val="sq-AL"/>
        </w:rPr>
        <w:t>. Mbështetur mbi treguesit e mësipërm financiar të cilët kanë shënuar një rritje pozitive, konstatohet fakti që përfshirja nën proceset e menaxhimit financiar publik që imponon ligji nr. 68, datë 27.04.2017 “Për financat e vetëqeverisjes vendore” për NJVQV-të ka përmirësuar ndjeshëm jo vetëm treguesit e të ardhurave por edhe ato të shpenzimeve.</w:t>
      </w:r>
    </w:p>
    <w:p w14:paraId="1667B773" w14:textId="77777777" w:rsidR="008F621A" w:rsidRPr="002E06C4" w:rsidRDefault="008F621A" w:rsidP="0080499B">
      <w:pPr>
        <w:spacing w:line="276" w:lineRule="auto"/>
        <w:jc w:val="both"/>
        <w:rPr>
          <w:rFonts w:asciiTheme="majorHAnsi" w:hAnsiTheme="majorHAnsi" w:cs="Times New Roman"/>
          <w:lang w:val="sq-AL"/>
        </w:rPr>
      </w:pPr>
    </w:p>
    <w:p w14:paraId="23F566F5" w14:textId="77777777" w:rsidR="00AC045F" w:rsidRPr="002E06C4" w:rsidRDefault="00AC045F" w:rsidP="00A94670">
      <w:pPr>
        <w:rPr>
          <w:rFonts w:asciiTheme="majorHAnsi" w:hAnsiTheme="majorHAnsi" w:cs="Times New Roman"/>
          <w:sz w:val="8"/>
          <w:lang w:val="sq-AL"/>
        </w:rPr>
      </w:pPr>
    </w:p>
    <w:p w14:paraId="187B96FA" w14:textId="77777777" w:rsidR="00A94670" w:rsidRPr="005F1700" w:rsidRDefault="005F1700" w:rsidP="00A2716B">
      <w:pPr>
        <w:pStyle w:val="Heading1"/>
        <w:numPr>
          <w:ilvl w:val="0"/>
          <w:numId w:val="4"/>
        </w:numPr>
        <w:rPr>
          <w:rFonts w:cs="Times New Roman"/>
          <w:b/>
          <w:lang w:val="sq-AL"/>
        </w:rPr>
      </w:pPr>
      <w:bookmarkStart w:id="197" w:name="_Toc10033282"/>
      <w:bookmarkStart w:id="198" w:name="_Toc10721419"/>
      <w:bookmarkStart w:id="199" w:name="_Toc11134239"/>
      <w:r w:rsidRPr="005F1700">
        <w:rPr>
          <w:rFonts w:cs="Times New Roman"/>
          <w:b/>
          <w:lang w:val="sq-AL"/>
        </w:rPr>
        <w:t>MENAXHIMI I BORXHIT PUBLI</w:t>
      </w:r>
      <w:bookmarkEnd w:id="197"/>
      <w:bookmarkEnd w:id="198"/>
      <w:r w:rsidRPr="005F1700">
        <w:rPr>
          <w:rFonts w:cs="Times New Roman"/>
          <w:b/>
          <w:lang w:val="sq-AL"/>
        </w:rPr>
        <w:t>K</w:t>
      </w:r>
      <w:bookmarkEnd w:id="199"/>
    </w:p>
    <w:p w14:paraId="585BC3B8" w14:textId="77777777" w:rsidR="00032B8A" w:rsidRPr="002E06C4" w:rsidRDefault="00032B8A" w:rsidP="00032B8A">
      <w:pPr>
        <w:rPr>
          <w:sz w:val="12"/>
          <w:szCs w:val="12"/>
          <w:lang w:val="sq-AL"/>
        </w:rPr>
      </w:pPr>
    </w:p>
    <w:p w14:paraId="53704DF2" w14:textId="77777777" w:rsidR="002350D2" w:rsidRPr="002E06C4" w:rsidRDefault="002350D2" w:rsidP="0080499B">
      <w:pPr>
        <w:tabs>
          <w:tab w:val="left" w:pos="2730"/>
        </w:tabs>
        <w:spacing w:line="276" w:lineRule="auto"/>
        <w:jc w:val="both"/>
        <w:rPr>
          <w:rFonts w:asciiTheme="majorHAnsi" w:hAnsiTheme="majorHAnsi" w:cs="Times New Roman"/>
          <w:szCs w:val="22"/>
          <w:lang w:val="sq-AL"/>
        </w:rPr>
      </w:pPr>
      <w:r w:rsidRPr="002E06C4">
        <w:rPr>
          <w:rFonts w:asciiTheme="majorHAnsi" w:hAnsiTheme="majorHAnsi" w:cs="Times New Roman"/>
          <w:szCs w:val="22"/>
          <w:lang w:val="sq-AL"/>
        </w:rPr>
        <w:t>Borxhi Publik gjatë vitit 2018 përgjithësisht u karakterizua nga një ecuri pozitive, duke qenë në përputhje me buxhetin e planifikuar për vitin 2018 dhe objektivat e Strategjisë Afatmesme të Menaxhimit të Borxhit (SAMB). Në përputhje me objektivat e përgjithshme të qeverisë për konsolidimin e financave publike, niveli i borxhit publik në raport me PBB</w:t>
      </w:r>
      <w:r w:rsidRPr="002E06C4">
        <w:rPr>
          <w:rStyle w:val="FootnoteReference"/>
          <w:rFonts w:asciiTheme="majorHAnsi" w:hAnsiTheme="majorHAnsi" w:cs="Times New Roman"/>
          <w:szCs w:val="22"/>
          <w:lang w:val="sq-AL"/>
        </w:rPr>
        <w:footnoteReference w:id="7"/>
      </w:r>
      <w:r w:rsidRPr="002E06C4">
        <w:rPr>
          <w:rFonts w:asciiTheme="majorHAnsi" w:hAnsiTheme="majorHAnsi" w:cs="Times New Roman"/>
          <w:szCs w:val="22"/>
          <w:lang w:val="sq-AL"/>
        </w:rPr>
        <w:t xml:space="preserve">  për të tretin vit radhazi u vlerësua me rënie. Vlerësimet sinjalizojnë një rënie të borxhit publik në raport me PBB me rreth 2.9 pikë përqindje. Në linjë me nevojat buxhetore është realizuar me sukses huamarrja, e cila ka mundësuar rifinancimin e borxhit ekzistues dhe financimin e deficitit vjetor të planifikuar. Nëpërmjet burimeve të brendshme dhe të huaja, huamarrja është realizuar përkatësisht në nivelin 98.9% dhe 97.0% të planit vjetor</w:t>
      </w:r>
      <w:r w:rsidRPr="002E06C4">
        <w:rPr>
          <w:rStyle w:val="FootnoteReference"/>
          <w:rFonts w:asciiTheme="majorHAnsi" w:hAnsiTheme="majorHAnsi" w:cs="Times New Roman"/>
          <w:szCs w:val="22"/>
          <w:lang w:val="sq-AL"/>
        </w:rPr>
        <w:footnoteReference w:id="8"/>
      </w:r>
      <w:r w:rsidRPr="002E06C4">
        <w:rPr>
          <w:rFonts w:asciiTheme="majorHAnsi" w:hAnsiTheme="majorHAnsi" w:cs="Times New Roman"/>
          <w:szCs w:val="22"/>
          <w:lang w:val="sq-AL"/>
        </w:rPr>
        <w:t xml:space="preserve">. Një rol të rëndësishëm në realizimin e huamarrjes së vitit 2018 ka pasur emetimi i Eurobond-it në shumën prej 500 milion Euro, i cili u shoqërua me procesin e parablerjes së pjesshme (buyback) të Eurobond-it ekzistues në vlerën prej 200 milion Euro. Ky proces mundësoi jo vetëm plotësimin e nevojave për likuiditet të vitit 2018 dhe vitit pasardhës, por edhe menaxhimin aktiv të detyrimeve të borxhit për të mbajtur nën kontroll riskun e </w:t>
      </w:r>
      <w:r w:rsidRPr="002E06C4">
        <w:rPr>
          <w:rFonts w:asciiTheme="majorHAnsi" w:hAnsiTheme="majorHAnsi" w:cs="Times New Roman"/>
          <w:szCs w:val="22"/>
          <w:lang w:val="sq-AL"/>
        </w:rPr>
        <w:lastRenderedPageBreak/>
        <w:t>rifinancimit dhe atij të normave të interesit në periudhën afatshkurtër dhe afatmesme.</w:t>
      </w:r>
      <w:r w:rsidR="001509BA" w:rsidRPr="002E06C4">
        <w:rPr>
          <w:rFonts w:asciiTheme="majorHAnsi" w:hAnsiTheme="majorHAnsi" w:cs="Times New Roman"/>
          <w:szCs w:val="22"/>
          <w:lang w:val="sq-AL"/>
        </w:rPr>
        <w:t xml:space="preserve"> </w:t>
      </w:r>
      <w:r w:rsidRPr="002E06C4">
        <w:rPr>
          <w:rFonts w:asciiTheme="majorHAnsi" w:hAnsiTheme="majorHAnsi" w:cs="Times New Roman"/>
          <w:szCs w:val="22"/>
          <w:lang w:val="sq-AL"/>
        </w:rPr>
        <w:t>Në përputhje me objektivat e Strategjisë Afatmesme të Menaxhimit të Borxhit, gjatë vitit 2018 portofoli i borxhit u menaxhua me sukses duke mundësuar reduktimin e mëtejshëm të ekspozimit ndaj risqeve të borxhit të brendshëm, si edhe mbajtjen nën kontroll të kostos. Në portofolin e borxhit të brendshëm është ulur pesha e borxhit që maturohet brenda një viti dhe pesha e titujve me norma interesi të ndryshueshme, duke mundësuar reduktimin e ekspozimit ndaj riskut të rifinancimit dhe atij të normave të interesit. Kostot e borxhit për njësi janë ulur, kryesisht si rezultat i normave të interesit në nivele ende të ulëta, si edhe zëvendësimit të një pjese të borxhit që maturohet me borxh më pak të kushtueshëm.</w:t>
      </w:r>
      <w:r w:rsidR="0080499B" w:rsidRPr="002E06C4">
        <w:rPr>
          <w:rFonts w:asciiTheme="majorHAnsi" w:hAnsiTheme="majorHAnsi" w:cs="Times New Roman"/>
          <w:szCs w:val="22"/>
          <w:lang w:val="sq-AL"/>
        </w:rPr>
        <w:t xml:space="preserve"> </w:t>
      </w:r>
      <w:r w:rsidRPr="002E06C4">
        <w:rPr>
          <w:rFonts w:asciiTheme="majorHAnsi" w:hAnsiTheme="majorHAnsi" w:cs="Times New Roman"/>
          <w:szCs w:val="22"/>
          <w:lang w:val="sq-AL"/>
        </w:rPr>
        <w:t>Krahasuar me vitin 2017 shërbimi i borxhit në vlerë absolute është rritur, si rrjedhojë e rritjes së stokut të borxhit, si edhe për shkak të parapagimit të interesave dhe primit që burojnë nga procesi i parablerjes së pjesshme (buyback) të Eurobond-it ekzistues. Për sa i përket zhvillimeve në tregun primar, kërkesa për tituj shtetërorë, megjithëse mbetet ende jo shumë e diversifikuar dhe e bazuar kryesisht tek sektori bankar, gjatë vitit 2018 ka qenë e kënaqshme dhe ka pasur tendenca për tu diversifikuar në drejtim të individëve. Në vazhdim të angazhimit të ndërmarrë në lidhje me përmirësimin e mëtejshëm të tregut primar të titujve shtetërorë dhe zhvillimin e tregut sekondar, përgjatë vitit 2018 është vijuar me praktikat që kontribuojnë në krijimin e madhësive benchmark dhe konsolidimin e kurbës së yield-it në segmentin e titujve shtetërorë afatmesëm dhe afatgjatë. Në këtë drejtim vlen të përmendet zbatimi i Projektit Pilot për Obligacionin 5 vjeçar Referencë</w:t>
      </w:r>
      <w:r w:rsidRPr="002E06C4">
        <w:rPr>
          <w:rStyle w:val="FootnoteReference"/>
          <w:rFonts w:asciiTheme="majorHAnsi" w:hAnsiTheme="majorHAnsi" w:cs="Times New Roman"/>
          <w:szCs w:val="22"/>
          <w:lang w:val="sq-AL"/>
        </w:rPr>
        <w:footnoteReference w:id="9"/>
      </w:r>
      <w:r w:rsidRPr="002E06C4">
        <w:rPr>
          <w:rFonts w:asciiTheme="majorHAnsi" w:hAnsiTheme="majorHAnsi" w:cs="Times New Roman"/>
          <w:szCs w:val="22"/>
          <w:lang w:val="sq-AL"/>
        </w:rPr>
        <w:t>.</w:t>
      </w:r>
    </w:p>
    <w:p w14:paraId="166B3088" w14:textId="77777777" w:rsidR="00A94670" w:rsidRPr="002E06C4" w:rsidRDefault="00A94670" w:rsidP="00A94670">
      <w:pPr>
        <w:rPr>
          <w:rFonts w:asciiTheme="majorHAnsi" w:hAnsiTheme="majorHAnsi" w:cs="Times New Roman"/>
          <w:i/>
          <w:sz w:val="18"/>
          <w:lang w:val="sq-AL"/>
        </w:rPr>
      </w:pPr>
    </w:p>
    <w:p w14:paraId="29318F4C" w14:textId="77777777" w:rsidR="00A94670" w:rsidRPr="008F621A" w:rsidRDefault="008F621A" w:rsidP="00A2716B">
      <w:pPr>
        <w:pStyle w:val="Heading1"/>
        <w:numPr>
          <w:ilvl w:val="0"/>
          <w:numId w:val="4"/>
        </w:numPr>
        <w:rPr>
          <w:rFonts w:cs="Times New Roman"/>
          <w:b/>
          <w:lang w:val="sq-AL"/>
        </w:rPr>
      </w:pPr>
      <w:bookmarkStart w:id="200" w:name="_Toc10033283"/>
      <w:bookmarkStart w:id="201" w:name="_Toc10721420"/>
      <w:bookmarkStart w:id="202" w:name="_Toc11134240"/>
      <w:r w:rsidRPr="008F621A">
        <w:rPr>
          <w:rFonts w:cs="Times New Roman"/>
          <w:b/>
          <w:lang w:val="sq-AL"/>
        </w:rPr>
        <w:t>RREZIQET FISKALE DHE DETYRIMET KONTIGJENTE</w:t>
      </w:r>
      <w:bookmarkEnd w:id="200"/>
      <w:bookmarkEnd w:id="201"/>
      <w:r w:rsidRPr="008F621A">
        <w:rPr>
          <w:rFonts w:cs="Times New Roman"/>
          <w:b/>
          <w:lang w:val="sq-AL"/>
        </w:rPr>
        <w:t xml:space="preserve"> GJATË 2018</w:t>
      </w:r>
      <w:bookmarkEnd w:id="202"/>
    </w:p>
    <w:p w14:paraId="6D5331CB" w14:textId="77777777" w:rsidR="007B5FA8" w:rsidRPr="002E06C4" w:rsidRDefault="007B5FA8" w:rsidP="007B5FA8">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 xml:space="preserve">Me qëllim ndjekjen e performancës të zbatimit të buxhetit të shtetit, Ministria e Financave dhe Ekonomisë me mbështetjen e FMN dhe BB që prej vitit 2017 ka iniciiuar monitorimin e risqeve që shoqërojnë zbatimin e tij. Ky proces ka për qëllim që, në bazë të analizave të thelluara, të rekomandojë zbutjen dhe/apo parandalimin në kohë të rreziqeve fiskale, pasuar nga një vendimarrje koherente. Risqet fiskale janë faktorë që mund të shkaktojnë devijim nga parashikimet fiskale dhe buxhetore gjatë ciklit të buxhetit, si rrjedhojë e disa ngjarjeve të paparashikuara. Ato mund të lindin si pasojë e supozimeve dhe zhvillimeve makroekonomike, vendimeve </w:t>
      </w:r>
      <w:r w:rsidRPr="002E06C4">
        <w:rPr>
          <w:rFonts w:asciiTheme="majorHAnsi" w:hAnsiTheme="majorHAnsi" w:cs="Times New Roman"/>
          <w:i/>
          <w:lang w:val="sq-AL"/>
        </w:rPr>
        <w:t>ad-hoc</w:t>
      </w:r>
      <w:r w:rsidRPr="002E06C4">
        <w:rPr>
          <w:rFonts w:asciiTheme="majorHAnsi" w:hAnsiTheme="majorHAnsi" w:cs="Times New Roman"/>
          <w:lang w:val="sq-AL"/>
        </w:rPr>
        <w:t xml:space="preserve"> mbi politikën fiskale dhe/ose materializimin e detyrimeve kontingjente.</w:t>
      </w:r>
      <w:r w:rsidR="0080499B" w:rsidRPr="002E06C4">
        <w:rPr>
          <w:rFonts w:asciiTheme="majorHAnsi" w:hAnsiTheme="majorHAnsi" w:cs="Times New Roman"/>
          <w:lang w:val="sq-AL"/>
        </w:rPr>
        <w:t xml:space="preserve"> </w:t>
      </w:r>
      <w:r w:rsidRPr="002E06C4">
        <w:rPr>
          <w:rFonts w:asciiTheme="majorHAnsi" w:hAnsiTheme="majorHAnsi" w:cs="Times New Roman"/>
          <w:lang w:val="sq-AL"/>
        </w:rPr>
        <w:t xml:space="preserve">Vlerësimi i probabilitetit dhe ndikimit të risqeve fiskale kryhet në bazë të analizave të thelluara dhe parashikimeve në kuadër të Buxhetit Afatmesëm. Përkatësisht vlerësohen </w:t>
      </w:r>
      <w:r w:rsidRPr="002E06C4">
        <w:rPr>
          <w:rFonts w:asciiTheme="majorHAnsi" w:hAnsiTheme="majorHAnsi" w:cs="Times New Roman"/>
          <w:u w:val="single"/>
          <w:lang w:val="sq-AL"/>
        </w:rPr>
        <w:t>dy kategori risqesh</w:t>
      </w:r>
      <w:r w:rsidRPr="002E06C4">
        <w:rPr>
          <w:rFonts w:asciiTheme="majorHAnsi" w:hAnsiTheme="majorHAnsi" w:cs="Times New Roman"/>
          <w:lang w:val="sq-AL"/>
        </w:rPr>
        <w:t>:</w:t>
      </w:r>
    </w:p>
    <w:p w14:paraId="2BAA3B1F" w14:textId="77777777" w:rsidR="007B5FA8" w:rsidRPr="002E06C4" w:rsidRDefault="007B5FA8" w:rsidP="007B5FA8">
      <w:pPr>
        <w:pStyle w:val="ListParagraph"/>
        <w:spacing w:line="276" w:lineRule="auto"/>
        <w:ind w:left="540"/>
        <w:jc w:val="both"/>
        <w:rPr>
          <w:rFonts w:asciiTheme="majorHAnsi" w:hAnsiTheme="majorHAnsi" w:cs="Times New Roman"/>
          <w:i/>
          <w:sz w:val="8"/>
          <w:szCs w:val="8"/>
          <w:lang w:val="sq-AL"/>
        </w:rPr>
      </w:pPr>
    </w:p>
    <w:p w14:paraId="3CAAF033" w14:textId="77777777" w:rsidR="007B5FA8" w:rsidRDefault="007B5FA8" w:rsidP="00032B8A">
      <w:pPr>
        <w:pStyle w:val="ListParagraph"/>
        <w:numPr>
          <w:ilvl w:val="1"/>
          <w:numId w:val="7"/>
        </w:numPr>
        <w:ind w:left="540"/>
        <w:jc w:val="both"/>
        <w:rPr>
          <w:rFonts w:asciiTheme="majorHAnsi" w:hAnsiTheme="majorHAnsi" w:cs="Times New Roman"/>
          <w:i/>
          <w:lang w:val="sq-AL"/>
        </w:rPr>
      </w:pPr>
      <w:r w:rsidRPr="002E06C4">
        <w:rPr>
          <w:rFonts w:asciiTheme="majorHAnsi" w:hAnsiTheme="majorHAnsi" w:cs="Times New Roman"/>
          <w:i/>
          <w:u w:val="single"/>
          <w:lang w:val="sq-AL"/>
        </w:rPr>
        <w:t>“Eksplicite”</w:t>
      </w:r>
      <w:r w:rsidRPr="002E06C4">
        <w:rPr>
          <w:rFonts w:asciiTheme="majorHAnsi" w:hAnsiTheme="majorHAnsi" w:cs="Times New Roman"/>
          <w:i/>
          <w:lang w:val="sq-AL"/>
        </w:rPr>
        <w:t>, apo risqet të cilat kanë lidhje me supozimet dhe zhvillimet makroekonomike, të ardhurat e qeverisë, shpenzimet dhe menaxhimi i borxhit, etj.</w:t>
      </w:r>
    </w:p>
    <w:p w14:paraId="04CDA980" w14:textId="77777777" w:rsidR="008F621A" w:rsidRPr="008F621A" w:rsidRDefault="008F621A" w:rsidP="008F621A">
      <w:pPr>
        <w:pStyle w:val="ListParagraph"/>
        <w:ind w:left="540"/>
        <w:jc w:val="both"/>
        <w:rPr>
          <w:rFonts w:asciiTheme="majorHAnsi" w:hAnsiTheme="majorHAnsi" w:cs="Times New Roman"/>
          <w:i/>
          <w:sz w:val="12"/>
          <w:szCs w:val="12"/>
          <w:lang w:val="sq-AL"/>
        </w:rPr>
      </w:pPr>
    </w:p>
    <w:p w14:paraId="60EC463A" w14:textId="77777777" w:rsidR="007B5FA8" w:rsidRPr="002E06C4" w:rsidRDefault="007B5FA8" w:rsidP="00032B8A">
      <w:pPr>
        <w:pStyle w:val="ListParagraph"/>
        <w:spacing w:before="240"/>
        <w:ind w:left="540"/>
        <w:jc w:val="both"/>
        <w:rPr>
          <w:rFonts w:asciiTheme="majorHAnsi" w:hAnsiTheme="majorHAnsi" w:cs="Times New Roman"/>
          <w:i/>
          <w:sz w:val="8"/>
          <w:szCs w:val="8"/>
          <w:lang w:val="sq-AL"/>
        </w:rPr>
      </w:pPr>
    </w:p>
    <w:p w14:paraId="634EF7C9" w14:textId="77777777" w:rsidR="007B5FA8" w:rsidRDefault="007B5FA8" w:rsidP="00032B8A">
      <w:pPr>
        <w:pStyle w:val="ListParagraph"/>
        <w:numPr>
          <w:ilvl w:val="1"/>
          <w:numId w:val="7"/>
        </w:numPr>
        <w:spacing w:before="240"/>
        <w:ind w:left="540"/>
        <w:jc w:val="both"/>
        <w:rPr>
          <w:rFonts w:asciiTheme="majorHAnsi" w:hAnsiTheme="majorHAnsi" w:cs="Times New Roman"/>
          <w:i/>
          <w:lang w:val="sq-AL"/>
        </w:rPr>
      </w:pPr>
      <w:r w:rsidRPr="002E06C4">
        <w:rPr>
          <w:rFonts w:asciiTheme="majorHAnsi" w:hAnsiTheme="majorHAnsi" w:cs="Times New Roman"/>
          <w:i/>
          <w:u w:val="single"/>
          <w:lang w:val="sq-AL"/>
        </w:rPr>
        <w:t>“Implicite”</w:t>
      </w:r>
      <w:r w:rsidRPr="002E06C4">
        <w:rPr>
          <w:rFonts w:asciiTheme="majorHAnsi" w:hAnsiTheme="majorHAnsi" w:cs="Times New Roman"/>
          <w:i/>
          <w:lang w:val="sq-AL"/>
        </w:rPr>
        <w:t>, apo detyrimet kontingjente, PPP-të, ato të vetëqeverisjes vendore, ndërmarrjet publike me kapital shtetëror, risqe të tjera si vendime gjyqësore, fatkeqësi natyrore dhe sektori financiar apo risqet afatgjata.</w:t>
      </w:r>
    </w:p>
    <w:p w14:paraId="6784B641" w14:textId="77777777" w:rsidR="008F621A" w:rsidRDefault="008F621A" w:rsidP="008F621A">
      <w:pPr>
        <w:pStyle w:val="ListParagraph"/>
        <w:spacing w:before="240"/>
        <w:ind w:left="540"/>
        <w:jc w:val="both"/>
        <w:rPr>
          <w:rFonts w:asciiTheme="majorHAnsi" w:hAnsiTheme="majorHAnsi" w:cs="Times New Roman"/>
          <w:i/>
          <w:u w:val="single"/>
          <w:lang w:val="sq-AL"/>
        </w:rPr>
      </w:pPr>
    </w:p>
    <w:p w14:paraId="6950CC74" w14:textId="77777777" w:rsidR="008F621A" w:rsidRPr="002E06C4" w:rsidRDefault="008F621A" w:rsidP="008F621A">
      <w:pPr>
        <w:pStyle w:val="ListParagraph"/>
        <w:spacing w:before="240"/>
        <w:ind w:left="540"/>
        <w:jc w:val="both"/>
        <w:rPr>
          <w:rFonts w:asciiTheme="majorHAnsi" w:hAnsiTheme="majorHAnsi" w:cs="Times New Roman"/>
          <w:i/>
          <w:lang w:val="sq-AL"/>
        </w:rPr>
      </w:pPr>
    </w:p>
    <w:p w14:paraId="5BC06D1C" w14:textId="77777777" w:rsidR="002350D2" w:rsidRPr="002E06C4" w:rsidRDefault="002350D2" w:rsidP="00032B8A">
      <w:pPr>
        <w:rPr>
          <w:rFonts w:asciiTheme="majorHAnsi" w:hAnsiTheme="majorHAnsi" w:cs="Times New Roman"/>
          <w:sz w:val="8"/>
          <w:lang w:val="sq-AL"/>
        </w:rPr>
      </w:pPr>
    </w:p>
    <w:p w14:paraId="0026A564" w14:textId="77777777" w:rsidR="002350D2" w:rsidRPr="002E06C4" w:rsidRDefault="002350D2" w:rsidP="00F8274C">
      <w:pPr>
        <w:pStyle w:val="Caption"/>
        <w:keepNext/>
        <w:spacing w:after="0"/>
        <w:rPr>
          <w:rFonts w:asciiTheme="majorHAnsi" w:hAnsiTheme="majorHAnsi" w:cs="Times New Roman"/>
          <w:sz w:val="22"/>
          <w:lang w:val="sq-AL"/>
        </w:rPr>
      </w:pPr>
      <w:bookmarkStart w:id="203" w:name="_Toc11135140"/>
      <w:r w:rsidRPr="002E06C4">
        <w:rPr>
          <w:rFonts w:asciiTheme="majorHAnsi" w:hAnsiTheme="majorHAnsi" w:cs="Times New Roman"/>
          <w:sz w:val="22"/>
          <w:lang w:val="sq-AL"/>
        </w:rPr>
        <w:lastRenderedPageBreak/>
        <w:t xml:space="preserve">Tabela </w:t>
      </w:r>
      <w:r w:rsidR="00140052">
        <w:rPr>
          <w:rFonts w:asciiTheme="majorHAnsi" w:hAnsiTheme="majorHAnsi" w:cs="Times New Roman"/>
          <w:sz w:val="22"/>
          <w:lang w:val="sq-AL"/>
        </w:rPr>
        <w:fldChar w:fldCharType="begin"/>
      </w:r>
      <w:r w:rsidR="00140052">
        <w:rPr>
          <w:rFonts w:asciiTheme="majorHAnsi" w:hAnsiTheme="majorHAnsi" w:cs="Times New Roman"/>
          <w:sz w:val="22"/>
          <w:lang w:val="sq-AL"/>
        </w:rPr>
        <w:instrText xml:space="preserve"> SEQ Tabela \* ARABIC </w:instrText>
      </w:r>
      <w:r w:rsidR="00140052">
        <w:rPr>
          <w:rFonts w:asciiTheme="majorHAnsi" w:hAnsiTheme="majorHAnsi" w:cs="Times New Roman"/>
          <w:sz w:val="22"/>
          <w:lang w:val="sq-AL"/>
        </w:rPr>
        <w:fldChar w:fldCharType="separate"/>
      </w:r>
      <w:r w:rsidR="006A57F3">
        <w:rPr>
          <w:rFonts w:asciiTheme="majorHAnsi" w:hAnsiTheme="majorHAnsi" w:cs="Times New Roman"/>
          <w:noProof/>
          <w:sz w:val="22"/>
          <w:lang w:val="sq-AL"/>
        </w:rPr>
        <w:t>26</w:t>
      </w:r>
      <w:r w:rsidR="00140052">
        <w:rPr>
          <w:rFonts w:asciiTheme="majorHAnsi" w:hAnsiTheme="majorHAnsi" w:cs="Times New Roman"/>
          <w:sz w:val="22"/>
          <w:lang w:val="sq-AL"/>
        </w:rPr>
        <w:fldChar w:fldCharType="end"/>
      </w:r>
      <w:r w:rsidRPr="002E06C4">
        <w:rPr>
          <w:rFonts w:asciiTheme="majorHAnsi" w:hAnsiTheme="majorHAnsi" w:cs="Times New Roman"/>
          <w:sz w:val="22"/>
          <w:lang w:val="sq-AL"/>
        </w:rPr>
        <w:t xml:space="preserve"> Matrica e riskut</w:t>
      </w:r>
      <w:bookmarkEnd w:id="203"/>
    </w:p>
    <w:tbl>
      <w:tblPr>
        <w:tblStyle w:val="GridTable4-Accent11"/>
        <w:tblW w:w="5473" w:type="pct"/>
        <w:jc w:val="center"/>
        <w:tblLook w:val="04A0" w:firstRow="1" w:lastRow="0" w:firstColumn="1" w:lastColumn="0" w:noHBand="0" w:noVBand="1"/>
      </w:tblPr>
      <w:tblGrid>
        <w:gridCol w:w="4041"/>
        <w:gridCol w:w="7426"/>
      </w:tblGrid>
      <w:tr w:rsidR="002350D2" w:rsidRPr="002E06C4" w14:paraId="6C29A652" w14:textId="77777777" w:rsidTr="008F621A">
        <w:trPr>
          <w:cnfStyle w:val="100000000000" w:firstRow="1" w:lastRow="0" w:firstColumn="0" w:lastColumn="0" w:oddVBand="0" w:evenVBand="0" w:oddHBand="0"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65A3951D" w14:textId="77777777" w:rsidR="002350D2" w:rsidRPr="002E06C4" w:rsidRDefault="002350D2" w:rsidP="00787F0C">
            <w:pPr>
              <w:jc w:val="center"/>
              <w:rPr>
                <w:rFonts w:asciiTheme="majorHAnsi" w:hAnsiTheme="majorHAnsi" w:cs="Times New Roman"/>
                <w:b w:val="0"/>
                <w:bCs w:val="0"/>
                <w:kern w:val="24"/>
                <w:sz w:val="19"/>
                <w:szCs w:val="19"/>
                <w:lang w:val="sq-AL" w:eastAsia="nb-NO"/>
              </w:rPr>
            </w:pPr>
          </w:p>
          <w:p w14:paraId="4F9C64AF" w14:textId="77777777" w:rsidR="002350D2" w:rsidRPr="002E06C4" w:rsidRDefault="002350D2" w:rsidP="00787F0C">
            <w:pPr>
              <w:jc w:val="center"/>
              <w:rPr>
                <w:rFonts w:asciiTheme="majorHAnsi" w:eastAsia="Times New Roman" w:hAnsiTheme="majorHAnsi" w:cs="Times New Roman"/>
                <w:sz w:val="19"/>
                <w:szCs w:val="19"/>
                <w:lang w:val="sq-AL" w:eastAsia="nb-NO"/>
              </w:rPr>
            </w:pPr>
            <w:r w:rsidRPr="002E06C4">
              <w:rPr>
                <w:rFonts w:asciiTheme="majorHAnsi" w:hAnsiTheme="majorHAnsi" w:cs="Times New Roman"/>
                <w:kern w:val="24"/>
                <w:sz w:val="19"/>
                <w:szCs w:val="19"/>
                <w:lang w:val="sq-AL" w:eastAsia="nb-NO"/>
              </w:rPr>
              <w:t>Lloji i rrezikut</w:t>
            </w:r>
          </w:p>
        </w:tc>
        <w:tc>
          <w:tcPr>
            <w:tcW w:w="3238" w:type="pct"/>
            <w:hideMark/>
          </w:tcPr>
          <w:p w14:paraId="3DCF6C0F" w14:textId="77777777" w:rsidR="002350D2" w:rsidRPr="002E06C4" w:rsidRDefault="002350D2" w:rsidP="00787F0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bCs w:val="0"/>
                <w:kern w:val="24"/>
                <w:sz w:val="19"/>
                <w:szCs w:val="19"/>
                <w:lang w:val="sq-AL" w:eastAsia="nb-NO"/>
              </w:rPr>
            </w:pPr>
          </w:p>
          <w:p w14:paraId="59715729" w14:textId="77777777" w:rsidR="002350D2" w:rsidRPr="002E06C4" w:rsidRDefault="002350D2" w:rsidP="00787F0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19"/>
                <w:szCs w:val="19"/>
                <w:lang w:val="sq-AL" w:eastAsia="nb-NO"/>
              </w:rPr>
            </w:pPr>
            <w:r w:rsidRPr="002E06C4">
              <w:rPr>
                <w:rFonts w:asciiTheme="majorHAnsi" w:hAnsiTheme="majorHAnsi" w:cs="Times New Roman"/>
                <w:kern w:val="24"/>
                <w:sz w:val="19"/>
                <w:szCs w:val="19"/>
                <w:lang w:val="sq-AL" w:eastAsia="nb-NO"/>
              </w:rPr>
              <w:t>Skenarët e mundshëm</w:t>
            </w:r>
          </w:p>
        </w:tc>
      </w:tr>
      <w:tr w:rsidR="002350D2" w:rsidRPr="002E06C4" w14:paraId="16BF9EF5" w14:textId="77777777" w:rsidTr="008F621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4DE7D3F" w14:textId="77777777" w:rsidR="002350D2" w:rsidRPr="002E06C4" w:rsidRDefault="002350D2" w:rsidP="002350D2">
            <w:pPr>
              <w:rPr>
                <w:rFonts w:asciiTheme="majorHAnsi" w:hAnsiTheme="majorHAnsi" w:cs="Times New Roman"/>
                <w:b w:val="0"/>
                <w:bCs w:val="0"/>
                <w:color w:val="000000"/>
                <w:kern w:val="24"/>
                <w:sz w:val="19"/>
                <w:szCs w:val="19"/>
                <w:lang w:val="sq-AL" w:eastAsia="nb-NO"/>
              </w:rPr>
            </w:pPr>
          </w:p>
          <w:p w14:paraId="36778B44" w14:textId="77777777" w:rsidR="002350D2" w:rsidRPr="002E06C4" w:rsidRDefault="002350D2" w:rsidP="001509BA">
            <w:pPr>
              <w:jc w:val="center"/>
              <w:rPr>
                <w:rFonts w:asciiTheme="majorHAnsi" w:hAnsiTheme="majorHAnsi" w:cs="Times New Roman"/>
                <w:b w:val="0"/>
                <w:bCs w:val="0"/>
                <w:color w:val="C00000"/>
                <w:kern w:val="24"/>
                <w:sz w:val="19"/>
                <w:szCs w:val="19"/>
                <w:lang w:val="sq-AL" w:eastAsia="nb-NO"/>
              </w:rPr>
            </w:pPr>
            <w:r w:rsidRPr="002E06C4">
              <w:rPr>
                <w:rFonts w:asciiTheme="majorHAnsi" w:hAnsiTheme="majorHAnsi" w:cs="Times New Roman"/>
                <w:color w:val="C00000"/>
                <w:kern w:val="24"/>
                <w:sz w:val="19"/>
                <w:szCs w:val="19"/>
                <w:lang w:val="sq-AL" w:eastAsia="nb-NO"/>
              </w:rPr>
              <w:t xml:space="preserve">Risqet dhe detyrimet </w:t>
            </w:r>
            <w:r w:rsidRPr="002E06C4">
              <w:rPr>
                <w:rFonts w:asciiTheme="majorHAnsi" w:hAnsiTheme="majorHAnsi" w:cs="Times New Roman"/>
                <w:color w:val="C00000"/>
                <w:kern w:val="24"/>
                <w:sz w:val="19"/>
                <w:szCs w:val="19"/>
                <w:u w:val="single"/>
                <w:lang w:val="sq-AL" w:eastAsia="nb-NO"/>
              </w:rPr>
              <w:t>eksplicite</w:t>
            </w:r>
          </w:p>
          <w:p w14:paraId="23267E15" w14:textId="77777777" w:rsidR="002350D2" w:rsidRPr="002E06C4" w:rsidRDefault="002350D2" w:rsidP="002350D2">
            <w:pPr>
              <w:rPr>
                <w:rFonts w:asciiTheme="majorHAnsi" w:eastAsia="Times New Roman" w:hAnsiTheme="majorHAnsi" w:cs="Times New Roman"/>
                <w:color w:val="C00000"/>
                <w:sz w:val="19"/>
                <w:szCs w:val="19"/>
                <w:lang w:val="sq-AL" w:eastAsia="nb-NO"/>
              </w:rPr>
            </w:pPr>
          </w:p>
        </w:tc>
      </w:tr>
      <w:tr w:rsidR="002350D2" w:rsidRPr="002E06C4" w14:paraId="14278F31" w14:textId="77777777" w:rsidTr="008F621A">
        <w:trPr>
          <w:trHeight w:val="120"/>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041E0BD" w14:textId="77777777" w:rsidR="002350D2" w:rsidRPr="002E06C4" w:rsidRDefault="002350D2" w:rsidP="001509BA">
            <w:pPr>
              <w:jc w:val="center"/>
              <w:rPr>
                <w:rFonts w:asciiTheme="majorHAnsi" w:hAnsiTheme="majorHAnsi" w:cs="Times New Roman"/>
                <w:b w:val="0"/>
                <w:bCs w:val="0"/>
                <w:color w:val="000000"/>
                <w:kern w:val="24"/>
                <w:sz w:val="19"/>
                <w:szCs w:val="19"/>
                <w:lang w:val="sq-AL" w:eastAsia="nb-NO"/>
              </w:rPr>
            </w:pPr>
          </w:p>
          <w:p w14:paraId="0A57944C" w14:textId="77777777" w:rsidR="002350D2" w:rsidRPr="002E06C4" w:rsidRDefault="002350D2" w:rsidP="001509BA">
            <w:pPr>
              <w:jc w:val="center"/>
              <w:rPr>
                <w:rFonts w:asciiTheme="majorHAnsi" w:eastAsia="Times New Roman" w:hAnsiTheme="majorHAnsi" w:cs="Times New Roman"/>
                <w:sz w:val="19"/>
                <w:szCs w:val="19"/>
                <w:lang w:val="sq-AL" w:eastAsia="nb-NO"/>
              </w:rPr>
            </w:pPr>
            <w:r w:rsidRPr="002E06C4">
              <w:rPr>
                <w:rFonts w:asciiTheme="majorHAnsi" w:hAnsiTheme="majorHAnsi" w:cs="Times New Roman"/>
                <w:color w:val="000000"/>
                <w:kern w:val="24"/>
                <w:sz w:val="19"/>
                <w:szCs w:val="19"/>
                <w:lang w:val="sq-AL" w:eastAsia="nb-NO"/>
              </w:rPr>
              <w:t>Goditje Makroekonomike</w:t>
            </w:r>
          </w:p>
        </w:tc>
        <w:tc>
          <w:tcPr>
            <w:tcW w:w="3238" w:type="pct"/>
            <w:hideMark/>
          </w:tcPr>
          <w:p w14:paraId="5CE0CEB8" w14:textId="77777777" w:rsidR="002350D2" w:rsidRPr="002E06C4" w:rsidRDefault="002350D2" w:rsidP="003734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kern w:val="24"/>
                <w:sz w:val="19"/>
                <w:szCs w:val="19"/>
                <w:lang w:val="sq-AL" w:eastAsia="nb-NO"/>
              </w:rPr>
            </w:pPr>
          </w:p>
          <w:p w14:paraId="37676201" w14:textId="77777777" w:rsidR="002350D2" w:rsidRPr="002E06C4" w:rsidRDefault="002350D2" w:rsidP="003734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kern w:val="24"/>
                <w:sz w:val="19"/>
                <w:szCs w:val="19"/>
                <w:lang w:val="sq-AL" w:eastAsia="nb-NO"/>
              </w:rPr>
            </w:pPr>
            <w:r w:rsidRPr="002E06C4">
              <w:rPr>
                <w:rFonts w:asciiTheme="majorHAnsi" w:hAnsiTheme="majorHAnsi" w:cs="Times New Roman"/>
                <w:color w:val="000000"/>
                <w:kern w:val="24"/>
                <w:sz w:val="19"/>
                <w:szCs w:val="19"/>
                <w:lang w:val="sq-AL" w:eastAsia="nb-NO"/>
              </w:rPr>
              <w:t>Zhvillime  makroekonomike të paparashikuara, që mund të ndryshojnë perspektivën e rritjes ekonomike dhe pozicionin fiskal</w:t>
            </w:r>
          </w:p>
        </w:tc>
      </w:tr>
      <w:tr w:rsidR="002350D2" w:rsidRPr="002E06C4" w14:paraId="311500B2" w14:textId="77777777" w:rsidTr="008F621A">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4CAD0193" w14:textId="77777777" w:rsidR="002350D2" w:rsidRPr="002E06C4" w:rsidRDefault="002350D2" w:rsidP="001509BA">
            <w:pPr>
              <w:jc w:val="center"/>
              <w:rPr>
                <w:rFonts w:asciiTheme="majorHAnsi" w:hAnsiTheme="majorHAnsi" w:cs="Times New Roman"/>
                <w:b w:val="0"/>
                <w:bCs w:val="0"/>
                <w:color w:val="000000"/>
                <w:kern w:val="24"/>
                <w:sz w:val="19"/>
                <w:szCs w:val="19"/>
                <w:lang w:val="sq-AL" w:eastAsia="nb-NO"/>
              </w:rPr>
            </w:pPr>
          </w:p>
          <w:p w14:paraId="242235C7" w14:textId="77777777" w:rsidR="002350D2" w:rsidRPr="002E06C4" w:rsidRDefault="002350D2" w:rsidP="001509BA">
            <w:pPr>
              <w:jc w:val="center"/>
              <w:rPr>
                <w:rFonts w:asciiTheme="majorHAnsi" w:eastAsia="Times New Roman" w:hAnsiTheme="majorHAnsi" w:cs="Times New Roman"/>
                <w:sz w:val="19"/>
                <w:szCs w:val="19"/>
                <w:lang w:val="sq-AL" w:eastAsia="nb-NO"/>
              </w:rPr>
            </w:pPr>
            <w:r w:rsidRPr="002E06C4">
              <w:rPr>
                <w:rFonts w:asciiTheme="majorHAnsi" w:hAnsiTheme="majorHAnsi" w:cs="Times New Roman"/>
                <w:color w:val="000000"/>
                <w:kern w:val="24"/>
                <w:sz w:val="19"/>
                <w:szCs w:val="19"/>
                <w:lang w:val="sq-AL" w:eastAsia="nb-NO"/>
              </w:rPr>
              <w:t>Parashikimi i të ardhurave</w:t>
            </w:r>
          </w:p>
        </w:tc>
        <w:tc>
          <w:tcPr>
            <w:tcW w:w="3238" w:type="pct"/>
            <w:hideMark/>
          </w:tcPr>
          <w:p w14:paraId="4F75D0CF" w14:textId="77777777" w:rsidR="002350D2" w:rsidRPr="002E06C4" w:rsidRDefault="002350D2" w:rsidP="003734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kern w:val="24"/>
                <w:sz w:val="19"/>
                <w:szCs w:val="19"/>
                <w:lang w:val="sq-AL" w:eastAsia="nb-NO"/>
              </w:rPr>
            </w:pPr>
          </w:p>
          <w:p w14:paraId="75D873E8" w14:textId="77777777" w:rsidR="002350D2" w:rsidRPr="002E06C4" w:rsidRDefault="002350D2" w:rsidP="003734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kern w:val="24"/>
                <w:sz w:val="19"/>
                <w:szCs w:val="19"/>
                <w:lang w:val="sq-AL" w:eastAsia="nb-NO"/>
              </w:rPr>
            </w:pPr>
          </w:p>
          <w:p w14:paraId="0BE37BE7" w14:textId="77777777" w:rsidR="002350D2" w:rsidRPr="002E06C4" w:rsidRDefault="002350D2" w:rsidP="003734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kern w:val="24"/>
                <w:sz w:val="19"/>
                <w:szCs w:val="19"/>
                <w:lang w:val="sq-AL" w:eastAsia="nb-NO"/>
              </w:rPr>
            </w:pPr>
            <w:r w:rsidRPr="002E06C4">
              <w:rPr>
                <w:rFonts w:asciiTheme="majorHAnsi" w:hAnsiTheme="majorHAnsi" w:cs="Times New Roman"/>
                <w:color w:val="000000"/>
                <w:kern w:val="24"/>
                <w:sz w:val="19"/>
                <w:szCs w:val="19"/>
                <w:lang w:val="sq-AL" w:eastAsia="nb-NO"/>
              </w:rPr>
              <w:t>Mosrealizimi i të ardhurave, që mund të sjellë përkeqësimin e bilancit fiskal</w:t>
            </w:r>
          </w:p>
        </w:tc>
      </w:tr>
      <w:tr w:rsidR="002350D2" w:rsidRPr="002E06C4" w14:paraId="45568A22" w14:textId="77777777" w:rsidTr="008F621A">
        <w:trPr>
          <w:trHeight w:val="120"/>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DC873D9" w14:textId="77777777" w:rsidR="002350D2" w:rsidRPr="002E06C4" w:rsidRDefault="002350D2" w:rsidP="001509BA">
            <w:pPr>
              <w:jc w:val="center"/>
              <w:rPr>
                <w:rFonts w:asciiTheme="majorHAnsi" w:hAnsiTheme="majorHAnsi" w:cs="Times New Roman"/>
                <w:b w:val="0"/>
                <w:bCs w:val="0"/>
                <w:color w:val="000000"/>
                <w:kern w:val="24"/>
                <w:sz w:val="19"/>
                <w:szCs w:val="19"/>
                <w:lang w:val="sq-AL" w:eastAsia="nb-NO"/>
              </w:rPr>
            </w:pPr>
          </w:p>
          <w:p w14:paraId="5E1114BC" w14:textId="77777777" w:rsidR="002350D2" w:rsidRPr="002E06C4" w:rsidRDefault="002350D2" w:rsidP="001509BA">
            <w:pPr>
              <w:jc w:val="center"/>
              <w:rPr>
                <w:rFonts w:asciiTheme="majorHAnsi" w:eastAsia="Times New Roman" w:hAnsiTheme="majorHAnsi" w:cs="Times New Roman"/>
                <w:sz w:val="19"/>
                <w:szCs w:val="19"/>
                <w:lang w:val="sq-AL" w:eastAsia="nb-NO"/>
              </w:rPr>
            </w:pPr>
            <w:r w:rsidRPr="002E06C4">
              <w:rPr>
                <w:rFonts w:asciiTheme="majorHAnsi" w:hAnsiTheme="majorHAnsi" w:cs="Times New Roman"/>
                <w:color w:val="000000"/>
                <w:kern w:val="24"/>
                <w:sz w:val="19"/>
                <w:szCs w:val="19"/>
                <w:lang w:val="sq-AL" w:eastAsia="nb-NO"/>
              </w:rPr>
              <w:t>Shpenzime të paplanifikuara</w:t>
            </w:r>
          </w:p>
        </w:tc>
        <w:tc>
          <w:tcPr>
            <w:tcW w:w="3238" w:type="pct"/>
            <w:hideMark/>
          </w:tcPr>
          <w:p w14:paraId="50556662" w14:textId="77777777" w:rsidR="002350D2" w:rsidRPr="002E06C4" w:rsidRDefault="002350D2" w:rsidP="003734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kern w:val="24"/>
                <w:sz w:val="19"/>
                <w:szCs w:val="19"/>
                <w:lang w:val="sq-AL" w:eastAsia="nb-NO"/>
              </w:rPr>
            </w:pPr>
          </w:p>
          <w:p w14:paraId="7745A1A1" w14:textId="77777777" w:rsidR="002350D2" w:rsidRPr="002E06C4" w:rsidRDefault="002350D2" w:rsidP="003734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kern w:val="24"/>
                <w:sz w:val="19"/>
                <w:szCs w:val="19"/>
                <w:lang w:val="sq-AL" w:eastAsia="nb-NO"/>
              </w:rPr>
            </w:pPr>
            <w:r w:rsidRPr="002E06C4">
              <w:rPr>
                <w:rFonts w:asciiTheme="majorHAnsi" w:hAnsiTheme="majorHAnsi" w:cs="Times New Roman"/>
                <w:color w:val="000000"/>
                <w:kern w:val="24"/>
                <w:sz w:val="19"/>
                <w:szCs w:val="19"/>
                <w:lang w:val="sq-AL" w:eastAsia="nb-NO"/>
              </w:rPr>
              <w:t>Detyrime ligjore ose presione politike, që mund të sjellin rishpërndarje të shpenzimeve</w:t>
            </w:r>
          </w:p>
        </w:tc>
      </w:tr>
      <w:tr w:rsidR="002350D2" w:rsidRPr="002E06C4" w14:paraId="06A76607" w14:textId="77777777" w:rsidTr="008F621A">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23FE22E1" w14:textId="77777777" w:rsidR="002350D2" w:rsidRPr="002E06C4" w:rsidRDefault="002350D2" w:rsidP="001509BA">
            <w:pPr>
              <w:jc w:val="center"/>
              <w:rPr>
                <w:rFonts w:asciiTheme="majorHAnsi" w:hAnsiTheme="majorHAnsi" w:cs="Times New Roman"/>
                <w:b w:val="0"/>
                <w:bCs w:val="0"/>
                <w:color w:val="000000"/>
                <w:kern w:val="24"/>
                <w:sz w:val="19"/>
                <w:szCs w:val="19"/>
                <w:lang w:val="sq-AL" w:eastAsia="nb-NO"/>
              </w:rPr>
            </w:pPr>
          </w:p>
          <w:p w14:paraId="678CD41F" w14:textId="77777777" w:rsidR="002350D2" w:rsidRPr="002E06C4" w:rsidRDefault="002350D2" w:rsidP="001509BA">
            <w:pPr>
              <w:jc w:val="center"/>
              <w:rPr>
                <w:rFonts w:asciiTheme="majorHAnsi" w:eastAsia="Times New Roman" w:hAnsiTheme="majorHAnsi" w:cs="Times New Roman"/>
                <w:sz w:val="19"/>
                <w:szCs w:val="19"/>
                <w:lang w:val="sq-AL" w:eastAsia="nb-NO"/>
              </w:rPr>
            </w:pPr>
            <w:r w:rsidRPr="002E06C4">
              <w:rPr>
                <w:rFonts w:asciiTheme="majorHAnsi" w:hAnsiTheme="majorHAnsi" w:cs="Times New Roman"/>
                <w:color w:val="000000"/>
                <w:kern w:val="24"/>
                <w:sz w:val="19"/>
                <w:szCs w:val="19"/>
                <w:lang w:val="sq-AL" w:eastAsia="nb-NO"/>
              </w:rPr>
              <w:t>Borxhi publik</w:t>
            </w:r>
          </w:p>
        </w:tc>
        <w:tc>
          <w:tcPr>
            <w:tcW w:w="3238" w:type="pct"/>
            <w:hideMark/>
          </w:tcPr>
          <w:p w14:paraId="20B2A6EB" w14:textId="77777777" w:rsidR="002350D2" w:rsidRPr="002E06C4" w:rsidRDefault="002350D2" w:rsidP="003734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kern w:val="24"/>
                <w:sz w:val="19"/>
                <w:szCs w:val="19"/>
                <w:lang w:val="sq-AL" w:eastAsia="nb-NO"/>
              </w:rPr>
            </w:pPr>
          </w:p>
          <w:p w14:paraId="00BA504E" w14:textId="77777777" w:rsidR="002350D2" w:rsidRPr="002E06C4" w:rsidRDefault="002350D2" w:rsidP="003734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kern w:val="24"/>
                <w:sz w:val="19"/>
                <w:szCs w:val="19"/>
                <w:lang w:val="sq-AL" w:eastAsia="nb-NO"/>
              </w:rPr>
            </w:pPr>
            <w:r w:rsidRPr="002E06C4">
              <w:rPr>
                <w:rFonts w:asciiTheme="majorHAnsi" w:hAnsiTheme="majorHAnsi" w:cs="Times New Roman"/>
                <w:color w:val="000000"/>
                <w:kern w:val="24"/>
                <w:sz w:val="19"/>
                <w:szCs w:val="19"/>
                <w:lang w:val="sq-AL" w:eastAsia="nb-NO"/>
              </w:rPr>
              <w:t>Zhvillime të papritura të tregut, ndryshime në normën e interesit ose në kursin e këmbimit, që mund të rrisin nivelin e borxhit publik</w:t>
            </w:r>
          </w:p>
        </w:tc>
      </w:tr>
      <w:tr w:rsidR="002350D2" w:rsidRPr="002E06C4" w14:paraId="255CBD2D" w14:textId="77777777" w:rsidTr="008F621A">
        <w:trPr>
          <w:trHeight w:val="66"/>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5F01DC08" w14:textId="77777777" w:rsidR="002350D2" w:rsidRPr="002E06C4" w:rsidRDefault="002350D2" w:rsidP="001509BA">
            <w:pPr>
              <w:jc w:val="center"/>
              <w:rPr>
                <w:rFonts w:asciiTheme="majorHAnsi" w:hAnsiTheme="majorHAnsi" w:cs="Times New Roman"/>
                <w:b w:val="0"/>
                <w:color w:val="C00000"/>
                <w:kern w:val="24"/>
                <w:sz w:val="19"/>
                <w:szCs w:val="19"/>
                <w:lang w:val="sq-AL" w:eastAsia="nb-NO"/>
              </w:rPr>
            </w:pPr>
          </w:p>
          <w:p w14:paraId="6562FACD" w14:textId="77777777" w:rsidR="002350D2" w:rsidRPr="002E06C4" w:rsidRDefault="002350D2" w:rsidP="001509BA">
            <w:pPr>
              <w:jc w:val="center"/>
              <w:rPr>
                <w:rFonts w:asciiTheme="majorHAnsi" w:hAnsiTheme="majorHAnsi" w:cs="Times New Roman"/>
                <w:b w:val="0"/>
                <w:color w:val="C00000"/>
                <w:kern w:val="24"/>
                <w:sz w:val="19"/>
                <w:szCs w:val="19"/>
                <w:u w:val="single"/>
                <w:lang w:val="sq-AL" w:eastAsia="nb-NO"/>
              </w:rPr>
            </w:pPr>
            <w:r w:rsidRPr="002E06C4">
              <w:rPr>
                <w:rFonts w:asciiTheme="majorHAnsi" w:hAnsiTheme="majorHAnsi" w:cs="Times New Roman"/>
                <w:color w:val="C00000"/>
                <w:kern w:val="24"/>
                <w:sz w:val="19"/>
                <w:szCs w:val="19"/>
                <w:lang w:val="sq-AL" w:eastAsia="nb-NO"/>
              </w:rPr>
              <w:t xml:space="preserve">Risqet </w:t>
            </w:r>
            <w:r w:rsidRPr="002E06C4">
              <w:rPr>
                <w:rFonts w:asciiTheme="majorHAnsi" w:hAnsiTheme="majorHAnsi" w:cs="Times New Roman"/>
                <w:color w:val="C00000"/>
                <w:kern w:val="24"/>
                <w:sz w:val="19"/>
                <w:szCs w:val="19"/>
                <w:u w:val="single"/>
                <w:lang w:val="sq-AL" w:eastAsia="nb-NO"/>
              </w:rPr>
              <w:t>implicite</w:t>
            </w:r>
            <w:r w:rsidRPr="002E06C4">
              <w:rPr>
                <w:rFonts w:asciiTheme="majorHAnsi" w:hAnsiTheme="majorHAnsi" w:cs="Times New Roman"/>
                <w:color w:val="C00000"/>
                <w:kern w:val="24"/>
                <w:sz w:val="19"/>
                <w:szCs w:val="19"/>
                <w:lang w:val="sq-AL" w:eastAsia="nb-NO"/>
              </w:rPr>
              <w:t xml:space="preserve"> dhe detyrimet </w:t>
            </w:r>
            <w:r w:rsidRPr="002E06C4">
              <w:rPr>
                <w:rFonts w:asciiTheme="majorHAnsi" w:hAnsiTheme="majorHAnsi" w:cs="Times New Roman"/>
                <w:color w:val="C00000"/>
                <w:kern w:val="24"/>
                <w:sz w:val="19"/>
                <w:szCs w:val="19"/>
                <w:u w:val="single"/>
                <w:lang w:val="sq-AL" w:eastAsia="nb-NO"/>
              </w:rPr>
              <w:t>kontigjente</w:t>
            </w:r>
          </w:p>
          <w:p w14:paraId="213C6789" w14:textId="77777777" w:rsidR="002350D2" w:rsidRPr="002E06C4" w:rsidRDefault="002350D2" w:rsidP="001509BA">
            <w:pPr>
              <w:jc w:val="center"/>
              <w:rPr>
                <w:rFonts w:asciiTheme="majorHAnsi" w:hAnsiTheme="majorHAnsi" w:cs="Times New Roman"/>
                <w:b w:val="0"/>
                <w:color w:val="C00000"/>
                <w:kern w:val="24"/>
                <w:sz w:val="19"/>
                <w:szCs w:val="19"/>
                <w:lang w:val="sq-AL" w:eastAsia="nb-NO"/>
              </w:rPr>
            </w:pPr>
          </w:p>
        </w:tc>
      </w:tr>
      <w:tr w:rsidR="002350D2" w:rsidRPr="002E06C4" w14:paraId="748C8496" w14:textId="77777777" w:rsidTr="008F621A">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71D228FB" w14:textId="77777777" w:rsidR="002350D2" w:rsidRPr="002E06C4" w:rsidRDefault="002350D2" w:rsidP="001509BA">
            <w:pPr>
              <w:jc w:val="center"/>
              <w:rPr>
                <w:rFonts w:asciiTheme="majorHAnsi" w:hAnsiTheme="majorHAnsi" w:cs="Times New Roman"/>
                <w:b w:val="0"/>
                <w:bCs w:val="0"/>
                <w:color w:val="000000"/>
                <w:kern w:val="24"/>
                <w:sz w:val="19"/>
                <w:szCs w:val="19"/>
                <w:lang w:val="sq-AL" w:eastAsia="nb-NO"/>
              </w:rPr>
            </w:pPr>
          </w:p>
          <w:p w14:paraId="267B29E2" w14:textId="77777777" w:rsidR="002350D2" w:rsidRPr="002E06C4" w:rsidRDefault="002350D2" w:rsidP="001509BA">
            <w:pPr>
              <w:jc w:val="center"/>
              <w:rPr>
                <w:rFonts w:asciiTheme="majorHAnsi" w:eastAsia="Times New Roman" w:hAnsiTheme="majorHAnsi" w:cs="Times New Roman"/>
                <w:sz w:val="19"/>
                <w:szCs w:val="19"/>
                <w:lang w:val="sq-AL" w:eastAsia="nb-NO"/>
              </w:rPr>
            </w:pPr>
            <w:r w:rsidRPr="002E06C4">
              <w:rPr>
                <w:rFonts w:asciiTheme="majorHAnsi" w:hAnsiTheme="majorHAnsi" w:cs="Times New Roman"/>
                <w:color w:val="000000"/>
                <w:kern w:val="24"/>
                <w:sz w:val="19"/>
                <w:szCs w:val="19"/>
                <w:lang w:val="sq-AL" w:eastAsia="nb-NO"/>
              </w:rPr>
              <w:t>Pagesat për PPP</w:t>
            </w:r>
          </w:p>
        </w:tc>
        <w:tc>
          <w:tcPr>
            <w:tcW w:w="3238" w:type="pct"/>
            <w:hideMark/>
          </w:tcPr>
          <w:p w14:paraId="5E0290F3" w14:textId="77777777" w:rsidR="002350D2" w:rsidRPr="002E06C4" w:rsidRDefault="002350D2" w:rsidP="003734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kern w:val="24"/>
                <w:sz w:val="19"/>
                <w:szCs w:val="19"/>
                <w:lang w:val="sq-AL" w:eastAsia="nb-NO"/>
              </w:rPr>
            </w:pPr>
          </w:p>
          <w:p w14:paraId="237FAFEB" w14:textId="77777777" w:rsidR="002350D2" w:rsidRPr="002E06C4" w:rsidRDefault="002350D2" w:rsidP="003734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kern w:val="24"/>
                <w:sz w:val="19"/>
                <w:szCs w:val="19"/>
                <w:lang w:val="sq-AL" w:eastAsia="nb-NO"/>
              </w:rPr>
            </w:pPr>
            <w:r w:rsidRPr="002E06C4">
              <w:rPr>
                <w:rFonts w:asciiTheme="majorHAnsi" w:hAnsiTheme="majorHAnsi" w:cs="Times New Roman"/>
                <w:color w:val="000000"/>
                <w:kern w:val="24"/>
                <w:sz w:val="19"/>
                <w:szCs w:val="19"/>
                <w:lang w:val="sq-AL" w:eastAsia="nb-NO"/>
              </w:rPr>
              <w:t>Pagesat vjetore për PPP-të, mund të tejkalojnë nivelin e lejuar ligjor prej 5% të të ardhurave tatimore faktike të vitit paraardhës</w:t>
            </w:r>
          </w:p>
        </w:tc>
      </w:tr>
      <w:tr w:rsidR="002350D2" w:rsidRPr="002E06C4" w14:paraId="21D51338" w14:textId="77777777" w:rsidTr="008F621A">
        <w:trPr>
          <w:trHeight w:val="7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4DC773DD" w14:textId="77777777" w:rsidR="002350D2" w:rsidRPr="002E06C4" w:rsidRDefault="002350D2" w:rsidP="001509BA">
            <w:pPr>
              <w:jc w:val="center"/>
              <w:rPr>
                <w:rFonts w:asciiTheme="majorHAnsi" w:eastAsia="Times New Roman" w:hAnsiTheme="majorHAnsi" w:cs="Times New Roman"/>
                <w:sz w:val="19"/>
                <w:szCs w:val="19"/>
                <w:lang w:val="sq-AL" w:eastAsia="nb-NO"/>
              </w:rPr>
            </w:pPr>
            <w:r w:rsidRPr="002E06C4">
              <w:rPr>
                <w:rFonts w:asciiTheme="majorHAnsi" w:hAnsiTheme="majorHAnsi" w:cs="Times New Roman"/>
                <w:color w:val="000000"/>
                <w:kern w:val="24"/>
                <w:sz w:val="19"/>
                <w:szCs w:val="19"/>
                <w:lang w:val="sq-AL" w:eastAsia="nb-NO"/>
              </w:rPr>
              <w:t>Vështirësia financiare e Ndërmarrjeve Shtetërore (NSH)</w:t>
            </w:r>
          </w:p>
        </w:tc>
        <w:tc>
          <w:tcPr>
            <w:tcW w:w="3238" w:type="pct"/>
            <w:hideMark/>
          </w:tcPr>
          <w:p w14:paraId="77B4CB69" w14:textId="77777777" w:rsidR="002350D2" w:rsidRPr="002E06C4" w:rsidRDefault="002350D2" w:rsidP="003734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kern w:val="24"/>
                <w:sz w:val="19"/>
                <w:szCs w:val="19"/>
                <w:lang w:val="sq-AL" w:eastAsia="nb-NO"/>
              </w:rPr>
            </w:pPr>
          </w:p>
          <w:p w14:paraId="6DEC6B16" w14:textId="77777777" w:rsidR="002350D2" w:rsidRPr="002E06C4" w:rsidRDefault="002350D2" w:rsidP="003734A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000000"/>
                <w:kern w:val="24"/>
                <w:sz w:val="19"/>
                <w:szCs w:val="19"/>
                <w:lang w:val="sq-AL" w:eastAsia="nb-NO"/>
              </w:rPr>
            </w:pPr>
            <w:r w:rsidRPr="002E06C4">
              <w:rPr>
                <w:rFonts w:asciiTheme="majorHAnsi" w:hAnsiTheme="majorHAnsi" w:cs="Times New Roman"/>
                <w:color w:val="000000"/>
                <w:kern w:val="24"/>
                <w:sz w:val="19"/>
                <w:szCs w:val="19"/>
                <w:lang w:val="sq-AL" w:eastAsia="nb-NO"/>
              </w:rPr>
              <w:t>Qeverisë mund t’i duhet të ndërhyjë për të mbështur financiarisht NSH-të</w:t>
            </w:r>
          </w:p>
        </w:tc>
      </w:tr>
      <w:tr w:rsidR="002350D2" w:rsidRPr="002E06C4" w14:paraId="6D3CCAA4" w14:textId="77777777" w:rsidTr="008F621A">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64F184D" w14:textId="77777777" w:rsidR="002350D2" w:rsidRPr="002E06C4" w:rsidRDefault="002350D2" w:rsidP="001509BA">
            <w:pPr>
              <w:jc w:val="center"/>
              <w:rPr>
                <w:rFonts w:asciiTheme="majorHAnsi" w:hAnsiTheme="majorHAnsi" w:cs="Times New Roman"/>
                <w:b w:val="0"/>
                <w:bCs w:val="0"/>
                <w:color w:val="000000"/>
                <w:kern w:val="24"/>
                <w:sz w:val="19"/>
                <w:szCs w:val="19"/>
                <w:lang w:val="sq-AL" w:eastAsia="nb-NO"/>
              </w:rPr>
            </w:pPr>
          </w:p>
          <w:p w14:paraId="2363E3FE" w14:textId="77777777" w:rsidR="002350D2" w:rsidRPr="002E06C4" w:rsidRDefault="002350D2" w:rsidP="001509BA">
            <w:pPr>
              <w:jc w:val="center"/>
              <w:rPr>
                <w:rFonts w:asciiTheme="majorHAnsi" w:eastAsia="Times New Roman" w:hAnsiTheme="majorHAnsi" w:cs="Times New Roman"/>
                <w:sz w:val="19"/>
                <w:szCs w:val="19"/>
                <w:lang w:val="sq-AL" w:eastAsia="nb-NO"/>
              </w:rPr>
            </w:pPr>
            <w:r w:rsidRPr="002E06C4">
              <w:rPr>
                <w:rFonts w:asciiTheme="majorHAnsi" w:hAnsiTheme="majorHAnsi" w:cs="Times New Roman"/>
                <w:color w:val="000000"/>
                <w:kern w:val="24"/>
                <w:sz w:val="19"/>
                <w:szCs w:val="19"/>
                <w:lang w:val="sq-AL" w:eastAsia="nb-NO"/>
              </w:rPr>
              <w:t>Risqe të tjera</w:t>
            </w:r>
          </w:p>
        </w:tc>
        <w:tc>
          <w:tcPr>
            <w:tcW w:w="3238" w:type="pct"/>
            <w:hideMark/>
          </w:tcPr>
          <w:p w14:paraId="4A2E4C95" w14:textId="77777777" w:rsidR="002350D2" w:rsidRPr="002E06C4" w:rsidRDefault="002350D2" w:rsidP="003734A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000000"/>
                <w:kern w:val="24"/>
                <w:sz w:val="19"/>
                <w:szCs w:val="19"/>
                <w:lang w:val="sq-AL" w:eastAsia="nb-NO"/>
              </w:rPr>
            </w:pPr>
            <w:r w:rsidRPr="002E06C4">
              <w:rPr>
                <w:rFonts w:asciiTheme="majorHAnsi" w:hAnsiTheme="majorHAnsi" w:cs="Times New Roman"/>
                <w:color w:val="000000"/>
                <w:kern w:val="24"/>
                <w:sz w:val="19"/>
                <w:szCs w:val="19"/>
                <w:lang w:val="sq-AL" w:eastAsia="nb-NO"/>
              </w:rPr>
              <w:t>Vendime gjyqësore, arbitrazhe ndërkombëtare, fatkeqësi natyrore, etj, që mund të sjellin kosto buxhetore shtesë në buxhetin e shtetit</w:t>
            </w:r>
          </w:p>
        </w:tc>
      </w:tr>
    </w:tbl>
    <w:p w14:paraId="5036DF9A" w14:textId="77777777" w:rsidR="00413093" w:rsidRPr="002E06C4" w:rsidRDefault="00413093" w:rsidP="00413093">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642CF1AE" w14:textId="77777777" w:rsidR="00787F0C" w:rsidRPr="002E06C4" w:rsidRDefault="00787F0C" w:rsidP="002350D2">
      <w:pPr>
        <w:spacing w:after="200" w:line="276" w:lineRule="auto"/>
        <w:contextualSpacing/>
        <w:jc w:val="both"/>
        <w:rPr>
          <w:rFonts w:asciiTheme="majorHAnsi" w:eastAsia="MS Mincho" w:hAnsiTheme="majorHAnsi" w:cs="Times New Roman"/>
          <w:b/>
          <w:sz w:val="12"/>
          <w:lang w:val="sq-AL"/>
        </w:rPr>
      </w:pPr>
    </w:p>
    <w:p w14:paraId="2B409F24" w14:textId="77777777" w:rsidR="0069258E" w:rsidRDefault="0069258E" w:rsidP="007B5FA8">
      <w:pPr>
        <w:spacing w:after="200" w:line="276" w:lineRule="auto"/>
        <w:contextualSpacing/>
        <w:jc w:val="both"/>
        <w:rPr>
          <w:rFonts w:asciiTheme="majorHAnsi" w:eastAsia="MS Mincho" w:hAnsiTheme="majorHAnsi" w:cs="Times New Roman"/>
          <w:lang w:val="sq-AL"/>
        </w:rPr>
      </w:pPr>
    </w:p>
    <w:p w14:paraId="6925F660" w14:textId="77777777" w:rsidR="007B5FA8" w:rsidRPr="002E06C4" w:rsidRDefault="007B5FA8" w:rsidP="007B5FA8">
      <w:pPr>
        <w:spacing w:after="200" w:line="276" w:lineRule="auto"/>
        <w:contextualSpacing/>
        <w:jc w:val="both"/>
        <w:rPr>
          <w:rFonts w:asciiTheme="majorHAnsi" w:eastAsia="MS Mincho" w:hAnsiTheme="majorHAnsi" w:cs="Times New Roman"/>
          <w:lang w:val="sq-AL"/>
        </w:rPr>
      </w:pPr>
      <w:r w:rsidRPr="002E06C4">
        <w:rPr>
          <w:rFonts w:asciiTheme="majorHAnsi" w:eastAsia="MS Mincho" w:hAnsiTheme="majorHAnsi" w:cs="Times New Roman"/>
          <w:lang w:val="sq-AL"/>
        </w:rPr>
        <w:t xml:space="preserve">Gjatë vitit 2018, </w:t>
      </w:r>
      <w:r w:rsidRPr="002E06C4">
        <w:rPr>
          <w:rFonts w:asciiTheme="majorHAnsi" w:eastAsia="Calibri" w:hAnsiTheme="majorHAnsi" w:cs="Times New Roman"/>
          <w:lang w:val="sq-AL"/>
        </w:rPr>
        <w:t xml:space="preserve">Ministria e Financave dhe Ekonomisë bëri hapa të ndjeshëm përpara në drejtim të përmirësimit të periodicitetit dhe modalitetit në monitorimin e risqeve kryesore fiskale/buxhetore, gjë që </w:t>
      </w:r>
      <w:r w:rsidRPr="002E06C4">
        <w:rPr>
          <w:rFonts w:asciiTheme="majorHAnsi" w:eastAsia="MS Mincho" w:hAnsiTheme="majorHAnsi" w:cs="Times New Roman"/>
          <w:lang w:val="sq-AL"/>
        </w:rPr>
        <w:t>u finalizua përmes përfshirjes në përcaktimet e U</w:t>
      </w:r>
      <w:r w:rsidRPr="002E06C4">
        <w:rPr>
          <w:rFonts w:asciiTheme="majorHAnsi" w:eastAsia="Calibri" w:hAnsiTheme="majorHAnsi" w:cs="Times New Roman"/>
          <w:lang w:val="sq-AL"/>
        </w:rPr>
        <w:t xml:space="preserve">dhëzimit Plotësues të Ministrit të Financave dhe Ekonomisë </w:t>
      </w:r>
      <w:r w:rsidRPr="002E06C4">
        <w:rPr>
          <w:rFonts w:asciiTheme="majorHAnsi" w:eastAsia="MS Mincho" w:hAnsiTheme="majorHAnsi" w:cs="Times New Roman"/>
          <w:bCs/>
          <w:lang w:val="sq-AL" w:eastAsia="sq-AL"/>
        </w:rPr>
        <w:t>nr.1 datë 17.01.2019 “</w:t>
      </w:r>
      <w:r w:rsidRPr="002E06C4">
        <w:rPr>
          <w:rFonts w:asciiTheme="majorHAnsi" w:eastAsia="MS Mincho" w:hAnsiTheme="majorHAnsi" w:cs="Times New Roman"/>
          <w:bCs/>
          <w:i/>
          <w:lang w:val="sq-AL" w:eastAsia="sq-AL"/>
        </w:rPr>
        <w:t>Për zbatimin e Buxhetit të vitit 2019</w:t>
      </w:r>
      <w:r w:rsidRPr="002E06C4">
        <w:rPr>
          <w:rFonts w:asciiTheme="majorHAnsi" w:eastAsia="MS Mincho" w:hAnsiTheme="majorHAnsi" w:cs="Times New Roman"/>
          <w:bCs/>
          <w:lang w:val="sq-AL" w:eastAsia="sq-AL"/>
        </w:rPr>
        <w:t xml:space="preserve">, i ndryshuar”. </w:t>
      </w:r>
      <w:r w:rsidRPr="002E06C4">
        <w:rPr>
          <w:rFonts w:asciiTheme="majorHAnsi" w:eastAsia="MS Mincho" w:hAnsiTheme="majorHAnsi" w:cs="Times New Roman"/>
          <w:lang w:val="sq-AL"/>
        </w:rPr>
        <w:t xml:space="preserve">Për rrjedhojë, raportimi në adresë të MFE u kanalizua përmes skeduleve kohore strikte dhe </w:t>
      </w:r>
      <w:r w:rsidRPr="002E06C4">
        <w:rPr>
          <w:rFonts w:asciiTheme="majorHAnsi" w:eastAsia="Calibri" w:hAnsiTheme="majorHAnsi" w:cs="Times New Roman"/>
          <w:lang w:val="sq-AL"/>
        </w:rPr>
        <w:t xml:space="preserve"> formateve standarde të miratuara, gjë që </w:t>
      </w:r>
      <w:r w:rsidRPr="002E06C4">
        <w:rPr>
          <w:rFonts w:asciiTheme="majorHAnsi" w:eastAsia="MS Mincho" w:hAnsiTheme="majorHAnsi" w:cs="Times New Roman"/>
          <w:bCs/>
          <w:lang w:val="sq-AL" w:eastAsia="sq-AL"/>
        </w:rPr>
        <w:t xml:space="preserve">institucionalizoi përfundimisht procesin e monitorimit të risqeve krahas intensifikimit të </w:t>
      </w:r>
      <w:r w:rsidRPr="002E06C4">
        <w:rPr>
          <w:rFonts w:asciiTheme="majorHAnsi" w:eastAsia="Calibri" w:hAnsiTheme="majorHAnsi" w:cs="Times New Roman"/>
          <w:lang w:val="sq-AL"/>
        </w:rPr>
        <w:t xml:space="preserve">punës në drejtim të </w:t>
      </w:r>
      <w:r w:rsidRPr="002E06C4">
        <w:rPr>
          <w:rFonts w:asciiTheme="majorHAnsi" w:eastAsia="MS Mincho" w:hAnsiTheme="majorHAnsi" w:cs="Times New Roman"/>
          <w:lang w:val="sq-AL"/>
        </w:rPr>
        <w:t xml:space="preserve">rritjes së cilësisë së përpunimit, raportimit dhe publikimit të informacionit të grumbulluar, me synim final:  </w:t>
      </w:r>
    </w:p>
    <w:p w14:paraId="7069B9F5" w14:textId="77777777" w:rsidR="007B5FA8" w:rsidRPr="002E06C4" w:rsidRDefault="007B5FA8" w:rsidP="007B5FA8">
      <w:pPr>
        <w:spacing w:before="120" w:line="276" w:lineRule="auto"/>
        <w:ind w:left="450"/>
        <w:jc w:val="both"/>
        <w:rPr>
          <w:rFonts w:asciiTheme="majorHAnsi" w:eastAsia="MS Mincho" w:hAnsiTheme="majorHAnsi" w:cs="Times New Roman"/>
          <w:i/>
          <w:sz w:val="8"/>
          <w:szCs w:val="8"/>
          <w:lang w:val="sq-AL"/>
        </w:rPr>
      </w:pPr>
    </w:p>
    <w:p w14:paraId="230FDA3A" w14:textId="77777777" w:rsidR="007B5FA8" w:rsidRPr="002E06C4" w:rsidRDefault="007B5FA8" w:rsidP="007B5FA8">
      <w:pPr>
        <w:numPr>
          <w:ilvl w:val="0"/>
          <w:numId w:val="14"/>
        </w:numPr>
        <w:spacing w:line="276" w:lineRule="auto"/>
        <w:ind w:left="450" w:hanging="270"/>
        <w:jc w:val="both"/>
        <w:rPr>
          <w:rFonts w:asciiTheme="majorHAnsi" w:eastAsia="MS Mincho" w:hAnsiTheme="majorHAnsi" w:cs="Times New Roman"/>
          <w:i/>
          <w:lang w:val="sq-AL"/>
        </w:rPr>
      </w:pPr>
      <w:r w:rsidRPr="002E06C4">
        <w:rPr>
          <w:rFonts w:asciiTheme="majorHAnsi" w:eastAsia="MS Mincho" w:hAnsiTheme="majorHAnsi" w:cs="Times New Roman"/>
          <w:i/>
          <w:lang w:val="sq-AL"/>
        </w:rPr>
        <w:t xml:space="preserve">Monitorimin dhe raportimin periodik </w:t>
      </w:r>
      <w:r w:rsidRPr="002E06C4">
        <w:rPr>
          <w:rFonts w:asciiTheme="majorHAnsi" w:eastAsia="MS Mincho" w:hAnsiTheme="majorHAnsi" w:cs="Times New Roman"/>
          <w:i/>
          <w:u w:val="single"/>
          <w:lang w:val="sq-AL"/>
        </w:rPr>
        <w:t>mbi bazë tremujore</w:t>
      </w:r>
      <w:r w:rsidRPr="002E06C4">
        <w:rPr>
          <w:rFonts w:asciiTheme="majorHAnsi" w:eastAsia="MS Mincho" w:hAnsiTheme="majorHAnsi" w:cs="Times New Roman"/>
          <w:i/>
          <w:lang w:val="sq-AL"/>
        </w:rPr>
        <w:t xml:space="preserve">, të performancës financiare të tre ndërmarrjeve shtetërore të sektorit të energjisë; </w:t>
      </w:r>
    </w:p>
    <w:p w14:paraId="32339E0A" w14:textId="77777777" w:rsidR="007B5FA8" w:rsidRPr="002E06C4" w:rsidRDefault="007B5FA8" w:rsidP="007B5FA8">
      <w:pPr>
        <w:numPr>
          <w:ilvl w:val="0"/>
          <w:numId w:val="14"/>
        </w:numPr>
        <w:spacing w:before="120" w:line="276" w:lineRule="auto"/>
        <w:ind w:left="450" w:hanging="270"/>
        <w:jc w:val="both"/>
        <w:rPr>
          <w:rFonts w:asciiTheme="majorHAnsi" w:eastAsia="MS Mincho" w:hAnsiTheme="majorHAnsi" w:cs="Times New Roman"/>
          <w:i/>
          <w:lang w:val="sq-AL"/>
        </w:rPr>
      </w:pPr>
      <w:r w:rsidRPr="002E06C4">
        <w:rPr>
          <w:rFonts w:asciiTheme="majorHAnsi" w:eastAsia="MS Mincho" w:hAnsiTheme="majorHAnsi" w:cs="Times New Roman"/>
          <w:i/>
          <w:lang w:val="sq-AL"/>
        </w:rPr>
        <w:t xml:space="preserve">Monitorimin dhe raportimin periodik </w:t>
      </w:r>
      <w:r w:rsidRPr="002E06C4">
        <w:rPr>
          <w:rFonts w:asciiTheme="majorHAnsi" w:eastAsia="MS Mincho" w:hAnsiTheme="majorHAnsi" w:cs="Times New Roman"/>
          <w:i/>
          <w:u w:val="single"/>
          <w:lang w:val="sq-AL"/>
        </w:rPr>
        <w:t>mbi bazë tremujore</w:t>
      </w:r>
      <w:r w:rsidRPr="002E06C4">
        <w:rPr>
          <w:rFonts w:asciiTheme="majorHAnsi" w:eastAsia="MS Mincho" w:hAnsiTheme="majorHAnsi" w:cs="Times New Roman"/>
          <w:i/>
          <w:lang w:val="sq-AL"/>
        </w:rPr>
        <w:t>, të stokut të akumuluar të detyrimeve të prapambetura të qeverisjes qendrore dhe skedulin e parashikuar të shlyerjes së tyre;</w:t>
      </w:r>
    </w:p>
    <w:p w14:paraId="0142BD9A" w14:textId="77777777" w:rsidR="007B5FA8" w:rsidRPr="002E06C4" w:rsidRDefault="007B5FA8" w:rsidP="007B5FA8">
      <w:pPr>
        <w:numPr>
          <w:ilvl w:val="0"/>
          <w:numId w:val="14"/>
        </w:numPr>
        <w:spacing w:before="120" w:after="120" w:line="276" w:lineRule="auto"/>
        <w:ind w:left="450" w:hanging="270"/>
        <w:jc w:val="both"/>
        <w:rPr>
          <w:rFonts w:asciiTheme="majorHAnsi" w:eastAsia="MS Mincho" w:hAnsiTheme="majorHAnsi" w:cs="Times New Roman"/>
          <w:i/>
          <w:lang w:val="sq-AL"/>
        </w:rPr>
      </w:pPr>
      <w:r w:rsidRPr="002E06C4">
        <w:rPr>
          <w:rFonts w:asciiTheme="majorHAnsi" w:eastAsia="MS Mincho" w:hAnsiTheme="majorHAnsi" w:cs="Times New Roman"/>
          <w:i/>
          <w:lang w:val="sq-AL"/>
        </w:rPr>
        <w:t xml:space="preserve">Monitorimin dhe raportimin periodik </w:t>
      </w:r>
      <w:r w:rsidRPr="002E06C4">
        <w:rPr>
          <w:rFonts w:asciiTheme="majorHAnsi" w:eastAsia="MS Mincho" w:hAnsiTheme="majorHAnsi" w:cs="Times New Roman"/>
          <w:i/>
          <w:u w:val="single"/>
          <w:lang w:val="sq-AL"/>
        </w:rPr>
        <w:t>mbi bazë mujore</w:t>
      </w:r>
      <w:r w:rsidRPr="002E06C4">
        <w:rPr>
          <w:rFonts w:asciiTheme="majorHAnsi" w:eastAsia="MS Mincho" w:hAnsiTheme="majorHAnsi" w:cs="Times New Roman"/>
          <w:i/>
          <w:lang w:val="sq-AL"/>
        </w:rPr>
        <w:t>, të performancës së kontratave konçesionare/PPP, me mbështetje buxhetore.</w:t>
      </w:r>
    </w:p>
    <w:p w14:paraId="787079DC" w14:textId="77777777" w:rsidR="0069258E" w:rsidRDefault="0069258E" w:rsidP="007B5FA8">
      <w:pPr>
        <w:spacing w:before="120" w:after="120" w:line="276" w:lineRule="auto"/>
        <w:ind w:right="49"/>
        <w:contextualSpacing/>
        <w:jc w:val="both"/>
        <w:rPr>
          <w:rFonts w:asciiTheme="majorHAnsi" w:eastAsia="MS Mincho" w:hAnsiTheme="majorHAnsi" w:cs="Times New Roman"/>
          <w:bCs/>
          <w:i/>
          <w:lang w:val="sq-AL" w:eastAsia="sq-AL"/>
        </w:rPr>
      </w:pPr>
    </w:p>
    <w:p w14:paraId="0DFFE09E" w14:textId="77777777" w:rsidR="0069258E" w:rsidRDefault="0069258E" w:rsidP="007B5FA8">
      <w:pPr>
        <w:spacing w:before="120" w:after="120" w:line="276" w:lineRule="auto"/>
        <w:ind w:right="49"/>
        <w:contextualSpacing/>
        <w:jc w:val="both"/>
        <w:rPr>
          <w:rFonts w:asciiTheme="majorHAnsi" w:eastAsia="MS Mincho" w:hAnsiTheme="majorHAnsi" w:cs="Times New Roman"/>
          <w:bCs/>
          <w:i/>
          <w:lang w:val="sq-AL" w:eastAsia="sq-AL"/>
        </w:rPr>
      </w:pPr>
    </w:p>
    <w:p w14:paraId="2C58B76F" w14:textId="77777777" w:rsidR="0069258E" w:rsidRDefault="0069258E" w:rsidP="007B5FA8">
      <w:pPr>
        <w:spacing w:before="120" w:after="120" w:line="276" w:lineRule="auto"/>
        <w:ind w:right="49"/>
        <w:contextualSpacing/>
        <w:jc w:val="both"/>
        <w:rPr>
          <w:rFonts w:asciiTheme="majorHAnsi" w:eastAsia="MS Mincho" w:hAnsiTheme="majorHAnsi" w:cs="Times New Roman"/>
          <w:bCs/>
          <w:i/>
          <w:lang w:val="sq-AL" w:eastAsia="sq-AL"/>
        </w:rPr>
      </w:pPr>
    </w:p>
    <w:p w14:paraId="6281F357" w14:textId="77777777" w:rsidR="007B5FA8" w:rsidRPr="002E06C4" w:rsidRDefault="007B5FA8" w:rsidP="007B5FA8">
      <w:pPr>
        <w:spacing w:before="120" w:after="120" w:line="276" w:lineRule="auto"/>
        <w:ind w:right="49"/>
        <w:contextualSpacing/>
        <w:jc w:val="both"/>
        <w:rPr>
          <w:rFonts w:asciiTheme="majorHAnsi" w:eastAsia="MS Mincho" w:hAnsiTheme="majorHAnsi" w:cs="Times New Roman"/>
          <w:bCs/>
          <w:i/>
          <w:lang w:val="sq-AL" w:eastAsia="sq-AL"/>
        </w:rPr>
      </w:pPr>
      <w:r w:rsidRPr="002E06C4">
        <w:rPr>
          <w:rFonts w:asciiTheme="majorHAnsi" w:eastAsia="MS Mincho" w:hAnsiTheme="majorHAnsi" w:cs="Times New Roman"/>
          <w:bCs/>
          <w:i/>
          <w:lang w:val="sq-AL" w:eastAsia="sq-AL"/>
        </w:rPr>
        <w:lastRenderedPageBreak/>
        <w:t>Mëposhtë jepet një tablo e vlerësimeve mbi disa nga tipologjitë e risqeve fiskale, si rezultat i monitorimit nga njësitë përgjegjëse në MFE, për vitin 2018:</w:t>
      </w:r>
    </w:p>
    <w:p w14:paraId="2E613E87" w14:textId="77777777" w:rsidR="002350D2" w:rsidRPr="002E06C4" w:rsidRDefault="002350D2" w:rsidP="007B5FA8">
      <w:pPr>
        <w:spacing w:line="276" w:lineRule="auto"/>
        <w:ind w:right="525"/>
        <w:contextualSpacing/>
        <w:jc w:val="both"/>
        <w:rPr>
          <w:rFonts w:asciiTheme="majorHAnsi" w:eastAsia="MS Mincho" w:hAnsiTheme="majorHAnsi" w:cs="Times New Roman"/>
          <w:bCs/>
          <w:lang w:val="sq-AL" w:eastAsia="sq-AL"/>
        </w:rPr>
      </w:pPr>
    </w:p>
    <w:p w14:paraId="63A8866D" w14:textId="77777777" w:rsidR="002350D2" w:rsidRPr="002E06C4" w:rsidRDefault="002350D2" w:rsidP="007B5FA8">
      <w:pPr>
        <w:pStyle w:val="Heading2"/>
        <w:numPr>
          <w:ilvl w:val="1"/>
          <w:numId w:val="4"/>
        </w:numPr>
        <w:spacing w:before="0"/>
        <w:ind w:hanging="720"/>
        <w:rPr>
          <w:rFonts w:cs="Times New Roman"/>
          <w:noProof/>
          <w:color w:val="4F81BD" w:themeColor="accent1"/>
          <w:lang w:val="sq-AL"/>
        </w:rPr>
      </w:pPr>
      <w:bookmarkStart w:id="204" w:name="_Toc10033284"/>
      <w:bookmarkStart w:id="205" w:name="_Toc10721421"/>
      <w:bookmarkStart w:id="206" w:name="_Toc11134241"/>
      <w:r w:rsidRPr="002E06C4">
        <w:rPr>
          <w:rFonts w:cs="Times New Roman"/>
          <w:noProof/>
          <w:color w:val="4F81BD" w:themeColor="accent1"/>
          <w:lang w:val="sq-AL"/>
        </w:rPr>
        <w:t>Sektori Energj</w:t>
      </w:r>
      <w:r w:rsidR="005C6E2E" w:rsidRPr="002E06C4">
        <w:rPr>
          <w:rFonts w:cs="Times New Roman"/>
          <w:noProof/>
          <w:color w:val="4F81BD" w:themeColor="accent1"/>
          <w:lang w:val="sq-AL"/>
        </w:rPr>
        <w:t>e</w:t>
      </w:r>
      <w:r w:rsidRPr="002E06C4">
        <w:rPr>
          <w:rFonts w:cs="Times New Roman"/>
          <w:noProof/>
          <w:color w:val="4F81BD" w:themeColor="accent1"/>
          <w:lang w:val="sq-AL"/>
        </w:rPr>
        <w:t>tik</w:t>
      </w:r>
      <w:bookmarkEnd w:id="204"/>
      <w:bookmarkEnd w:id="205"/>
      <w:bookmarkEnd w:id="206"/>
    </w:p>
    <w:p w14:paraId="5339E514" w14:textId="77777777" w:rsidR="007B5FA8" w:rsidRPr="002E06C4" w:rsidRDefault="007B5FA8" w:rsidP="007B5FA8">
      <w:pPr>
        <w:spacing w:before="120" w:after="120" w:line="276" w:lineRule="auto"/>
        <w:jc w:val="both"/>
        <w:rPr>
          <w:rFonts w:asciiTheme="majorHAnsi" w:hAnsiTheme="majorHAnsi" w:cs="Times New Roman"/>
          <w:bCs/>
          <w:lang w:val="sq-AL" w:eastAsia="sq-AL"/>
        </w:rPr>
      </w:pPr>
      <w:r w:rsidRPr="002E06C4">
        <w:rPr>
          <w:rFonts w:asciiTheme="majorHAnsi" w:hAnsiTheme="majorHAnsi" w:cs="Times New Roman"/>
          <w:bCs/>
          <w:lang w:val="sq-AL" w:eastAsia="sq-AL"/>
        </w:rPr>
        <w:t xml:space="preserve">Ky sektor strategjik ka qenë dhe mbetet nën monitorimin e Ministrisë së Financave dhe Ekonomisë, duke marr parasysh ndikimin e ndjeshëm fiskal dhe në ekonomi të këtij sektori kyç. Ky monitorim, i cili është kryer periodikisht mbi bazë tremujore, ka konsistuar në analizimin e treguesve të performancës financiare të secilës prej tre kompanive KESH, OSHEE dhe OST. </w:t>
      </w:r>
    </w:p>
    <w:p w14:paraId="6F16162A" w14:textId="77777777" w:rsidR="00797534" w:rsidRPr="002E06C4" w:rsidRDefault="007B5FA8" w:rsidP="00797534">
      <w:pPr>
        <w:spacing w:before="120" w:after="120" w:line="276" w:lineRule="auto"/>
        <w:jc w:val="both"/>
        <w:rPr>
          <w:rFonts w:asciiTheme="majorHAnsi" w:hAnsiTheme="majorHAnsi" w:cs="Times New Roman"/>
          <w:bCs/>
          <w:lang w:val="sq-AL" w:eastAsia="sq-AL"/>
        </w:rPr>
      </w:pPr>
      <w:r w:rsidRPr="002E06C4">
        <w:rPr>
          <w:rFonts w:asciiTheme="majorHAnsi" w:hAnsiTheme="majorHAnsi" w:cs="Times New Roman"/>
          <w:bCs/>
          <w:lang w:val="sq-AL" w:eastAsia="sq-AL"/>
        </w:rPr>
        <w:t>Në mbështetje të nenit 4/2 të ligjit 57 datë 02.06.2016 “Për disa ndryshime dhe shtesa në ligjin nr.9936 datë 26.06.2008 “</w:t>
      </w:r>
      <w:r w:rsidRPr="002E06C4">
        <w:rPr>
          <w:rFonts w:asciiTheme="majorHAnsi" w:hAnsiTheme="majorHAnsi" w:cs="Times New Roman"/>
          <w:bCs/>
          <w:i/>
          <w:lang w:val="sq-AL" w:eastAsia="sq-AL"/>
        </w:rPr>
        <w:t>Për menaxhimin e sistemit buxhetor në Republikën e Shqipërisë</w:t>
      </w:r>
      <w:r w:rsidRPr="002E06C4">
        <w:rPr>
          <w:rFonts w:asciiTheme="majorHAnsi" w:hAnsiTheme="majorHAnsi" w:cs="Times New Roman"/>
          <w:bCs/>
          <w:lang w:val="sq-AL" w:eastAsia="sq-AL"/>
        </w:rPr>
        <w:t>”, i ndryshuar”, sipas së cilit: “...</w:t>
      </w:r>
      <w:r w:rsidRPr="002E06C4">
        <w:rPr>
          <w:rFonts w:asciiTheme="majorHAnsi" w:hAnsiTheme="majorHAnsi" w:cs="Times New Roman"/>
          <w:bCs/>
          <w:i/>
          <w:lang w:val="sq-AL" w:eastAsia="sq-AL"/>
        </w:rPr>
        <w:t>Planet financiare vjetore dhe pasqyrat financiare mbi bazë tremujori, të çdo njësie jo të qeverisjes së përgjithshme, dorëzohen në Ministrinë e Financave...</w:t>
      </w:r>
      <w:r w:rsidRPr="002E06C4">
        <w:rPr>
          <w:rFonts w:asciiTheme="majorHAnsi" w:hAnsiTheme="majorHAnsi" w:cs="Times New Roman"/>
          <w:bCs/>
          <w:lang w:val="sq-AL" w:eastAsia="sq-AL"/>
        </w:rPr>
        <w:t xml:space="preserve">”, Ministria e Financave dhe Ekonomisë, periodikisht mbi bazë tremujore, ka mbledhur, përpunuar dhe analizuar informacionin e nevojshëm në lidhje me treguesit e performancës financiare të tre kompanive të sektorit energjitik. Kjo, me qëllim identifikimin, vlerësimin, monitorimin dhe raportimin e risqeve fiskale që rezultojnë nga ndërmarrjet publike me kapital shtetëror në tërësi dhe nga sektori energjitik në veçanti, duke konsideruar rëndësinë strategjike të tij dhe problematikat sesitive që e karakterizojnë. </w:t>
      </w:r>
    </w:p>
    <w:p w14:paraId="3D5D4AA9" w14:textId="77777777" w:rsidR="007B5FA8" w:rsidRPr="002E06C4" w:rsidRDefault="007B5FA8" w:rsidP="00797534">
      <w:pPr>
        <w:spacing w:before="120" w:after="120" w:line="276" w:lineRule="auto"/>
        <w:jc w:val="both"/>
        <w:rPr>
          <w:rFonts w:asciiTheme="majorHAnsi" w:eastAsia="SimSun" w:hAnsiTheme="majorHAnsi" w:cs="Times New Roman"/>
          <w:lang w:val="sq-AL"/>
        </w:rPr>
      </w:pPr>
      <w:r w:rsidRPr="002E06C4">
        <w:rPr>
          <w:rFonts w:asciiTheme="majorHAnsi" w:eastAsia="SimSun" w:hAnsiTheme="majorHAnsi" w:cs="Times New Roman"/>
          <w:b/>
          <w:lang w:val="sq-AL"/>
        </w:rPr>
        <w:t>Mbështetja buxhetore neto për vitin 2018</w:t>
      </w:r>
      <w:r w:rsidRPr="002E06C4">
        <w:rPr>
          <w:rFonts w:asciiTheme="majorHAnsi" w:eastAsia="SimSun" w:hAnsiTheme="majorHAnsi" w:cs="Times New Roman"/>
          <w:lang w:val="sq-AL"/>
        </w:rPr>
        <w:t xml:space="preserve"> në sektorin e energjisë, u miratua në nivelin 3.5 miliardë lekë sipas buxhetit fillestar dhe në 5 miliardë lekë sipas Aktit Normativ nr.1 datë 26.07.2018 “Për disa ndryshime në Ligjin nr. 109/2017 ‘Për buxhetin e vitit 2018’”. Ky nivel investimesh u rrit akoma më shumë me Aktin Normativ nr.2 datë 19.12.2018 “Për disa ndryshime në Ligjin nr. 109/2017 ‘Për buxhetin e vitit 2018’”, të ndryshuar, në vlerën prej 6.2 miliard Lekë.</w:t>
      </w:r>
    </w:p>
    <w:p w14:paraId="3F06038C" w14:textId="77777777" w:rsidR="00032B8A" w:rsidRPr="002E06C4" w:rsidRDefault="00032B8A" w:rsidP="00797534">
      <w:pPr>
        <w:spacing w:before="120" w:after="120" w:line="276" w:lineRule="auto"/>
        <w:jc w:val="both"/>
        <w:rPr>
          <w:rFonts w:asciiTheme="majorHAnsi" w:eastAsia="SimSun" w:hAnsiTheme="majorHAnsi" w:cs="Times New Roman"/>
          <w:sz w:val="12"/>
          <w:szCs w:val="12"/>
          <w:lang w:val="sq-AL"/>
        </w:rPr>
      </w:pPr>
    </w:p>
    <w:p w14:paraId="64C2D6A4" w14:textId="77777777" w:rsidR="002350D2" w:rsidRPr="002E06C4" w:rsidRDefault="002350D2" w:rsidP="001509BA">
      <w:pPr>
        <w:pStyle w:val="Heading2"/>
        <w:numPr>
          <w:ilvl w:val="1"/>
          <w:numId w:val="4"/>
        </w:numPr>
        <w:ind w:left="630" w:hanging="630"/>
        <w:rPr>
          <w:rFonts w:cs="Times New Roman"/>
          <w:noProof/>
          <w:color w:val="4F81BD" w:themeColor="accent1"/>
          <w:lang w:val="sq-AL"/>
        </w:rPr>
      </w:pPr>
      <w:bookmarkStart w:id="207" w:name="_Toc466295701"/>
      <w:bookmarkStart w:id="208" w:name="_Toc10033285"/>
      <w:bookmarkStart w:id="209" w:name="_Toc10721422"/>
      <w:bookmarkStart w:id="210" w:name="_Toc11134242"/>
      <w:r w:rsidRPr="002E06C4">
        <w:rPr>
          <w:rFonts w:cs="Times New Roman"/>
          <w:noProof/>
          <w:color w:val="4F81BD" w:themeColor="accent1"/>
          <w:lang w:val="sq-AL"/>
        </w:rPr>
        <w:t>Detyrime</w:t>
      </w:r>
      <w:bookmarkEnd w:id="207"/>
      <w:r w:rsidRPr="002E06C4">
        <w:rPr>
          <w:rFonts w:cs="Times New Roman"/>
          <w:noProof/>
          <w:color w:val="4F81BD" w:themeColor="accent1"/>
          <w:lang w:val="sq-AL"/>
        </w:rPr>
        <w:t xml:space="preserve">t e </w:t>
      </w:r>
      <w:r w:rsidR="005C6E2E" w:rsidRPr="002E06C4">
        <w:rPr>
          <w:rFonts w:cs="Times New Roman"/>
          <w:noProof/>
          <w:color w:val="4F81BD" w:themeColor="accent1"/>
          <w:lang w:val="sq-AL"/>
        </w:rPr>
        <w:t>p</w:t>
      </w:r>
      <w:r w:rsidRPr="002E06C4">
        <w:rPr>
          <w:rFonts w:cs="Times New Roman"/>
          <w:noProof/>
          <w:color w:val="4F81BD" w:themeColor="accent1"/>
          <w:lang w:val="sq-AL"/>
        </w:rPr>
        <w:t>rapambetura (q</w:t>
      </w:r>
      <w:r w:rsidR="00D23FBB">
        <w:rPr>
          <w:rFonts w:cs="Times New Roman"/>
          <w:noProof/>
          <w:color w:val="4F81BD" w:themeColor="accent1"/>
          <w:lang w:val="sq-AL"/>
        </w:rPr>
        <w:t>ë</w:t>
      </w:r>
      <w:r w:rsidRPr="002E06C4">
        <w:rPr>
          <w:rFonts w:cs="Times New Roman"/>
          <w:noProof/>
          <w:color w:val="4F81BD" w:themeColor="accent1"/>
          <w:lang w:val="sq-AL"/>
        </w:rPr>
        <w:t>ndrore)</w:t>
      </w:r>
      <w:bookmarkEnd w:id="208"/>
      <w:bookmarkEnd w:id="209"/>
      <w:bookmarkEnd w:id="210"/>
    </w:p>
    <w:p w14:paraId="21B1480B" w14:textId="77777777" w:rsidR="007B5FA8" w:rsidRPr="002E06C4" w:rsidRDefault="007B5FA8" w:rsidP="007B5FA8">
      <w:pPr>
        <w:pStyle w:val="ListParagraph"/>
        <w:spacing w:before="120" w:after="120" w:line="276" w:lineRule="auto"/>
        <w:ind w:left="0"/>
        <w:jc w:val="both"/>
        <w:rPr>
          <w:rFonts w:asciiTheme="majorHAnsi" w:hAnsiTheme="majorHAnsi" w:cs="Times New Roman"/>
          <w:lang w:val="sq-AL"/>
        </w:rPr>
      </w:pPr>
      <w:bookmarkStart w:id="211" w:name="_Toc495672777"/>
      <w:bookmarkEnd w:id="211"/>
      <w:r w:rsidRPr="002E06C4">
        <w:rPr>
          <w:rFonts w:asciiTheme="majorHAnsi" w:hAnsiTheme="majorHAnsi" w:cs="Times New Roman"/>
          <w:lang w:val="sq-AL"/>
        </w:rPr>
        <w:t>Një nga çështjet problematike në sistemin tonë buxhetor, u vërtetua se ishte akumulimi i detyrimeve të prapambetura të krijuara përpara vitit 2014. Qeveria jo vetëm e adresoi me prioritet çështjen e shlyerjes së tyre, por me angazhimin maksimal si të Ministrisë së Financave dhe Ekonomisë, ashtu edhe të institucioneve buxhetore të përfshira në këtë proces, u arrrit që brenda dy viteve (2014-2015) të shlyen të gjitha detyrimet e prapambetura të raportuara, në vlerën 67 miliardë lekë. Bazuar në VKM nr. 50 datë 05.02.2014 “</w:t>
      </w:r>
      <w:r w:rsidRPr="002E06C4">
        <w:rPr>
          <w:rFonts w:asciiTheme="majorHAnsi" w:hAnsiTheme="majorHAnsi" w:cs="Times New Roman"/>
          <w:i/>
          <w:lang w:val="sq-AL"/>
        </w:rPr>
        <w:t>Për miratimin e Strategjisë për parandalimin dhe shlyerjen e detyrimeve të prapambetura e të planit të veprimit</w:t>
      </w:r>
      <w:r w:rsidRPr="002E06C4">
        <w:rPr>
          <w:rFonts w:asciiTheme="majorHAnsi" w:hAnsiTheme="majorHAnsi" w:cs="Times New Roman"/>
          <w:lang w:val="sq-AL"/>
        </w:rPr>
        <w:t>” dhe Strategjisë së Menaxhimit të Financave Publike 2014-2020, Ministria e Financave dhe Ekonomisë ka ndërmarrë disa hapa konkretë në drejtim të monitorimit, raportimit dhe parandalimit të detyrimeve të prapambetura.</w:t>
      </w:r>
    </w:p>
    <w:p w14:paraId="29258824" w14:textId="77777777" w:rsidR="007B5FA8" w:rsidRPr="002E06C4" w:rsidRDefault="007B5FA8" w:rsidP="007B5FA8">
      <w:pPr>
        <w:pStyle w:val="ListParagraph"/>
        <w:spacing w:before="120" w:after="120" w:line="276" w:lineRule="auto"/>
        <w:ind w:left="0"/>
        <w:jc w:val="both"/>
        <w:rPr>
          <w:rFonts w:asciiTheme="majorHAnsi" w:hAnsiTheme="majorHAnsi" w:cs="Times New Roman"/>
          <w:sz w:val="12"/>
          <w:szCs w:val="12"/>
          <w:lang w:val="sq-AL"/>
        </w:rPr>
      </w:pPr>
    </w:p>
    <w:p w14:paraId="1FE4A51F" w14:textId="77777777" w:rsidR="007B5FA8" w:rsidRPr="002E06C4" w:rsidRDefault="007B5FA8" w:rsidP="007B5FA8">
      <w:pPr>
        <w:pStyle w:val="ListParagraph"/>
        <w:spacing w:before="120" w:after="120" w:line="276" w:lineRule="auto"/>
        <w:ind w:left="0"/>
        <w:jc w:val="both"/>
        <w:rPr>
          <w:rFonts w:asciiTheme="majorHAnsi" w:hAnsiTheme="majorHAnsi" w:cs="Times New Roman"/>
          <w:lang w:val="sq-AL"/>
        </w:rPr>
      </w:pPr>
      <w:r w:rsidRPr="002E06C4">
        <w:rPr>
          <w:rFonts w:asciiTheme="majorHAnsi" w:hAnsiTheme="majorHAnsi" w:cs="Times New Roman"/>
          <w:lang w:val="sq-AL"/>
        </w:rPr>
        <w:t>Vlen për t’u theksuar se tashmë ky është një proçes i konsoliduar në kohë dhe cilësi, përmes monitorimit periodik intensiv të të gjitha detyrimeve të pashlyera të institucioneve buxhetore. Duke nisur nga muaji Shtator 2017, ky monitorim dhe raportim i cili më parë kryhej mbi bazë katërmujorësh, tashmë ndiqet dhe analizohet mbi bazë tremujore, në funksion të intensifikimit të rolit mbikqyrës të Ministrisë së Financave dhe Ekonomisë në këtë drejtim. Kjo, me qëllimin final të përmbushjes së objektivit konkret të Qeverisë, për ‘zerimin’ e të gjitha detyrimeve të prapambetura deri në vitin 2020.</w:t>
      </w:r>
    </w:p>
    <w:p w14:paraId="219F5A26" w14:textId="77777777" w:rsidR="007B5FA8" w:rsidRPr="002E06C4" w:rsidRDefault="007B5FA8" w:rsidP="007B5FA8">
      <w:pPr>
        <w:pStyle w:val="ListParagraph"/>
        <w:spacing w:before="120" w:line="276" w:lineRule="auto"/>
        <w:ind w:left="0"/>
        <w:jc w:val="both"/>
        <w:rPr>
          <w:rFonts w:asciiTheme="majorHAnsi" w:hAnsiTheme="majorHAnsi" w:cs="Times New Roman"/>
          <w:lang w:val="sq-AL"/>
        </w:rPr>
      </w:pPr>
      <w:r w:rsidRPr="002E06C4">
        <w:rPr>
          <w:rFonts w:asciiTheme="majorHAnsi" w:hAnsiTheme="majorHAnsi" w:cs="Times New Roman"/>
          <w:lang w:val="sq-AL"/>
        </w:rPr>
        <w:lastRenderedPageBreak/>
        <w:t>Specifikisht për vitin 2018, skeduli dhe modaliteti i raportimit dhe monitorimit të detyrimeve të prapambetura, u përfshi në Udhezimin Plotësues Nr.2 datë 19.01.2018 “</w:t>
      </w:r>
      <w:r w:rsidRPr="002E06C4">
        <w:rPr>
          <w:rFonts w:asciiTheme="majorHAnsi" w:hAnsiTheme="majorHAnsi" w:cs="Times New Roman"/>
          <w:i/>
          <w:lang w:val="sq-AL"/>
        </w:rPr>
        <w:t>Mbi zbatimin e Buxhetit 2018</w:t>
      </w:r>
      <w:r w:rsidRPr="002E06C4">
        <w:rPr>
          <w:rFonts w:asciiTheme="majorHAnsi" w:hAnsiTheme="majorHAnsi" w:cs="Times New Roman"/>
          <w:lang w:val="sq-AL"/>
        </w:rPr>
        <w:t xml:space="preserve">”, duke përcaktuar si afatet strikte të raportimit nga ana e institucioneve buxhetore, ashtu edhe ato të analizimit dhe publikimit nga ana e MFE. </w:t>
      </w:r>
    </w:p>
    <w:p w14:paraId="79522D02" w14:textId="77777777" w:rsidR="007B5FA8" w:rsidRPr="002E06C4" w:rsidRDefault="007B5FA8" w:rsidP="007B5FA8">
      <w:pPr>
        <w:spacing w:line="276" w:lineRule="auto"/>
        <w:jc w:val="both"/>
        <w:rPr>
          <w:rFonts w:asciiTheme="majorHAnsi" w:hAnsiTheme="majorHAnsi" w:cs="Times New Roman"/>
          <w:sz w:val="12"/>
          <w:szCs w:val="12"/>
          <w:lang w:val="sq-AL"/>
        </w:rPr>
      </w:pPr>
    </w:p>
    <w:p w14:paraId="60959152" w14:textId="77777777" w:rsidR="007B5FA8" w:rsidRPr="002E06C4" w:rsidRDefault="007B5FA8" w:rsidP="007B5FA8">
      <w:p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Për më tepër, që prej muajit Janar 2018, Ministria e Financave dhe Ekonomisë inicioi edhe monitorimin periodik mbi ekzekutimin e pagesave (likujdimin) e detyrimeve të prapambetura përçdo institucion buxhetor, sipas angazhimeve të marra prej tyre për vitin buxhetor 2018. Kjo, krahas përditësimit dhe monitorimit të skedulit të parashikuar të këtyre pagesave edhe për vitin që pason, pra deri në Dhjetor 2019. </w:t>
      </w:r>
    </w:p>
    <w:p w14:paraId="64F4F0B2" w14:textId="77777777" w:rsidR="007B5FA8" w:rsidRPr="002E06C4" w:rsidRDefault="007B5FA8" w:rsidP="007B5FA8">
      <w:pPr>
        <w:spacing w:line="276" w:lineRule="auto"/>
        <w:jc w:val="both"/>
        <w:rPr>
          <w:rFonts w:asciiTheme="majorHAnsi" w:hAnsiTheme="majorHAnsi" w:cs="Times New Roman"/>
          <w:sz w:val="12"/>
          <w:szCs w:val="12"/>
          <w:lang w:val="sq-AL"/>
        </w:rPr>
      </w:pPr>
    </w:p>
    <w:p w14:paraId="23C2CAD0" w14:textId="77777777" w:rsidR="00236222" w:rsidRPr="002E06C4" w:rsidRDefault="00236222" w:rsidP="001C3F86">
      <w:pPr>
        <w:pStyle w:val="Caption"/>
        <w:keepNext/>
        <w:spacing w:after="0"/>
        <w:rPr>
          <w:rFonts w:asciiTheme="majorHAnsi" w:hAnsiTheme="majorHAnsi" w:cs="Times New Roman"/>
          <w:lang w:val="sq-AL"/>
        </w:rPr>
      </w:pPr>
      <w:bookmarkStart w:id="212" w:name="_Toc11141714"/>
      <w:r w:rsidRPr="002E06C4">
        <w:rPr>
          <w:rFonts w:asciiTheme="majorHAnsi" w:hAnsiTheme="majorHAnsi" w:cs="Times New Roman"/>
          <w:lang w:val="sq-AL"/>
        </w:rPr>
        <w:t xml:space="preserve">Grafiku </w:t>
      </w:r>
      <w:r w:rsidRPr="002E06C4">
        <w:rPr>
          <w:rFonts w:asciiTheme="majorHAnsi" w:hAnsiTheme="majorHAnsi" w:cs="Times New Roman"/>
          <w:lang w:val="sq-AL"/>
        </w:rPr>
        <w:fldChar w:fldCharType="begin"/>
      </w:r>
      <w:r w:rsidRPr="002E06C4">
        <w:rPr>
          <w:rFonts w:asciiTheme="majorHAnsi" w:hAnsiTheme="majorHAnsi" w:cs="Times New Roman"/>
          <w:lang w:val="sq-AL"/>
        </w:rPr>
        <w:instrText xml:space="preserve"> SEQ Grafiku \* ARABIC </w:instrText>
      </w:r>
      <w:r w:rsidRPr="002E06C4">
        <w:rPr>
          <w:rFonts w:asciiTheme="majorHAnsi" w:hAnsiTheme="majorHAnsi" w:cs="Times New Roman"/>
          <w:lang w:val="sq-AL"/>
        </w:rPr>
        <w:fldChar w:fldCharType="separate"/>
      </w:r>
      <w:r w:rsidR="006A57F3">
        <w:rPr>
          <w:rFonts w:asciiTheme="majorHAnsi" w:hAnsiTheme="majorHAnsi" w:cs="Times New Roman"/>
          <w:noProof/>
          <w:lang w:val="sq-AL"/>
        </w:rPr>
        <w:t>38</w:t>
      </w:r>
      <w:r w:rsidRPr="002E06C4">
        <w:rPr>
          <w:rFonts w:asciiTheme="majorHAnsi" w:hAnsiTheme="majorHAnsi" w:cs="Times New Roman"/>
          <w:lang w:val="sq-AL"/>
        </w:rPr>
        <w:fldChar w:fldCharType="end"/>
      </w:r>
      <w:r w:rsidR="002051A5" w:rsidRPr="002E06C4">
        <w:rPr>
          <w:rFonts w:asciiTheme="majorHAnsi" w:hAnsiTheme="majorHAnsi" w:cs="Times New Roman"/>
          <w:lang w:val="sq-AL"/>
        </w:rPr>
        <w:t xml:space="preserve"> Stoku i</w:t>
      </w:r>
      <w:r w:rsidRPr="002E06C4">
        <w:rPr>
          <w:rFonts w:asciiTheme="majorHAnsi" w:hAnsiTheme="majorHAnsi" w:cs="Times New Roman"/>
          <w:lang w:val="sq-AL"/>
        </w:rPr>
        <w:t xml:space="preserve"> detyrimeve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prapambetura qendrore gjat</w:t>
      </w:r>
      <w:r w:rsidR="00C33B16" w:rsidRPr="002E06C4">
        <w:rPr>
          <w:rFonts w:asciiTheme="majorHAnsi" w:hAnsiTheme="majorHAnsi" w:cs="Times New Roman"/>
          <w:lang w:val="sq-AL"/>
        </w:rPr>
        <w:t>ë</w:t>
      </w:r>
      <w:r w:rsidR="00356552" w:rsidRPr="002E06C4">
        <w:rPr>
          <w:rFonts w:asciiTheme="majorHAnsi" w:hAnsiTheme="majorHAnsi" w:cs="Times New Roman"/>
          <w:lang w:val="sq-AL"/>
        </w:rPr>
        <w:t xml:space="preserve"> vitit 2018 (MEI dhe ministri</w:t>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tjera),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milion lek</w:t>
      </w:r>
      <w:r w:rsidR="00C33B16" w:rsidRPr="002E06C4">
        <w:rPr>
          <w:rFonts w:asciiTheme="majorHAnsi" w:hAnsiTheme="majorHAnsi" w:cs="Times New Roman"/>
          <w:lang w:val="sq-AL"/>
        </w:rPr>
        <w:t>ë</w:t>
      </w:r>
      <w:bookmarkEnd w:id="212"/>
    </w:p>
    <w:p w14:paraId="02EB417E" w14:textId="77777777" w:rsidR="002350D2" w:rsidRPr="002E06C4" w:rsidRDefault="00FA0BF8" w:rsidP="002350D2">
      <w:pPr>
        <w:jc w:val="center"/>
        <w:rPr>
          <w:rFonts w:asciiTheme="majorHAnsi" w:eastAsia="Calibri" w:hAnsiTheme="majorHAnsi" w:cs="Times New Roman"/>
          <w:b/>
          <w:i/>
          <w:sz w:val="18"/>
          <w:lang w:val="sq-AL"/>
        </w:rPr>
      </w:pPr>
      <w:r w:rsidRPr="002E06C4">
        <w:rPr>
          <w:noProof/>
        </w:rPr>
        <w:drawing>
          <wp:inline distT="0" distB="0" distL="0" distR="0" wp14:anchorId="068205B3" wp14:editId="452150C2">
            <wp:extent cx="5943600" cy="2148840"/>
            <wp:effectExtent l="0" t="0" r="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63C2D88" w14:textId="77777777" w:rsidR="007D7D97" w:rsidRPr="002E06C4" w:rsidRDefault="007D7D97" w:rsidP="007D7D97">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1DAB7B13" w14:textId="77777777" w:rsidR="00FA0BF8" w:rsidRPr="002E06C4" w:rsidRDefault="00FA0BF8" w:rsidP="00FA0BF8">
      <w:pPr>
        <w:jc w:val="both"/>
        <w:rPr>
          <w:rFonts w:asciiTheme="majorHAnsi" w:hAnsiTheme="majorHAnsi" w:cs="Times New Roman"/>
          <w:sz w:val="12"/>
          <w:szCs w:val="12"/>
          <w:lang w:val="sq-AL"/>
        </w:rPr>
      </w:pPr>
    </w:p>
    <w:p w14:paraId="569D4904" w14:textId="77777777" w:rsidR="00FA0BF8" w:rsidRPr="002E06C4" w:rsidRDefault="00FA0BF8" w:rsidP="00FA0BF8">
      <w:pPr>
        <w:spacing w:line="276" w:lineRule="auto"/>
        <w:jc w:val="both"/>
        <w:rPr>
          <w:rFonts w:asciiTheme="majorHAnsi" w:hAnsiTheme="majorHAnsi" w:cs="Times New Roman"/>
          <w:lang w:val="sq-AL"/>
        </w:rPr>
      </w:pPr>
      <w:r w:rsidRPr="002E06C4">
        <w:rPr>
          <w:rFonts w:asciiTheme="majorHAnsi" w:hAnsiTheme="majorHAnsi" w:cs="Times New Roman"/>
          <w:lang w:val="sq-AL"/>
        </w:rPr>
        <w:t xml:space="preserve">Gjatë vitit 2018, MFE ka ndjekur hap pas hapi skedulin e shlyerjes nga Njësitë e Qeverisjes Qëndrore të detyrimeve të trashëguara nga periudhat e mëparshme, duke mbajtur në këtë mënyrë nën kotroll nivelin e tyre, sidomos për detyrimet kontraktuale. </w:t>
      </w:r>
      <w:r w:rsidR="00FD4292" w:rsidRPr="002E06C4">
        <w:rPr>
          <w:rFonts w:asciiTheme="majorHAnsi" w:hAnsiTheme="majorHAnsi" w:cs="Times New Roman"/>
          <w:lang w:val="sq-AL"/>
        </w:rPr>
        <w:t>Vlerësojmë që gjatë vitit 2018 janë është shlyer një nivel total prej rreth 5 miliardë lekë detyrime të prapambetura.</w:t>
      </w:r>
    </w:p>
    <w:p w14:paraId="6B06F25F" w14:textId="77777777" w:rsidR="00FA0BF8" w:rsidRPr="002E06C4" w:rsidRDefault="00FA0BF8" w:rsidP="00FA0BF8">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 xml:space="preserve">Në këto kushte, duke konsideruar që procesi i shlyerjes së detyrimeve nga ana e institucioneve bëhët në respektim të parimit FIFO (First in, First out), rezulton se detyrimet që mbeten për t’u shlyer gjatë vitit 2019 karakterizohen nga një “moshë mesatare” e </w:t>
      </w:r>
      <w:r w:rsidR="00FD4292" w:rsidRPr="002E06C4">
        <w:rPr>
          <w:rFonts w:asciiTheme="majorHAnsi" w:hAnsiTheme="majorHAnsi" w:cs="Times New Roman"/>
          <w:lang w:val="sq-AL"/>
        </w:rPr>
        <w:t>re e krijimit të tyre.</w:t>
      </w:r>
      <w:r w:rsidRPr="002E06C4">
        <w:rPr>
          <w:rFonts w:asciiTheme="majorHAnsi" w:hAnsiTheme="majorHAnsi" w:cs="Times New Roman"/>
          <w:lang w:val="sq-AL"/>
        </w:rPr>
        <w:t xml:space="preserve">  </w:t>
      </w:r>
    </w:p>
    <w:p w14:paraId="048D1123" w14:textId="77777777" w:rsidR="008A32EC" w:rsidRPr="002E06C4" w:rsidRDefault="008A32EC" w:rsidP="00FA0BF8">
      <w:pPr>
        <w:spacing w:line="276" w:lineRule="auto"/>
        <w:jc w:val="both"/>
        <w:rPr>
          <w:rFonts w:asciiTheme="majorHAnsi" w:hAnsiTheme="majorHAnsi" w:cs="Times New Roman"/>
          <w:sz w:val="12"/>
          <w:szCs w:val="12"/>
          <w:lang w:val="sq-AL"/>
        </w:rPr>
      </w:pPr>
    </w:p>
    <w:p w14:paraId="32D73179" w14:textId="77777777" w:rsidR="00797534" w:rsidRPr="002E06C4" w:rsidRDefault="00797534" w:rsidP="008A32EC">
      <w:pPr>
        <w:spacing w:line="276" w:lineRule="auto"/>
        <w:contextualSpacing/>
        <w:jc w:val="both"/>
        <w:rPr>
          <w:rFonts w:asciiTheme="majorHAnsi" w:eastAsia="Calibri" w:hAnsiTheme="majorHAnsi" w:cs="Times New Roman"/>
          <w:bCs/>
          <w:i/>
          <w:u w:val="single"/>
          <w:lang w:val="sq-AL" w:eastAsia="sq-AL"/>
        </w:rPr>
      </w:pPr>
      <w:r w:rsidRPr="002E06C4">
        <w:rPr>
          <w:rFonts w:asciiTheme="majorHAnsi" w:eastAsia="Calibri" w:hAnsiTheme="majorHAnsi" w:cs="Times New Roman"/>
          <w:bCs/>
          <w:i/>
          <w:u w:val="single"/>
          <w:lang w:val="sq-AL" w:eastAsia="sq-AL"/>
        </w:rPr>
        <w:t>Vendimet gjyqësore administrative të formës së prerë:</w:t>
      </w:r>
    </w:p>
    <w:p w14:paraId="0491CCEC" w14:textId="77777777" w:rsidR="00797534" w:rsidRPr="002E06C4" w:rsidRDefault="00797534" w:rsidP="00797534">
      <w:pPr>
        <w:numPr>
          <w:ilvl w:val="0"/>
          <w:numId w:val="12"/>
        </w:numPr>
        <w:spacing w:after="200" w:line="276" w:lineRule="auto"/>
        <w:contextualSpacing/>
        <w:jc w:val="both"/>
        <w:rPr>
          <w:rFonts w:asciiTheme="majorHAnsi" w:eastAsia="Calibri" w:hAnsiTheme="majorHAnsi" w:cs="Times New Roman"/>
          <w:bCs/>
          <w:lang w:val="sq-AL" w:eastAsia="sq-AL"/>
        </w:rPr>
      </w:pPr>
      <w:r w:rsidRPr="002E06C4">
        <w:rPr>
          <w:rFonts w:asciiTheme="majorHAnsi" w:eastAsia="Calibri" w:hAnsiTheme="majorHAnsi" w:cs="Times New Roman"/>
          <w:bCs/>
          <w:lang w:val="sq-AL" w:eastAsia="sq-AL"/>
        </w:rPr>
        <w:t xml:space="preserve">Këto vendime kanë kryesisht në sfond largimet e padrejta nga puna të ish-punonjësve, të cilat në çdo rast implikojnë kosto buxhetore të paparashikuara. Këto detyrime monitorohen dhe raportohen nga Miinistria e Financave dhe Ekonomisë, në kuadër të monitorimit të përgjithshëm të detyrimeve të prapambetura. </w:t>
      </w:r>
    </w:p>
    <w:p w14:paraId="686F24AB" w14:textId="77777777" w:rsidR="00797534" w:rsidRPr="002E06C4" w:rsidRDefault="00797534" w:rsidP="00797534">
      <w:pPr>
        <w:spacing w:before="240" w:after="200" w:line="276" w:lineRule="auto"/>
        <w:ind w:left="1080"/>
        <w:contextualSpacing/>
        <w:jc w:val="both"/>
        <w:rPr>
          <w:rFonts w:asciiTheme="majorHAnsi" w:eastAsia="Calibri" w:hAnsiTheme="majorHAnsi" w:cs="Times New Roman"/>
          <w:i/>
          <w:sz w:val="8"/>
          <w:szCs w:val="8"/>
          <w:lang w:val="sq-AL"/>
        </w:rPr>
      </w:pPr>
    </w:p>
    <w:p w14:paraId="0ADE9109" w14:textId="77777777" w:rsidR="00797534" w:rsidRPr="002E06C4" w:rsidRDefault="00797534" w:rsidP="00797534">
      <w:pPr>
        <w:numPr>
          <w:ilvl w:val="0"/>
          <w:numId w:val="11"/>
        </w:numPr>
        <w:spacing w:before="240" w:after="200" w:line="276" w:lineRule="auto"/>
        <w:contextualSpacing/>
        <w:jc w:val="both"/>
        <w:rPr>
          <w:rFonts w:asciiTheme="majorHAnsi" w:eastAsia="Calibri" w:hAnsiTheme="majorHAnsi" w:cs="Times New Roman"/>
          <w:i/>
          <w:lang w:val="sq-AL"/>
        </w:rPr>
      </w:pPr>
      <w:r w:rsidRPr="002E06C4">
        <w:rPr>
          <w:rFonts w:asciiTheme="majorHAnsi" w:eastAsia="Calibri" w:hAnsiTheme="majorHAnsi" w:cs="Times New Roman"/>
          <w:i/>
          <w:lang w:val="sq-AL"/>
        </w:rPr>
        <w:t xml:space="preserve">Për vitin 2018, detyrimet e prapambetura për vendime gjyqësore rezultuan në rreth 1.92 miliard lekë ose 31.1 përqind e stokut total të detyrimeve të prapambetura qendrore. </w:t>
      </w:r>
      <w:r w:rsidRPr="002E06C4">
        <w:rPr>
          <w:rFonts w:asciiTheme="majorHAnsi" w:hAnsiTheme="majorHAnsi" w:cs="Times New Roman"/>
          <w:lang w:val="sq-AL"/>
        </w:rPr>
        <w:t xml:space="preserve">Grafiku i mëposhtëm paraqet ecurinë e nivelit të detyrimeve të prapambetura </w:t>
      </w:r>
      <w:r w:rsidRPr="002E06C4">
        <w:rPr>
          <w:rFonts w:asciiTheme="majorHAnsi" w:eastAsia="Calibri" w:hAnsiTheme="majorHAnsi" w:cs="Times New Roman"/>
          <w:i/>
          <w:lang w:val="sq-AL"/>
        </w:rPr>
        <w:t>për vendime gjyqësore</w:t>
      </w:r>
      <w:r w:rsidRPr="002E06C4">
        <w:rPr>
          <w:rFonts w:asciiTheme="majorHAnsi" w:hAnsiTheme="majorHAnsi" w:cs="Times New Roman"/>
          <w:lang w:val="sq-AL"/>
        </w:rPr>
        <w:t xml:space="preserve"> për vitin 2018, mbi bazë tremujore.</w:t>
      </w:r>
    </w:p>
    <w:p w14:paraId="176EC2BD" w14:textId="77777777" w:rsidR="00797534" w:rsidRPr="002E06C4" w:rsidRDefault="00797534" w:rsidP="00797534">
      <w:pPr>
        <w:spacing w:before="240" w:after="200" w:line="276" w:lineRule="auto"/>
        <w:ind w:left="720"/>
        <w:contextualSpacing/>
        <w:jc w:val="both"/>
        <w:rPr>
          <w:rFonts w:asciiTheme="majorHAnsi" w:eastAsia="Calibri" w:hAnsiTheme="majorHAnsi" w:cs="Times New Roman"/>
          <w:bCs/>
          <w:sz w:val="8"/>
          <w:szCs w:val="8"/>
          <w:lang w:val="sq-AL" w:eastAsia="sq-AL"/>
        </w:rPr>
      </w:pPr>
    </w:p>
    <w:p w14:paraId="0F31968B" w14:textId="77777777" w:rsidR="00797534" w:rsidRPr="002E06C4" w:rsidRDefault="00797534" w:rsidP="00FE30FC">
      <w:pPr>
        <w:numPr>
          <w:ilvl w:val="0"/>
          <w:numId w:val="12"/>
        </w:numPr>
        <w:spacing w:before="240" w:after="200" w:line="276" w:lineRule="auto"/>
        <w:contextualSpacing/>
        <w:jc w:val="both"/>
        <w:rPr>
          <w:rFonts w:asciiTheme="majorHAnsi" w:hAnsiTheme="majorHAnsi"/>
          <w:lang w:val="sq-AL"/>
        </w:rPr>
      </w:pPr>
      <w:r w:rsidRPr="002E06C4">
        <w:rPr>
          <w:rFonts w:asciiTheme="majorHAnsi" w:eastAsia="Calibri" w:hAnsiTheme="majorHAnsi" w:cs="Times New Roman"/>
          <w:bCs/>
          <w:lang w:val="sq-AL" w:eastAsia="sq-AL"/>
        </w:rPr>
        <w:lastRenderedPageBreak/>
        <w:t>Ministria e Financave dhe Ekonomisë, për t’i paraprirë akumulimit të tyre në kohë, përveç një monitorimi periodik, vazhdimisht i ka bërë apel aftësisë menaxhuese të vetë institucioneve buxhetore, përmes aplikimit me këste të pagesës për përfituesit apo instrumentave të tjerë të lehtësimit dhe/ose zhvendosjes në kohë të të barrës së tyre buxhetore.</w:t>
      </w:r>
    </w:p>
    <w:p w14:paraId="7C6909B7" w14:textId="77777777" w:rsidR="00797534" w:rsidRPr="002E06C4" w:rsidRDefault="00797534" w:rsidP="00FE30FC">
      <w:pPr>
        <w:pStyle w:val="Caption"/>
        <w:spacing w:after="0"/>
        <w:jc w:val="both"/>
        <w:rPr>
          <w:rFonts w:asciiTheme="majorHAnsi" w:hAnsiTheme="majorHAnsi"/>
          <w:lang w:val="sq-AL"/>
        </w:rPr>
      </w:pPr>
      <w:bookmarkStart w:id="213" w:name="_Toc11141715"/>
      <w:r w:rsidRPr="00D46685">
        <w:rPr>
          <w:rFonts w:asciiTheme="majorHAnsi" w:hAnsiTheme="majorHAnsi"/>
          <w:lang w:val="sq-AL"/>
        </w:rPr>
        <w:t xml:space="preserve">Grafiku </w:t>
      </w:r>
      <w:r w:rsidRPr="00D46685">
        <w:rPr>
          <w:rFonts w:asciiTheme="majorHAnsi" w:hAnsiTheme="majorHAnsi"/>
          <w:noProof/>
          <w:lang w:val="sq-AL"/>
        </w:rPr>
        <w:fldChar w:fldCharType="begin"/>
      </w:r>
      <w:r w:rsidRPr="00D46685">
        <w:rPr>
          <w:rFonts w:asciiTheme="majorHAnsi" w:hAnsiTheme="majorHAnsi"/>
          <w:noProof/>
          <w:lang w:val="sq-AL"/>
        </w:rPr>
        <w:instrText xml:space="preserve"> SEQ Grafiku \* ARABIC </w:instrText>
      </w:r>
      <w:r w:rsidRPr="00D46685">
        <w:rPr>
          <w:rFonts w:asciiTheme="majorHAnsi" w:hAnsiTheme="majorHAnsi"/>
          <w:noProof/>
          <w:lang w:val="sq-AL"/>
        </w:rPr>
        <w:fldChar w:fldCharType="separate"/>
      </w:r>
      <w:r w:rsidR="006A57F3">
        <w:rPr>
          <w:rFonts w:asciiTheme="majorHAnsi" w:hAnsiTheme="majorHAnsi"/>
          <w:noProof/>
          <w:lang w:val="sq-AL"/>
        </w:rPr>
        <w:t>39</w:t>
      </w:r>
      <w:r w:rsidRPr="00D46685">
        <w:rPr>
          <w:rFonts w:asciiTheme="majorHAnsi" w:hAnsiTheme="majorHAnsi"/>
          <w:noProof/>
          <w:lang w:val="sq-AL"/>
        </w:rPr>
        <w:fldChar w:fldCharType="end"/>
      </w:r>
      <w:r w:rsidRPr="00D46685">
        <w:rPr>
          <w:rFonts w:asciiTheme="majorHAnsi" w:hAnsiTheme="majorHAnsi"/>
          <w:lang w:val="sq-AL"/>
        </w:rPr>
        <w:t xml:space="preserve"> Ecuria e detyrimeve të prapambetura për vendime gjyqësore gjatë vitit 2018 (në milionë lekë)</w:t>
      </w:r>
      <w:bookmarkEnd w:id="213"/>
      <w:r w:rsidRPr="00D46685">
        <w:rPr>
          <w:rFonts w:asciiTheme="majorHAnsi" w:hAnsiTheme="majorHAnsi"/>
          <w:lang w:val="sq-AL"/>
        </w:rPr>
        <w:t xml:space="preserve"> </w:t>
      </w:r>
    </w:p>
    <w:p w14:paraId="64A6ACA9" w14:textId="77777777" w:rsidR="00FE30FC" w:rsidRPr="002E06C4" w:rsidRDefault="00FE30FC" w:rsidP="00FE30FC">
      <w:pPr>
        <w:rPr>
          <w:sz w:val="8"/>
          <w:szCs w:val="8"/>
          <w:lang w:val="sq-AL"/>
        </w:rPr>
      </w:pPr>
    </w:p>
    <w:p w14:paraId="693AC0E9" w14:textId="77777777" w:rsidR="00797534" w:rsidRPr="002E06C4" w:rsidRDefault="00F82416" w:rsidP="00797534">
      <w:pPr>
        <w:jc w:val="center"/>
        <w:rPr>
          <w:lang w:val="sq-AL"/>
        </w:rPr>
      </w:pPr>
      <w:r>
        <w:rPr>
          <w:noProof/>
        </w:rPr>
        <w:drawing>
          <wp:inline distT="0" distB="0" distL="0" distR="0" wp14:anchorId="2A240D2D" wp14:editId="441A4400">
            <wp:extent cx="5998845" cy="1821180"/>
            <wp:effectExtent l="0" t="0" r="190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8845" cy="1821180"/>
                    </a:xfrm>
                    <a:prstGeom prst="rect">
                      <a:avLst/>
                    </a:prstGeom>
                    <a:noFill/>
                  </pic:spPr>
                </pic:pic>
              </a:graphicData>
            </a:graphic>
          </wp:inline>
        </w:drawing>
      </w:r>
    </w:p>
    <w:p w14:paraId="0E078B9B" w14:textId="77777777" w:rsidR="00797534" w:rsidRPr="002E06C4" w:rsidRDefault="00797534" w:rsidP="007B5FA8">
      <w:pPr>
        <w:pStyle w:val="ListParagraph"/>
        <w:spacing w:before="120" w:line="276" w:lineRule="auto"/>
        <w:ind w:left="0"/>
        <w:jc w:val="both"/>
        <w:rPr>
          <w:rFonts w:asciiTheme="majorHAnsi" w:hAnsiTheme="majorHAnsi" w:cs="Times New Roman"/>
          <w:sz w:val="8"/>
          <w:szCs w:val="8"/>
          <w:lang w:val="sq-AL"/>
        </w:rPr>
      </w:pPr>
    </w:p>
    <w:p w14:paraId="52836E6F" w14:textId="77777777" w:rsidR="007B5FA8" w:rsidRPr="002E06C4" w:rsidRDefault="007B5FA8" w:rsidP="007B5FA8">
      <w:pPr>
        <w:pStyle w:val="ListParagraph"/>
        <w:spacing w:before="120" w:line="276" w:lineRule="auto"/>
        <w:ind w:left="0"/>
        <w:jc w:val="both"/>
        <w:rPr>
          <w:rFonts w:asciiTheme="majorHAnsi" w:hAnsiTheme="majorHAnsi" w:cs="Times New Roman"/>
          <w:lang w:val="sq-AL"/>
        </w:rPr>
      </w:pPr>
      <w:r w:rsidRPr="002E06C4">
        <w:rPr>
          <w:rFonts w:asciiTheme="majorHAnsi" w:hAnsiTheme="majorHAnsi" w:cs="Times New Roman"/>
          <w:lang w:val="sq-AL"/>
        </w:rPr>
        <w:t>Në përfundim, parë në një aspekt më të gjerë dhe gjithëpërfshirës, Ministria e Financave dhe Ekonomisë i ka sugjeruar të gjitha njësive të auditimit të brendshëm në sektorin publik që në “</w:t>
      </w:r>
      <w:r w:rsidRPr="002E06C4">
        <w:rPr>
          <w:rFonts w:asciiTheme="majorHAnsi" w:hAnsiTheme="majorHAnsi" w:cs="Times New Roman"/>
          <w:i/>
          <w:lang w:val="sq-AL"/>
        </w:rPr>
        <w:t>Planin strategjik dhe vjetor të veprimtarisë audituese për vitet 2018 – 2020</w:t>
      </w:r>
      <w:r w:rsidRPr="002E06C4">
        <w:rPr>
          <w:rFonts w:asciiTheme="majorHAnsi" w:hAnsiTheme="majorHAnsi" w:cs="Times New Roman"/>
          <w:lang w:val="sq-AL"/>
        </w:rPr>
        <w:t xml:space="preserve">” të përfshijnë angazhime auditimi për analizimin dhe vlerësimin e situatës së detyrimeve të prapambetura të njësive publike. Kjo, përsa kohë që detyrimet e prapambetura janë përcaktuar si fushë me risk të lartë, dhe duhet të trajtohen me përparësi nga auditimi i brendshëm i njësive publike, për të paraqituar gjendjen aktuale dhe për të dhënë rekomandime sa më të vlefshme për shlyerjen e tyre në afate të përcaktuara. Grafiku i mëposhtëm paraqet ecurinë e nivelit të detyrimeve të prapambetura për vitin 2018. </w:t>
      </w:r>
    </w:p>
    <w:p w14:paraId="173069D9" w14:textId="77777777" w:rsidR="00797534" w:rsidRPr="00062D5D" w:rsidRDefault="00797534" w:rsidP="007B5FA8">
      <w:pPr>
        <w:pStyle w:val="ListParagraph"/>
        <w:spacing w:before="120" w:line="276" w:lineRule="auto"/>
        <w:ind w:left="0"/>
        <w:jc w:val="both"/>
        <w:rPr>
          <w:rFonts w:asciiTheme="majorHAnsi" w:hAnsiTheme="majorHAnsi" w:cs="Times New Roman"/>
          <w:sz w:val="16"/>
          <w:lang w:val="sq-AL"/>
        </w:rPr>
      </w:pPr>
    </w:p>
    <w:p w14:paraId="37597549" w14:textId="77777777" w:rsidR="002350D2" w:rsidRPr="002E06C4" w:rsidRDefault="002350D2" w:rsidP="001C3F86">
      <w:pPr>
        <w:pStyle w:val="Heading2"/>
        <w:numPr>
          <w:ilvl w:val="1"/>
          <w:numId w:val="4"/>
        </w:numPr>
        <w:ind w:left="630" w:hanging="630"/>
        <w:rPr>
          <w:rFonts w:cs="Times New Roman"/>
          <w:noProof/>
          <w:color w:val="4F81BD" w:themeColor="accent1"/>
          <w:lang w:val="sq-AL"/>
        </w:rPr>
      </w:pPr>
      <w:bookmarkStart w:id="214" w:name="_Toc374447187"/>
      <w:bookmarkStart w:id="215" w:name="_Toc374620506"/>
      <w:bookmarkStart w:id="216" w:name="_Toc495672782"/>
      <w:bookmarkStart w:id="217" w:name="_Toc10033286"/>
      <w:bookmarkStart w:id="218" w:name="_Toc10721423"/>
      <w:bookmarkStart w:id="219" w:name="_Toc11134243"/>
      <w:bookmarkEnd w:id="214"/>
      <w:bookmarkEnd w:id="215"/>
      <w:bookmarkEnd w:id="216"/>
      <w:r w:rsidRPr="002E06C4">
        <w:rPr>
          <w:rFonts w:cs="Times New Roman"/>
          <w:noProof/>
          <w:color w:val="4F81BD" w:themeColor="accent1"/>
          <w:lang w:val="sq-AL"/>
        </w:rPr>
        <w:t>Koncesionet/PPP-të</w:t>
      </w:r>
      <w:bookmarkEnd w:id="217"/>
      <w:bookmarkEnd w:id="218"/>
      <w:bookmarkEnd w:id="219"/>
    </w:p>
    <w:p w14:paraId="7DF547FC" w14:textId="77777777" w:rsidR="00E04811" w:rsidRPr="002E06C4" w:rsidRDefault="00E04811" w:rsidP="00E04811">
      <w:pPr>
        <w:spacing w:before="240" w:after="200" w:line="276" w:lineRule="auto"/>
        <w:contextualSpacing/>
        <w:jc w:val="both"/>
        <w:rPr>
          <w:rFonts w:asciiTheme="majorHAnsi" w:hAnsiTheme="majorHAnsi" w:cs="Times New Roman"/>
          <w:lang w:val="sq-AL"/>
        </w:rPr>
      </w:pPr>
      <w:r w:rsidRPr="002E06C4">
        <w:rPr>
          <w:rFonts w:asciiTheme="majorHAnsi" w:hAnsiTheme="majorHAnsi" w:cs="Times New Roman"/>
          <w:lang w:val="sq-AL"/>
        </w:rPr>
        <w:t xml:space="preserve">Ministria e Financave dhe Ekonomisë (MFE)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 Shuma totale e pagesave vjetore neto, që kryhen nga njësitë e qeverisjes së përgjithshme, të cilat rezultojnë nga kontrata koncesionare apo partneriteti publik privat (PPP), si rregull, nuk duhet të tejkalojë kufirin prej 5 përqind të të ardhurave tatimore faktike të vitit paraardhës buxhetor. Në rast tejkalimi të këtij kufiri, Këshilli i Ministrave merr masa korrektuese në krahun e të ardhurave buxhetore, të nevojshme dhe të mjaftueshme, për t’u rikthyer brenda kufirit të lejuar, gjatë dy viteve të ardhshme buxhetore. </w:t>
      </w:r>
    </w:p>
    <w:p w14:paraId="45D77FEA" w14:textId="77777777" w:rsidR="00E04811" w:rsidRPr="002E06C4" w:rsidRDefault="00E04811" w:rsidP="00E04811">
      <w:pPr>
        <w:spacing w:before="240" w:after="200" w:line="276" w:lineRule="auto"/>
        <w:contextualSpacing/>
        <w:jc w:val="both"/>
        <w:rPr>
          <w:rFonts w:asciiTheme="majorHAnsi" w:hAnsiTheme="majorHAnsi" w:cs="Times New Roman"/>
          <w:sz w:val="8"/>
          <w:szCs w:val="8"/>
          <w:lang w:val="sq-AL"/>
        </w:rPr>
      </w:pPr>
    </w:p>
    <w:p w14:paraId="7753071A" w14:textId="77777777" w:rsidR="00E04811" w:rsidRPr="002E06C4" w:rsidRDefault="00E04811" w:rsidP="00E04811">
      <w:pPr>
        <w:spacing w:before="240" w:after="200" w:line="276" w:lineRule="auto"/>
        <w:contextualSpacing/>
        <w:jc w:val="both"/>
        <w:rPr>
          <w:rFonts w:asciiTheme="majorHAnsi" w:hAnsiTheme="majorHAnsi" w:cs="Times New Roman"/>
          <w:lang w:val="sq-AL"/>
        </w:rPr>
      </w:pPr>
      <w:r w:rsidRPr="002E06C4">
        <w:rPr>
          <w:rFonts w:asciiTheme="majorHAnsi" w:hAnsiTheme="majorHAnsi" w:cs="Times New Roman"/>
          <w:lang w:val="sq-AL"/>
        </w:rPr>
        <w:t>Gjatë vitit 2018, MFE ka intensifikuar monitorimin e performancës financiare të kontratave koncesionare/PPP-ve me mbështetje buxhetore. Ky proçes është kryer në mënyrë periodike mbi bazë tremujore, me qëllim identifikimin dhe monitorimin hap pas hapi të risqeve potenciale që mund të materializohen nga implementimi i tyre. Gjatë vitit 2018 MFE, ka monitoruar jo vetëm ecurinë e pagesave faktike buxhetore për kontratat koncesionare/PPP por ka zgjeruar monitorimin duke u foksuar edhe në treguesit e performancës të planifikuar/realizuar për secilën kontratë koncesionare/PPP.</w:t>
      </w:r>
    </w:p>
    <w:p w14:paraId="47445B25" w14:textId="77777777" w:rsidR="00E04811" w:rsidRPr="002E06C4" w:rsidRDefault="00E04811" w:rsidP="00E04811">
      <w:pPr>
        <w:spacing w:before="240" w:after="200" w:line="276" w:lineRule="auto"/>
        <w:contextualSpacing/>
        <w:jc w:val="both"/>
        <w:rPr>
          <w:rFonts w:asciiTheme="majorHAnsi" w:hAnsiTheme="majorHAnsi" w:cs="Times New Roman"/>
          <w:lang w:val="sq-AL"/>
        </w:rPr>
      </w:pPr>
      <w:r w:rsidRPr="002E06C4">
        <w:rPr>
          <w:rFonts w:asciiTheme="majorHAnsi" w:hAnsiTheme="majorHAnsi" w:cs="Times New Roman"/>
          <w:lang w:val="sq-AL"/>
        </w:rPr>
        <w:lastRenderedPageBreak/>
        <w:t>Në këto kushte, referuar përgjegjësive specifike të njësive monitoruese respektive në MFE, të gjitha njësitë e qeverisjes qendrore, ndërmarrjet shtetërore dhe autoritetet kontraktuese janë të detyruara të paraqesin:</w:t>
      </w:r>
    </w:p>
    <w:p w14:paraId="24696718" w14:textId="77777777" w:rsidR="00E04811" w:rsidRPr="00E04811" w:rsidRDefault="00E04811" w:rsidP="00E04811">
      <w:pPr>
        <w:numPr>
          <w:ilvl w:val="0"/>
          <w:numId w:val="8"/>
        </w:numPr>
        <w:spacing w:before="240" w:after="200" w:line="276" w:lineRule="auto"/>
        <w:ind w:left="450" w:hanging="270"/>
        <w:contextualSpacing/>
        <w:jc w:val="both"/>
        <w:rPr>
          <w:rFonts w:ascii="Calibri" w:eastAsia="Calibri" w:hAnsi="Calibri" w:cs="Times New Roman"/>
          <w:u w:val="single"/>
          <w:lang w:val="sq-AL"/>
        </w:rPr>
      </w:pPr>
      <w:r w:rsidRPr="00E04811">
        <w:rPr>
          <w:rFonts w:ascii="Calibri" w:eastAsia="Calibri" w:hAnsi="Calibri" w:cs="Times New Roman"/>
          <w:u w:val="single"/>
          <w:lang w:val="sq-AL"/>
        </w:rPr>
        <w:t>Pranë Sektorit të Risqeve Fiskale në MFE:</w:t>
      </w:r>
    </w:p>
    <w:p w14:paraId="7AA4D696" w14:textId="77777777" w:rsidR="00E04811" w:rsidRPr="00E04811" w:rsidRDefault="00E04811" w:rsidP="00E04811">
      <w:pPr>
        <w:numPr>
          <w:ilvl w:val="0"/>
          <w:numId w:val="9"/>
        </w:numPr>
        <w:spacing w:after="200"/>
        <w:ind w:left="990"/>
        <w:contextualSpacing/>
        <w:jc w:val="both"/>
        <w:rPr>
          <w:rFonts w:ascii="Calibri" w:eastAsia="MS Mincho" w:hAnsi="Calibri" w:cs="Times New Roman"/>
          <w:i/>
          <w:lang w:val="sq-AL"/>
        </w:rPr>
      </w:pPr>
      <w:r w:rsidRPr="00E04811">
        <w:rPr>
          <w:rFonts w:ascii="Calibri" w:eastAsia="Calibri" w:hAnsi="Calibri" w:cs="Times New Roman"/>
          <w:i/>
          <w:lang w:val="sq-AL"/>
        </w:rPr>
        <w:t>Raportin periodik të detyrimeve të prapambetura dhe detyrimeve të krijuara rishtazi  në njësitë e qeverisjes qendrore;</w:t>
      </w:r>
    </w:p>
    <w:p w14:paraId="20C934A7" w14:textId="77777777" w:rsidR="00E04811" w:rsidRPr="00E04811" w:rsidRDefault="00E04811" w:rsidP="00E04811">
      <w:pPr>
        <w:numPr>
          <w:ilvl w:val="0"/>
          <w:numId w:val="9"/>
        </w:numPr>
        <w:spacing w:after="200"/>
        <w:ind w:left="990"/>
        <w:contextualSpacing/>
        <w:jc w:val="both"/>
        <w:rPr>
          <w:rFonts w:ascii="Calibri" w:eastAsia="MS Mincho" w:hAnsi="Calibri" w:cs="Times New Roman"/>
          <w:i/>
          <w:lang w:val="sq-AL"/>
        </w:rPr>
      </w:pPr>
      <w:r w:rsidRPr="00E04811">
        <w:rPr>
          <w:rFonts w:ascii="Calibri" w:eastAsia="Calibri" w:hAnsi="Calibri" w:cs="Times New Roman"/>
          <w:i/>
          <w:lang w:val="sq-AL"/>
        </w:rPr>
        <w:t>Raportin e detyrimeve të prapambetura të krijuara rishtazi për rimbursimin e TVSH-së;</w:t>
      </w:r>
    </w:p>
    <w:p w14:paraId="61F59D65" w14:textId="77777777" w:rsidR="00E04811" w:rsidRPr="00E04811" w:rsidRDefault="00E04811" w:rsidP="00E04811">
      <w:pPr>
        <w:numPr>
          <w:ilvl w:val="0"/>
          <w:numId w:val="9"/>
        </w:numPr>
        <w:spacing w:after="200"/>
        <w:ind w:left="990"/>
        <w:contextualSpacing/>
        <w:jc w:val="both"/>
        <w:rPr>
          <w:rFonts w:ascii="Calibri" w:eastAsia="MS Mincho" w:hAnsi="Calibri" w:cs="Times New Roman"/>
          <w:i/>
          <w:lang w:val="sq-AL"/>
        </w:rPr>
      </w:pPr>
      <w:r w:rsidRPr="00E04811">
        <w:rPr>
          <w:rFonts w:ascii="Calibri" w:eastAsia="Calibri" w:hAnsi="Calibri" w:cs="Times New Roman"/>
          <w:i/>
          <w:lang w:val="sq-AL"/>
        </w:rPr>
        <w:t>Skedulin e pagesave të detyrimeve të prapambetura;</w:t>
      </w:r>
    </w:p>
    <w:p w14:paraId="26A40469" w14:textId="77777777" w:rsidR="00E04811" w:rsidRPr="00E04811" w:rsidRDefault="00E04811" w:rsidP="00E04811">
      <w:pPr>
        <w:numPr>
          <w:ilvl w:val="0"/>
          <w:numId w:val="9"/>
        </w:numPr>
        <w:spacing w:after="200"/>
        <w:ind w:left="990"/>
        <w:contextualSpacing/>
        <w:jc w:val="both"/>
        <w:rPr>
          <w:rFonts w:ascii="Calibri" w:eastAsia="MS Mincho" w:hAnsi="Calibri" w:cs="Times New Roman"/>
          <w:i/>
          <w:lang w:val="sq-AL"/>
        </w:rPr>
      </w:pPr>
      <w:r w:rsidRPr="00E04811">
        <w:rPr>
          <w:rFonts w:ascii="Calibri" w:eastAsia="Calibri" w:hAnsi="Calibri" w:cs="Times New Roman"/>
          <w:i/>
          <w:lang w:val="sq-AL"/>
        </w:rPr>
        <w:t>Ndërmarrjet shtetërore në sektorin e energjisë dërgojnë pasqyrat financiare tre mujore dhe ndërmarrjet e tjera shtetërore raportojnë lidhur me treguesit kryesorë financiarë sipas formateve të përcaktuara në udhëzimin e zbatimit të buxhetit 2019;</w:t>
      </w:r>
    </w:p>
    <w:p w14:paraId="7D49E604" w14:textId="77777777" w:rsidR="00E04811" w:rsidRPr="00E04811" w:rsidRDefault="00E04811" w:rsidP="00E04811">
      <w:pPr>
        <w:numPr>
          <w:ilvl w:val="0"/>
          <w:numId w:val="9"/>
        </w:numPr>
        <w:spacing w:after="200"/>
        <w:ind w:left="990"/>
        <w:contextualSpacing/>
        <w:jc w:val="both"/>
        <w:rPr>
          <w:rFonts w:ascii="Calibri" w:eastAsia="MS Mincho" w:hAnsi="Calibri" w:cs="Times New Roman"/>
          <w:i/>
          <w:lang w:val="sq-AL"/>
        </w:rPr>
      </w:pPr>
      <w:r w:rsidRPr="00E04811">
        <w:rPr>
          <w:rFonts w:ascii="Calibri" w:eastAsia="MS Mincho" w:hAnsi="Calibri" w:cs="Times New Roman"/>
          <w:i/>
          <w:lang w:val="sq-AL"/>
        </w:rPr>
        <w:t>Raportin mujor mbi ecurinë e performancës financiare dhe jo financiare (treguesit e performancës) për kontratat e koncesioneve/PPP me mbështetje buxhetore.</w:t>
      </w:r>
    </w:p>
    <w:p w14:paraId="170A184C" w14:textId="77777777" w:rsidR="00E04811" w:rsidRPr="00E04811" w:rsidRDefault="00E04811" w:rsidP="00E04811">
      <w:pPr>
        <w:spacing w:before="240" w:after="200" w:line="276" w:lineRule="auto"/>
        <w:ind w:left="450"/>
        <w:contextualSpacing/>
        <w:jc w:val="both"/>
        <w:rPr>
          <w:rFonts w:ascii="Calibri" w:eastAsia="Calibri" w:hAnsi="Calibri" w:cs="Times New Roman"/>
          <w:sz w:val="8"/>
          <w:szCs w:val="8"/>
          <w:u w:val="single"/>
          <w:lang w:val="sq-AL"/>
        </w:rPr>
      </w:pPr>
    </w:p>
    <w:p w14:paraId="7952E45D" w14:textId="77777777" w:rsidR="00E04811" w:rsidRPr="00E04811" w:rsidRDefault="00E04811" w:rsidP="00E04811">
      <w:pPr>
        <w:numPr>
          <w:ilvl w:val="0"/>
          <w:numId w:val="8"/>
        </w:numPr>
        <w:spacing w:before="240" w:after="200" w:line="276" w:lineRule="auto"/>
        <w:ind w:left="450" w:hanging="270"/>
        <w:contextualSpacing/>
        <w:jc w:val="both"/>
        <w:rPr>
          <w:rFonts w:ascii="Calibri" w:eastAsia="Calibri" w:hAnsi="Calibri" w:cs="Times New Roman"/>
          <w:u w:val="single"/>
          <w:lang w:val="sq-AL"/>
        </w:rPr>
      </w:pPr>
      <w:r w:rsidRPr="00E04811">
        <w:rPr>
          <w:rFonts w:ascii="Calibri" w:eastAsia="Calibri" w:hAnsi="Calibri" w:cs="Times New Roman"/>
          <w:u w:val="single"/>
          <w:lang w:val="sq-AL"/>
        </w:rPr>
        <w:t>Pranë Drejtorisë së Konçesioneve në MFE:</w:t>
      </w:r>
    </w:p>
    <w:p w14:paraId="7C0FABEF" w14:textId="77777777" w:rsidR="00E04811" w:rsidRPr="00E04811" w:rsidRDefault="00E04811" w:rsidP="00E04811">
      <w:pPr>
        <w:numPr>
          <w:ilvl w:val="0"/>
          <w:numId w:val="9"/>
        </w:numPr>
        <w:spacing w:after="200" w:line="276" w:lineRule="auto"/>
        <w:ind w:left="990"/>
        <w:contextualSpacing/>
        <w:jc w:val="both"/>
        <w:rPr>
          <w:rFonts w:ascii="Calibri" w:eastAsia="Calibri" w:hAnsi="Calibri" w:cs="Times New Roman"/>
          <w:i/>
          <w:lang w:val="sq-AL"/>
        </w:rPr>
      </w:pPr>
      <w:r w:rsidRPr="00E04811">
        <w:rPr>
          <w:rFonts w:ascii="Calibri" w:eastAsia="Calibri" w:hAnsi="Calibri" w:cs="Times New Roman"/>
          <w:i/>
          <w:lang w:val="sq-AL"/>
        </w:rPr>
        <w:t>Raportin mbi ecurinë e termave të kontratës për të gjitha kontratat koncesionare/PPP;</w:t>
      </w:r>
    </w:p>
    <w:p w14:paraId="0043DC40" w14:textId="77777777" w:rsidR="00E04811" w:rsidRPr="00E04811" w:rsidRDefault="00E04811" w:rsidP="00E04811">
      <w:pPr>
        <w:numPr>
          <w:ilvl w:val="0"/>
          <w:numId w:val="9"/>
        </w:numPr>
        <w:spacing w:after="200" w:line="276" w:lineRule="auto"/>
        <w:ind w:left="990"/>
        <w:contextualSpacing/>
        <w:jc w:val="both"/>
        <w:rPr>
          <w:rFonts w:ascii="Calibri" w:eastAsia="Calibri" w:hAnsi="Calibri" w:cs="Times New Roman"/>
          <w:lang w:val="sq-AL"/>
        </w:rPr>
      </w:pPr>
      <w:r w:rsidRPr="00E04811">
        <w:rPr>
          <w:rFonts w:ascii="Calibri" w:eastAsia="Calibri" w:hAnsi="Calibri" w:cs="Times New Roman"/>
          <w:lang w:val="sq-AL"/>
        </w:rPr>
        <w:t>Raportin periodik të risqeve të përcaktuara në kontratë për të gjitha kontratat koncesionare/PPP.</w:t>
      </w:r>
    </w:p>
    <w:p w14:paraId="4665306F" w14:textId="77777777" w:rsidR="00E04811" w:rsidRPr="00E04811" w:rsidRDefault="00E04811" w:rsidP="00E04811">
      <w:pPr>
        <w:numPr>
          <w:ilvl w:val="0"/>
          <w:numId w:val="8"/>
        </w:numPr>
        <w:spacing w:after="200" w:line="276" w:lineRule="auto"/>
        <w:ind w:left="450" w:hanging="270"/>
        <w:contextualSpacing/>
        <w:jc w:val="both"/>
        <w:rPr>
          <w:rFonts w:ascii="Calibri" w:eastAsia="Calibri" w:hAnsi="Calibri" w:cs="Times New Roman"/>
          <w:u w:val="single"/>
          <w:lang w:val="sq-AL"/>
        </w:rPr>
      </w:pPr>
      <w:r w:rsidRPr="00E04811">
        <w:rPr>
          <w:rFonts w:ascii="Calibri" w:eastAsia="Calibri" w:hAnsi="Calibri" w:cs="Times New Roman"/>
          <w:u w:val="single"/>
          <w:lang w:val="sq-AL"/>
        </w:rPr>
        <w:t>Pranë ATRAKO-s në MFE:</w:t>
      </w:r>
    </w:p>
    <w:p w14:paraId="32FFDA1C" w14:textId="77777777" w:rsidR="00E04811" w:rsidRPr="00E04811" w:rsidRDefault="00E04811" w:rsidP="00E04811">
      <w:pPr>
        <w:numPr>
          <w:ilvl w:val="0"/>
          <w:numId w:val="9"/>
        </w:numPr>
        <w:spacing w:after="200" w:line="276" w:lineRule="auto"/>
        <w:ind w:left="990"/>
        <w:contextualSpacing/>
        <w:jc w:val="both"/>
        <w:rPr>
          <w:rFonts w:ascii="Calibri" w:eastAsia="Calibri" w:hAnsi="Calibri" w:cs="Times New Roman"/>
          <w:lang w:val="sq-AL"/>
        </w:rPr>
      </w:pPr>
      <w:r w:rsidRPr="00E04811">
        <w:rPr>
          <w:rFonts w:ascii="Calibri" w:eastAsia="Calibri" w:hAnsi="Calibri" w:cs="Times New Roman"/>
          <w:lang w:val="sq-AL"/>
        </w:rPr>
        <w:t>Kontratat e lidhura nga Autoritetet Kontraktore me dhe pa mbështetje buxhetore.</w:t>
      </w:r>
    </w:p>
    <w:p w14:paraId="1C5F267C" w14:textId="77777777" w:rsidR="00E04811" w:rsidRPr="00062D5D" w:rsidRDefault="00E04811" w:rsidP="00E04811">
      <w:pPr>
        <w:spacing w:line="276" w:lineRule="auto"/>
        <w:jc w:val="both"/>
        <w:rPr>
          <w:rFonts w:ascii="Calibri" w:eastAsia="Times New Roman" w:hAnsi="Calibri" w:cs="Times New Roman"/>
          <w:szCs w:val="20"/>
          <w:lang w:val="sq-AL"/>
        </w:rPr>
      </w:pPr>
    </w:p>
    <w:p w14:paraId="09543360" w14:textId="77777777" w:rsidR="00E04811" w:rsidRPr="00062D5D" w:rsidRDefault="00E04811" w:rsidP="00E04811">
      <w:pPr>
        <w:spacing w:line="276" w:lineRule="auto"/>
        <w:jc w:val="both"/>
        <w:rPr>
          <w:rFonts w:ascii="Calibri" w:eastAsia="Times New Roman" w:hAnsi="Calibri" w:cs="Times New Roman"/>
          <w:b/>
          <w:lang w:val="sq-AL"/>
        </w:rPr>
      </w:pPr>
      <w:r w:rsidRPr="00062D5D">
        <w:rPr>
          <w:rFonts w:ascii="Calibri" w:eastAsia="Times New Roman" w:hAnsi="Calibri" w:cs="Times New Roman"/>
          <w:b/>
          <w:lang w:val="sq-AL"/>
        </w:rPr>
        <w:t xml:space="preserve">Në fund të vitit 2018, në nivel total rezultoi se: </w:t>
      </w:r>
    </w:p>
    <w:p w14:paraId="7E43928F" w14:textId="77777777" w:rsidR="00E04811" w:rsidRPr="00E04811" w:rsidRDefault="00E04811" w:rsidP="00E04811">
      <w:pPr>
        <w:spacing w:line="276" w:lineRule="auto"/>
        <w:ind w:left="720"/>
        <w:contextualSpacing/>
        <w:jc w:val="both"/>
        <w:rPr>
          <w:rFonts w:ascii="Calibri" w:eastAsia="Times New Roman" w:hAnsi="Calibri" w:cs="Times New Roman"/>
          <w:i/>
          <w:sz w:val="8"/>
          <w:szCs w:val="8"/>
          <w:lang w:val="sq-AL"/>
        </w:rPr>
      </w:pPr>
    </w:p>
    <w:p w14:paraId="015A69FF" w14:textId="77777777" w:rsidR="00E04811" w:rsidRPr="00E04811" w:rsidRDefault="00E04811" w:rsidP="00E04811">
      <w:pPr>
        <w:numPr>
          <w:ilvl w:val="0"/>
          <w:numId w:val="6"/>
        </w:numPr>
        <w:spacing w:line="276" w:lineRule="auto"/>
        <w:contextualSpacing/>
        <w:jc w:val="both"/>
        <w:rPr>
          <w:rFonts w:ascii="Calibri" w:eastAsia="Times New Roman" w:hAnsi="Calibri" w:cs="Times New Roman"/>
          <w:lang w:val="sq-AL"/>
        </w:rPr>
      </w:pPr>
      <w:r w:rsidRPr="00E04811">
        <w:rPr>
          <w:rFonts w:ascii="Calibri" w:eastAsia="Times New Roman" w:hAnsi="Calibri" w:cs="Times New Roman"/>
          <w:lang w:val="sq-AL"/>
        </w:rPr>
        <w:t>11 kontrata koncesionare/PPP kishin planifikuar aktivitet vjetor, nga të cilat:</w:t>
      </w:r>
    </w:p>
    <w:p w14:paraId="04A0FA70" w14:textId="77777777" w:rsidR="00E04811" w:rsidRPr="00E04811" w:rsidRDefault="00E04811" w:rsidP="00E04811">
      <w:pPr>
        <w:numPr>
          <w:ilvl w:val="1"/>
          <w:numId w:val="6"/>
        </w:numPr>
        <w:spacing w:line="276" w:lineRule="auto"/>
        <w:contextualSpacing/>
        <w:jc w:val="both"/>
        <w:rPr>
          <w:rFonts w:ascii="Calibri" w:eastAsia="Times New Roman" w:hAnsi="Calibri" w:cs="Times New Roman"/>
          <w:i/>
          <w:lang w:val="sq-AL"/>
        </w:rPr>
      </w:pPr>
      <w:r w:rsidRPr="00E04811">
        <w:rPr>
          <w:rFonts w:ascii="Calibri" w:eastAsia="Times New Roman" w:hAnsi="Calibri" w:cs="Times New Roman"/>
          <w:i/>
          <w:lang w:val="sq-AL"/>
        </w:rPr>
        <w:t xml:space="preserve">Për 9 kontrata PPP u regjistruan pagesa faktike buxhetore, për periudhën 12 mujore </w:t>
      </w:r>
    </w:p>
    <w:p w14:paraId="2EB440E7" w14:textId="77777777" w:rsidR="00E04811" w:rsidRPr="00E04811" w:rsidRDefault="00E04811" w:rsidP="00E04811">
      <w:pPr>
        <w:numPr>
          <w:ilvl w:val="1"/>
          <w:numId w:val="6"/>
        </w:numPr>
        <w:spacing w:line="276" w:lineRule="auto"/>
        <w:contextualSpacing/>
        <w:jc w:val="both"/>
        <w:rPr>
          <w:rFonts w:ascii="Calibri" w:eastAsia="Times New Roman" w:hAnsi="Calibri" w:cs="Times New Roman"/>
          <w:i/>
          <w:lang w:val="sq-AL"/>
        </w:rPr>
      </w:pPr>
      <w:r w:rsidRPr="00E04811">
        <w:rPr>
          <w:rFonts w:ascii="Calibri" w:eastAsia="Times New Roman" w:hAnsi="Calibri" w:cs="Times New Roman"/>
          <w:i/>
          <w:lang w:val="sq-AL"/>
        </w:rPr>
        <w:t xml:space="preserve">Për 2 kontrata nuk u krye asnjë pagesë. </w:t>
      </w:r>
    </w:p>
    <w:p w14:paraId="542AB551" w14:textId="77777777" w:rsidR="00E04811" w:rsidRPr="00E04811" w:rsidRDefault="00E04811" w:rsidP="00E04811">
      <w:pPr>
        <w:spacing w:before="240" w:line="276" w:lineRule="auto"/>
        <w:ind w:left="720"/>
        <w:contextualSpacing/>
        <w:jc w:val="both"/>
        <w:rPr>
          <w:rFonts w:ascii="Calibri" w:eastAsia="Times New Roman" w:hAnsi="Calibri" w:cs="Times New Roman"/>
          <w:sz w:val="8"/>
          <w:szCs w:val="8"/>
          <w:lang w:val="sq-AL"/>
        </w:rPr>
      </w:pPr>
    </w:p>
    <w:p w14:paraId="057AC559" w14:textId="77777777" w:rsidR="00E04811" w:rsidRPr="00E04811" w:rsidRDefault="00E04811" w:rsidP="00E04811">
      <w:pPr>
        <w:numPr>
          <w:ilvl w:val="0"/>
          <w:numId w:val="6"/>
        </w:numPr>
        <w:spacing w:before="240" w:line="276" w:lineRule="auto"/>
        <w:contextualSpacing/>
        <w:jc w:val="both"/>
        <w:rPr>
          <w:rFonts w:ascii="Calibri" w:eastAsia="Times New Roman" w:hAnsi="Calibri" w:cs="Times New Roman"/>
          <w:lang w:val="sq-AL"/>
        </w:rPr>
      </w:pPr>
      <w:r w:rsidRPr="00E04811">
        <w:rPr>
          <w:rFonts w:ascii="Calibri" w:eastAsia="Times New Roman" w:hAnsi="Calibri" w:cs="Times New Roman"/>
          <w:lang w:val="sq-AL"/>
        </w:rPr>
        <w:t xml:space="preserve">Fondet buxhetore të planifikuara për vitin 2018, me destinacion mbështetjen nga buxheti për kontratat konçesionare/PPP, në total ishin </w:t>
      </w:r>
      <w:r w:rsidRPr="00E04811">
        <w:rPr>
          <w:rFonts w:ascii="Calibri" w:eastAsia="Times New Roman" w:hAnsi="Calibri" w:cs="Times New Roman"/>
          <w:u w:val="single"/>
          <w:lang w:val="sq-AL"/>
        </w:rPr>
        <w:t>rreth 8.85 miliardë lekë</w:t>
      </w:r>
      <w:r w:rsidRPr="00E04811">
        <w:rPr>
          <w:rFonts w:ascii="Calibri" w:eastAsia="Times New Roman" w:hAnsi="Calibri" w:cs="Times New Roman"/>
          <w:lang w:val="sq-AL"/>
        </w:rPr>
        <w:t xml:space="preserve">. </w:t>
      </w:r>
    </w:p>
    <w:p w14:paraId="51F1AC1E" w14:textId="77777777" w:rsidR="00E04811" w:rsidRPr="00E04811" w:rsidRDefault="00E04811" w:rsidP="00E04811">
      <w:pPr>
        <w:spacing w:line="276" w:lineRule="auto"/>
        <w:ind w:left="720"/>
        <w:contextualSpacing/>
        <w:jc w:val="both"/>
        <w:rPr>
          <w:rFonts w:ascii="Calibri" w:eastAsia="Times New Roman" w:hAnsi="Calibri" w:cs="Times New Roman"/>
          <w:sz w:val="8"/>
          <w:szCs w:val="8"/>
          <w:lang w:val="sq-AL"/>
        </w:rPr>
      </w:pPr>
    </w:p>
    <w:p w14:paraId="3F64CAFF" w14:textId="77777777" w:rsidR="00E04811" w:rsidRPr="00E04811" w:rsidRDefault="00E04811" w:rsidP="00E04811">
      <w:pPr>
        <w:numPr>
          <w:ilvl w:val="0"/>
          <w:numId w:val="6"/>
        </w:numPr>
        <w:spacing w:line="276" w:lineRule="auto"/>
        <w:contextualSpacing/>
        <w:jc w:val="both"/>
        <w:rPr>
          <w:rFonts w:ascii="Calibri" w:eastAsia="Times New Roman" w:hAnsi="Calibri" w:cs="Times New Roman"/>
          <w:lang w:val="sq-AL"/>
        </w:rPr>
      </w:pPr>
      <w:r w:rsidRPr="00E04811">
        <w:rPr>
          <w:rFonts w:ascii="Calibri" w:eastAsia="Times New Roman" w:hAnsi="Calibri" w:cs="Times New Roman"/>
          <w:lang w:val="sq-AL"/>
        </w:rPr>
        <w:t xml:space="preserve">Pagesat faktike </w:t>
      </w:r>
      <w:r w:rsidRPr="00E04811">
        <w:rPr>
          <w:rFonts w:ascii="Calibri" w:eastAsia="Times New Roman" w:hAnsi="Calibri" w:cs="Times New Roman"/>
          <w:u w:val="single"/>
          <w:lang w:val="sq-AL"/>
        </w:rPr>
        <w:t>për vitin 2018</w:t>
      </w:r>
      <w:r w:rsidRPr="00E04811">
        <w:rPr>
          <w:rFonts w:ascii="Calibri" w:eastAsia="Times New Roman" w:hAnsi="Calibri" w:cs="Times New Roman"/>
          <w:lang w:val="sq-AL"/>
        </w:rPr>
        <w:t xml:space="preserve">, në total rezultuan në </w:t>
      </w:r>
      <w:r w:rsidRPr="00E04811">
        <w:rPr>
          <w:rFonts w:ascii="Calibri" w:eastAsia="Times New Roman" w:hAnsi="Calibri" w:cs="Times New Roman"/>
          <w:u w:val="single"/>
          <w:lang w:val="sq-AL"/>
        </w:rPr>
        <w:t>rreth 8.76 miliardë lekë ose 99% e planit vjetor 2018</w:t>
      </w:r>
      <w:r w:rsidRPr="00E04811">
        <w:rPr>
          <w:rFonts w:ascii="Calibri" w:eastAsia="Times New Roman" w:hAnsi="Calibri" w:cs="Times New Roman"/>
          <w:lang w:val="sq-AL"/>
        </w:rPr>
        <w:t>.</w:t>
      </w:r>
    </w:p>
    <w:p w14:paraId="18CC7926" w14:textId="77777777" w:rsidR="00032B8A" w:rsidRPr="002E06C4" w:rsidRDefault="00032B8A" w:rsidP="00032B8A">
      <w:pPr>
        <w:spacing w:line="276" w:lineRule="auto"/>
        <w:jc w:val="both"/>
        <w:rPr>
          <w:rFonts w:asciiTheme="majorHAnsi" w:hAnsiTheme="majorHAnsi" w:cs="Times New Roman"/>
          <w:lang w:val="sq-AL"/>
        </w:rPr>
      </w:pPr>
    </w:p>
    <w:p w14:paraId="7750587B" w14:textId="77777777" w:rsidR="00032B8A" w:rsidRPr="002E06C4" w:rsidRDefault="00032B8A" w:rsidP="00032B8A">
      <w:pPr>
        <w:spacing w:line="276" w:lineRule="auto"/>
        <w:jc w:val="both"/>
        <w:rPr>
          <w:rFonts w:asciiTheme="majorHAnsi" w:hAnsiTheme="majorHAnsi" w:cs="Times New Roman"/>
          <w:b/>
          <w:lang w:val="sq-AL"/>
        </w:rPr>
      </w:pPr>
      <w:r w:rsidRPr="002E06C4">
        <w:rPr>
          <w:rFonts w:asciiTheme="majorHAnsi" w:hAnsiTheme="majorHAnsi" w:cs="Times New Roman"/>
          <w:b/>
          <w:lang w:val="sq-AL"/>
        </w:rPr>
        <w:t>Respektimi i rregullit fiskal, për vitin 2018:</w:t>
      </w:r>
    </w:p>
    <w:p w14:paraId="605F50EE" w14:textId="77777777" w:rsidR="00032B8A" w:rsidRPr="002E06C4" w:rsidRDefault="00032B8A" w:rsidP="00032B8A">
      <w:pPr>
        <w:spacing w:before="240" w:line="276" w:lineRule="auto"/>
        <w:ind w:left="720"/>
        <w:contextualSpacing/>
        <w:jc w:val="both"/>
        <w:rPr>
          <w:rFonts w:asciiTheme="majorHAnsi" w:hAnsiTheme="majorHAnsi" w:cs="Times New Roman"/>
          <w:sz w:val="8"/>
          <w:szCs w:val="8"/>
          <w:lang w:val="sq-AL"/>
        </w:rPr>
      </w:pPr>
    </w:p>
    <w:p w14:paraId="43B0AA2E" w14:textId="77777777" w:rsidR="00E04811" w:rsidRPr="002E06C4" w:rsidRDefault="00E04811" w:rsidP="00E04811">
      <w:pPr>
        <w:numPr>
          <w:ilvl w:val="0"/>
          <w:numId w:val="6"/>
        </w:numPr>
        <w:spacing w:before="240" w:line="276" w:lineRule="auto"/>
        <w:contextualSpacing/>
        <w:jc w:val="both"/>
        <w:rPr>
          <w:rFonts w:asciiTheme="majorHAnsi" w:hAnsiTheme="majorHAnsi" w:cs="Times New Roman"/>
          <w:lang w:val="sq-AL"/>
        </w:rPr>
      </w:pPr>
      <w:r w:rsidRPr="002E06C4">
        <w:rPr>
          <w:rFonts w:asciiTheme="majorHAnsi" w:hAnsiTheme="majorHAnsi" w:cs="Times New Roman"/>
          <w:lang w:val="sq-AL"/>
        </w:rPr>
        <w:t>Kufiri i lejuar i pagesave neto për kontratat konçesionare/PPP, prej 5% i të ardhurave tatimore faktike të vitit 2017, përllogaritet në rreth 19.9 miliard lekë.</w:t>
      </w:r>
    </w:p>
    <w:p w14:paraId="6B7D79E1" w14:textId="77777777" w:rsidR="00E04811" w:rsidRPr="002E06C4" w:rsidRDefault="00E04811" w:rsidP="00E04811">
      <w:pPr>
        <w:spacing w:before="240" w:line="276" w:lineRule="auto"/>
        <w:ind w:left="720"/>
        <w:contextualSpacing/>
        <w:jc w:val="both"/>
        <w:rPr>
          <w:rFonts w:asciiTheme="majorHAnsi" w:hAnsiTheme="majorHAnsi" w:cs="Times New Roman"/>
          <w:sz w:val="8"/>
          <w:szCs w:val="8"/>
          <w:lang w:val="sq-AL"/>
        </w:rPr>
      </w:pPr>
    </w:p>
    <w:p w14:paraId="47B99E68" w14:textId="77777777" w:rsidR="00E04811" w:rsidRPr="002E06C4" w:rsidRDefault="00E04811" w:rsidP="00E04811">
      <w:pPr>
        <w:numPr>
          <w:ilvl w:val="0"/>
          <w:numId w:val="6"/>
        </w:numPr>
        <w:spacing w:before="240" w:line="276" w:lineRule="auto"/>
        <w:contextualSpacing/>
        <w:jc w:val="both"/>
        <w:rPr>
          <w:rFonts w:asciiTheme="majorHAnsi" w:hAnsiTheme="majorHAnsi" w:cs="Times New Roman"/>
          <w:lang w:val="sq-AL"/>
        </w:rPr>
      </w:pPr>
      <w:r w:rsidRPr="002E06C4">
        <w:rPr>
          <w:rFonts w:asciiTheme="majorHAnsi" w:hAnsiTheme="majorHAnsi" w:cs="Times New Roman"/>
          <w:lang w:val="sq-AL"/>
        </w:rPr>
        <w:t>Referuar tabelës së mëposhtme, pagesat vjetore neto të realizuara (faktike) nga njësitë e qeverisjes së përgjithshme për kontratat koncesionare apo PPP, rezultuan në 8.76 miliard lekë.</w:t>
      </w:r>
    </w:p>
    <w:p w14:paraId="36FEC463" w14:textId="77777777" w:rsidR="00E04811" w:rsidRPr="002E06C4" w:rsidRDefault="00E04811" w:rsidP="00E04811">
      <w:pPr>
        <w:numPr>
          <w:ilvl w:val="1"/>
          <w:numId w:val="6"/>
        </w:numPr>
        <w:spacing w:before="240" w:line="276" w:lineRule="auto"/>
        <w:ind w:left="1350"/>
        <w:contextualSpacing/>
        <w:jc w:val="both"/>
        <w:rPr>
          <w:rFonts w:asciiTheme="majorHAnsi" w:hAnsiTheme="majorHAnsi" w:cs="Times New Roman"/>
          <w:i/>
          <w:lang w:val="sq-AL"/>
        </w:rPr>
      </w:pPr>
      <w:r w:rsidRPr="002E06C4">
        <w:rPr>
          <w:rFonts w:asciiTheme="majorHAnsi" w:hAnsiTheme="majorHAnsi" w:cs="Times New Roman"/>
          <w:i/>
          <w:lang w:val="sq-AL"/>
        </w:rPr>
        <w:t xml:space="preserve">Rrjedhimisht, </w:t>
      </w:r>
      <w:r w:rsidRPr="002E06C4">
        <w:rPr>
          <w:rFonts w:asciiTheme="majorHAnsi" w:hAnsiTheme="majorHAnsi" w:cs="Times New Roman"/>
          <w:i/>
          <w:u w:val="single"/>
          <w:lang w:val="sq-AL"/>
        </w:rPr>
        <w:t>në buxhetin 2018 është respektuar kufizimin ligjor</w:t>
      </w:r>
      <w:r w:rsidRPr="002E06C4">
        <w:rPr>
          <w:rFonts w:asciiTheme="majorHAnsi" w:hAnsiTheme="majorHAnsi" w:cs="Times New Roman"/>
          <w:i/>
          <w:lang w:val="sq-AL"/>
        </w:rPr>
        <w:t xml:space="preserve"> i sipërcituar në zbatim të rregullit fiskal respektiv, pasi  vlera e realizuar prej 8.76 miliard lekë, për pagesat vjetore neto të kontratave koncesionare apo PPP për vitin 2018, përbën </w:t>
      </w:r>
      <w:r w:rsidRPr="002E06C4">
        <w:rPr>
          <w:rFonts w:asciiTheme="majorHAnsi" w:hAnsiTheme="majorHAnsi" w:cs="Times New Roman"/>
          <w:i/>
          <w:u w:val="single"/>
          <w:lang w:val="sq-AL"/>
        </w:rPr>
        <w:t>vetëm 2.2 përqind</w:t>
      </w:r>
      <w:r w:rsidRPr="002E06C4">
        <w:rPr>
          <w:rFonts w:asciiTheme="majorHAnsi" w:hAnsiTheme="majorHAnsi" w:cs="Times New Roman"/>
          <w:i/>
          <w:lang w:val="sq-AL"/>
        </w:rPr>
        <w:t xml:space="preserve"> të totalit të të ardhurave tatimore faktike të vitit 2017, prej 398.6 miliard lekë.</w:t>
      </w:r>
    </w:p>
    <w:p w14:paraId="66C0E42D" w14:textId="77777777" w:rsidR="00236222" w:rsidRPr="002E06C4" w:rsidRDefault="00236222" w:rsidP="00663DB1">
      <w:pPr>
        <w:pStyle w:val="Caption"/>
        <w:keepNext/>
        <w:spacing w:after="0"/>
        <w:rPr>
          <w:rFonts w:asciiTheme="majorHAnsi" w:hAnsiTheme="majorHAnsi" w:cs="Times New Roman"/>
          <w:lang w:val="sq-AL"/>
        </w:rPr>
      </w:pPr>
      <w:bookmarkStart w:id="220" w:name="_Toc11135141"/>
      <w:r w:rsidRPr="002E06C4">
        <w:rPr>
          <w:rFonts w:asciiTheme="majorHAnsi" w:hAnsiTheme="majorHAnsi" w:cs="Times New Roman"/>
          <w:lang w:val="sq-AL"/>
        </w:rPr>
        <w:lastRenderedPageBreak/>
        <w:t xml:space="preserve">Tabela </w:t>
      </w:r>
      <w:r w:rsidR="00140052">
        <w:rPr>
          <w:rFonts w:asciiTheme="majorHAnsi" w:hAnsiTheme="majorHAnsi" w:cs="Times New Roman"/>
          <w:lang w:val="sq-AL"/>
        </w:rPr>
        <w:fldChar w:fldCharType="begin"/>
      </w:r>
      <w:r w:rsidR="00140052">
        <w:rPr>
          <w:rFonts w:asciiTheme="majorHAnsi" w:hAnsiTheme="majorHAnsi" w:cs="Times New Roman"/>
          <w:lang w:val="sq-AL"/>
        </w:rPr>
        <w:instrText xml:space="preserve"> SEQ Tabela \* ARABIC </w:instrText>
      </w:r>
      <w:r w:rsidR="00140052">
        <w:rPr>
          <w:rFonts w:asciiTheme="majorHAnsi" w:hAnsiTheme="majorHAnsi" w:cs="Times New Roman"/>
          <w:lang w:val="sq-AL"/>
        </w:rPr>
        <w:fldChar w:fldCharType="separate"/>
      </w:r>
      <w:r w:rsidR="006A57F3">
        <w:rPr>
          <w:rFonts w:asciiTheme="majorHAnsi" w:hAnsiTheme="majorHAnsi" w:cs="Times New Roman"/>
          <w:noProof/>
          <w:lang w:val="sq-AL"/>
        </w:rPr>
        <w:t>27</w:t>
      </w:r>
      <w:r w:rsidR="00140052">
        <w:rPr>
          <w:rFonts w:asciiTheme="majorHAnsi" w:hAnsiTheme="majorHAnsi" w:cs="Times New Roman"/>
          <w:lang w:val="sq-AL"/>
        </w:rPr>
        <w:fldChar w:fldCharType="end"/>
      </w:r>
      <w:r w:rsidRPr="002E06C4">
        <w:rPr>
          <w:rFonts w:asciiTheme="majorHAnsi" w:hAnsiTheme="majorHAnsi" w:cs="Times New Roman"/>
          <w:lang w:val="sq-AL"/>
        </w:rPr>
        <w:t xml:space="preserve"> K</w:t>
      </w:r>
      <w:r w:rsidR="00787F0C" w:rsidRPr="002E06C4">
        <w:rPr>
          <w:rFonts w:asciiTheme="majorHAnsi" w:hAnsiTheme="majorHAnsi" w:cs="Times New Roman"/>
          <w:lang w:val="sq-AL"/>
        </w:rPr>
        <w:t>o</w:t>
      </w:r>
      <w:r w:rsidRPr="002E06C4">
        <w:rPr>
          <w:rFonts w:asciiTheme="majorHAnsi" w:hAnsiTheme="majorHAnsi" w:cs="Times New Roman"/>
          <w:lang w:val="sq-AL"/>
        </w:rPr>
        <w:t>ncesionet/PPT-t</w:t>
      </w:r>
      <w:r w:rsidR="00C33B16" w:rsidRPr="002E06C4">
        <w:rPr>
          <w:rFonts w:asciiTheme="majorHAnsi" w:hAnsiTheme="majorHAnsi" w:cs="Times New Roman"/>
          <w:lang w:val="sq-AL"/>
        </w:rPr>
        <w:t>ë</w:t>
      </w:r>
      <w:r w:rsidR="002051A5" w:rsidRPr="002E06C4">
        <w:rPr>
          <w:rFonts w:asciiTheme="majorHAnsi" w:hAnsiTheme="majorHAnsi" w:cs="Times New Roman"/>
          <w:lang w:val="sq-AL"/>
        </w:rPr>
        <w:t xml:space="preserve"> ak</w:t>
      </w:r>
      <w:r w:rsidRPr="002E06C4">
        <w:rPr>
          <w:rFonts w:asciiTheme="majorHAnsi" w:hAnsiTheme="majorHAnsi" w:cs="Times New Roman"/>
          <w:lang w:val="sq-AL"/>
        </w:rPr>
        <w:t>tive me mb</w:t>
      </w:r>
      <w:r w:rsidR="00C33B16" w:rsidRPr="002E06C4">
        <w:rPr>
          <w:rFonts w:asciiTheme="majorHAnsi" w:hAnsiTheme="majorHAnsi" w:cs="Times New Roman"/>
          <w:lang w:val="sq-AL"/>
        </w:rPr>
        <w:t>ë</w:t>
      </w:r>
      <w:r w:rsidRPr="002E06C4">
        <w:rPr>
          <w:rFonts w:asciiTheme="majorHAnsi" w:hAnsiTheme="majorHAnsi" w:cs="Times New Roman"/>
          <w:lang w:val="sq-AL"/>
        </w:rPr>
        <w:t>shtetje nga buxheti i shtetit (n</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mij</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w:t>
      </w:r>
      <w:r w:rsidR="00C33B16" w:rsidRPr="002E06C4">
        <w:rPr>
          <w:rFonts w:asciiTheme="majorHAnsi" w:hAnsiTheme="majorHAnsi" w:cs="Times New Roman"/>
          <w:lang w:val="sq-AL"/>
        </w:rPr>
        <w:t>ë</w:t>
      </w:r>
      <w:r w:rsidRPr="002E06C4">
        <w:rPr>
          <w:rFonts w:asciiTheme="majorHAnsi" w:hAnsiTheme="majorHAnsi" w:cs="Times New Roman"/>
          <w:lang w:val="sq-AL"/>
        </w:rPr>
        <w:t>)</w:t>
      </w:r>
      <w:bookmarkEnd w:id="220"/>
    </w:p>
    <w:p w14:paraId="10FE86DD" w14:textId="77777777" w:rsidR="00C55AB6" w:rsidRPr="002E06C4" w:rsidRDefault="00E04811" w:rsidP="00E04811">
      <w:pPr>
        <w:spacing w:line="276" w:lineRule="auto"/>
        <w:jc w:val="center"/>
        <w:rPr>
          <w:rFonts w:asciiTheme="majorHAnsi" w:hAnsiTheme="majorHAnsi" w:cs="Times New Roman"/>
          <w:lang w:val="sq-AL"/>
        </w:rPr>
      </w:pPr>
      <w:r w:rsidRPr="002E06C4">
        <w:rPr>
          <w:noProof/>
        </w:rPr>
        <w:drawing>
          <wp:inline distT="0" distB="0" distL="0" distR="0" wp14:anchorId="3EAF86DF" wp14:editId="6ED5EECD">
            <wp:extent cx="6529705" cy="345948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35366" cy="3462479"/>
                    </a:xfrm>
                    <a:prstGeom prst="rect">
                      <a:avLst/>
                    </a:prstGeom>
                    <a:noFill/>
                    <a:ln>
                      <a:noFill/>
                    </a:ln>
                  </pic:spPr>
                </pic:pic>
              </a:graphicData>
            </a:graphic>
          </wp:inline>
        </w:drawing>
      </w:r>
    </w:p>
    <w:p w14:paraId="0F889113" w14:textId="77777777" w:rsidR="007D7D97" w:rsidRPr="002E06C4" w:rsidRDefault="007D7D97" w:rsidP="007D7D97">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05322FA4" w14:textId="77777777" w:rsidR="007D7D97" w:rsidRPr="002E06C4" w:rsidRDefault="007D7D97" w:rsidP="007D7D97">
      <w:pPr>
        <w:spacing w:line="276" w:lineRule="auto"/>
        <w:jc w:val="both"/>
        <w:rPr>
          <w:rFonts w:asciiTheme="majorHAnsi" w:hAnsiTheme="majorHAnsi" w:cs="Times New Roman"/>
          <w:sz w:val="8"/>
          <w:szCs w:val="8"/>
          <w:lang w:val="sq-AL"/>
        </w:rPr>
      </w:pPr>
    </w:p>
    <w:p w14:paraId="715A60B8" w14:textId="77777777" w:rsidR="00E737DD" w:rsidRPr="002E06C4" w:rsidRDefault="00E737DD" w:rsidP="00E737DD">
      <w:pPr>
        <w:spacing w:before="240" w:line="276" w:lineRule="auto"/>
        <w:ind w:left="1350"/>
        <w:contextualSpacing/>
        <w:jc w:val="both"/>
        <w:rPr>
          <w:rFonts w:asciiTheme="majorHAnsi" w:hAnsiTheme="majorHAnsi" w:cs="Times New Roman"/>
          <w:i/>
          <w:sz w:val="12"/>
          <w:szCs w:val="12"/>
          <w:lang w:val="sq-AL"/>
        </w:rPr>
      </w:pPr>
    </w:p>
    <w:p w14:paraId="333D7140" w14:textId="77777777" w:rsidR="002350D2" w:rsidRPr="002E06C4" w:rsidRDefault="002350D2" w:rsidP="00663DB1">
      <w:pPr>
        <w:pStyle w:val="Heading2"/>
        <w:numPr>
          <w:ilvl w:val="1"/>
          <w:numId w:val="4"/>
        </w:numPr>
        <w:ind w:left="630" w:hanging="630"/>
        <w:rPr>
          <w:rFonts w:cs="Times New Roman"/>
          <w:noProof/>
          <w:color w:val="4F81BD" w:themeColor="accent1"/>
          <w:lang w:val="sq-AL"/>
        </w:rPr>
      </w:pPr>
      <w:bookmarkStart w:id="221" w:name="_Toc10033287"/>
      <w:bookmarkStart w:id="222" w:name="_Toc10721424"/>
      <w:bookmarkStart w:id="223" w:name="_Toc11134244"/>
      <w:r w:rsidRPr="002E06C4">
        <w:rPr>
          <w:rFonts w:cs="Times New Roman"/>
          <w:noProof/>
          <w:color w:val="4F81BD" w:themeColor="accent1"/>
          <w:lang w:val="sq-AL"/>
        </w:rPr>
        <w:t>Detyrime</w:t>
      </w:r>
      <w:r w:rsidR="00EF1EEE" w:rsidRPr="002E06C4">
        <w:rPr>
          <w:rFonts w:cs="Times New Roman"/>
          <w:noProof/>
          <w:color w:val="4F81BD" w:themeColor="accent1"/>
          <w:lang w:val="sq-AL"/>
        </w:rPr>
        <w:t xml:space="preserve"> të </w:t>
      </w:r>
      <w:r w:rsidRPr="002E06C4">
        <w:rPr>
          <w:rFonts w:cs="Times New Roman"/>
          <w:noProof/>
          <w:color w:val="4F81BD" w:themeColor="accent1"/>
          <w:lang w:val="sq-AL"/>
        </w:rPr>
        <w:t>t</w:t>
      </w:r>
      <w:r w:rsidR="00EF1EEE" w:rsidRPr="002E06C4">
        <w:rPr>
          <w:rFonts w:cs="Times New Roman"/>
          <w:noProof/>
          <w:color w:val="4F81BD" w:themeColor="accent1"/>
          <w:lang w:val="sq-AL"/>
        </w:rPr>
        <w:t>jera</w:t>
      </w:r>
      <w:r w:rsidRPr="002E06C4">
        <w:rPr>
          <w:rFonts w:cs="Times New Roman"/>
          <w:noProof/>
          <w:color w:val="4F81BD" w:themeColor="accent1"/>
          <w:lang w:val="sq-AL"/>
        </w:rPr>
        <w:t xml:space="preserve"> Kontigjente:</w:t>
      </w:r>
      <w:bookmarkEnd w:id="221"/>
      <w:bookmarkEnd w:id="222"/>
      <w:bookmarkEnd w:id="223"/>
    </w:p>
    <w:p w14:paraId="572E6835" w14:textId="77777777" w:rsidR="002350D2" w:rsidRPr="002E06C4" w:rsidRDefault="002350D2" w:rsidP="00663DB1">
      <w:pPr>
        <w:pStyle w:val="Heading2"/>
        <w:numPr>
          <w:ilvl w:val="2"/>
          <w:numId w:val="4"/>
        </w:numPr>
        <w:rPr>
          <w:rFonts w:cs="Times New Roman"/>
          <w:noProof/>
          <w:lang w:val="sq-AL"/>
        </w:rPr>
      </w:pPr>
      <w:bookmarkStart w:id="224" w:name="_Toc11134245"/>
      <w:r w:rsidRPr="002E06C4">
        <w:rPr>
          <w:rFonts w:cs="Times New Roman"/>
          <w:noProof/>
          <w:lang w:val="sq-AL"/>
        </w:rPr>
        <w:t>Vendimet e Gjykatës së të Drejtave të Njeriut në Strasburg (GJEDNJ)</w:t>
      </w:r>
      <w:bookmarkEnd w:id="224"/>
      <w:r w:rsidRPr="002E06C4">
        <w:rPr>
          <w:rFonts w:cs="Times New Roman"/>
          <w:noProof/>
          <w:lang w:val="sq-AL"/>
        </w:rPr>
        <w:t xml:space="preserve"> </w:t>
      </w:r>
    </w:p>
    <w:p w14:paraId="2A60AFCB" w14:textId="77777777" w:rsidR="00413093" w:rsidRPr="002E06C4" w:rsidRDefault="00413093" w:rsidP="00413093">
      <w:pPr>
        <w:spacing w:line="276" w:lineRule="auto"/>
        <w:ind w:left="720"/>
        <w:contextualSpacing/>
        <w:jc w:val="both"/>
        <w:rPr>
          <w:rFonts w:asciiTheme="majorHAnsi" w:hAnsiTheme="majorHAnsi" w:cs="Times New Roman"/>
          <w:sz w:val="8"/>
          <w:lang w:val="sq-AL"/>
        </w:rPr>
      </w:pPr>
    </w:p>
    <w:p w14:paraId="5A44BFDC" w14:textId="77777777" w:rsidR="002350D2" w:rsidRPr="002E06C4" w:rsidRDefault="002350D2" w:rsidP="00413093">
      <w:pPr>
        <w:numPr>
          <w:ilvl w:val="0"/>
          <w:numId w:val="6"/>
        </w:numPr>
        <w:spacing w:line="276" w:lineRule="auto"/>
        <w:contextualSpacing/>
        <w:jc w:val="both"/>
        <w:rPr>
          <w:rFonts w:asciiTheme="majorHAnsi" w:hAnsiTheme="majorHAnsi" w:cs="Times New Roman"/>
          <w:lang w:val="sq-AL"/>
        </w:rPr>
      </w:pPr>
      <w:r w:rsidRPr="002E06C4">
        <w:rPr>
          <w:rFonts w:asciiTheme="majorHAnsi" w:hAnsiTheme="majorHAnsi" w:cs="Times New Roman"/>
          <w:lang w:val="sq-AL"/>
        </w:rPr>
        <w:t xml:space="preserve">Këto vendime kanë të bëjnë kryesisht me çështje që lidhen me kthimin dhe kompensimin e pronave tek ish-pronarët. Sipas Avokaturës së Shtetit, risqet financiare që burojnë nga vendimet e GJEDNJ-së janë të karakterizuara nga një aftësi e dobët parashikuese, përsa kohë që kjo Gjykatë nuk funksionon me një kalendar të përcaktuar për komunikimin e çështjeve dhe nxjerrjen e vendimeve. </w:t>
      </w:r>
    </w:p>
    <w:p w14:paraId="1A812ED8" w14:textId="77777777" w:rsidR="002350D2" w:rsidRPr="002E06C4" w:rsidRDefault="002350D2" w:rsidP="002350D2">
      <w:pPr>
        <w:spacing w:before="240" w:after="200" w:line="276" w:lineRule="auto"/>
        <w:ind w:left="720"/>
        <w:contextualSpacing/>
        <w:jc w:val="both"/>
        <w:rPr>
          <w:rFonts w:asciiTheme="majorHAnsi" w:eastAsia="Calibri" w:hAnsiTheme="majorHAnsi" w:cs="Times New Roman"/>
          <w:bCs/>
          <w:sz w:val="8"/>
          <w:szCs w:val="8"/>
          <w:u w:val="single"/>
          <w:lang w:val="sq-AL" w:eastAsia="sq-AL"/>
        </w:rPr>
      </w:pPr>
    </w:p>
    <w:p w14:paraId="68EED8BA" w14:textId="77777777" w:rsidR="002350D2" w:rsidRPr="002E06C4" w:rsidRDefault="002350D2" w:rsidP="00A2716B">
      <w:pPr>
        <w:numPr>
          <w:ilvl w:val="0"/>
          <w:numId w:val="10"/>
        </w:numPr>
        <w:spacing w:before="240" w:after="200" w:line="276" w:lineRule="auto"/>
        <w:contextualSpacing/>
        <w:jc w:val="both"/>
        <w:rPr>
          <w:rFonts w:asciiTheme="majorHAnsi" w:eastAsia="Calibri" w:hAnsiTheme="majorHAnsi" w:cs="Times New Roman"/>
          <w:lang w:val="sq-AL"/>
        </w:rPr>
      </w:pPr>
      <w:r w:rsidRPr="002E06C4">
        <w:rPr>
          <w:rFonts w:asciiTheme="majorHAnsi" w:eastAsia="Calibri" w:hAnsiTheme="majorHAnsi" w:cs="Times New Roman"/>
          <w:lang w:val="sq-AL"/>
        </w:rPr>
        <w:t xml:space="preserve">Ministria e Financave dhe Ekonomisë ka respektuar në vazhdimësi të gjitha vendimet e miratuara nga GJEDNJ, përmes likujdimit të VKM-ve respektive miratuar në mbështetje të tyre, me përpikmëri dhe brenda afateve strikte të përcaktuara prej këtij organi. Kjo, duke konsideruar faktin se kur pagesat nuk kryhen brenda afatit tre mujor nga data kur vendimi përkatës merr formën e prerë, shteti shqiptar ngarkohet me pagesën e një kamatë-vonese për çdo ditë vonesë. </w:t>
      </w:r>
    </w:p>
    <w:p w14:paraId="2DFD439E" w14:textId="77777777" w:rsidR="002350D2" w:rsidRPr="002E06C4" w:rsidRDefault="002350D2" w:rsidP="002350D2">
      <w:pPr>
        <w:spacing w:before="240" w:after="200" w:line="276" w:lineRule="auto"/>
        <w:contextualSpacing/>
        <w:jc w:val="both"/>
        <w:rPr>
          <w:rFonts w:asciiTheme="majorHAnsi" w:eastAsia="Calibri" w:hAnsiTheme="majorHAnsi" w:cs="Times New Roman"/>
          <w:sz w:val="8"/>
          <w:szCs w:val="8"/>
          <w:lang w:val="sq-AL"/>
        </w:rPr>
      </w:pPr>
    </w:p>
    <w:p w14:paraId="6817DB63" w14:textId="77777777" w:rsidR="002350D2" w:rsidRPr="002E06C4" w:rsidRDefault="002350D2" w:rsidP="00A2716B">
      <w:pPr>
        <w:numPr>
          <w:ilvl w:val="0"/>
          <w:numId w:val="10"/>
        </w:numPr>
        <w:spacing w:before="240" w:after="200" w:line="276" w:lineRule="auto"/>
        <w:contextualSpacing/>
        <w:jc w:val="both"/>
        <w:rPr>
          <w:rFonts w:asciiTheme="majorHAnsi" w:eastAsia="Calibri" w:hAnsiTheme="majorHAnsi" w:cs="Times New Roman"/>
          <w:lang w:val="sq-AL"/>
        </w:rPr>
      </w:pPr>
      <w:r w:rsidRPr="002E06C4">
        <w:rPr>
          <w:rFonts w:asciiTheme="majorHAnsi" w:eastAsia="Calibri" w:hAnsiTheme="majorHAnsi" w:cs="Times New Roman"/>
          <w:lang w:val="sq-AL"/>
        </w:rPr>
        <w:t xml:space="preserve">Sidoqoftë, për garantimin e shlyerjes në kohë të këtyre vendimeve, MFE ka rekomanduar vazhdimisht përdorimin e të gjitha kanaleve të mundshme institucionale dhe proceduriale, brenda hapësirave që siguron kuadri ligjor në fuqi, duke sugjeruar që: </w:t>
      </w:r>
    </w:p>
    <w:p w14:paraId="764860BE" w14:textId="77777777" w:rsidR="002350D2" w:rsidRPr="002E06C4" w:rsidRDefault="002350D2" w:rsidP="002350D2">
      <w:pPr>
        <w:spacing w:after="200" w:line="276" w:lineRule="auto"/>
        <w:ind w:left="720"/>
        <w:contextualSpacing/>
        <w:jc w:val="both"/>
        <w:rPr>
          <w:rFonts w:asciiTheme="majorHAnsi" w:eastAsia="Calibri" w:hAnsiTheme="majorHAnsi" w:cs="Times New Roman"/>
          <w:i/>
          <w:sz w:val="8"/>
          <w:szCs w:val="8"/>
          <w:lang w:val="sq-AL"/>
        </w:rPr>
      </w:pPr>
    </w:p>
    <w:p w14:paraId="51B45BEC" w14:textId="77777777" w:rsidR="002350D2" w:rsidRDefault="002350D2" w:rsidP="00032B8A">
      <w:pPr>
        <w:numPr>
          <w:ilvl w:val="0"/>
          <w:numId w:val="11"/>
        </w:numPr>
        <w:contextualSpacing/>
        <w:jc w:val="both"/>
        <w:rPr>
          <w:rFonts w:asciiTheme="majorHAnsi" w:eastAsia="Calibri" w:hAnsiTheme="majorHAnsi" w:cs="Times New Roman"/>
          <w:i/>
          <w:lang w:val="sq-AL"/>
        </w:rPr>
      </w:pPr>
      <w:r w:rsidRPr="002E06C4">
        <w:rPr>
          <w:rFonts w:asciiTheme="majorHAnsi" w:eastAsia="Calibri" w:hAnsiTheme="majorHAnsi" w:cs="Times New Roman"/>
          <w:i/>
          <w:lang w:val="sq-AL"/>
        </w:rPr>
        <w:t>Vendimet e GJEDNJ-së duhet të dërgohen fillimisht për zbatim në Agjencinë e Trajtimit të Pronës, duke shfrytëzuar të gjitha mundësitë për kompensim fizik të tyre, nëse kjo parashikohet nga vendimi i Gjykatës.</w:t>
      </w:r>
    </w:p>
    <w:p w14:paraId="0F37532A" w14:textId="77777777" w:rsidR="00083EB3" w:rsidRPr="00083EB3" w:rsidRDefault="00083EB3" w:rsidP="00083EB3">
      <w:pPr>
        <w:ind w:left="1080"/>
        <w:contextualSpacing/>
        <w:jc w:val="both"/>
        <w:rPr>
          <w:rFonts w:asciiTheme="majorHAnsi" w:eastAsia="Calibri" w:hAnsiTheme="majorHAnsi" w:cs="Times New Roman"/>
          <w:i/>
          <w:sz w:val="8"/>
          <w:szCs w:val="8"/>
          <w:lang w:val="sq-AL"/>
        </w:rPr>
      </w:pPr>
    </w:p>
    <w:p w14:paraId="587E3159" w14:textId="77777777" w:rsidR="002350D2" w:rsidRPr="002E06C4" w:rsidRDefault="002350D2" w:rsidP="00032B8A">
      <w:pPr>
        <w:numPr>
          <w:ilvl w:val="0"/>
          <w:numId w:val="11"/>
        </w:numPr>
        <w:contextualSpacing/>
        <w:jc w:val="both"/>
        <w:rPr>
          <w:rFonts w:asciiTheme="majorHAnsi" w:eastAsia="Calibri" w:hAnsiTheme="majorHAnsi" w:cs="Times New Roman"/>
          <w:i/>
          <w:lang w:val="sq-AL"/>
        </w:rPr>
      </w:pPr>
      <w:r w:rsidRPr="002E06C4">
        <w:rPr>
          <w:rFonts w:asciiTheme="majorHAnsi" w:eastAsia="Calibri" w:hAnsiTheme="majorHAnsi" w:cs="Times New Roman"/>
          <w:i/>
          <w:lang w:val="sq-AL"/>
        </w:rPr>
        <w:t>Pjesa tjetër e detyrimit financiar të paguhet sipas mundësive të buxhetit të shtetit me këste, në negocim me përfituesit.</w:t>
      </w:r>
    </w:p>
    <w:p w14:paraId="7C37FAEB" w14:textId="77777777" w:rsidR="002350D2" w:rsidRPr="002E06C4" w:rsidRDefault="002350D2" w:rsidP="00A2716B">
      <w:pPr>
        <w:numPr>
          <w:ilvl w:val="0"/>
          <w:numId w:val="13"/>
        </w:numPr>
        <w:spacing w:line="276" w:lineRule="auto"/>
        <w:jc w:val="both"/>
        <w:rPr>
          <w:rFonts w:asciiTheme="majorHAnsi" w:eastAsia="Times New Roman" w:hAnsiTheme="majorHAnsi" w:cs="Times New Roman"/>
          <w:bCs/>
          <w:lang w:val="sq-AL" w:eastAsia="it-IT"/>
        </w:rPr>
      </w:pPr>
      <w:r w:rsidRPr="002E06C4">
        <w:rPr>
          <w:rFonts w:asciiTheme="majorHAnsi" w:eastAsia="Calibri" w:hAnsiTheme="majorHAnsi" w:cs="Times New Roman"/>
          <w:lang w:val="sq-AL"/>
        </w:rPr>
        <w:lastRenderedPageBreak/>
        <w:t>Gjatë vitit 2018</w:t>
      </w:r>
      <w:r w:rsidRPr="002E06C4">
        <w:rPr>
          <w:rFonts w:asciiTheme="majorHAnsi" w:eastAsia="Times New Roman" w:hAnsiTheme="majorHAnsi" w:cs="Times New Roman"/>
          <w:bCs/>
          <w:lang w:val="sq-AL" w:eastAsia="it-IT"/>
        </w:rPr>
        <w:t xml:space="preserve">, me propozim të Ministrisë së Drejtësisë, Këshilli i Ministrave ka miratuar tre VKM lidhur me vendimet e GJEDNJ-së, me një vlerë totale prej 3800 Euro (516,227 lekë), të cilat janë përballuar nga Fondi Rezervë i buxheti i shtetit i miratuar për vitin 2018. </w:t>
      </w:r>
    </w:p>
    <w:p w14:paraId="0AA2168A" w14:textId="77777777" w:rsidR="002350D2" w:rsidRPr="002E06C4" w:rsidRDefault="002350D2" w:rsidP="002350D2">
      <w:pPr>
        <w:spacing w:line="276" w:lineRule="auto"/>
        <w:jc w:val="both"/>
        <w:rPr>
          <w:rFonts w:asciiTheme="majorHAnsi" w:eastAsia="Times New Roman" w:hAnsiTheme="majorHAnsi" w:cs="Times New Roman"/>
          <w:bCs/>
          <w:sz w:val="8"/>
          <w:szCs w:val="8"/>
          <w:lang w:val="sq-AL" w:eastAsia="it-IT"/>
        </w:rPr>
      </w:pPr>
    </w:p>
    <w:p w14:paraId="074767B4" w14:textId="77777777" w:rsidR="002350D2" w:rsidRPr="002E06C4" w:rsidRDefault="002350D2" w:rsidP="00A2716B">
      <w:pPr>
        <w:numPr>
          <w:ilvl w:val="0"/>
          <w:numId w:val="13"/>
        </w:numPr>
        <w:spacing w:line="276" w:lineRule="auto"/>
        <w:jc w:val="both"/>
        <w:rPr>
          <w:rFonts w:asciiTheme="majorHAnsi" w:eastAsia="Times New Roman" w:hAnsiTheme="majorHAnsi" w:cs="Times New Roman"/>
          <w:lang w:val="sq-AL" w:eastAsia="sq-AL"/>
        </w:rPr>
      </w:pPr>
      <w:r w:rsidRPr="002E06C4">
        <w:rPr>
          <w:rFonts w:asciiTheme="majorHAnsi" w:eastAsia="Times New Roman" w:hAnsiTheme="majorHAnsi" w:cs="Times New Roman"/>
          <w:lang w:val="sq-AL" w:eastAsia="sq-AL"/>
        </w:rPr>
        <w:t>Ndërkohë, hyrja në fuqi më datë 30.12.2018 e ndryshimeve në ligjin “</w:t>
      </w:r>
      <w:r w:rsidRPr="002E06C4">
        <w:rPr>
          <w:rFonts w:asciiTheme="majorHAnsi" w:eastAsia="Times New Roman" w:hAnsiTheme="majorHAnsi" w:cs="Times New Roman"/>
          <w:i/>
          <w:lang w:val="sq-AL" w:eastAsia="sq-AL"/>
        </w:rPr>
        <w:t>Për Avokaturën e Shtetit</w:t>
      </w:r>
      <w:r w:rsidRPr="002E06C4">
        <w:rPr>
          <w:rFonts w:asciiTheme="majorHAnsi" w:eastAsia="Times New Roman" w:hAnsiTheme="majorHAnsi" w:cs="Times New Roman"/>
          <w:lang w:val="sq-AL" w:eastAsia="sq-AL"/>
        </w:rPr>
        <w:t>”, përmban një kre të veçantë dedikuar ekzekutimit të vendimeve të GJEDNJ-së, ku specifikisht në nenin 19/4 përcaktohen 2 mënyra ekzekutimi të shpërblimit:</w:t>
      </w:r>
    </w:p>
    <w:p w14:paraId="59622760" w14:textId="77777777" w:rsidR="002350D2" w:rsidRPr="002E06C4" w:rsidRDefault="002350D2" w:rsidP="002350D2">
      <w:pPr>
        <w:spacing w:before="240" w:after="200" w:line="276" w:lineRule="auto"/>
        <w:ind w:left="720"/>
        <w:contextualSpacing/>
        <w:jc w:val="both"/>
        <w:rPr>
          <w:rFonts w:asciiTheme="majorHAnsi" w:eastAsia="Calibri" w:hAnsiTheme="majorHAnsi" w:cs="Times New Roman"/>
          <w:i/>
          <w:sz w:val="8"/>
          <w:szCs w:val="8"/>
          <w:lang w:val="sq-AL"/>
        </w:rPr>
      </w:pPr>
    </w:p>
    <w:p w14:paraId="258D768D" w14:textId="77777777" w:rsidR="002350D2" w:rsidRPr="002E06C4" w:rsidRDefault="002350D2" w:rsidP="00413093">
      <w:pPr>
        <w:numPr>
          <w:ilvl w:val="0"/>
          <w:numId w:val="11"/>
        </w:numPr>
        <w:spacing w:after="200"/>
        <w:contextualSpacing/>
        <w:jc w:val="both"/>
        <w:rPr>
          <w:rFonts w:asciiTheme="majorHAnsi" w:eastAsia="Calibri" w:hAnsiTheme="majorHAnsi" w:cs="Times New Roman"/>
          <w:i/>
          <w:lang w:val="sq-AL"/>
        </w:rPr>
      </w:pPr>
      <w:r w:rsidRPr="002E06C4">
        <w:rPr>
          <w:rFonts w:asciiTheme="majorHAnsi" w:eastAsia="Calibri" w:hAnsiTheme="majorHAnsi" w:cs="Times New Roman"/>
          <w:i/>
          <w:lang w:val="sq-AL"/>
        </w:rPr>
        <w:t>Vendimet me detyrim financiar mbi 10.000 EUR, implikojnë nxjerrjen e VKM-ve respektive për ekzekutimin e tyre.</w:t>
      </w:r>
    </w:p>
    <w:p w14:paraId="3F09CF8C" w14:textId="77777777" w:rsidR="002350D2" w:rsidRPr="002E06C4" w:rsidRDefault="002350D2" w:rsidP="00413093">
      <w:pPr>
        <w:spacing w:after="200"/>
        <w:ind w:left="720"/>
        <w:contextualSpacing/>
        <w:jc w:val="both"/>
        <w:rPr>
          <w:rFonts w:asciiTheme="majorHAnsi" w:eastAsia="Calibri" w:hAnsiTheme="majorHAnsi" w:cs="Times New Roman"/>
          <w:i/>
          <w:sz w:val="8"/>
          <w:szCs w:val="8"/>
          <w:lang w:val="sq-AL"/>
        </w:rPr>
      </w:pPr>
    </w:p>
    <w:p w14:paraId="766BFCE8" w14:textId="77777777" w:rsidR="002350D2" w:rsidRDefault="002350D2" w:rsidP="00413093">
      <w:pPr>
        <w:numPr>
          <w:ilvl w:val="0"/>
          <w:numId w:val="11"/>
        </w:numPr>
        <w:spacing w:after="200"/>
        <w:contextualSpacing/>
        <w:jc w:val="both"/>
        <w:rPr>
          <w:rFonts w:asciiTheme="majorHAnsi" w:eastAsia="Calibri" w:hAnsiTheme="majorHAnsi" w:cs="Times New Roman"/>
          <w:i/>
          <w:lang w:val="sq-AL"/>
        </w:rPr>
      </w:pPr>
      <w:r w:rsidRPr="002E06C4">
        <w:rPr>
          <w:rFonts w:asciiTheme="majorHAnsi" w:eastAsia="Calibri" w:hAnsiTheme="majorHAnsi" w:cs="Times New Roman"/>
          <w:i/>
          <w:lang w:val="sq-AL"/>
        </w:rPr>
        <w:t>Vendimet me detyrim financiar deri në 10.000 EUR, ekzekutohen drejtpërdrejtë nga Ministria e Financave dhe Ekonomisë, pas kërkesës zyrtare të Avokaturës së Shtetit.</w:t>
      </w:r>
    </w:p>
    <w:p w14:paraId="27D24253" w14:textId="77777777" w:rsidR="00083EB3" w:rsidRPr="002E06C4" w:rsidRDefault="00083EB3" w:rsidP="00083EB3">
      <w:pPr>
        <w:spacing w:after="200"/>
        <w:contextualSpacing/>
        <w:jc w:val="both"/>
        <w:rPr>
          <w:rFonts w:asciiTheme="majorHAnsi" w:eastAsia="Calibri" w:hAnsiTheme="majorHAnsi" w:cs="Times New Roman"/>
          <w:i/>
          <w:lang w:val="sq-AL"/>
        </w:rPr>
      </w:pPr>
    </w:p>
    <w:p w14:paraId="48472F50" w14:textId="77777777" w:rsidR="00413093" w:rsidRPr="002E06C4" w:rsidRDefault="00413093" w:rsidP="00413093">
      <w:pPr>
        <w:spacing w:after="200"/>
        <w:contextualSpacing/>
        <w:jc w:val="both"/>
        <w:rPr>
          <w:rFonts w:asciiTheme="majorHAnsi" w:eastAsia="Calibri" w:hAnsiTheme="majorHAnsi" w:cs="Times New Roman"/>
          <w:i/>
          <w:sz w:val="12"/>
          <w:lang w:val="sq-AL"/>
        </w:rPr>
      </w:pPr>
    </w:p>
    <w:p w14:paraId="6DEEDCA3" w14:textId="77777777" w:rsidR="002350D2" w:rsidRPr="002E06C4" w:rsidRDefault="002350D2" w:rsidP="00663DB1">
      <w:pPr>
        <w:pStyle w:val="Heading2"/>
        <w:numPr>
          <w:ilvl w:val="2"/>
          <w:numId w:val="4"/>
        </w:numPr>
        <w:rPr>
          <w:rFonts w:cs="Times New Roman"/>
          <w:noProof/>
          <w:lang w:val="sq-AL"/>
        </w:rPr>
      </w:pPr>
      <w:bookmarkStart w:id="225" w:name="_Toc11134246"/>
      <w:r w:rsidRPr="002E06C4">
        <w:rPr>
          <w:rFonts w:cs="Times New Roman"/>
          <w:noProof/>
          <w:lang w:val="sq-AL"/>
        </w:rPr>
        <w:t>Vendimet e Gjykatës Ndërkombëtare të ARBITRAZHIT</w:t>
      </w:r>
      <w:bookmarkEnd w:id="225"/>
      <w:r w:rsidRPr="002E06C4">
        <w:rPr>
          <w:rFonts w:cs="Times New Roman"/>
          <w:noProof/>
          <w:lang w:val="sq-AL"/>
        </w:rPr>
        <w:t xml:space="preserve"> </w:t>
      </w:r>
    </w:p>
    <w:p w14:paraId="7F934B7A" w14:textId="77777777" w:rsidR="00413093" w:rsidRPr="002E06C4" w:rsidRDefault="00413093" w:rsidP="00413093">
      <w:pPr>
        <w:spacing w:line="276" w:lineRule="auto"/>
        <w:ind w:left="720"/>
        <w:contextualSpacing/>
        <w:jc w:val="both"/>
        <w:rPr>
          <w:rFonts w:asciiTheme="majorHAnsi" w:hAnsiTheme="majorHAnsi" w:cs="Times New Roman"/>
          <w:sz w:val="12"/>
          <w:lang w:val="sq-AL"/>
        </w:rPr>
      </w:pPr>
    </w:p>
    <w:p w14:paraId="50C387AC" w14:textId="77777777" w:rsidR="00C55AB6" w:rsidRPr="002E06C4" w:rsidRDefault="002350D2" w:rsidP="00083EB3">
      <w:pPr>
        <w:numPr>
          <w:ilvl w:val="0"/>
          <w:numId w:val="6"/>
        </w:numPr>
        <w:spacing w:line="276" w:lineRule="auto"/>
        <w:contextualSpacing/>
        <w:jc w:val="both"/>
        <w:rPr>
          <w:rFonts w:asciiTheme="majorHAnsi" w:hAnsiTheme="majorHAnsi" w:cs="Times New Roman"/>
          <w:lang w:val="sq-AL"/>
        </w:rPr>
      </w:pPr>
      <w:r w:rsidRPr="002E06C4">
        <w:rPr>
          <w:rFonts w:asciiTheme="majorHAnsi" w:hAnsiTheme="majorHAnsi" w:cs="Times New Roman"/>
          <w:lang w:val="sq-AL"/>
        </w:rPr>
        <w:t xml:space="preserve">Ato kanë të bëjnë me vendimet e formës së prerë për zgjidhjen e konflikteve në mosmarrëveshjet dy ose shumëpalëshe, në ngarkim të shtetit shqiptar. Duke patur parasysh efektet e qënësishme financiare që rëndom shoqërojnë këto vendime, ato vlerësohen me risk të konsiderueshëm për buxhetin e shtetit. </w:t>
      </w:r>
    </w:p>
    <w:p w14:paraId="7838B12A" w14:textId="77777777" w:rsidR="002350D2" w:rsidRPr="002E06C4" w:rsidRDefault="002350D2" w:rsidP="00083EB3">
      <w:pPr>
        <w:numPr>
          <w:ilvl w:val="0"/>
          <w:numId w:val="12"/>
        </w:numPr>
        <w:spacing w:before="240" w:after="200" w:line="276" w:lineRule="auto"/>
        <w:contextualSpacing/>
        <w:jc w:val="both"/>
        <w:rPr>
          <w:rFonts w:asciiTheme="majorHAnsi" w:eastAsia="Calibri" w:hAnsiTheme="majorHAnsi" w:cs="Times New Roman"/>
          <w:bCs/>
          <w:lang w:val="sq-AL" w:eastAsia="sq-AL"/>
        </w:rPr>
      </w:pPr>
      <w:r w:rsidRPr="002E06C4">
        <w:rPr>
          <w:rFonts w:asciiTheme="majorHAnsi" w:eastAsia="Calibri" w:hAnsiTheme="majorHAnsi" w:cs="Times New Roman"/>
          <w:bCs/>
          <w:lang w:val="sq-AL" w:eastAsia="sq-AL"/>
        </w:rPr>
        <w:t xml:space="preserve">Në pjesën më të madhe, efektet financiare që rrjedhin nga zbatimi i këtyre vendimeve janë përballuar nga buxheti i vetë institucioneve buxhetore (kryesisht ministri linje), të cilat kanë qenë edhe palë e paditur në gjykimet respektive. Ndërkohë që, në rastet kur palë e paditur cilësohet ‘shteti shqiptar’ apo ‘qeveria shqiptare’, këto vendime likujdohen përmes buxhetit të Ministrisë së Financave dhe Ekonomisë dhe/ose Fondit rezervë të buxhetit të shtetit, nëse lind nevoja. </w:t>
      </w:r>
    </w:p>
    <w:p w14:paraId="31F196BD" w14:textId="77777777" w:rsidR="002350D2" w:rsidRPr="002E06C4" w:rsidRDefault="002350D2" w:rsidP="00083EB3">
      <w:pPr>
        <w:spacing w:after="200" w:line="276" w:lineRule="auto"/>
        <w:ind w:left="1080"/>
        <w:contextualSpacing/>
        <w:jc w:val="both"/>
        <w:rPr>
          <w:rFonts w:asciiTheme="majorHAnsi" w:eastAsia="Calibri" w:hAnsiTheme="majorHAnsi" w:cs="Times New Roman"/>
          <w:i/>
          <w:sz w:val="8"/>
          <w:szCs w:val="8"/>
          <w:lang w:val="sq-AL"/>
        </w:rPr>
      </w:pPr>
    </w:p>
    <w:p w14:paraId="1C309B84" w14:textId="77777777" w:rsidR="002350D2" w:rsidRPr="002E06C4" w:rsidRDefault="002350D2" w:rsidP="00083EB3">
      <w:pPr>
        <w:numPr>
          <w:ilvl w:val="0"/>
          <w:numId w:val="12"/>
        </w:numPr>
        <w:spacing w:before="240" w:after="200" w:line="276" w:lineRule="auto"/>
        <w:contextualSpacing/>
        <w:jc w:val="both"/>
        <w:rPr>
          <w:rFonts w:asciiTheme="majorHAnsi" w:eastAsia="Calibri" w:hAnsiTheme="majorHAnsi" w:cs="Times New Roman"/>
          <w:bCs/>
          <w:lang w:val="sq-AL" w:eastAsia="sq-AL"/>
        </w:rPr>
      </w:pPr>
      <w:r w:rsidRPr="002E06C4">
        <w:rPr>
          <w:rFonts w:asciiTheme="majorHAnsi" w:eastAsia="Calibri" w:hAnsiTheme="majorHAnsi" w:cs="Times New Roman"/>
          <w:bCs/>
          <w:lang w:val="sq-AL" w:eastAsia="sq-AL"/>
        </w:rPr>
        <w:t xml:space="preserve">Për vitin 2018, vlera totale e vendimeve të Arbitrazhit të paguara nga buxheti i shtetit rezultoi në masën rreth 389.8 milion lekë, për 3 vendime. Nga këto: </w:t>
      </w:r>
    </w:p>
    <w:p w14:paraId="0FCADC0A" w14:textId="77777777" w:rsidR="002350D2" w:rsidRPr="002E06C4" w:rsidRDefault="002350D2" w:rsidP="00083EB3">
      <w:pPr>
        <w:numPr>
          <w:ilvl w:val="0"/>
          <w:numId w:val="11"/>
        </w:numPr>
        <w:spacing w:after="200" w:line="276" w:lineRule="auto"/>
        <w:contextualSpacing/>
        <w:jc w:val="both"/>
        <w:rPr>
          <w:rFonts w:asciiTheme="majorHAnsi" w:eastAsia="Calibri" w:hAnsiTheme="majorHAnsi" w:cs="Times New Roman"/>
          <w:i/>
          <w:lang w:val="sq-AL"/>
        </w:rPr>
      </w:pPr>
      <w:r w:rsidRPr="002E06C4">
        <w:rPr>
          <w:rFonts w:asciiTheme="majorHAnsi" w:eastAsia="Calibri" w:hAnsiTheme="majorHAnsi" w:cs="Times New Roman"/>
          <w:i/>
          <w:u w:val="single"/>
          <w:lang w:val="sq-AL"/>
        </w:rPr>
        <w:t>287.3 milion lekë</w:t>
      </w:r>
      <w:r w:rsidRPr="002E06C4">
        <w:rPr>
          <w:rFonts w:asciiTheme="majorHAnsi" w:eastAsia="Calibri" w:hAnsiTheme="majorHAnsi" w:cs="Times New Roman"/>
          <w:i/>
          <w:lang w:val="sq-AL"/>
        </w:rPr>
        <w:t>, për Ministrinë e Turizmit dhe Mjedisit, Ministrinë e Infrastrukturës dhe Energjisë dhe Ministrinë e Financave dhe Ekonomisë, për pagesën e shërbimeve juridike për përfaqësimin dhe mbrojtjen në çështjet e arbitrazhit ndërkombëtar.</w:t>
      </w:r>
    </w:p>
    <w:p w14:paraId="7468313D" w14:textId="77777777" w:rsidR="002350D2" w:rsidRPr="002E06C4" w:rsidRDefault="002350D2" w:rsidP="00083EB3">
      <w:pPr>
        <w:spacing w:after="200" w:line="276" w:lineRule="auto"/>
        <w:ind w:left="1080"/>
        <w:contextualSpacing/>
        <w:jc w:val="both"/>
        <w:rPr>
          <w:rFonts w:asciiTheme="majorHAnsi" w:eastAsia="Calibri" w:hAnsiTheme="majorHAnsi" w:cs="Times New Roman"/>
          <w:i/>
          <w:sz w:val="8"/>
          <w:szCs w:val="8"/>
          <w:lang w:val="sq-AL"/>
        </w:rPr>
      </w:pPr>
    </w:p>
    <w:p w14:paraId="5C35E78C" w14:textId="77777777" w:rsidR="002350D2" w:rsidRPr="002E06C4" w:rsidRDefault="002350D2" w:rsidP="00083EB3">
      <w:pPr>
        <w:numPr>
          <w:ilvl w:val="0"/>
          <w:numId w:val="11"/>
        </w:numPr>
        <w:spacing w:after="200" w:line="276" w:lineRule="auto"/>
        <w:contextualSpacing/>
        <w:jc w:val="both"/>
        <w:rPr>
          <w:rFonts w:asciiTheme="majorHAnsi" w:eastAsia="Calibri" w:hAnsiTheme="majorHAnsi" w:cs="Times New Roman"/>
          <w:i/>
          <w:lang w:val="sq-AL"/>
        </w:rPr>
      </w:pPr>
      <w:r w:rsidRPr="002E06C4">
        <w:rPr>
          <w:rFonts w:asciiTheme="majorHAnsi" w:eastAsia="Calibri" w:hAnsiTheme="majorHAnsi" w:cs="Times New Roman"/>
          <w:i/>
          <w:u w:val="single"/>
          <w:lang w:val="sq-AL"/>
        </w:rPr>
        <w:t>80.3 milion lekë</w:t>
      </w:r>
      <w:r w:rsidRPr="002E06C4">
        <w:rPr>
          <w:rFonts w:asciiTheme="majorHAnsi" w:eastAsia="Calibri" w:hAnsiTheme="majorHAnsi" w:cs="Times New Roman"/>
          <w:i/>
          <w:lang w:val="sq-AL"/>
        </w:rPr>
        <w:t xml:space="preserve"> për Ministrinë e Financave dhe Ekonomisë, për pagesën e shërbimeve juridike për përfaqësimin dhe mbrojtjen në gjykatat italiane.</w:t>
      </w:r>
    </w:p>
    <w:p w14:paraId="1B00BF67" w14:textId="77777777" w:rsidR="002350D2" w:rsidRPr="002E06C4" w:rsidRDefault="002350D2" w:rsidP="00083EB3">
      <w:pPr>
        <w:spacing w:after="200" w:line="276" w:lineRule="auto"/>
        <w:ind w:left="1080"/>
        <w:contextualSpacing/>
        <w:jc w:val="both"/>
        <w:rPr>
          <w:rFonts w:asciiTheme="majorHAnsi" w:eastAsia="Calibri" w:hAnsiTheme="majorHAnsi" w:cs="Times New Roman"/>
          <w:i/>
          <w:sz w:val="8"/>
          <w:szCs w:val="8"/>
          <w:lang w:val="sq-AL"/>
        </w:rPr>
      </w:pPr>
    </w:p>
    <w:p w14:paraId="06BB8838" w14:textId="77777777" w:rsidR="002350D2" w:rsidRPr="002E06C4" w:rsidRDefault="002350D2" w:rsidP="00083EB3">
      <w:pPr>
        <w:numPr>
          <w:ilvl w:val="0"/>
          <w:numId w:val="11"/>
        </w:numPr>
        <w:spacing w:after="200" w:line="276" w:lineRule="auto"/>
        <w:contextualSpacing/>
        <w:jc w:val="both"/>
        <w:rPr>
          <w:rFonts w:asciiTheme="majorHAnsi" w:eastAsia="Calibri" w:hAnsiTheme="majorHAnsi" w:cs="Times New Roman"/>
          <w:i/>
          <w:lang w:val="sq-AL"/>
        </w:rPr>
      </w:pPr>
      <w:r w:rsidRPr="002E06C4">
        <w:rPr>
          <w:rFonts w:asciiTheme="majorHAnsi" w:eastAsia="Calibri" w:hAnsiTheme="majorHAnsi" w:cs="Times New Roman"/>
          <w:i/>
          <w:u w:val="single"/>
          <w:lang w:val="sq-AL"/>
        </w:rPr>
        <w:t>22.1 milion lekë</w:t>
      </w:r>
      <w:r w:rsidRPr="002E06C4">
        <w:rPr>
          <w:rFonts w:asciiTheme="majorHAnsi" w:eastAsia="Calibri" w:hAnsiTheme="majorHAnsi" w:cs="Times New Roman"/>
          <w:i/>
          <w:lang w:val="sq-AL"/>
        </w:rPr>
        <w:t xml:space="preserve"> për Ministrinë e Infrastrukturës dhe Energjisë për pagesën e shërbimeve juridike për përfaqësimin dhe mbrojtjen në gjykatat italiane.</w:t>
      </w:r>
    </w:p>
    <w:p w14:paraId="63658FDA" w14:textId="77777777" w:rsidR="002350D2" w:rsidRPr="002E06C4" w:rsidRDefault="002350D2" w:rsidP="00083EB3">
      <w:pPr>
        <w:spacing w:after="200" w:line="276" w:lineRule="auto"/>
        <w:ind w:left="1080"/>
        <w:contextualSpacing/>
        <w:jc w:val="both"/>
        <w:rPr>
          <w:rFonts w:asciiTheme="majorHAnsi" w:eastAsia="Calibri" w:hAnsiTheme="majorHAnsi" w:cs="Times New Roman"/>
          <w:i/>
          <w:sz w:val="8"/>
          <w:szCs w:val="8"/>
          <w:lang w:val="sq-AL"/>
        </w:rPr>
      </w:pPr>
    </w:p>
    <w:p w14:paraId="4A4C9149" w14:textId="77777777" w:rsidR="00797534" w:rsidRPr="002E06C4" w:rsidRDefault="002350D2" w:rsidP="00083EB3">
      <w:pPr>
        <w:spacing w:after="200" w:line="276" w:lineRule="auto"/>
        <w:ind w:left="720"/>
        <w:contextualSpacing/>
        <w:jc w:val="both"/>
        <w:rPr>
          <w:lang w:val="sq-AL"/>
        </w:rPr>
      </w:pPr>
      <w:r w:rsidRPr="002E06C4">
        <w:rPr>
          <w:rFonts w:asciiTheme="majorHAnsi" w:eastAsia="Calibri" w:hAnsiTheme="majorHAnsi" w:cs="Times New Roman"/>
          <w:bCs/>
          <w:lang w:val="sq-AL" w:eastAsia="sq-AL"/>
        </w:rPr>
        <w:t>Ministria e Financave dhe Ekonomisë, në vazhdimësi dhe me këmbëngulje, ka rekomanduar forcimin e rolit negociues të institucioneve buxhetore dhe Avokaturës së Shtetit në çështjet e kësaj natyre, si edhe disiplinimin e proçesit të shlyerjes financiare të përfituesve. Kjo, me qëllimin final të lehtësimit, reduktimit dhe/ose shmangies së barrës financiare mbi buxhetin e shtetit</w:t>
      </w:r>
      <w:r w:rsidR="00032B8A" w:rsidRPr="002E06C4">
        <w:rPr>
          <w:rFonts w:asciiTheme="majorHAnsi" w:eastAsia="Calibri" w:hAnsiTheme="majorHAnsi" w:cs="Times New Roman"/>
          <w:bCs/>
          <w:lang w:val="sq-AL" w:eastAsia="sq-AL"/>
        </w:rPr>
        <w:t>.</w:t>
      </w:r>
      <w:bookmarkStart w:id="226" w:name="_Toc10033288"/>
      <w:bookmarkStart w:id="227" w:name="_Toc10721425"/>
    </w:p>
    <w:p w14:paraId="766E775B" w14:textId="77777777" w:rsidR="00797534" w:rsidRPr="002E06C4" w:rsidRDefault="00797534" w:rsidP="00083EB3">
      <w:pPr>
        <w:spacing w:line="276" w:lineRule="auto"/>
        <w:rPr>
          <w:lang w:val="sq-AL"/>
        </w:rPr>
      </w:pPr>
    </w:p>
    <w:p w14:paraId="06E5D619" w14:textId="77777777" w:rsidR="00787F0C" w:rsidRPr="00083EB3" w:rsidRDefault="00083EB3" w:rsidP="00D468EE">
      <w:pPr>
        <w:pStyle w:val="Heading1"/>
        <w:numPr>
          <w:ilvl w:val="0"/>
          <w:numId w:val="4"/>
        </w:numPr>
        <w:spacing w:before="0"/>
        <w:rPr>
          <w:rFonts w:cs="Times New Roman"/>
          <w:b/>
          <w:lang w:val="sq-AL"/>
        </w:rPr>
      </w:pPr>
      <w:bookmarkStart w:id="228" w:name="_Toc11134247"/>
      <w:r w:rsidRPr="00083EB3">
        <w:rPr>
          <w:rFonts w:cs="Times New Roman"/>
          <w:b/>
          <w:lang w:val="sq-AL"/>
        </w:rPr>
        <w:lastRenderedPageBreak/>
        <w:t>SHTOJCAT</w:t>
      </w:r>
      <w:bookmarkEnd w:id="226"/>
      <w:bookmarkEnd w:id="227"/>
      <w:bookmarkEnd w:id="228"/>
    </w:p>
    <w:p w14:paraId="3A533042" w14:textId="77777777" w:rsidR="00A94670" w:rsidRPr="002E06C4" w:rsidRDefault="00A94670" w:rsidP="00537BF7">
      <w:pPr>
        <w:pStyle w:val="Heading2"/>
        <w:numPr>
          <w:ilvl w:val="1"/>
          <w:numId w:val="4"/>
        </w:numPr>
        <w:ind w:left="630" w:hanging="630"/>
        <w:rPr>
          <w:rFonts w:cs="Times New Roman"/>
          <w:color w:val="4F81BD" w:themeColor="accent1"/>
          <w:lang w:val="sq-AL"/>
        </w:rPr>
      </w:pPr>
      <w:bookmarkStart w:id="229" w:name="_Toc10033289"/>
      <w:bookmarkStart w:id="230" w:name="_Toc10721426"/>
      <w:bookmarkStart w:id="231" w:name="_Toc11134248"/>
      <w:r w:rsidRPr="002E06C4">
        <w:rPr>
          <w:rFonts w:cs="Times New Roman"/>
          <w:color w:val="4F81BD" w:themeColor="accent1"/>
          <w:lang w:val="sq-AL"/>
        </w:rPr>
        <w:t>Shtojca</w:t>
      </w:r>
      <w:r w:rsidR="00DC2B59" w:rsidRPr="002E06C4">
        <w:rPr>
          <w:rFonts w:cs="Times New Roman"/>
          <w:color w:val="4F81BD" w:themeColor="accent1"/>
          <w:lang w:val="sq-AL"/>
        </w:rPr>
        <w:t xml:space="preserve"> 1 - </w:t>
      </w:r>
      <w:r w:rsidR="00DC2B59" w:rsidRPr="002E06C4">
        <w:rPr>
          <w:rFonts w:cs="Times New Roman"/>
          <w:noProof/>
          <w:color w:val="4F81BD" w:themeColor="accent1"/>
          <w:sz w:val="26"/>
          <w:lang w:val="sq-AL"/>
        </w:rPr>
        <w:t>Zbatimi dhe monitorimi i parimeve dhe rregullave fiskale</w:t>
      </w:r>
      <w:bookmarkEnd w:id="229"/>
      <w:bookmarkEnd w:id="230"/>
      <w:bookmarkEnd w:id="231"/>
    </w:p>
    <w:p w14:paraId="246F3024" w14:textId="77777777" w:rsidR="00DC2B59" w:rsidRPr="002E06C4" w:rsidRDefault="00DC2B59" w:rsidP="00EB3D5E">
      <w:pPr>
        <w:spacing w:before="120" w:line="276" w:lineRule="auto"/>
        <w:jc w:val="both"/>
        <w:rPr>
          <w:rFonts w:asciiTheme="majorHAnsi" w:hAnsiTheme="majorHAnsi" w:cs="Times New Roman"/>
          <w:lang w:val="sq-AL"/>
        </w:rPr>
      </w:pPr>
      <w:r w:rsidRPr="002E06C4">
        <w:rPr>
          <w:rFonts w:asciiTheme="majorHAnsi" w:hAnsiTheme="majorHAnsi" w:cs="Times New Roman"/>
          <w:lang w:val="sq-AL"/>
        </w:rPr>
        <w:t>Ligji Nr.57 datë 02.06.2016 “Për disa ndryshime dhe shtesa në ligjin Nr.9936, datë 26.06.2008 “Për menaxhimin e sistemit buxhetor në Republikën e Shqipërisë, të ndryshuar” (referuar në vijim si Ligji Organik i Buxhetit - LOB), në nenin 4/1 sanksionon disa parime dhe rregulla fiskale për mirëmenaxhimin e financave publike në Shqipëri. Ky seksison paraqet zbatueshmërinë e këtyre parimeve dhe rregullave fiskalë përgjatë vitit 2018.</w:t>
      </w:r>
    </w:p>
    <w:p w14:paraId="58969896" w14:textId="77777777" w:rsidR="00DC2B59" w:rsidRPr="002E06C4" w:rsidRDefault="00DC2B59" w:rsidP="00DC2B59">
      <w:pPr>
        <w:spacing w:before="120" w:after="120" w:line="276" w:lineRule="auto"/>
        <w:jc w:val="both"/>
        <w:rPr>
          <w:rFonts w:asciiTheme="majorHAnsi" w:hAnsiTheme="majorHAnsi" w:cs="Times New Roman"/>
          <w:lang w:val="sq-AL"/>
        </w:rPr>
      </w:pPr>
      <w:r w:rsidRPr="002E06C4">
        <w:rPr>
          <w:rFonts w:asciiTheme="majorHAnsi" w:hAnsiTheme="majorHAnsi" w:cs="Times New Roman"/>
          <w:noProof/>
        </w:rPr>
        <mc:AlternateContent>
          <mc:Choice Requires="wps">
            <w:drawing>
              <wp:anchor distT="0" distB="0" distL="114300" distR="114300" simplePos="0" relativeHeight="251644928" behindDoc="0" locked="0" layoutInCell="1" allowOverlap="1" wp14:anchorId="20372DDA" wp14:editId="7FE6D5F0">
                <wp:simplePos x="0" y="0"/>
                <wp:positionH relativeFrom="column">
                  <wp:posOffset>-72390</wp:posOffset>
                </wp:positionH>
                <wp:positionV relativeFrom="paragraph">
                  <wp:posOffset>161290</wp:posOffset>
                </wp:positionV>
                <wp:extent cx="6751320" cy="6758940"/>
                <wp:effectExtent l="0" t="0" r="11430" b="22860"/>
                <wp:wrapNone/>
                <wp:docPr id="282" name="Rectangle 282"/>
                <wp:cNvGraphicFramePr/>
                <a:graphic xmlns:a="http://schemas.openxmlformats.org/drawingml/2006/main">
                  <a:graphicData uri="http://schemas.microsoft.com/office/word/2010/wordprocessingShape">
                    <wps:wsp>
                      <wps:cNvSpPr/>
                      <wps:spPr>
                        <a:xfrm>
                          <a:off x="0" y="0"/>
                          <a:ext cx="6751320" cy="6758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373F2" id="Rectangle 282" o:spid="_x0000_s1026" style="position:absolute;margin-left:-5.7pt;margin-top:12.7pt;width:531.6pt;height:53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bcmQIAAIoFAAAOAAAAZHJzL2Uyb0RvYy54bWysVEtv2zAMvg/YfxB0X51k6SuoUwQpMgwo&#10;2qDt0LMiS7EBWdQoJU7260fJjwZdscMwH2RRJD+Snyje3B5qw/YKfQU25+OzEWfKSigqu835j5fV&#10;lyvOfBC2EAasyvlReX47//zppnEzNYESTKGQEYj1s8blvAzBzbLMy1LVwp+BU5aUGrAWgUTcZgWK&#10;htBrk01Go4usASwcglTe0+ldq+TzhK+1kuFRa68CMzmn3EJaMa2buGbzGzHbonBlJbs0xD9kUYvK&#10;UtAB6k4EwXZY/QFVVxLBgw5nEuoMtK6kSjVQNePRu2qeS+FUqoXI8W6gyf8/WPmwXyOripxPriac&#10;WVHTJT0RbcJujWLxkChqnJ+R5bNbYyd52sZ6Dxrr+KdK2CHRehxoVYfAJB1eXJ6Pv06IfUk6Eq6u&#10;p4n47M3doQ/fFNQsbnKOlECiU+zvfaCQZNqbxGgWVpUx6e6MjQceTFXEsyTgdrM0yPaCLn21GtEX&#10;iyCMEzOSomsWS2uLSbtwNCpiGPukNPFC6U9SJqkj1QArpFQ2jFtVKQrVRjs/DRZ7OHqk0AkwImvK&#10;csDuAHrLFqTHbnPu7KOrSg09OI/+lljrPHikyGDD4FxXFvAjAENVdZFb+56klprI0gaKI3UNQvuc&#10;vJOriu7tXviwFkjvh+6aZkJ4pEUbaHIO3Y6zEvDXR+fRntqatJw19B5z7n/uBCrOzHdLDX89nlLX&#10;sJCE6fll7Cc81WxONXZXL4Fuf0zTx8m0jfbB9FuNUL/S6FjEqKQSVlLsnMuAvbAM7Zyg4SPVYpHM&#10;6NE6Ee7ts5MRPLIa+/Ll8CrQdc0bqO8foH+7Yvauh1vb6GlhsQugq9Tgb7x2fNODT43TDac4UU7l&#10;ZPU2Que/AQAA//8DAFBLAwQUAAYACAAAACEAa5GR/eEAAAAMAQAADwAAAGRycy9kb3ducmV2Lnht&#10;bEyPQU+DQBCF7yb+h82YeDHtQrUNRZZGm9iDhyZWL94Wdgqk7Cxhl4L/3uGkp5nJe3nzvWw32VZc&#10;sfeNIwXxMgKBVDrTUKXg6/NtkYDwQZPRrSNU8IMedvntTaZT40b6wOspVIJDyKdaQR1Cl0rpyxqt&#10;9kvXIbF2dr3Vgc++kqbXI4fbVq6iaCOtbog/1LrDfY3l5TRYBcXhu98nr4+HMDxsOPpSveNxVOr+&#10;bnp5BhFwCn9mmPEZHXJmKtxAxotWwSKOn9iqYLXmORuidcxlinlLtgnIPJP/S+S/AAAA//8DAFBL&#10;AQItABQABgAIAAAAIQC2gziS/gAAAOEBAAATAAAAAAAAAAAAAAAAAAAAAABbQ29udGVudF9UeXBl&#10;c10ueG1sUEsBAi0AFAAGAAgAAAAhADj9If/WAAAAlAEAAAsAAAAAAAAAAAAAAAAALwEAAF9yZWxz&#10;Ly5yZWxzUEsBAi0AFAAGAAgAAAAhAMRHltyZAgAAigUAAA4AAAAAAAAAAAAAAAAALgIAAGRycy9l&#10;Mm9Eb2MueG1sUEsBAi0AFAAGAAgAAAAhAGuRkf3hAAAADAEAAA8AAAAAAAAAAAAAAAAA8wQAAGRy&#10;cy9kb3ducmV2LnhtbFBLBQYAAAAABAAEAPMAAAABBgAAAAA=&#10;" filled="f" strokecolor="red" strokeweight="2pt"/>
            </w:pict>
          </mc:Fallback>
        </mc:AlternateContent>
      </w:r>
    </w:p>
    <w:p w14:paraId="2468A596"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b/>
          <w:i/>
          <w:lang w:val="sq-AL"/>
        </w:rPr>
      </w:pPr>
      <w:r w:rsidRPr="002E06C4">
        <w:rPr>
          <w:rFonts w:asciiTheme="majorHAnsi" w:hAnsiTheme="majorHAnsi" w:cs="Times New Roman"/>
          <w:b/>
          <w:i/>
          <w:lang w:val="sq-AL"/>
        </w:rPr>
        <w:t>Përcaktimi ligjor (1):</w:t>
      </w:r>
    </w:p>
    <w:p w14:paraId="5DA51EF7"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Neni 4/1, pika (1.a) i LOB sanksionon që 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qëndrojë poshtë nivelit 45 për qind të Produktit të Brendshëm Bruto.</w:t>
      </w:r>
    </w:p>
    <w:p w14:paraId="22A1E1C5"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(1):</w:t>
      </w:r>
    </w:p>
    <w:p w14:paraId="375EF598"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Çdo ligj vjetor i buxhetit hartuar dhe miratuar për vitin 2018 ka qenë në përputhje të plotë me këtë përcaktim ligjor. Tabela më poshtë paraqet me shifra specifike përputhshmërinë e secilit ligj të buxhetit për vitin 2018 me këtë përcaktim të LOB.</w:t>
      </w:r>
    </w:p>
    <w:p w14:paraId="51009671" w14:textId="77777777" w:rsidR="00DC2B59" w:rsidRPr="002E06C4" w:rsidRDefault="00DC2B59" w:rsidP="00DC2B59">
      <w:pPr>
        <w:pStyle w:val="ListParagraph"/>
        <w:spacing w:before="120" w:after="120" w:line="276" w:lineRule="auto"/>
        <w:ind w:left="0"/>
        <w:contextualSpacing w:val="0"/>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55AA5EE8" wp14:editId="0407DAE7">
            <wp:extent cx="6000750" cy="12955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0" cy="1295515"/>
                    </a:xfrm>
                    <a:prstGeom prst="rect">
                      <a:avLst/>
                    </a:prstGeom>
                    <a:noFill/>
                    <a:ln>
                      <a:noFill/>
                    </a:ln>
                  </pic:spPr>
                </pic:pic>
              </a:graphicData>
            </a:graphic>
          </wp:inline>
        </w:drawing>
      </w:r>
    </w:p>
    <w:p w14:paraId="1E985F2B"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sz w:val="22"/>
          <w:lang w:val="sq-AL"/>
        </w:rPr>
      </w:pPr>
      <w:r w:rsidRPr="002E06C4">
        <w:rPr>
          <w:rFonts w:asciiTheme="majorHAnsi" w:hAnsiTheme="majorHAnsi" w:cs="Times New Roman"/>
          <w:b/>
          <w:i/>
          <w:u w:val="single"/>
          <w:lang w:val="sq-AL"/>
        </w:rPr>
        <w:t>Shënim</w:t>
      </w:r>
      <w:r w:rsidRPr="002E06C4">
        <w:rPr>
          <w:rFonts w:asciiTheme="majorHAnsi" w:hAnsiTheme="majorHAnsi" w:cs="Times New Roman"/>
          <w:i/>
          <w:lang w:val="sq-AL"/>
        </w:rPr>
        <w:t>:</w:t>
      </w:r>
      <w:r w:rsidRPr="002E06C4">
        <w:rPr>
          <w:rFonts w:asciiTheme="majorHAnsi" w:hAnsiTheme="majorHAnsi" w:cs="Times New Roman"/>
          <w:lang w:val="sq-AL"/>
        </w:rPr>
        <w:t xml:space="preserve"> </w:t>
      </w:r>
      <w:r w:rsidRPr="002E06C4">
        <w:rPr>
          <w:rFonts w:asciiTheme="majorHAnsi" w:hAnsiTheme="majorHAnsi" w:cs="Times New Roman"/>
          <w:i/>
          <w:sz w:val="22"/>
          <w:lang w:val="sq-AL"/>
        </w:rPr>
        <w:t xml:space="preserve">Niveli i borxhit faktik i rezultuar në fund të 2018 nuk është relevant për sa i përket zbatueshmërisë ligjore të këtij neni/pike të LOB. Ky nen sanksionon vetëm nivelin e planifikuar të borxhit për 2018 dhe jo atë të rezultuar faktikisht në fund të vitit. Niveli faktik i rezultuar në fund të vitit është informues mbi efektshmërinë e LOB sa i takon uljes faktike të borxhit, por nuk është relevant sa i takon zbatueshmërisë/përputhshmërisë me ligjin. </w:t>
      </w:r>
    </w:p>
    <w:p w14:paraId="5687C099" w14:textId="77777777" w:rsidR="00DC2B59" w:rsidRPr="002E06C4" w:rsidRDefault="00DC2B59" w:rsidP="00DC2B59">
      <w:pPr>
        <w:pStyle w:val="ListParagraph"/>
        <w:spacing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 xml:space="preserve">Sa i takon efektshmërisë së këtij rregulli fiskal në LOB lidhur me uljen e borxhit gjatë vitit 2018 edhe ajo rezulton të ketë qenë ''e plotë'', pasi niveli i borxhit faktik për vitin 2018 (sipas shifrave të disponueshme deri në këtë moment të hartimit të këtij raporti) rezulton 68% e PBB. Kjo konsiston në një ulje prej rreth 2.9 pikë përqindje të borxhit publik total nga niveli prej 70.1% që ishte në vitin 2017.  </w:t>
      </w:r>
    </w:p>
    <w:p w14:paraId="30F48E77" w14:textId="77777777" w:rsidR="00DC2B59" w:rsidRPr="002E06C4" w:rsidRDefault="00DC2B59" w:rsidP="00DC2B59">
      <w:pPr>
        <w:pStyle w:val="ListParagraph"/>
        <w:spacing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 xml:space="preserve">Ndёrsa, nёse nё konsideratё do merrej treguesi i borxhit publik total, </w:t>
      </w:r>
      <w:r w:rsidRPr="002E06C4">
        <w:rPr>
          <w:rFonts w:asciiTheme="majorHAnsi" w:hAnsiTheme="majorHAnsi" w:cs="Times New Roman"/>
          <w:i/>
          <w:lang w:val="sq-AL"/>
        </w:rPr>
        <w:t>neto</w:t>
      </w:r>
      <w:r w:rsidRPr="002E06C4">
        <w:rPr>
          <w:rFonts w:asciiTheme="majorHAnsi" w:hAnsiTheme="majorHAnsi" w:cs="Times New Roman"/>
          <w:lang w:val="sq-AL"/>
        </w:rPr>
        <w:t xml:space="preserve"> nga gjendja e depozitёs sё qeverisё nё Bankёn e Shqipёrisё (Llogarisё unike tё thesarit), e cila veçanёrisht gjatё vitit 2018 ka patur njё ndryshim momental tё konsiderueshёm si pasojё e emetimit tё Eurobondit, atёhёrё rёnia e borxhit sipas kёtij treguesi (borxhi neto) rezulton me 3.9 pikё pёrqindje, nga 68.7% nё vitin 2017, nё 64.8% nё vitin 2018.</w:t>
      </w:r>
    </w:p>
    <w:p w14:paraId="310A3FC0" w14:textId="77777777" w:rsidR="00DC2B59" w:rsidRPr="002E06C4" w:rsidRDefault="00787F0C" w:rsidP="00DC2B59">
      <w:pPr>
        <w:pStyle w:val="ListParagraph"/>
        <w:spacing w:before="120" w:after="120" w:line="276" w:lineRule="auto"/>
        <w:ind w:left="0" w:firstLine="720"/>
        <w:contextualSpacing w:val="0"/>
        <w:jc w:val="both"/>
        <w:rPr>
          <w:rFonts w:asciiTheme="majorHAnsi" w:hAnsiTheme="majorHAnsi" w:cs="Times New Roman"/>
          <w:b/>
          <w:i/>
          <w:lang w:val="sq-AL"/>
        </w:rPr>
      </w:pPr>
      <w:r w:rsidRPr="002E06C4">
        <w:rPr>
          <w:rFonts w:asciiTheme="majorHAnsi" w:hAnsiTheme="majorHAnsi" w:cs="Times New Roman"/>
          <w:b/>
          <w:i/>
          <w:noProof/>
        </w:rPr>
        <w:lastRenderedPageBreak/>
        <mc:AlternateContent>
          <mc:Choice Requires="wps">
            <w:drawing>
              <wp:anchor distT="0" distB="0" distL="114300" distR="114300" simplePos="0" relativeHeight="251648000" behindDoc="0" locked="0" layoutInCell="1" allowOverlap="1" wp14:anchorId="3C65839E" wp14:editId="1D772AFA">
                <wp:simplePos x="0" y="0"/>
                <wp:positionH relativeFrom="column">
                  <wp:posOffset>-87630</wp:posOffset>
                </wp:positionH>
                <wp:positionV relativeFrom="paragraph">
                  <wp:posOffset>-60960</wp:posOffset>
                </wp:positionV>
                <wp:extent cx="6705600" cy="1653540"/>
                <wp:effectExtent l="0" t="0" r="19050" b="22860"/>
                <wp:wrapNone/>
                <wp:docPr id="283" name="Rectangle 283"/>
                <wp:cNvGraphicFramePr/>
                <a:graphic xmlns:a="http://schemas.openxmlformats.org/drawingml/2006/main">
                  <a:graphicData uri="http://schemas.microsoft.com/office/word/2010/wordprocessingShape">
                    <wps:wsp>
                      <wps:cNvSpPr/>
                      <wps:spPr>
                        <a:xfrm>
                          <a:off x="0" y="0"/>
                          <a:ext cx="6705600" cy="1653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C3BC1" id="Rectangle 283" o:spid="_x0000_s1026" style="position:absolute;margin-left:-6.9pt;margin-top:-4.8pt;width:528pt;height:13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qvmwIAAIoFAAAOAAAAZHJzL2Uyb0RvYy54bWysVE1v2zAMvQ/YfxB0X+2kTdoFdYqgRYYB&#10;RRu0HXpWZCkxIIsapcTJfv0o+aNBV+wwzAdZFMlH8oni9c2hNmyv0FdgCz46yzlTVkJZ2U3Bf7ws&#10;v1xx5oOwpTBgVcGPyvOb+edP142bqTFswZQKGYFYP2tcwbchuFmWeblVtfBn4JQlpQasRSARN1mJ&#10;oiH02mTjPJ9mDWDpEKTynk7vWiWfJ3ytlQyPWnsVmCk45RbSimldxzWbX4vZBoXbVrJLQ/xDFrWo&#10;LAUdoO5EEGyH1R9QdSURPOhwJqHOQOtKqlQDVTPK31XzvBVOpVqIHO8Gmvz/g5UP+xWyqiz4+Oqc&#10;MytquqQnok3YjVEsHhJFjfMzsnx2K+wkT9tY70FjHf9UCTskWo8DreoQmKTD6WU+mebEviTdaDo5&#10;n1wk4rM3d4c+fFNQs7gpOFICiU6xv/eBQpJpbxKjWVhWxqS7MzYeeDBVGc+SgJv1rUG2F3Tpy2VO&#10;XyyCME7MSIquWSytLSbtwtGoiGHsk9LEC6U/TpmkjlQDrJBS2TBqVVtRqjba5DRY7OHokUInwIis&#10;KcsBuwPoLVuQHrvNubOPrio19OCc/y2x1nnwSJHBhsG5rizgRwCGquoit/Y9SS01kaU1lEfqGoT2&#10;OXknlxXd273wYSWQ3g/dNc2E8EiLNtAUHLodZ1vAXx+dR3tqa9Jy1tB7LLj/uROoODPfLTX819EF&#10;dQ0LSbiYXI5JwFPN+lRjd/Ut0O2PaPo4mbbRPph+qxHqVxodixiVVMJKil1wGbAXbkM7J2j4SLVY&#10;JDN6tE6Ee/vsZASPrMa+fDm8CnRd8wbq+wfo366Yvevh1jZ6WljsAugqNfgbrx3f9OBT43TDKU6U&#10;UzlZvY3Q+W8AAAD//wMAUEsDBBQABgAIAAAAIQCY8Q6X4QAAAAsBAAAPAAAAZHJzL2Rvd25yZXYu&#10;eG1sTI+xTsMwEIZ3JN7BOiQW1NpNIUpDnAoq0YGhEoWlmxMfSdTYjmynCW/PdYLtTvfru+8vtrPp&#10;2QV96JyVsFoKYGhrpzvbSPj6fFtkwEJUVqveWZTwgwG25e1NoXLtJvuBl2NsGEFsyJWENsYh5zzU&#10;LRoVlm5AS7dv542KtPqGa68mgpueJ0Kk3KjO0odWDbhrsT4fRyOh2p/8Lntd7+P4kBL63LzjYZLy&#10;/m5+eQYWcY5/YbjqkzqU5FS50erAegmL1ZrUIw2bFNg1IB6TBFglIXkSGfCy4P87lL8AAAD//wMA&#10;UEsBAi0AFAAGAAgAAAAhALaDOJL+AAAA4QEAABMAAAAAAAAAAAAAAAAAAAAAAFtDb250ZW50X1R5&#10;cGVzXS54bWxQSwECLQAUAAYACAAAACEAOP0h/9YAAACUAQAACwAAAAAAAAAAAAAAAAAvAQAAX3Jl&#10;bHMvLnJlbHNQSwECLQAUAAYACAAAACEAg0V6r5sCAACKBQAADgAAAAAAAAAAAAAAAAAuAgAAZHJz&#10;L2Uyb0RvYy54bWxQSwECLQAUAAYACAAAACEAmPEOl+EAAAALAQAADwAAAAAAAAAAAAAAAAD1BAAA&#10;ZHJzL2Rvd25yZXYueG1sUEsFBgAAAAAEAAQA8wAAAAMGAAAAAA==&#10;" filled="f" strokecolor="red" strokeweight="2pt"/>
            </w:pict>
          </mc:Fallback>
        </mc:AlternateContent>
      </w:r>
      <w:r w:rsidR="00DC2B59" w:rsidRPr="002E06C4">
        <w:rPr>
          <w:rFonts w:asciiTheme="majorHAnsi" w:hAnsiTheme="majorHAnsi" w:cs="Times New Roman"/>
          <w:b/>
          <w:i/>
          <w:lang w:val="sq-AL"/>
        </w:rPr>
        <w:t>Përcaktimi ligjor (2):</w:t>
      </w:r>
    </w:p>
    <w:p w14:paraId="713C7E64" w14:textId="77777777" w:rsidR="00DC2B59" w:rsidRPr="002E06C4" w:rsidRDefault="00DC2B59" w:rsidP="00DC2B59">
      <w:pPr>
        <w:pStyle w:val="ListParagraph"/>
        <w:spacing w:line="276" w:lineRule="auto"/>
        <w:ind w:left="0"/>
        <w:jc w:val="both"/>
        <w:rPr>
          <w:rFonts w:asciiTheme="majorHAnsi" w:hAnsiTheme="majorHAnsi" w:cs="Times New Roman"/>
          <w:lang w:val="sq-AL"/>
        </w:rPr>
      </w:pPr>
      <w:r w:rsidRPr="002E06C4">
        <w:rPr>
          <w:rFonts w:asciiTheme="majorHAnsi" w:hAnsiTheme="majorHAnsi" w:cs="Times New Roman"/>
          <w:lang w:val="sq-AL"/>
        </w:rPr>
        <w:t>Neni 4/1, pika (1.b) i LOB përcakton që përjashtim nga sanksionet e pikës së mësipërme të këtij neni (pikës ''a'') mund të bëhet vetëm në rastet e rrethanave të jashtëzakonshme, të përcaktuara në nenin 4/4 të këtij LOB.</w:t>
      </w:r>
    </w:p>
    <w:p w14:paraId="38C9B3C5"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(2):</w:t>
      </w:r>
    </w:p>
    <w:p w14:paraId="2D0266B5"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 xml:space="preserve">Gjatë vitit 2018 nuk ka qenë rasti i aplikimit të kësaj klauzole përjashtuese. </w:t>
      </w:r>
    </w:p>
    <w:p w14:paraId="502AF4EF"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lang w:val="sq-AL"/>
        </w:rPr>
      </w:pPr>
    </w:p>
    <w:p w14:paraId="1B036418"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lang w:val="sq-AL"/>
        </w:rPr>
      </w:pPr>
      <w:r w:rsidRPr="002E06C4">
        <w:rPr>
          <w:rFonts w:asciiTheme="majorHAnsi" w:hAnsiTheme="majorHAnsi" w:cs="Times New Roman"/>
          <w:i/>
          <w:noProof/>
        </w:rPr>
        <mc:AlternateContent>
          <mc:Choice Requires="wps">
            <w:drawing>
              <wp:anchor distT="0" distB="0" distL="114300" distR="114300" simplePos="0" relativeHeight="251651072" behindDoc="0" locked="0" layoutInCell="1" allowOverlap="1" wp14:anchorId="7FB885D8" wp14:editId="64F3A52E">
                <wp:simplePos x="0" y="0"/>
                <wp:positionH relativeFrom="column">
                  <wp:posOffset>-72390</wp:posOffset>
                </wp:positionH>
                <wp:positionV relativeFrom="paragraph">
                  <wp:posOffset>227330</wp:posOffset>
                </wp:positionV>
                <wp:extent cx="6728460" cy="5570220"/>
                <wp:effectExtent l="0" t="0" r="15240" b="11430"/>
                <wp:wrapNone/>
                <wp:docPr id="284" name="Rectangle 284"/>
                <wp:cNvGraphicFramePr/>
                <a:graphic xmlns:a="http://schemas.openxmlformats.org/drawingml/2006/main">
                  <a:graphicData uri="http://schemas.microsoft.com/office/word/2010/wordprocessingShape">
                    <wps:wsp>
                      <wps:cNvSpPr/>
                      <wps:spPr>
                        <a:xfrm>
                          <a:off x="0" y="0"/>
                          <a:ext cx="6728460" cy="5570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DD8C" id="Rectangle 284" o:spid="_x0000_s1026" style="position:absolute;margin-left:-5.7pt;margin-top:17.9pt;width:529.8pt;height:43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LmQIAAIoFAAAOAAAAZHJzL2Uyb0RvYy54bWysVE1v2zAMvQ/YfxB0X+0ESdsFdYqgRYYB&#10;RVu0HXpWZCk2IIsapcTJfv0o+aNBV+wwLAdHFMlH8onk1fWhMWyv0NdgCz45yzlTVkJZ223Bf7ys&#10;v1xy5oOwpTBgVcGPyvPr5edPV61bqClUYEqFjECsX7Su4FUIbpFlXlaqEf4MnLKk1ICNCCTiNitR&#10;tITemGya5+dZC1g6BKm8p9vbTsmXCV9rJcOD1l4FZgpOuYX0xfTdxG+2vBKLLQpX1bJPQ/xDFo2o&#10;LQUdoW5FEGyH9R9QTS0RPOhwJqHJQOtaqlQDVTPJ31XzXAmnUi1EjncjTf7/wcr7/SOyuiz49HLG&#10;mRUNPdIT0Sbs1igWL4mi1vkFWT67R+wlT8dY70FjE/+pEnZItB5HWtUhMEmX5xcEc07sS9LN5xf5&#10;dJqIz97cHfrwTUHD4qHgSAkkOsX+zgcKSaaDSYxmYV0bk97O2HjhwdRlvEsCbjc3Btle0KOv1zn9&#10;YhGEcWJGUnTNYmldMekUjkZFDGOflCZeKP1pyiR1pBphhZTKhkmnqkSpumjz02Cxh6NHCp0AI7Km&#10;LEfsHmCw7EAG7C7n3j66qtTQo3P+t8Q659EjRQYbRuemtoAfARiqqo/c2Q8kddREljZQHqlrELpx&#10;8k6ua3q3O+HDo0CaH3pr2gnhgT7aQFtw6E+cVYC/PrqP9tTWpOWspXksuP+5E6g4M98tNfzXyWwW&#10;BzgJs/kFtRDDU83mVGN3zQ3Q609o+ziZjtE+mOGoEZpXWh2rGJVUwkqKXXAZcBBuQrcnaPlItVol&#10;MxpaJ8KdfXYygkdWY1++HF4Fur55A/X9PQyzKxbverizjZ4WVrsAuk4N/sZrzzcNfGqcfjnFjXIq&#10;J6u3Fbr8DQAA//8DAFBLAwQUAAYACAAAACEAPJHOeuEAAAALAQAADwAAAGRycy9kb3ducmV2Lnht&#10;bEyPMU/DMBCFdyT+g3VILFVrpylVCLlUUIkODEgUFjYnPpKosR3ZThP+Pe5UxtN9+t57xW7WPTuT&#10;8501CMlKACNTW9WZBuHr83WZAfNBGiV7awjhlzzsytubQubKTuaDzsfQsCgxPpcIbQhDzrmvW9LS&#10;r+xAJv5+rNMyxNM1XDk5Rbnu+VqILdeyMzGhlQPtW6pPx1EjVIdvt89e0kMYF9uoPjVv9D4h3t/N&#10;z0/AAs3hCsOlfqwOZexU2dEoz3qEZZJsIoqQPsQJF0BssjWwCuExSQXwsuD/N5R/AAAA//8DAFBL&#10;AQItABQABgAIAAAAIQC2gziS/gAAAOEBAAATAAAAAAAAAAAAAAAAAAAAAABbQ29udGVudF9UeXBl&#10;c10ueG1sUEsBAi0AFAAGAAgAAAAhADj9If/WAAAAlAEAAAsAAAAAAAAAAAAAAAAALwEAAF9yZWxz&#10;Ly5yZWxzUEsBAi0AFAAGAAgAAAAhAP/nbUuZAgAAigUAAA4AAAAAAAAAAAAAAAAALgIAAGRycy9l&#10;Mm9Eb2MueG1sUEsBAi0AFAAGAAgAAAAhADyRznrhAAAACwEAAA8AAAAAAAAAAAAAAAAA8wQAAGRy&#10;cy9kb3ducmV2LnhtbFBLBQYAAAAABAAEAPMAAAABBgAAAAA=&#10;" filled="f" strokecolor="red" strokeweight="2pt"/>
            </w:pict>
          </mc:Fallback>
        </mc:AlternateContent>
      </w:r>
    </w:p>
    <w:p w14:paraId="6C23BC71"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b/>
          <w:i/>
          <w:lang w:val="sq-AL"/>
        </w:rPr>
      </w:pPr>
      <w:r w:rsidRPr="002E06C4">
        <w:rPr>
          <w:rFonts w:asciiTheme="majorHAnsi" w:hAnsiTheme="majorHAnsi" w:cs="Times New Roman"/>
          <w:b/>
          <w:i/>
          <w:lang w:val="sq-AL"/>
        </w:rPr>
        <w:t>Përcaktimi ligjor (3):</w:t>
      </w:r>
    </w:p>
    <w:p w14:paraId="32011F15"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color w:val="4BACC6" w:themeColor="accent5"/>
          <w:lang w:val="sq-AL"/>
        </w:rPr>
      </w:pPr>
      <w:r w:rsidRPr="002E06C4">
        <w:rPr>
          <w:rFonts w:asciiTheme="majorHAnsi" w:hAnsiTheme="majorHAnsi" w:cs="Times New Roman"/>
          <w:lang w:val="sq-AL"/>
        </w:rPr>
        <w:t>Neni 4/1, pika (1.c) i LOB sanksionon që 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(Ëorld Economic Outlook), të Fondit Monetar Ndërkombëtar, më i fundit i publikuar në kohën kur ligji vjetor i buxhetit dorëzohet për miratim në Kuvend. Kjo dokumentohet qartësisht në relacionin shoqërues të ligjit vjetor të buxhetit.</w:t>
      </w:r>
      <w:r w:rsidRPr="002E06C4">
        <w:rPr>
          <w:rFonts w:asciiTheme="majorHAnsi" w:hAnsiTheme="majorHAnsi" w:cs="Times New Roman"/>
          <w:color w:val="4BACC6" w:themeColor="accent5"/>
          <w:lang w:val="sq-AL"/>
        </w:rPr>
        <w:t xml:space="preserve"> </w:t>
      </w:r>
    </w:p>
    <w:p w14:paraId="70122EFC"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(3):</w:t>
      </w:r>
    </w:p>
    <w:p w14:paraId="04A168E5"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 xml:space="preserve">Çdo ligj vjetor i buxhetit hartuar dhe miratuar për vitin 2018 ka qenë në përputhje të plotë me këtë përcaktim ligjor. Tabela më poshtë paraqet me shifra specifike përputhshmërinë e sejcilit ligj të buxhetit për vitin 2018 me këtë përcaktim të LOB. </w:t>
      </w:r>
    </w:p>
    <w:p w14:paraId="3F41C9AC" w14:textId="77777777" w:rsidR="00DC2B59" w:rsidRPr="002E06C4" w:rsidRDefault="00DC2B59" w:rsidP="00DC2B59">
      <w:pPr>
        <w:pStyle w:val="ListParagraph"/>
        <w:spacing w:before="120" w:after="120" w:line="276" w:lineRule="auto"/>
        <w:ind w:left="0"/>
        <w:contextualSpacing w:val="0"/>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7214BD56" wp14:editId="20B06E1A">
            <wp:extent cx="6073140" cy="153225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4004" cy="1532473"/>
                    </a:xfrm>
                    <a:prstGeom prst="rect">
                      <a:avLst/>
                    </a:prstGeom>
                    <a:noFill/>
                    <a:ln>
                      <a:noFill/>
                    </a:ln>
                  </pic:spPr>
                </pic:pic>
              </a:graphicData>
            </a:graphic>
          </wp:inline>
        </w:drawing>
      </w:r>
    </w:p>
    <w:p w14:paraId="59E292F7"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sz w:val="22"/>
          <w:lang w:val="sq-AL"/>
        </w:rPr>
      </w:pPr>
      <w:r w:rsidRPr="002E06C4">
        <w:rPr>
          <w:rFonts w:asciiTheme="majorHAnsi" w:hAnsiTheme="majorHAnsi" w:cs="Times New Roman"/>
          <w:b/>
          <w:i/>
          <w:u w:val="single"/>
          <w:lang w:val="sq-AL"/>
        </w:rPr>
        <w:t>Shënim</w:t>
      </w:r>
      <w:r w:rsidRPr="002E06C4">
        <w:rPr>
          <w:rFonts w:asciiTheme="majorHAnsi" w:hAnsiTheme="majorHAnsi" w:cs="Times New Roman"/>
          <w:i/>
          <w:lang w:val="sq-AL"/>
        </w:rPr>
        <w:t xml:space="preserve">: </w:t>
      </w:r>
      <w:r w:rsidRPr="002E06C4">
        <w:rPr>
          <w:rFonts w:asciiTheme="majorHAnsi" w:hAnsiTheme="majorHAnsi" w:cs="Times New Roman"/>
          <w:i/>
          <w:sz w:val="22"/>
          <w:lang w:val="sq-AL"/>
        </w:rPr>
        <w:t xml:space="preserve">Vlerat faktike të PBB të vitit 2018 të vlerësuara dhe publikuara nga INSTAT nuk janë relevante për sa i përket zbatueshmërisë ligjore të këtij neni/pike të LOB. Ky nen/pikë sanksionon vetëm limitin e sipërm sa i takon PBB të parashikuar dhe përdorur gjatë planifikimeve të çdo ligji vjetor buxheti (pra, jo më i lartë se sa parashikmi respektiv i FMN). Ndërkohë që PBB faktike (pra, sipas INSTAT) e rezultuar në fund të vitit është informuese sa i takon efektshmërisë së LOB lidhur me ''realizmin'' e parashikimeve të PBB, dhe veçanërisht elemiminin e devijimeve ''optimiste'' sistematike (të përsëritura disa vite rresht). </w:t>
      </w:r>
    </w:p>
    <w:p w14:paraId="642CF282"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lang w:val="sq-AL"/>
        </w:rPr>
      </w:pPr>
    </w:p>
    <w:p w14:paraId="2B604AD5"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lang w:val="sq-AL"/>
        </w:rPr>
      </w:pPr>
    </w:p>
    <w:p w14:paraId="28238C8C"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lang w:val="sq-AL"/>
        </w:rPr>
      </w:pPr>
    </w:p>
    <w:p w14:paraId="76D38F0D" w14:textId="77777777" w:rsidR="00DC2B59" w:rsidRPr="002E06C4" w:rsidRDefault="00DC2B59" w:rsidP="00EB3D5E">
      <w:pPr>
        <w:pStyle w:val="ListParagraph"/>
        <w:spacing w:line="276" w:lineRule="auto"/>
        <w:ind w:left="0" w:firstLine="720"/>
        <w:contextualSpacing w:val="0"/>
        <w:jc w:val="both"/>
        <w:rPr>
          <w:rFonts w:asciiTheme="majorHAnsi" w:hAnsiTheme="majorHAnsi" w:cs="Times New Roman"/>
          <w:b/>
          <w:i/>
          <w:lang w:val="sq-AL"/>
        </w:rPr>
      </w:pPr>
      <w:r w:rsidRPr="002E06C4">
        <w:rPr>
          <w:rFonts w:asciiTheme="majorHAnsi" w:hAnsiTheme="majorHAnsi" w:cs="Times New Roman"/>
          <w:b/>
          <w:i/>
          <w:noProof/>
        </w:rPr>
        <w:lastRenderedPageBreak/>
        <mc:AlternateContent>
          <mc:Choice Requires="wps">
            <w:drawing>
              <wp:anchor distT="0" distB="0" distL="114300" distR="114300" simplePos="0" relativeHeight="251653120" behindDoc="0" locked="0" layoutInCell="1" allowOverlap="1" wp14:anchorId="2B7C979D" wp14:editId="65D13667">
                <wp:simplePos x="0" y="0"/>
                <wp:positionH relativeFrom="column">
                  <wp:posOffset>-87630</wp:posOffset>
                </wp:positionH>
                <wp:positionV relativeFrom="paragraph">
                  <wp:posOffset>-59690</wp:posOffset>
                </wp:positionV>
                <wp:extent cx="6682740" cy="3063240"/>
                <wp:effectExtent l="0" t="0" r="22860" b="22860"/>
                <wp:wrapNone/>
                <wp:docPr id="285" name="Rectangle 285"/>
                <wp:cNvGraphicFramePr/>
                <a:graphic xmlns:a="http://schemas.openxmlformats.org/drawingml/2006/main">
                  <a:graphicData uri="http://schemas.microsoft.com/office/word/2010/wordprocessingShape">
                    <wps:wsp>
                      <wps:cNvSpPr/>
                      <wps:spPr>
                        <a:xfrm>
                          <a:off x="0" y="0"/>
                          <a:ext cx="6682740" cy="3063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BDEE4" id="Rectangle 285" o:spid="_x0000_s1026" style="position:absolute;margin-left:-6.9pt;margin-top:-4.7pt;width:526.2pt;height:24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phmAIAAIoFAAAOAAAAZHJzL2Uyb0RvYy54bWysVFFP2zAQfp+0/2D5fSQNUFhEiipQp0kI&#10;EDDx7Dp2E8nxebbbtPv1O9tJqBjaw7Q8OD7f3Xd3n893db3vFNkJ61rQFZ2d5JQIzaFu9aaiP15W&#10;Xy4pcZ7pminQoqIH4ej14vOnq96UooAGVC0sQRDtyt5UtPHelFnmeCM65k7ACI1KCbZjHkW7yWrL&#10;ekTvVFbk+TzrwdbGAhfO4eltUtJFxJdScP8gpROeqIpibj6uNq7rsGaLK1ZuLDNNy4c02D9k0bFW&#10;Y9AJ6pZ5Rra2/QOqa7kFB9KfcOgykLLlItaA1czyd9U8N8yIWAuS48xEk/t/sPx+92hJW1e0uDyn&#10;RLMOL+kJaWN6owQJh0hRb1yJls/m0Q6Sw22ody9tF/5YCdlHWg8TrWLvCcfD+fyyuDhD9jnqTvP5&#10;aYEC4mRv7sY6/01AR8KmohYTiHSy3Z3zyXQ0CdE0rFql8JyVSofVgWrrcBYFu1nfKEt2DC99tcrx&#10;G8IdmWHw4JqF0lIxcecPSiTYJyGRF0y/iJnEjhQTLONcaD9LqobVIkU7Pw4Wejh4xEqVRsCALDHL&#10;CXsAGC0TyIid6h7sg6uIDT05539LLDlPHjEyaD85d60G+xGAwqqGyMl+JClRE1haQ33ArrGQnpMz&#10;fNXivd0x5x+ZxfeDd40zwT/gIhX0FYVhR0kD9tdH58Ee2xq1lPT4Hivqfm6ZFZSo7xob/uvsLLSQ&#10;j8LZ+UWBgj3WrI81etvdAN7+DKeP4XEb7L0at9JC94qjYxmiooppjrEryr0dhRuf5gQOHy6Wy2iG&#10;j9Ywf6efDQ/ggdXQly/7V2bN0Lwe+/4exrfLync9nGyDp4bl1oNsY4O/8TrwjQ8+Ns4wnMJEOZaj&#10;1dsIXfwGAAD//wMAUEsDBBQABgAIAAAAIQAJLXW84QAAAAsBAAAPAAAAZHJzL2Rvd25yZXYueG1s&#10;TI+xTsMwEIZ3JN7BOiQW1NolVUhDnAoq0YGhEoWlmxMfSdTYjmynCW/PdYLtTvfru+8vtrPp2QV9&#10;6JyVsFoKYGhrpzvbSPj6fFtkwEJUVqveWZTwgwG25e1NoXLtJvuBl2NsGEFsyJWENsYh5zzULRoV&#10;lm5AS7dv542KtPqGa68mgpuePwqRcqM6Sx9aNeCuxfp8HI2Ean/yu+w12cfxISX0uXnHwyTl/d38&#10;8gws4hz/wnDVJ3Uoyalyo9WB9RIWq4TUIw2bNbBrQCRZCqySsH5KBPCy4P87lL8AAAD//wMAUEsB&#10;Ai0AFAAGAAgAAAAhALaDOJL+AAAA4QEAABMAAAAAAAAAAAAAAAAAAAAAAFtDb250ZW50X1R5cGVz&#10;XS54bWxQSwECLQAUAAYACAAAACEAOP0h/9YAAACUAQAACwAAAAAAAAAAAAAAAAAvAQAAX3JlbHMv&#10;LnJlbHNQSwECLQAUAAYACAAAACEAyTwaYZgCAACKBQAADgAAAAAAAAAAAAAAAAAuAgAAZHJzL2Uy&#10;b0RvYy54bWxQSwECLQAUAAYACAAAACEACS11vOEAAAALAQAADwAAAAAAAAAAAAAAAADyBAAAZHJz&#10;L2Rvd25yZXYueG1sUEsFBgAAAAAEAAQA8wAAAAAGAAAAAA==&#10;" filled="f" strokecolor="red" strokeweight="2pt"/>
            </w:pict>
          </mc:Fallback>
        </mc:AlternateContent>
      </w:r>
      <w:r w:rsidRPr="002E06C4">
        <w:rPr>
          <w:rFonts w:asciiTheme="majorHAnsi" w:hAnsiTheme="majorHAnsi" w:cs="Times New Roman"/>
          <w:b/>
          <w:i/>
          <w:lang w:val="sq-AL"/>
        </w:rPr>
        <w:t>Përcaktimi ligjor (4):</w:t>
      </w:r>
    </w:p>
    <w:p w14:paraId="2D23EEC5" w14:textId="77777777" w:rsidR="00DC2B59" w:rsidRPr="002E06C4" w:rsidRDefault="00DC2B59" w:rsidP="00EB3D5E">
      <w:pPr>
        <w:pStyle w:val="ListParagraph"/>
        <w:spacing w:after="120"/>
        <w:ind w:left="0"/>
        <w:contextualSpacing w:val="0"/>
        <w:jc w:val="both"/>
        <w:rPr>
          <w:rFonts w:asciiTheme="majorHAnsi" w:hAnsiTheme="majorHAnsi" w:cs="Times New Roman"/>
          <w:lang w:val="sq-AL"/>
        </w:rPr>
      </w:pPr>
      <w:r w:rsidRPr="002E06C4">
        <w:rPr>
          <w:rFonts w:asciiTheme="majorHAnsi" w:hAnsiTheme="majorHAnsi" w:cs="Times New Roman"/>
          <w:lang w:val="sq-AL"/>
        </w:rPr>
        <w:t>Neni 4/1, pika (1.ç) i LOB sanksionon që në çdo vit buxhetor të planifikuar duhet të përfshihet një kontingjencë e veçantë, prej jo më pak se 0.7 për qind e shpenzimeve totale të buxhetit, për të kompensuar rreziqe potenciale nga luhatjet në kurset e këmbimit ose normat e interesit, me ndikim në nivelin e borxhit.</w:t>
      </w:r>
    </w:p>
    <w:p w14:paraId="568BB795"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(4):</w:t>
      </w:r>
    </w:p>
    <w:p w14:paraId="490EBBED" w14:textId="77777777" w:rsidR="00DC2B59" w:rsidRPr="002E06C4" w:rsidRDefault="00DC2B59" w:rsidP="00DC2B59">
      <w:pPr>
        <w:pStyle w:val="ListParagraph"/>
        <w:spacing w:before="120" w:after="120"/>
        <w:ind w:left="0"/>
        <w:contextualSpacing w:val="0"/>
        <w:jc w:val="both"/>
        <w:rPr>
          <w:rFonts w:asciiTheme="majorHAnsi" w:hAnsiTheme="majorHAnsi" w:cs="Times New Roman"/>
          <w:lang w:val="sq-AL"/>
        </w:rPr>
      </w:pPr>
      <w:r w:rsidRPr="002E06C4">
        <w:rPr>
          <w:rFonts w:asciiTheme="majorHAnsi" w:hAnsiTheme="majorHAnsi" w:cs="Times New Roman"/>
          <w:lang w:val="sq-AL"/>
        </w:rPr>
        <w:t xml:space="preserve">Çdo ligj vjetor i buxhetit hartuar dhe miratuar për vitin 2018 ka qenë në përputhje të plotë me këtë përcaktim ligjor. Tabela më poshtë paraqet me shifra specifike përputhshmërinë e secilit ligj të buxhetit për vitin 2018 me këtë përcaktim të LOB. </w:t>
      </w:r>
    </w:p>
    <w:p w14:paraId="554C430C" w14:textId="77777777" w:rsidR="00DC2B59" w:rsidRPr="002E06C4" w:rsidRDefault="00DC2B59" w:rsidP="00DC2B59">
      <w:pPr>
        <w:pStyle w:val="ListParagraph"/>
        <w:spacing w:before="120" w:after="120" w:line="276" w:lineRule="auto"/>
        <w:ind w:left="0"/>
        <w:contextualSpacing w:val="0"/>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2620FB7D" wp14:editId="5A5CBDBB">
            <wp:extent cx="6057900" cy="975360"/>
            <wp:effectExtent l="0" t="0" r="0" b="0"/>
            <wp:docPr id="27" name="Picture 27" descr="cid:image001.png@01D50987.3AEE2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50987.3AEE2C2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6057900" cy="975360"/>
                    </a:xfrm>
                    <a:prstGeom prst="rect">
                      <a:avLst/>
                    </a:prstGeom>
                    <a:noFill/>
                    <a:ln>
                      <a:noFill/>
                    </a:ln>
                  </pic:spPr>
                </pic:pic>
              </a:graphicData>
            </a:graphic>
          </wp:inline>
        </w:drawing>
      </w:r>
    </w:p>
    <w:p w14:paraId="69B4F5EE" w14:textId="77777777" w:rsidR="00EB3D5E" w:rsidRPr="002E06C4" w:rsidRDefault="00EB3D5E" w:rsidP="00EB3D5E">
      <w:pPr>
        <w:pStyle w:val="ListParagraph"/>
        <w:spacing w:line="276" w:lineRule="auto"/>
        <w:ind w:left="0" w:firstLine="720"/>
        <w:contextualSpacing w:val="0"/>
        <w:jc w:val="both"/>
        <w:rPr>
          <w:rFonts w:asciiTheme="majorHAnsi" w:hAnsiTheme="majorHAnsi" w:cs="Times New Roman"/>
          <w:b/>
          <w:i/>
          <w:sz w:val="12"/>
          <w:lang w:val="sq-AL"/>
        </w:rPr>
      </w:pPr>
    </w:p>
    <w:p w14:paraId="5E4B8BBE" w14:textId="77777777" w:rsidR="00EB3D5E" w:rsidRPr="002E06C4" w:rsidRDefault="00EB3D5E" w:rsidP="00EB3D5E">
      <w:pPr>
        <w:pStyle w:val="ListParagraph"/>
        <w:spacing w:line="276" w:lineRule="auto"/>
        <w:ind w:left="0" w:firstLine="720"/>
        <w:contextualSpacing w:val="0"/>
        <w:jc w:val="both"/>
        <w:rPr>
          <w:rFonts w:asciiTheme="majorHAnsi" w:hAnsiTheme="majorHAnsi" w:cs="Times New Roman"/>
          <w:b/>
          <w:i/>
          <w:sz w:val="12"/>
          <w:lang w:val="sq-AL"/>
        </w:rPr>
      </w:pPr>
      <w:r w:rsidRPr="002E06C4">
        <w:rPr>
          <w:rFonts w:asciiTheme="majorHAnsi" w:hAnsiTheme="majorHAnsi" w:cs="Times New Roman"/>
          <w:b/>
          <w:i/>
          <w:noProof/>
        </w:rPr>
        <mc:AlternateContent>
          <mc:Choice Requires="wps">
            <w:drawing>
              <wp:anchor distT="0" distB="0" distL="114300" distR="114300" simplePos="0" relativeHeight="251657216" behindDoc="0" locked="0" layoutInCell="1" allowOverlap="1" wp14:anchorId="32E7882D" wp14:editId="775FE6A2">
                <wp:simplePos x="0" y="0"/>
                <wp:positionH relativeFrom="column">
                  <wp:posOffset>-87630</wp:posOffset>
                </wp:positionH>
                <wp:positionV relativeFrom="paragraph">
                  <wp:posOffset>72390</wp:posOffset>
                </wp:positionV>
                <wp:extent cx="6682740" cy="5486400"/>
                <wp:effectExtent l="0" t="0" r="22860" b="19050"/>
                <wp:wrapNone/>
                <wp:docPr id="287" name="Rectangle 287"/>
                <wp:cNvGraphicFramePr/>
                <a:graphic xmlns:a="http://schemas.openxmlformats.org/drawingml/2006/main">
                  <a:graphicData uri="http://schemas.microsoft.com/office/word/2010/wordprocessingShape">
                    <wps:wsp>
                      <wps:cNvSpPr/>
                      <wps:spPr>
                        <a:xfrm>
                          <a:off x="0" y="0"/>
                          <a:ext cx="6682740" cy="5486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6AB1D" id="Rectangle 287" o:spid="_x0000_s1026" style="position:absolute;margin-left:-6.9pt;margin-top:5.7pt;width:526.2pt;height:6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7FmQIAAIoFAAAOAAAAZHJzL2Uyb0RvYy54bWysVEtv2zAMvg/YfxB0X+0EaZoFdYqgRYYB&#10;RVs0HXpWZCk2IIsapbz260fJjwZdscMwH2RRJD+Snyhe3xwbw/YKfQ224KOLnDNlJZS13Rb8x8vq&#10;y4wzH4QthQGrCn5Snt8sPn+6Pri5GkMFplTICMT6+cEVvArBzbPMy0o1wl+AU5aUGrARgUTcZiWK&#10;A6E3Jhvn+TQ7AJYOQSrv6fSuVfJFwtdayfCotVeBmYJTbiGtmNZNXLPFtZhvUbiqll0a4h+yaERt&#10;KegAdSeCYDus/4BqaongQYcLCU0GWtdSpRqomlH+rpp1JZxKtRA53g00+f8HKx/2T8jqsuDj2RVn&#10;VjR0Sc9Em7Bbo1g8JIoOzs/Jcu2esJM8bWO9R41N/FMl7JhoPQ20qmNgkg6n09n4akLsS9JdTmbT&#10;SZ6Iz97cHfrwTUHD4qbgSAkkOsX+3gcKSaa9SYxmYVUbk+7O2HjgwdRlPEsCbje3Btle0KWvVjl9&#10;sQjCODMjKbpmsbS2mLQLJ6MihrHPShMvlP44ZZI6Ug2wQkplw6hVVaJUbbTL82Cxh6NHCp0AI7Km&#10;LAfsDqC3bEF67Dbnzj66qtTQg3P+t8Ra58EjRQYbBuemtoAfARiqqovc2vcktdREljZQnqhrENrn&#10;5J1c1XRv98KHJ4H0fuiuaSaER1q0gUPBodtxVgH++ug82lNbk5azA73HgvufO4GKM/PdUsN/HU1i&#10;C4UkTC6vxiTguWZzrrG75hbo9kc0fZxM22gfTL/VCM0rjY5ljEoqYSXFLrgM2Au3oZ0TNHykWi6T&#10;GT1aJ8K9XTsZwSOrsS9fjq8CXde8gfr+Afq3K+bveri1jZ4WlrsAuk4N/sZrxzc9+NQ43XCKE+Vc&#10;TlZvI3TxGwAA//8DAFBLAwQUAAYACAAAACEAa54Sc+AAAAALAQAADwAAAGRycy9kb3ducmV2Lnht&#10;bEyPQU+DQBCF7yb+h82YeDHtglQkyNJoE3vw0MTqxdvCjkDKzhJ2KfjvnZ70OHkv3/um2C62F2cc&#10;fedIQbyOQCDVznTUKPj8eF1lIHzQZHTvCBX8oIdteX1V6Ny4md7xfAyNYAj5XCtoQxhyKX3dotV+&#10;7QYkzr7daHXgc2ykGfXMcNvL+yhKpdUd8UKrB9y1WJ+Ok1VQ7b/GXfaS7MN0lzL61LzhYVbq9mZ5&#10;fgIRcAl/ZbjoszqU7FS5iYwXvYJVnLB64CDegLgUoiRLQVQKsseHDciykP9/KH8BAAD//wMAUEsB&#10;Ai0AFAAGAAgAAAAhALaDOJL+AAAA4QEAABMAAAAAAAAAAAAAAAAAAAAAAFtDb250ZW50X1R5cGVz&#10;XS54bWxQSwECLQAUAAYACAAAACEAOP0h/9YAAACUAQAACwAAAAAAAAAAAAAAAAAvAQAAX3JlbHMv&#10;LnJlbHNQSwECLQAUAAYACAAAACEAwHB+xZkCAACKBQAADgAAAAAAAAAAAAAAAAAuAgAAZHJzL2Uy&#10;b0RvYy54bWxQSwECLQAUAAYACAAAACEAa54Sc+AAAAALAQAADwAAAAAAAAAAAAAAAADzBAAAZHJz&#10;L2Rvd25yZXYueG1sUEsFBgAAAAAEAAQA8wAAAAAGAAAAAA==&#10;" filled="f" strokecolor="red" strokeweight="2pt"/>
            </w:pict>
          </mc:Fallback>
        </mc:AlternateContent>
      </w:r>
    </w:p>
    <w:p w14:paraId="133CE187" w14:textId="77777777" w:rsidR="00DC2B59" w:rsidRPr="002E06C4" w:rsidRDefault="00DC2B59" w:rsidP="00EB3D5E">
      <w:pPr>
        <w:pStyle w:val="ListParagraph"/>
        <w:spacing w:line="276" w:lineRule="auto"/>
        <w:ind w:left="0" w:firstLine="720"/>
        <w:contextualSpacing w:val="0"/>
        <w:jc w:val="both"/>
        <w:rPr>
          <w:rFonts w:asciiTheme="majorHAnsi" w:hAnsiTheme="majorHAnsi" w:cs="Times New Roman"/>
          <w:b/>
          <w:i/>
          <w:lang w:val="sq-AL"/>
        </w:rPr>
      </w:pPr>
      <w:r w:rsidRPr="002E06C4">
        <w:rPr>
          <w:rFonts w:asciiTheme="majorHAnsi" w:hAnsiTheme="majorHAnsi" w:cs="Times New Roman"/>
          <w:b/>
          <w:i/>
          <w:lang w:val="sq-AL"/>
        </w:rPr>
        <w:t>Përcaktimi ligjor (5):</w:t>
      </w:r>
    </w:p>
    <w:p w14:paraId="21A4A1EE" w14:textId="77777777" w:rsidR="00DC2B59" w:rsidRPr="002E06C4" w:rsidRDefault="00DC2B59" w:rsidP="00EB3D5E">
      <w:pPr>
        <w:pStyle w:val="ListParagraph"/>
        <w:spacing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Neni 4/1, pika (1.d) i LOB sanksionon që në çdo ligj vjetor fillestar të buxhetit, si dhe në planifikimet e buxhetit afatmesëm, kur rritja reale e Produktit të Brendshëm Bruto, e parashikuar në raportin respektiv “Perspektiva Ekonomike Botërore”, të FMN-së, është të paktën 5 për qind, atëherë deficiti i përgjithshëm nuk mund të jetë më i lartë se  2 për qind e Produktit të Brendshëm Bruto, përveç rasteve të rrethanave të jashtëzakonshme, të përcaktuara në shkronjat “a”, “b” e “c”, të nenit 4/4, të këtij ligji.</w:t>
      </w:r>
    </w:p>
    <w:p w14:paraId="43E4EF8B"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(5):</w:t>
      </w:r>
    </w:p>
    <w:p w14:paraId="40C6774C"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Në cdo fazë të hartimit dhe miratimit të ligjeve vjetore të buxhetit për vitin 2018 kjo pikë nuk ka qenë rasti të jetë kufizuese për sa i takon sanksionit ligjor që ajo përcakton, pasi në asnjë nga raportet ''Perspektivës Ekonomike Botërore” të FMN-së të publikuar gjatë vitit 2018 nuk parashikohej një rritje reale për vitin 2018 të paktën 5%. Rrjedhimisht, të gjitha ligjet vjetore të buxhetit të hartuara dhe miratuara për vitin 2018 kanë qenë në përputhje me këtë pikë.</w:t>
      </w:r>
    </w:p>
    <w:p w14:paraId="18DB633F"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sz w:val="22"/>
          <w:lang w:val="sq-AL"/>
        </w:rPr>
      </w:pPr>
      <w:r w:rsidRPr="002E06C4">
        <w:rPr>
          <w:rFonts w:asciiTheme="majorHAnsi" w:hAnsiTheme="majorHAnsi" w:cs="Times New Roman"/>
          <w:b/>
          <w:i/>
          <w:u w:val="single"/>
          <w:lang w:val="sq-AL"/>
        </w:rPr>
        <w:t>Shënim:</w:t>
      </w:r>
      <w:r w:rsidRPr="002E06C4">
        <w:rPr>
          <w:rFonts w:asciiTheme="majorHAnsi" w:hAnsiTheme="majorHAnsi" w:cs="Times New Roman"/>
          <w:i/>
          <w:lang w:val="sq-AL"/>
        </w:rPr>
        <w:t xml:space="preserve"> </w:t>
      </w:r>
      <w:r w:rsidRPr="002E06C4">
        <w:rPr>
          <w:rFonts w:asciiTheme="majorHAnsi" w:hAnsiTheme="majorHAnsi" w:cs="Times New Roman"/>
          <w:i/>
          <w:sz w:val="22"/>
          <w:lang w:val="sq-AL"/>
        </w:rPr>
        <w:t xml:space="preserve">Kjo pikë ka si synim të ankorojë në mënyrë kundra-ciklike politikën fiskale. Pra, nëse ekonomia parashikohet të rritet ''përtej potencialit të natyrshëm'' të saj, që në rastin konkret ky prag është kuantifikuar në LOB si ''rritja reale e parashikuar nga FMN të paktën 5%'', atëherë në këtë rast kjo pikë ankoron politikën fiskale drejt një konsolidimi më të lartë në terma të borxhit publik, duke vendosur një limit direkt mbi deficitin e targetuar në jo më shumë se 2% e PBB. P.sh., një rast hipotetik, ilustrues, nëse do të ndodhte që në një vit të caktuar rritja reale do të ishte 5% dhe nëse deficiti do të ankorohej sipas kësaj pike 2% (maksimumi i lejueshëm në këtë rast), duke supozuar një normë inflacioni (deflator) 3% dhe variablat e tjerë të pandryshuar, atëherë borxhi publik përgjatë vetëm atij viti do të reduktohej me rreth 4 pikë përqindje.  Ndërkohë pika (ç) në nenin 4/4 përcakton rastin e kundërt të pikës më sipër, pra përcakton një opsion manovrimi ekspansionist të politikës fiskale për të ndikuar në stabilizimin e ciklit të ekonomisë nëse do të ndodhte një rast ku ekonomia të gjendej ''në një pikë tejet të dobët të saj'', e cila është kuantifikuar në LOB si ''rritje reale e parashikuar nga FMN në 1% ose më e ulët''. Por në këtë rast, që të mund të përdoret ky opsion lehtësues për stabilizim kundra-ciklik duhet që gjithashtu të jetë siguruar një farë niveli relativisht i qëndrueshëm i borxhit publik, i cili në këtë pikë të LOB kuantifikohet si niveli poshtë 60% të PBB.  </w:t>
      </w:r>
    </w:p>
    <w:p w14:paraId="337B2A0D" w14:textId="77777777" w:rsidR="00DC2B59" w:rsidRPr="002E06C4" w:rsidRDefault="00DC2B59" w:rsidP="00D468EE">
      <w:pPr>
        <w:pStyle w:val="ListParagraph"/>
        <w:spacing w:before="120" w:after="120"/>
        <w:ind w:left="0" w:firstLine="720"/>
        <w:contextualSpacing w:val="0"/>
        <w:jc w:val="both"/>
        <w:rPr>
          <w:rFonts w:asciiTheme="majorHAnsi" w:hAnsiTheme="majorHAnsi" w:cs="Times New Roman"/>
          <w:b/>
          <w:i/>
          <w:lang w:val="sq-AL"/>
        </w:rPr>
      </w:pPr>
      <w:r w:rsidRPr="002E06C4">
        <w:rPr>
          <w:rFonts w:asciiTheme="majorHAnsi" w:hAnsiTheme="majorHAnsi" w:cs="Times New Roman"/>
          <w:i/>
          <w:sz w:val="22"/>
          <w:lang w:val="sq-AL"/>
        </w:rPr>
        <w:lastRenderedPageBreak/>
        <w:t xml:space="preserve"> </w:t>
      </w:r>
      <w:r w:rsidR="00CC0F51" w:rsidRPr="002E06C4">
        <w:rPr>
          <w:rFonts w:asciiTheme="majorHAnsi" w:hAnsiTheme="majorHAnsi" w:cs="Times New Roman"/>
          <w:b/>
          <w:i/>
          <w:noProof/>
        </w:rPr>
        <mc:AlternateContent>
          <mc:Choice Requires="wps">
            <w:drawing>
              <wp:anchor distT="0" distB="0" distL="114300" distR="114300" simplePos="0" relativeHeight="251660288" behindDoc="0" locked="0" layoutInCell="1" allowOverlap="1" wp14:anchorId="351FCF36" wp14:editId="205D15EC">
                <wp:simplePos x="0" y="0"/>
                <wp:positionH relativeFrom="column">
                  <wp:posOffset>-87630</wp:posOffset>
                </wp:positionH>
                <wp:positionV relativeFrom="paragraph">
                  <wp:posOffset>-60960</wp:posOffset>
                </wp:positionV>
                <wp:extent cx="6751320" cy="3436620"/>
                <wp:effectExtent l="0" t="0" r="11430" b="11430"/>
                <wp:wrapNone/>
                <wp:docPr id="288" name="Rectangle 288"/>
                <wp:cNvGraphicFramePr/>
                <a:graphic xmlns:a="http://schemas.openxmlformats.org/drawingml/2006/main">
                  <a:graphicData uri="http://schemas.microsoft.com/office/word/2010/wordprocessingShape">
                    <wps:wsp>
                      <wps:cNvSpPr/>
                      <wps:spPr>
                        <a:xfrm>
                          <a:off x="0" y="0"/>
                          <a:ext cx="6751320" cy="3436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4CD69" id="Rectangle 288" o:spid="_x0000_s1026" style="position:absolute;margin-left:-6.9pt;margin-top:-4.8pt;width:531.6pt;height:2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QWmQIAAIoFAAAOAAAAZHJzL2Uyb0RvYy54bWysVMFu2zAMvQ/YPwi6L07SNO2MOkWQIsOA&#10;og3aDj0rshQbkEVNUuJkXz9Kst2gK3YY5oMsieQj+UTy5vbYKHIQ1tWgCzoZjSkRmkNZ611Bf7ys&#10;v1xT4jzTJVOgRUFPwtHbxedPN63JxRQqUKWwBEG0y1tT0Mp7k2eZ45VomBuBERqFEmzDPB7tList&#10;axG9Udl0PJ5nLdjSWODCOby9S0K6iPhSCu4fpXTCE1VQjM3H1cZ1G9ZsccPynWWmqnkXBvuHKBpW&#10;a3Q6QN0xz8je1n9ANTW34ED6EYcmAylrLmIOmM1k/C6b54oZEXNBcpwZaHL/D5Y/HDaW1GVBp9f4&#10;VJo1+EhPSBvTOyVIuESKWuNy1Hw2G9udHG5Dvkdpm/DHTMgx0noaaBVHTzhezq8uJxdTZJ+j7GJ2&#10;MZ/jAXGyN3Njnf8moCFhU1CLAUQ62eHe+aTaqwRvGta1UnjPcqXD6kDVZbiLB7vbrpQlB4aPvl6P&#10;8evcnamh82CahdRSMnHnT0ok2CchkRcMfxojiRUpBljGudB+kkQVK0XydnnuLNRwsIiZKo2AAVli&#10;lAN2B9BrJpAeO+Xd6QdTEQt6MB7/LbBkPFhEz6D9YNzUGuxHAAqz6jwn/Z6kRE1gaQvlCavGQmon&#10;Z/i6xne7Z85vmMX+wbfGmeAfcZEK2oJCt6OkAvvro/ugj2WNUkpa7MeCup97ZgUl6rvGgv86mc1C&#10;A8fD7PIq1JM9l2zPJXrfrABff4LTx/C4Dfpe9VtpoXnF0bEMXlHENEffBeXe9oeVT3MChw8Xy2VU&#10;w6Y1zN/rZ8MDeGA11OXL8ZVZ0xWvx7p/gL53Wf6uhpNusNSw3HuQdSzwN147vrHhY+F0wylMlPNz&#10;1HoboYvfAAAA//8DAFBLAwQUAAYACAAAACEATkeY++EAAAALAQAADwAAAGRycy9kb3ducmV2Lnht&#10;bEyPwU6DQBCG7ya+w2ZMvDTtglTSIkujTezBg4nVi7eFHYGUnSXsUvDtnZ7qbSbz55vvz3ez7cQZ&#10;B986UhCvIhBIlTMt1Qq+Pl+XGxA+aDK6c4QKftHDrri9yXVm3EQfeD6GWjCEfKYVNCH0mZS+atBq&#10;v3I9Et9+3GB14HWopRn0xHDbyYcoSqXVLfGHRve4b7A6HUeroDx8D/vNS3II4yJl9Kl+w/dJqfu7&#10;+fkJRMA5XMNw0Wd1KNipdCMZLzoFyzhh9cDDNgVxCUTr7RpEqeAxiVOQRS7/dyj+AAAA//8DAFBL&#10;AQItABQABgAIAAAAIQC2gziS/gAAAOEBAAATAAAAAAAAAAAAAAAAAAAAAABbQ29udGVudF9UeXBl&#10;c10ueG1sUEsBAi0AFAAGAAgAAAAhADj9If/WAAAAlAEAAAsAAAAAAAAAAAAAAAAALwEAAF9yZWxz&#10;Ly5yZWxzUEsBAi0AFAAGAAgAAAAhAPPoZBaZAgAAigUAAA4AAAAAAAAAAAAAAAAALgIAAGRycy9l&#10;Mm9Eb2MueG1sUEsBAi0AFAAGAAgAAAAhAE5HmPvhAAAACwEAAA8AAAAAAAAAAAAAAAAA8wQAAGRy&#10;cy9kb3ducmV2LnhtbFBLBQYAAAAABAAEAPMAAAABBgAAAAA=&#10;" filled="f" strokecolor="red" strokeweight="2pt"/>
            </w:pict>
          </mc:Fallback>
        </mc:AlternateContent>
      </w:r>
      <w:r w:rsidRPr="002E06C4">
        <w:rPr>
          <w:rFonts w:asciiTheme="majorHAnsi" w:hAnsiTheme="majorHAnsi" w:cs="Times New Roman"/>
          <w:b/>
          <w:i/>
          <w:lang w:val="sq-AL"/>
        </w:rPr>
        <w:t>Përcaktimi ligjor (6):</w:t>
      </w:r>
    </w:p>
    <w:p w14:paraId="1708F71D" w14:textId="77777777" w:rsidR="00DC2B59" w:rsidRPr="002E06C4" w:rsidRDefault="00DC2B59" w:rsidP="00DC2B59">
      <w:pPr>
        <w:pStyle w:val="ListParagraph"/>
        <w:spacing w:line="276" w:lineRule="auto"/>
        <w:ind w:left="0"/>
        <w:jc w:val="both"/>
        <w:rPr>
          <w:rFonts w:asciiTheme="majorHAnsi" w:hAnsiTheme="majorHAnsi" w:cs="Times New Roman"/>
          <w:lang w:val="sq-AL"/>
        </w:rPr>
      </w:pPr>
      <w:r w:rsidRPr="002E06C4">
        <w:rPr>
          <w:rFonts w:asciiTheme="majorHAnsi" w:hAnsiTheme="majorHAnsi" w:cs="Times New Roman"/>
          <w:lang w:val="sq-AL"/>
        </w:rPr>
        <w:t>Neni 4/1, pika (1.dh) i LOB sanksionon që në në fazat monitoruese të buxheteve faktike, nëse për shkak të rishikimeve të mundshme të PBB-së nominale ose për shkak të ndryshimeve në kurset e këmbimit, që përdoren për vlerësimin e stokut faktik të borxhit publik, rezulton se raporti i borxhit publik ndaj PBB-së nuk është më i ulët, kundrejt nivelit të vitit pararendës, atëherë, si rregull këto devijime duhet të kompensohen në planifikimet e viteve buxhetore pasuese.</w:t>
      </w:r>
    </w:p>
    <w:p w14:paraId="4DFCC476"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(6):</w:t>
      </w:r>
    </w:p>
    <w:p w14:paraId="7509D428"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 xml:space="preserve">Në fund të vitit 2018 niveli i borxhit faktik ka rezultuar më i ulët se sa niveli që shënonte në vitin 2017, specifikisht (deri në këtë moment të pёrgatitjes së këtij raporti) borxhi në vitin 2017 shënonte 70.1% ndërsa në fund të 2018 shënon 68%. Rrjedhimisht, kjo pikë nuk është relevante  për sa i takon planifikimive në buxhetet pasuese. </w:t>
      </w:r>
    </w:p>
    <w:p w14:paraId="151CF4F3"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sz w:val="22"/>
          <w:lang w:val="sq-AL"/>
        </w:rPr>
      </w:pPr>
      <w:r w:rsidRPr="002E06C4">
        <w:rPr>
          <w:rFonts w:asciiTheme="majorHAnsi" w:hAnsiTheme="majorHAnsi" w:cs="Times New Roman"/>
          <w:b/>
          <w:i/>
          <w:u w:val="single"/>
          <w:lang w:val="sq-AL"/>
        </w:rPr>
        <w:t>Shënim:</w:t>
      </w:r>
      <w:r w:rsidRPr="002E06C4">
        <w:rPr>
          <w:rFonts w:asciiTheme="majorHAnsi" w:hAnsiTheme="majorHAnsi" w:cs="Times New Roman"/>
          <w:i/>
          <w:lang w:val="sq-AL"/>
        </w:rPr>
        <w:t xml:space="preserve"> </w:t>
      </w:r>
      <w:r w:rsidRPr="002E06C4">
        <w:rPr>
          <w:rFonts w:asciiTheme="majorHAnsi" w:hAnsiTheme="majorHAnsi" w:cs="Times New Roman"/>
          <w:i/>
          <w:sz w:val="22"/>
          <w:lang w:val="sq-AL"/>
        </w:rPr>
        <w:t>Gjithsesi, kjo pikë nuk është relevante sa i takon përputhshmërisë me LOB për vitin që analizohet aktualisht, konkretisht viti 2018, por ajo ka implikime që duhen adresuar në ligjet e buxheteve të viteve të tjera në vijim nëse ndodh rasti që parashikohet në këtë pikë të LOB.</w:t>
      </w:r>
    </w:p>
    <w:p w14:paraId="12EDCFD8"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p>
    <w:p w14:paraId="484B4279"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noProof/>
        </w:rPr>
        <mc:AlternateContent>
          <mc:Choice Requires="wps">
            <w:drawing>
              <wp:anchor distT="0" distB="0" distL="114300" distR="114300" simplePos="0" relativeHeight="251663360" behindDoc="0" locked="0" layoutInCell="1" allowOverlap="1" wp14:anchorId="2E1EC744" wp14:editId="6DCF4EF2">
                <wp:simplePos x="0" y="0"/>
                <wp:positionH relativeFrom="column">
                  <wp:posOffset>-87630</wp:posOffset>
                </wp:positionH>
                <wp:positionV relativeFrom="paragraph">
                  <wp:posOffset>226060</wp:posOffset>
                </wp:positionV>
                <wp:extent cx="6751320" cy="4030980"/>
                <wp:effectExtent l="0" t="0" r="11430" b="26670"/>
                <wp:wrapNone/>
                <wp:docPr id="289" name="Rectangle 289"/>
                <wp:cNvGraphicFramePr/>
                <a:graphic xmlns:a="http://schemas.openxmlformats.org/drawingml/2006/main">
                  <a:graphicData uri="http://schemas.microsoft.com/office/word/2010/wordprocessingShape">
                    <wps:wsp>
                      <wps:cNvSpPr/>
                      <wps:spPr>
                        <a:xfrm>
                          <a:off x="0" y="0"/>
                          <a:ext cx="6751320" cy="403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574FD" id="Rectangle 289" o:spid="_x0000_s1026" style="position:absolute;margin-left:-6.9pt;margin-top:17.8pt;width:531.6pt;height:3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4lmwIAAIo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Z8enHJ&#10;mRUNPdIT0SbsxigWL4mi1vk5WT67R+wlT8dY715jE/+pErZPtB5GWtU+MEmX51/PJqdTYl+Sbpaf&#10;5pcXifjszd2hD98UNCweCo6UQKJT7O58oJBkOpjEaBZWtTHp7YyNFx5MXca7JOBmfWOQ7QQ9+mqV&#10;0y8WQRhHZiRF1yyW1hWTTuFgVMQw9klp4oXSn6ZMUkeqEVZIqWyYdKpKlKqLdnYcLPZw9EihE2BE&#10;1pTliN0DDJYdyIDd5dzbR1eVGnp0zv+WWOc8eqTIYMPo3NQW8CMAQ1X1kTv7gaSOmsjSGsoDdQ1C&#10;N07eyVVN73YnfHgUSPNDb007ITzQRxtoCw79ibMK8NdH99Ge2pq0nLU0jwX3P7cCFWfmu6WGv5zM&#10;ZnGAkzA7+xr7CY8162ON3TY3QK8/oe3jZDpG+2CGo0ZoXml1LGNUUgkrKXbBZcBBuAndnqDlI9Vy&#10;mcxoaJ0Id/bZyQgeWY19+bJ/Fej65g3U9/cwzK6Yv+vhzjZ6WlhuA+g6Nfgbrz3fNPCpcfrlFDfK&#10;sZys3lbo4jcAAAD//wMAUEsDBBQABgAIAAAAIQB9T6ni4QAAAAsBAAAPAAAAZHJzL2Rvd25yZXYu&#10;eG1sTI8xT8MwEIV3JP6DdUgsqLVLQlpCnAoq0YEBicLSzYmPJGp8jmynCf8ed4Lx6Z6++16xnU3P&#10;zuh8Z0nCaimAIdVWd9RI+Pp8XWyA+aBIq94SSvhBD9vy+qpQubYTfeD5EBoWIeRzJaENYcg593WL&#10;RvmlHZDi7ds6o0KMruHaqSnCTc/vhci4UR3FD60acNdifTqMRkK1P7rd5iXZh/Eui+hT84bvk5S3&#10;N/PzE7CAc/grw0U/qkMZnSo7kvasl7BYJVE9SEgeMmCXgkgfU2CVhGwtUuBlwf9vKH8BAAD//wMA&#10;UEsBAi0AFAAGAAgAAAAhALaDOJL+AAAA4QEAABMAAAAAAAAAAAAAAAAAAAAAAFtDb250ZW50X1R5&#10;cGVzXS54bWxQSwECLQAUAAYACAAAACEAOP0h/9YAAACUAQAACwAAAAAAAAAAAAAAAAAvAQAAX3Jl&#10;bHMvLnJlbHNQSwECLQAUAAYACAAAACEAHLHuJZsCAACKBQAADgAAAAAAAAAAAAAAAAAuAgAAZHJz&#10;L2Uyb0RvYy54bWxQSwECLQAUAAYACAAAACEAfU+p4uEAAAALAQAADwAAAAAAAAAAAAAAAAD1BAAA&#10;ZHJzL2Rvd25yZXYueG1sUEsFBgAAAAAEAAQA8wAAAAMGAAAAAA==&#10;" filled="f" strokecolor="red" strokeweight="2pt"/>
            </w:pict>
          </mc:Fallback>
        </mc:AlternateContent>
      </w:r>
    </w:p>
    <w:p w14:paraId="0A41EDDB"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b/>
          <w:i/>
          <w:lang w:val="sq-AL"/>
        </w:rPr>
      </w:pPr>
      <w:r w:rsidRPr="002E06C4">
        <w:rPr>
          <w:rFonts w:asciiTheme="majorHAnsi" w:hAnsiTheme="majorHAnsi" w:cs="Times New Roman"/>
          <w:b/>
          <w:i/>
          <w:lang w:val="sq-AL"/>
        </w:rPr>
        <w:t>Përcaktimi ligjor (7):</w:t>
      </w:r>
    </w:p>
    <w:p w14:paraId="1E4EB27E" w14:textId="77777777" w:rsidR="00DC2B59" w:rsidRPr="002E06C4" w:rsidRDefault="00DC2B59" w:rsidP="00DC2B59">
      <w:pPr>
        <w:spacing w:line="276" w:lineRule="auto"/>
        <w:jc w:val="both"/>
        <w:rPr>
          <w:rFonts w:asciiTheme="majorHAnsi" w:hAnsiTheme="majorHAnsi" w:cs="Times New Roman"/>
          <w:lang w:val="sq-AL"/>
        </w:rPr>
      </w:pPr>
      <w:r w:rsidRPr="002E06C4">
        <w:rPr>
          <w:rFonts w:asciiTheme="majorHAnsi" w:hAnsiTheme="majorHAnsi" w:cs="Times New Roman"/>
          <w:lang w:val="sq-AL"/>
        </w:rPr>
        <w:t>Neni 4/1, pika (2) i LOB sanksionon që të ardhurat nga privatizimi nuk janë pjesë e procesit të programimit buxhetor. Në rastet e arkëtimit ato përdoren, jo më pak se 50 për qind,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p>
    <w:p w14:paraId="4C224DA3"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(7):</w:t>
      </w:r>
    </w:p>
    <w:p w14:paraId="5B093317"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 xml:space="preserve">Çdo ligj vjetor i buxhetit hartuar dhe miratuar për vitin 2018 ka qenë në përputhje të plotë me këtë përcaktim ligjor. Së pari, në asnjë ligj vjetor të buxhetit 2018 nuk janë parashikuar të ardhura shtesë nga privatizimet. Së dyti, të ardhurat nga privatizimet të realizuara gjatë vitit 2018 kanë qenë në fakt marxhinale, në vlerën e rreth 0.1 miliard Lekë, por gjithsesi përdorimi i tyre ka qenë në përputhje të plotë me përcaktimet e këtij ligji. Kjo indikohet nga fakti se ndёrkohë që programimi në buxhetin fillestar për huamarrjen e brendshme neto ishte rreth 29.9 miliardё Lekë, huamarrja e brendshme faktike në fund të vitit rezulton konsiderueshëm më poshtë në rreth 19.6 miliardё, pra me një diferencë negative prej rreth 10.3 miliardё e cila kapërcen disa herë vlerën e realizuar të privatizimeve dhe rrjedhimisht indikon se të ardhurat prej tyre janë përdorur të gjitha për uljen e borxhit publik, në përputhje me përcaktimet e kesaj pike të LOB.  </w:t>
      </w:r>
    </w:p>
    <w:p w14:paraId="0AF9E122"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p>
    <w:p w14:paraId="2F3E9EC8" w14:textId="77777777" w:rsidR="00CC0F51" w:rsidRPr="002E06C4" w:rsidRDefault="00CC0F51" w:rsidP="00DC2B59">
      <w:pPr>
        <w:pStyle w:val="ListParagraph"/>
        <w:spacing w:before="120" w:after="120" w:line="276" w:lineRule="auto"/>
        <w:ind w:left="0"/>
        <w:contextualSpacing w:val="0"/>
        <w:jc w:val="both"/>
        <w:rPr>
          <w:rFonts w:asciiTheme="majorHAnsi" w:hAnsiTheme="majorHAnsi" w:cs="Times New Roman"/>
          <w:lang w:val="sq-AL"/>
        </w:rPr>
      </w:pPr>
    </w:p>
    <w:p w14:paraId="105E38CC" w14:textId="77777777" w:rsidR="00CC0F51" w:rsidRPr="002E06C4" w:rsidRDefault="00CC0F51" w:rsidP="00DC2B59">
      <w:pPr>
        <w:pStyle w:val="ListParagraph"/>
        <w:spacing w:before="120" w:after="120" w:line="276" w:lineRule="auto"/>
        <w:ind w:left="0"/>
        <w:contextualSpacing w:val="0"/>
        <w:jc w:val="both"/>
        <w:rPr>
          <w:rFonts w:asciiTheme="majorHAnsi" w:hAnsiTheme="majorHAnsi" w:cs="Times New Roman"/>
          <w:lang w:val="sq-AL"/>
        </w:rPr>
      </w:pPr>
    </w:p>
    <w:p w14:paraId="09B5B14B" w14:textId="77777777" w:rsidR="00DC2B59" w:rsidRPr="002E06C4" w:rsidRDefault="00D468EE" w:rsidP="00DC2B59">
      <w:pPr>
        <w:pStyle w:val="ListParagraph"/>
        <w:spacing w:before="120" w:after="120" w:line="276" w:lineRule="auto"/>
        <w:ind w:left="0" w:firstLine="720"/>
        <w:contextualSpacing w:val="0"/>
        <w:jc w:val="both"/>
        <w:rPr>
          <w:rFonts w:asciiTheme="majorHAnsi" w:hAnsiTheme="majorHAnsi" w:cs="Times New Roman"/>
          <w:b/>
          <w:i/>
          <w:lang w:val="sq-AL"/>
        </w:rPr>
      </w:pPr>
      <w:r w:rsidRPr="002E06C4">
        <w:rPr>
          <w:rFonts w:asciiTheme="majorHAnsi" w:hAnsiTheme="majorHAnsi" w:cs="Times New Roman"/>
          <w:b/>
          <w:i/>
          <w:noProof/>
        </w:rPr>
        <w:lastRenderedPageBreak/>
        <mc:AlternateContent>
          <mc:Choice Requires="wps">
            <w:drawing>
              <wp:anchor distT="0" distB="0" distL="114300" distR="114300" simplePos="0" relativeHeight="251666432" behindDoc="0" locked="0" layoutInCell="1" allowOverlap="1" wp14:anchorId="4514928C" wp14:editId="4146EFC8">
                <wp:simplePos x="0" y="0"/>
                <wp:positionH relativeFrom="column">
                  <wp:posOffset>-87630</wp:posOffset>
                </wp:positionH>
                <wp:positionV relativeFrom="paragraph">
                  <wp:posOffset>-63500</wp:posOffset>
                </wp:positionV>
                <wp:extent cx="6690360" cy="3375660"/>
                <wp:effectExtent l="0" t="0" r="15240" b="15240"/>
                <wp:wrapNone/>
                <wp:docPr id="290" name="Rectangle 290"/>
                <wp:cNvGraphicFramePr/>
                <a:graphic xmlns:a="http://schemas.openxmlformats.org/drawingml/2006/main">
                  <a:graphicData uri="http://schemas.microsoft.com/office/word/2010/wordprocessingShape">
                    <wps:wsp>
                      <wps:cNvSpPr/>
                      <wps:spPr>
                        <a:xfrm>
                          <a:off x="0" y="0"/>
                          <a:ext cx="6690360" cy="337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A08CE" id="Rectangle 290" o:spid="_x0000_s1026" style="position:absolute;margin-left:-6.9pt;margin-top:-5pt;width:526.8pt;height:26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NKmAIAAIoFAAAOAAAAZHJzL2Uyb0RvYy54bWysVMFu2zAMvQ/YPwi6r3aSNl2NOkWQIsOA&#10;oi3aDj0rshQbkEVNUuJkXz9Kst2gK3YY5oMsiuQj+UTx+ubQKrIX1jWgSzo5yykRmkPV6G1Jf7ys&#10;v3ylxHmmK6ZAi5IehaM3i8+frjtTiCnUoCphCYJoV3SmpLX3psgyx2vRMncGRmhUSrAt8yjabVZZ&#10;1iF6q7Jpns+zDmxlLHDhHJ7eJiVdRHwpBfcPUjrhiSop5ubjauO6CWu2uGbF1jJTN7xPg/1DFi1r&#10;NAYdoW6ZZ2Rnmz+g2oZbcCD9GYc2AykbLmINWM0kf1fNc82MiLUgOc6MNLn/B8vv94+WNFVJp1fI&#10;j2YtXtIT0sb0VgkSDpGizrgCLZ/No+0lh9tQ70HaNvyxEnKItB5HWsXBE46H8/lVPpsjOkfdbHZ5&#10;MUcBcbI3d2Od/yagJWFTUosJRDrZ/s75ZDqYhGga1o1SeM4KpcPqQDVVOIuC3W5WypI9w0tfr3P8&#10;+nAnZhg8uGahtFRM3PmjEgn2SUjkBdOfxkxiR4oRlnEutJ8kVc0qkaJdnAYLPRw8YqVKI2BAlpjl&#10;iN0DDJYJZMBOdff2wVXEhh6d878llpxHjxgZtB+d20aD/QhAYVV95GQ/kJSoCSxtoDpi11hIz8kZ&#10;vm7w3u6Y84/M4vvBu8aZ4B9wkQq6kkK/o6QG++uj82CPbY1aSjp8jyV1P3fMCkrUd40NfzU5Pw8P&#10;OArnF5dTFOypZnOq0bt2BXj7E5w+hsdtsPdq2EoL7SuOjmWIiiqmOcYuKfd2EFY+zQkcPlwsl9EM&#10;H61h/k4/Gx7AA6uhL18Or8yavnk99v09DG+XFe96ONkGTw3LnQfZxAZ/47XnGx98bJx+OIWJcipH&#10;q7cRuvgNAAD//wMAUEsDBBQABgAIAAAAIQD1i2Qf4AAAAAwBAAAPAAAAZHJzL2Rvd25yZXYueG1s&#10;TI8xT8MwEIV3JP6DdUgsqLXTiKgNcSqoRAcGJApLNyc+kqixHdlOE/49lwm2u3tP775X7GfTsyv6&#10;0DkrIVkLYGhrpzvbSPj6fF1tgYWorFa9syjhBwPsy9ubQuXaTfYDr6fYMAqxIVcS2hiHnPNQt2hU&#10;WLsBLWnfzhsVafUN115NFG56vhEi40Z1lj60asBDi/XlNBoJ1fHsD9uX9BjHh4yiL80bvk9S3t/N&#10;z0/AIs7xzwwLPqFDSUyVG60OrJewSlJCj8sgqNTiEOmOTpWEx02SAS8L/r9E+QsAAP//AwBQSwEC&#10;LQAUAAYACAAAACEAtoM4kv4AAADhAQAAEwAAAAAAAAAAAAAAAAAAAAAAW0NvbnRlbnRfVHlwZXNd&#10;LnhtbFBLAQItABQABgAIAAAAIQA4/SH/1gAAAJQBAAALAAAAAAAAAAAAAAAAAC8BAABfcmVscy8u&#10;cmVsc1BLAQItABQABgAIAAAAIQDfsMNKmAIAAIoFAAAOAAAAAAAAAAAAAAAAAC4CAABkcnMvZTJv&#10;RG9jLnhtbFBLAQItABQABgAIAAAAIQD1i2Qf4AAAAAwBAAAPAAAAAAAAAAAAAAAAAPIEAABkcnMv&#10;ZG93bnJldi54bWxQSwUGAAAAAAQABADzAAAA/wUAAAAA&#10;" filled="f" strokecolor="red" strokeweight="2pt"/>
            </w:pict>
          </mc:Fallback>
        </mc:AlternateContent>
      </w:r>
      <w:r w:rsidR="00DC2B59" w:rsidRPr="002E06C4">
        <w:rPr>
          <w:rFonts w:asciiTheme="majorHAnsi" w:hAnsiTheme="majorHAnsi" w:cs="Times New Roman"/>
          <w:b/>
          <w:i/>
          <w:lang w:val="sq-AL"/>
        </w:rPr>
        <w:t>Përcaktimi ligjor (8):</w:t>
      </w:r>
    </w:p>
    <w:p w14:paraId="1A5F5327" w14:textId="77777777" w:rsidR="00DC2B59" w:rsidRPr="002E06C4" w:rsidRDefault="00DC2B59" w:rsidP="00DC2B59">
      <w:pPr>
        <w:spacing w:line="276" w:lineRule="auto"/>
        <w:jc w:val="both"/>
        <w:rPr>
          <w:rFonts w:asciiTheme="majorHAnsi" w:hAnsiTheme="majorHAnsi" w:cs="Times New Roman"/>
          <w:lang w:val="sq-AL"/>
        </w:rPr>
      </w:pPr>
      <w:r w:rsidRPr="002E06C4">
        <w:rPr>
          <w:rFonts w:asciiTheme="majorHAnsi" w:hAnsiTheme="majorHAnsi" w:cs="Times New Roman"/>
          <w:lang w:val="sq-AL"/>
        </w:rPr>
        <w:t>Neni 4/1, pika (3) i LOB sanksionon që ndryshimet e ligjeve tatimore, me efekte në të ardhurat buxhetore, bëhen një herë në vit, jo më vonë se tre muaj përpara fillimit të vitit të ri fiskal. Ligjet tatimore konsultohen paraprakisht me përfaqësuesit e biznesit dhe grupe të tjera interesi, në strukturat e ngritura për këtë qëllim.</w:t>
      </w:r>
    </w:p>
    <w:p w14:paraId="5605CEE4"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(8):</w:t>
      </w:r>
    </w:p>
    <w:p w14:paraId="37DEE4DC" w14:textId="77777777" w:rsidR="00DC2B59" w:rsidRPr="002E06C4" w:rsidRDefault="00DC2B59" w:rsidP="00DC2B59">
      <w:pPr>
        <w:spacing w:line="276" w:lineRule="auto"/>
        <w:jc w:val="both"/>
        <w:rPr>
          <w:rFonts w:asciiTheme="majorHAnsi" w:hAnsiTheme="majorHAnsi" w:cs="Times New Roman"/>
          <w:lang w:val="sq-AL"/>
        </w:rPr>
      </w:pPr>
      <w:r w:rsidRPr="002E06C4">
        <w:rPr>
          <w:rFonts w:asciiTheme="majorHAnsi" w:hAnsiTheme="majorHAnsi" w:cs="Times New Roman"/>
          <w:lang w:val="sq-AL"/>
        </w:rPr>
        <w:t>Amendimet e ligjeve tatimore me efekt nё tё ardhurat e buxhetit pёr vitin 2018 kanё nisur nё fillim tё 6-mujorit tё dytё 2017. Paketa  e ndryshimeve ligjore i ёshtё nёnshtruar diskutimit dhe marrjes sё mendimeve nga Ministritё e linjёs, si dhe nga organizatat  pёrfaqёsuese dhe grupet e interesuara tё biznesit, duke reflektuar kёrkesat dhe sugjerimet e tyre.</w:t>
      </w:r>
    </w:p>
    <w:p w14:paraId="7CFE9234" w14:textId="77777777" w:rsidR="00DC2B59" w:rsidRPr="002E06C4" w:rsidRDefault="00DC2B59" w:rsidP="00DC2B59">
      <w:pPr>
        <w:pStyle w:val="ListParagraph"/>
        <w:spacing w:before="120" w:after="120" w:line="276" w:lineRule="auto"/>
        <w:ind w:left="0"/>
        <w:contextualSpacing w:val="0"/>
        <w:jc w:val="both"/>
        <w:rPr>
          <w:rFonts w:asciiTheme="majorHAnsi" w:eastAsiaTheme="minorHAnsi" w:hAnsiTheme="majorHAnsi" w:cs="Times New Roman"/>
          <w:lang w:val="sq-AL"/>
        </w:rPr>
      </w:pPr>
      <w:r w:rsidRPr="002E06C4">
        <w:rPr>
          <w:rFonts w:asciiTheme="majorHAnsi" w:eastAsiaTheme="minorHAnsi" w:hAnsiTheme="majorHAnsi" w:cs="Times New Roman"/>
          <w:lang w:val="sq-AL"/>
        </w:rPr>
        <w:t>Paketa fiskale ёshtё miratuar nё mbledhjen e Kёshillit tё Ministrave  nё tetor dhe ёshtё miratuar nga Kuvendi nё dhjetor 2018. Efektet e paketёs fiskale janё marrё nё konsideratё nё planifikimin e  tё ardhurave tatimore tё buxhetit 2018,  buxhet i cili u miratua pas miratimit tё ndryshimeve nё paketёn fiskale.</w:t>
      </w:r>
    </w:p>
    <w:p w14:paraId="4D3BBD44" w14:textId="77777777" w:rsidR="00DC2B59" w:rsidRPr="002E06C4" w:rsidRDefault="00DC2B59" w:rsidP="00DC2B59">
      <w:pPr>
        <w:pStyle w:val="ListParagraph"/>
        <w:spacing w:before="120" w:after="120" w:line="276" w:lineRule="auto"/>
        <w:ind w:left="0"/>
        <w:contextualSpacing w:val="0"/>
        <w:jc w:val="both"/>
        <w:rPr>
          <w:rFonts w:asciiTheme="majorHAnsi" w:eastAsiaTheme="minorHAnsi" w:hAnsiTheme="majorHAnsi" w:cs="Times New Roman"/>
          <w:lang w:val="sq-AL"/>
        </w:rPr>
      </w:pPr>
      <w:r w:rsidRPr="002E06C4">
        <w:rPr>
          <w:rFonts w:asciiTheme="majorHAnsi" w:eastAsiaTheme="minorHAnsi" w:hAnsiTheme="majorHAnsi" w:cs="Times New Roman"/>
          <w:noProof/>
        </w:rPr>
        <mc:AlternateContent>
          <mc:Choice Requires="wps">
            <w:drawing>
              <wp:anchor distT="0" distB="0" distL="114300" distR="114300" simplePos="0" relativeHeight="251669504" behindDoc="0" locked="0" layoutInCell="1" allowOverlap="1" wp14:anchorId="5969AD36" wp14:editId="4626DD7D">
                <wp:simplePos x="0" y="0"/>
                <wp:positionH relativeFrom="column">
                  <wp:posOffset>-102870</wp:posOffset>
                </wp:positionH>
                <wp:positionV relativeFrom="paragraph">
                  <wp:posOffset>268605</wp:posOffset>
                </wp:positionV>
                <wp:extent cx="6705600" cy="4846320"/>
                <wp:effectExtent l="0" t="0" r="19050" b="11430"/>
                <wp:wrapNone/>
                <wp:docPr id="291" name="Rectangle 291"/>
                <wp:cNvGraphicFramePr/>
                <a:graphic xmlns:a="http://schemas.openxmlformats.org/drawingml/2006/main">
                  <a:graphicData uri="http://schemas.microsoft.com/office/word/2010/wordprocessingShape">
                    <wps:wsp>
                      <wps:cNvSpPr/>
                      <wps:spPr>
                        <a:xfrm>
                          <a:off x="0" y="0"/>
                          <a:ext cx="6705600" cy="4846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AA0FF" id="Rectangle 291" o:spid="_x0000_s1026" style="position:absolute;margin-left:-8.1pt;margin-top:21.15pt;width:528pt;height:38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namgIAAIoFAAAOAAAAZHJzL2Uyb0RvYy54bWysVE1v2zAMvQ/YfxB0X+1kadoGdYqgRYYB&#10;RRu0HXpWZCkxIIsapcTJfv0o+aNBV+wwLAdHFMlH8onk9c2hNmyv0FdgCz46yzlTVkJZ2U3Bf7ws&#10;v1xy5oOwpTBgVcGPyvOb+edP142bqTFswZQKGYFYP2tcwbchuFmWeblVtfBn4JQlpQasRSARN1mJ&#10;oiH02mTjPJ9mDWDpEKTynm7vWiWfJ3ytlQyPWnsVmCk45RbSF9N3Hb/Z/FrMNijctpJdGuIfsqhF&#10;ZSnoAHUngmA7rP6AqiuJ4EGHMwl1BlpXUqUaqJpR/q6a561wKtVC5Hg30OT/H6x82K+QVWXBx1cj&#10;zqyo6ZGeiDZhN0axeEkUNc7PyPLZrbCTPB1jvQeNdfynStgh0XocaFWHwCRdTi/y82lO7EvSTS4n&#10;06/jRHz25u7Qh28KahYPBUdKINEp9vc+UEgy7U1iNAvLypj0dsbGCw+mKuNdEnCzvjXI9oIefbnM&#10;6ReLIIwTM5KiaxZLa4tJp3A0KmIY+6Q08ULpj1MmqSPVACukVDaMWtVWlKqNdn4aLPZw9EihE2BE&#10;1pTlgN0B9JYtSI/d5tzZR1eVGnpwzv+WWOs8eKTIYMPgXFcW8CMAQ1V1kVv7nqSWmsjSGsojdQ1C&#10;O07eyWVF73YvfFgJpPmht6adEB7pow00BYfuxNkW8NdH99Ge2pq0nDU0jwX3P3cCFWfmu6WGvxpN&#10;JnGAkzA5v6AWYniqWZ9q7K6+BXp9amnKLh2jfTD9USPUr7Q6FjEqqYSVFLvgMmAv3IZ2T9DykWqx&#10;SGY0tE6Ee/vsZASPrMa+fDm8CnRd8wbq+wfoZ1fM3vVwaxs9LSx2AXSVGvyN145vGvjUON1yihvl&#10;VE5Wbyt0/hsAAP//AwBQSwMEFAAGAAgAAAAhACpQ1LzhAAAACwEAAA8AAABkcnMvZG93bnJldi54&#10;bWxMjzFPwzAQhXck/oN1SCyotZvQKIQ4FVSiAwMShYXNiY8kanyObKcJ/x53gvF0n773XrlbzMDO&#10;6HxvScJmLYAhNVb31Er4/HhZ5cB8UKTVYAkl/KCHXXV9VapC25ne8XwMLYsS8oWS0IUwFpz7pkOj&#10;/NqOSPH3bZ1RIZ6u5dqpOcrNwBMhMm5UTzGhUyPuO2xOx8lIqA9fbp8/p4cw3WVRfWpf8W2W8vZm&#10;eXoEFnAJfzBc6sfqUMVOtZ1IezZIWG2yJKIS7pMU2AUQ6UMcU0vIxXYLvCr5/w3VLwAAAP//AwBQ&#10;SwECLQAUAAYACAAAACEAtoM4kv4AAADhAQAAEwAAAAAAAAAAAAAAAAAAAAAAW0NvbnRlbnRfVHlw&#10;ZXNdLnhtbFBLAQItABQABgAIAAAAIQA4/SH/1gAAAJQBAAALAAAAAAAAAAAAAAAAAC8BAABfcmVs&#10;cy8ucmVsc1BLAQItABQABgAIAAAAIQAQfunamgIAAIoFAAAOAAAAAAAAAAAAAAAAAC4CAABkcnMv&#10;ZTJvRG9jLnhtbFBLAQItABQABgAIAAAAIQAqUNS84QAAAAsBAAAPAAAAAAAAAAAAAAAAAPQEAABk&#10;cnMvZG93bnJldi54bWxQSwUGAAAAAAQABADzAAAAAgYAAAAA&#10;" filled="f" strokecolor="red" strokeweight="2pt"/>
            </w:pict>
          </mc:Fallback>
        </mc:AlternateContent>
      </w:r>
    </w:p>
    <w:p w14:paraId="07D8B498"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b/>
          <w:i/>
          <w:lang w:val="sq-AL"/>
        </w:rPr>
      </w:pPr>
      <w:r w:rsidRPr="002E06C4">
        <w:rPr>
          <w:rFonts w:asciiTheme="majorHAnsi" w:hAnsiTheme="majorHAnsi" w:cs="Times New Roman"/>
          <w:b/>
          <w:i/>
          <w:lang w:val="sq-AL"/>
        </w:rPr>
        <w:t>Përcaktimi ligjor (9):</w:t>
      </w:r>
    </w:p>
    <w:p w14:paraId="1F94EB5C"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Neni 4/1, pika (4) i LOB sanksionon që masa e deficitit buxhetor nuk mund të tejkalojë masën e shpenzimeve kapitale të parashikuara çdo vit në ligjin e buxhetit.</w:t>
      </w:r>
    </w:p>
    <w:p w14:paraId="2F15EE7B"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(9):</w:t>
      </w:r>
    </w:p>
    <w:p w14:paraId="776AB827"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Çdo ligj vjetor i buxhetit hartuar dhe miratuar për vitin 2018 ka qenë në përputhje të plotë me këtë përcaktim ligjor. Tabela më poshtë paraqet me shifra specifike përputhshmërinë e secilit ligj të buxhetit për vitin 2018 me këtë përcaktim të LOB.</w:t>
      </w:r>
    </w:p>
    <w:p w14:paraId="54279758" w14:textId="77777777" w:rsidR="00DC2B59" w:rsidRPr="002E06C4" w:rsidRDefault="00DC2B59" w:rsidP="00DC2B59">
      <w:pPr>
        <w:pStyle w:val="ListParagraph"/>
        <w:spacing w:before="120" w:after="120" w:line="276" w:lineRule="auto"/>
        <w:ind w:left="0"/>
        <w:contextualSpacing w:val="0"/>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5C0BDB53" wp14:editId="4DE9F3F7">
            <wp:extent cx="5953125" cy="1419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3125" cy="1419225"/>
                    </a:xfrm>
                    <a:prstGeom prst="rect">
                      <a:avLst/>
                    </a:prstGeom>
                    <a:noFill/>
                    <a:ln>
                      <a:noFill/>
                    </a:ln>
                  </pic:spPr>
                </pic:pic>
              </a:graphicData>
            </a:graphic>
          </wp:inline>
        </w:drawing>
      </w:r>
    </w:p>
    <w:p w14:paraId="0DE5E975"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i/>
          <w:sz w:val="22"/>
          <w:lang w:val="sq-AL"/>
        </w:rPr>
      </w:pPr>
      <w:r w:rsidRPr="002E06C4">
        <w:rPr>
          <w:rFonts w:asciiTheme="majorHAnsi" w:hAnsiTheme="majorHAnsi" w:cs="Times New Roman"/>
          <w:b/>
          <w:i/>
          <w:u w:val="single"/>
          <w:lang w:val="sq-AL"/>
        </w:rPr>
        <w:t>Shënim:</w:t>
      </w:r>
      <w:r w:rsidRPr="002E06C4">
        <w:rPr>
          <w:rFonts w:asciiTheme="majorHAnsi" w:hAnsiTheme="majorHAnsi" w:cs="Times New Roman"/>
          <w:i/>
          <w:lang w:val="sq-AL"/>
        </w:rPr>
        <w:t xml:space="preserve"> </w:t>
      </w:r>
      <w:r w:rsidRPr="002E06C4">
        <w:rPr>
          <w:rFonts w:asciiTheme="majorHAnsi" w:hAnsiTheme="majorHAnsi" w:cs="Times New Roman"/>
          <w:i/>
          <w:sz w:val="22"/>
          <w:lang w:val="sq-AL"/>
        </w:rPr>
        <w:t>Edhe kjo pikë e LOB jep përcaktime ligjore të detyrueshme për fazën planifikuese të buxhetit, ndërkohë që nuk është sanksionuese për rezultatin faktik në mbyllje të vitit. Megjithatë, për informacion mbi efektivitetin e këtij rregulli fiskal, duket qartёse edhe rezultati faktik i fund-vitit 2018 ishte në përputhje të plotë me atë ç'ka synon kjo pikë e LOB, pra mbajtjen e investimeve publike të qeverisë qëndrore jo më pak se sa deficiti buxhetor (huamarrje plus privatizime), rregull i cili njihet ndryshe edhe si ''rregulli i artë''  i buxhetit. Konktretisht në fund të vitit 2018, deficiti i përgjithshëm buxhetor faktik ishte 26.5 miliardё LEK, ndërkohë që shpenzimet kapitale faktike ishin 78.4 miliardё LEK.</w:t>
      </w:r>
    </w:p>
    <w:p w14:paraId="4839E2DA" w14:textId="77777777" w:rsidR="00EB3D5E" w:rsidRPr="002E06C4" w:rsidRDefault="00EB3D5E" w:rsidP="00EB3D5E">
      <w:pPr>
        <w:spacing w:after="120" w:line="276" w:lineRule="auto"/>
        <w:jc w:val="both"/>
        <w:rPr>
          <w:rFonts w:asciiTheme="majorHAnsi" w:hAnsiTheme="majorHAnsi" w:cs="Times New Roman"/>
          <w:b/>
          <w:i/>
          <w:lang w:val="sq-AL"/>
        </w:rPr>
      </w:pPr>
    </w:p>
    <w:p w14:paraId="6FC0AB9F" w14:textId="77777777" w:rsidR="00DC2B59" w:rsidRPr="002E06C4" w:rsidRDefault="00DC2B59" w:rsidP="00EB3D5E">
      <w:pPr>
        <w:jc w:val="both"/>
        <w:rPr>
          <w:rFonts w:asciiTheme="majorHAnsi" w:hAnsiTheme="majorHAnsi" w:cs="Times New Roman"/>
          <w:b/>
          <w:i/>
          <w:lang w:val="sq-AL"/>
        </w:rPr>
      </w:pPr>
      <w:r w:rsidRPr="002E06C4">
        <w:rPr>
          <w:noProof/>
        </w:rPr>
        <w:lastRenderedPageBreak/>
        <mc:AlternateContent>
          <mc:Choice Requires="wps">
            <w:drawing>
              <wp:anchor distT="0" distB="0" distL="114300" distR="114300" simplePos="0" relativeHeight="251672576" behindDoc="0" locked="0" layoutInCell="1" allowOverlap="1" wp14:anchorId="23412B64" wp14:editId="162A5AF2">
                <wp:simplePos x="0" y="0"/>
                <wp:positionH relativeFrom="column">
                  <wp:posOffset>-102870</wp:posOffset>
                </wp:positionH>
                <wp:positionV relativeFrom="paragraph">
                  <wp:posOffset>176530</wp:posOffset>
                </wp:positionV>
                <wp:extent cx="6720840" cy="3208020"/>
                <wp:effectExtent l="0" t="0" r="22860" b="11430"/>
                <wp:wrapNone/>
                <wp:docPr id="292" name="Rectangle 292"/>
                <wp:cNvGraphicFramePr/>
                <a:graphic xmlns:a="http://schemas.openxmlformats.org/drawingml/2006/main">
                  <a:graphicData uri="http://schemas.microsoft.com/office/word/2010/wordprocessingShape">
                    <wps:wsp>
                      <wps:cNvSpPr/>
                      <wps:spPr>
                        <a:xfrm>
                          <a:off x="0" y="0"/>
                          <a:ext cx="6720840" cy="3208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06475" id="Rectangle 292" o:spid="_x0000_s1026" style="position:absolute;margin-left:-8.1pt;margin-top:13.9pt;width:529.2pt;height:25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6omAIAAIoFAAAOAAAAZHJzL2Uyb0RvYy54bWysVE1v2zAMvQ/YfxB0X+14bdcGdYqgRYYB&#10;RVe0HXpWZCk2IIsapcTJfv0o+aNBV+wwLAeHFMlH8oni1fW+NWyn0DdgSz47yTlTVkLV2E3Jfzyv&#10;Pl1w5oOwlTBgVckPyvPrxccPV52bqwJqMJVCRiDWzztX8joEN88yL2vVCn8CTlkyasBWBFJxk1Uo&#10;OkJvTVbk+XnWAVYOQSrv6fS2N/JFwtdayfBda68CMyWn2kL6Yvqu4zdbXIn5BoWrGzmUIf6hilY0&#10;lpJOULciCLbF5g+otpEIHnQ4kdBmoHUjVeqBupnlb7p5qoVTqRcix7uJJv//YOX97gFZU5W8uCw4&#10;s6KlS3ok2oTdGMXiIVHUOT8nzyf3gIPmSYz97jW28Z86YftE62GiVe0Dk3R4/qXIL06JfUm2zyTn&#10;RSI+ew136MNXBS2LQsmRCkh0it2dD5SSXEeXmM3CqjEm3Z2x8cCDaap4lhTcrG8Msp2gS1+tcvrF&#10;JgjjyI20GJrF1vpmkhQORkUMYx+VJl6o/CJVkiZSTbBCSmXDrDfVolJ9trPjZHGGY0RKnQAjsqYq&#10;J+wBYPTsQUbsvubBP4aqNNBTcP63wvrgKSJlBhum4LaxgO8BGOpqyNz7jyT11ESW1lAdaGoQ+ufk&#10;nVw1dG93wocHgfR+6K5pJ4Tv9NEGupLDIHFWA/567zz601iTlbOO3mPJ/c+tQMWZ+WZp4C9np3GE&#10;QlJOz2ikOMNjy/rYYrftDdDtz2j7OJnE6B/MKGqE9oVWxzJmJZOwknKXXAYclZvQ7wlaPlItl8mN&#10;Hq0T4c4+ORnBI6txLp/3LwLdMLyB5v4exrcr5m9muPeNkRaW2wC6SQP+yuvANz34NDjDcoob5VhP&#10;Xq8rdPEbAAD//wMAUEsDBBQABgAIAAAAIQDvvrc/4AAAAAsBAAAPAAAAZHJzL2Rvd25yZXYueG1s&#10;TI+xTsMwEIZ3JN7BOiQW1NpNIK1CnAoq0YGhEoWlmxMfSdTYjmynCW/PdYLx7n599/3FdjY9u6AP&#10;nbMSVksBDG3tdGcbCV+fb4sNsBCV1ap3FiX8YIBteXtTqFy7yX7g5RgbRhAbciWhjXHIOQ91i0aF&#10;pRvQ0u3beaMijb7h2quJ4KbniRAZN6qz9KFVA+5arM/H0Uio9ie/27ym+zg+ZIQ+N+94mKS8v5tf&#10;noFFnONfGK76pA4lOVVutDqwXsJilSUUlZCsqcI1IB4T2lQSntJUAC8L/r9D+QsAAP//AwBQSwEC&#10;LQAUAAYACAAAACEAtoM4kv4AAADhAQAAEwAAAAAAAAAAAAAAAAAAAAAAW0NvbnRlbnRfVHlwZXNd&#10;LnhtbFBLAQItABQABgAIAAAAIQA4/SH/1gAAAJQBAAALAAAAAAAAAAAAAAAAAC8BAABfcmVscy8u&#10;cmVsc1BLAQItABQABgAIAAAAIQBY6k6omAIAAIoFAAAOAAAAAAAAAAAAAAAAAC4CAABkcnMvZTJv&#10;RG9jLnhtbFBLAQItABQABgAIAAAAIQDvvrc/4AAAAAsBAAAPAAAAAAAAAAAAAAAAAPIEAABkcnMv&#10;ZG93bnJldi54bWxQSwUGAAAAAAQABADzAAAA/wUAAAAA&#10;" filled="f" strokecolor="red" strokeweight="2pt"/>
            </w:pict>
          </mc:Fallback>
        </mc:AlternateContent>
      </w:r>
    </w:p>
    <w:p w14:paraId="4D84D837" w14:textId="77777777" w:rsidR="00DC2B59" w:rsidRPr="002E06C4" w:rsidRDefault="00DC2B59" w:rsidP="00DC2B59">
      <w:pPr>
        <w:pStyle w:val="ListParagraph"/>
        <w:spacing w:before="120" w:after="120" w:line="276" w:lineRule="auto"/>
        <w:ind w:left="0" w:firstLine="720"/>
        <w:contextualSpacing w:val="0"/>
        <w:jc w:val="both"/>
        <w:rPr>
          <w:rFonts w:asciiTheme="majorHAnsi" w:hAnsiTheme="majorHAnsi" w:cs="Times New Roman"/>
          <w:b/>
          <w:i/>
          <w:lang w:val="sq-AL"/>
        </w:rPr>
      </w:pPr>
      <w:r w:rsidRPr="002E06C4">
        <w:rPr>
          <w:rFonts w:asciiTheme="majorHAnsi" w:hAnsiTheme="majorHAnsi" w:cs="Times New Roman"/>
          <w:b/>
          <w:i/>
          <w:lang w:val="sq-AL"/>
        </w:rPr>
        <w:t>Përcaktimi ligjor (10):</w:t>
      </w:r>
    </w:p>
    <w:p w14:paraId="7C678DB8" w14:textId="77777777" w:rsidR="00DC2B59" w:rsidRPr="002E06C4" w:rsidRDefault="00DC2B59" w:rsidP="00DC2B59">
      <w:pPr>
        <w:spacing w:before="120" w:line="276" w:lineRule="auto"/>
        <w:jc w:val="both"/>
        <w:rPr>
          <w:rFonts w:asciiTheme="majorHAnsi" w:hAnsiTheme="majorHAnsi" w:cs="Times New Roman"/>
          <w:lang w:val="sq-AL"/>
        </w:rPr>
      </w:pPr>
      <w:r w:rsidRPr="002E06C4">
        <w:rPr>
          <w:rFonts w:asciiTheme="majorHAnsi" w:hAnsiTheme="majorHAnsi" w:cs="Times New Roman"/>
          <w:lang w:val="sq-AL"/>
        </w:rPr>
        <w:t xml:space="preserve">Neni 4/3 sanksionon që në vitet buxhetore, gjatë të cilave mbahen zgjedhjet e përgjithshme, ekzekutimi i deficitit buxhetor të qeverisjes së përgjithshme, përveç rasteve të jashtëzakonshme, të parashikuara në nenin 4/4, të këtij ligji, bëhet në përputhje me përcaktimet e këtij neni si më poshtë: </w:t>
      </w:r>
    </w:p>
    <w:p w14:paraId="2BB4C095" w14:textId="77777777" w:rsidR="00DC2B59" w:rsidRPr="002E06C4" w:rsidRDefault="00DC2B59" w:rsidP="006C0253">
      <w:pPr>
        <w:pStyle w:val="ListParagraph"/>
        <w:numPr>
          <w:ilvl w:val="0"/>
          <w:numId w:val="15"/>
        </w:numPr>
        <w:spacing w:before="120" w:line="276" w:lineRule="auto"/>
        <w:ind w:left="540"/>
        <w:jc w:val="both"/>
        <w:rPr>
          <w:rFonts w:asciiTheme="majorHAnsi" w:hAnsiTheme="majorHAnsi" w:cs="Times New Roman"/>
          <w:i/>
          <w:lang w:val="sq-AL"/>
        </w:rPr>
      </w:pPr>
      <w:r w:rsidRPr="002E06C4">
        <w:rPr>
          <w:rFonts w:asciiTheme="majorHAnsi" w:hAnsiTheme="majorHAnsi" w:cs="Times New Roman"/>
          <w:i/>
          <w:lang w:val="sq-AL"/>
        </w:rPr>
        <w:t>ekzekutimi i deficitit deri në fund të tremujorit të parë të vitit buxhetor nuk mund të jetë më i lartë se 30 për qind e deficitit vjetor të përcaktuar në ligjin e buxhetit vjetor;</w:t>
      </w:r>
    </w:p>
    <w:p w14:paraId="504CEDF8" w14:textId="77777777" w:rsidR="00DC2B59" w:rsidRPr="002E06C4" w:rsidRDefault="00DC2B59" w:rsidP="006C0253">
      <w:pPr>
        <w:pStyle w:val="ListParagraph"/>
        <w:numPr>
          <w:ilvl w:val="0"/>
          <w:numId w:val="15"/>
        </w:numPr>
        <w:spacing w:before="120" w:line="276" w:lineRule="auto"/>
        <w:ind w:left="540"/>
        <w:jc w:val="both"/>
        <w:rPr>
          <w:rFonts w:asciiTheme="majorHAnsi" w:hAnsiTheme="majorHAnsi" w:cs="Times New Roman"/>
          <w:i/>
          <w:lang w:val="sq-AL"/>
        </w:rPr>
      </w:pPr>
      <w:r w:rsidRPr="002E06C4">
        <w:rPr>
          <w:rFonts w:asciiTheme="majorHAnsi" w:hAnsiTheme="majorHAnsi" w:cs="Times New Roman"/>
          <w:i/>
          <w:lang w:val="sq-AL"/>
        </w:rPr>
        <w:t>ekzekutimi i deficitit deri në fund të gjashtëmujorit të parë të vitit buxhetor nuk mund të jetë më i lartë se 55 për qind e deficitit vjetor të përcaktuar në ligjin e buxhetit vjetor;</w:t>
      </w:r>
    </w:p>
    <w:p w14:paraId="325214C4" w14:textId="77777777" w:rsidR="00DC2B59" w:rsidRPr="002E06C4" w:rsidRDefault="00DC2B59" w:rsidP="006C0253">
      <w:pPr>
        <w:pStyle w:val="ListParagraph"/>
        <w:numPr>
          <w:ilvl w:val="0"/>
          <w:numId w:val="15"/>
        </w:numPr>
        <w:spacing w:before="120" w:line="276" w:lineRule="auto"/>
        <w:ind w:left="540"/>
        <w:jc w:val="both"/>
        <w:rPr>
          <w:rFonts w:asciiTheme="majorHAnsi" w:hAnsiTheme="majorHAnsi" w:cs="Times New Roman"/>
          <w:i/>
          <w:lang w:val="sq-AL"/>
        </w:rPr>
      </w:pPr>
      <w:r w:rsidRPr="002E06C4">
        <w:rPr>
          <w:rFonts w:asciiTheme="majorHAnsi" w:hAnsiTheme="majorHAnsi" w:cs="Times New Roman"/>
          <w:i/>
          <w:lang w:val="sq-AL"/>
        </w:rPr>
        <w:t>ekzekutimi i deficitit deri në fund të nëntëmujorit të parë të vitit buxhetor nuk mund të jetë më i lartë se 80 për qind e deficitit vjetor të përcaktuar në ligjin e buxhetit vjetor.</w:t>
      </w:r>
    </w:p>
    <w:p w14:paraId="11F37C99" w14:textId="77777777" w:rsidR="00DC2B59" w:rsidRPr="002E06C4" w:rsidRDefault="00DC2B59" w:rsidP="00DC2B59">
      <w:pPr>
        <w:pStyle w:val="ListParagraph"/>
        <w:spacing w:before="120" w:after="120" w:line="276" w:lineRule="auto"/>
        <w:ind w:left="0" w:firstLine="540"/>
        <w:contextualSpacing w:val="0"/>
        <w:jc w:val="both"/>
        <w:rPr>
          <w:rFonts w:asciiTheme="majorHAnsi" w:hAnsiTheme="majorHAnsi" w:cs="Times New Roman"/>
          <w:i/>
          <w:lang w:val="sq-AL"/>
        </w:rPr>
      </w:pPr>
      <w:r w:rsidRPr="002E06C4">
        <w:rPr>
          <w:rFonts w:asciiTheme="majorHAnsi" w:hAnsiTheme="majorHAnsi" w:cs="Times New Roman"/>
          <w:i/>
          <w:lang w:val="sq-AL"/>
        </w:rPr>
        <w:t>Zbatimi i ligjit (10):</w:t>
      </w:r>
    </w:p>
    <w:p w14:paraId="44FFA172"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r w:rsidRPr="002E06C4">
        <w:rPr>
          <w:rFonts w:asciiTheme="majorHAnsi" w:hAnsiTheme="majorHAnsi" w:cs="Times New Roman"/>
          <w:lang w:val="sq-AL"/>
        </w:rPr>
        <w:t>Gjatë vitit 2018, nuk janë mbajtur zgjedhje të përgjithshme dhe rrjedhimisht nuk aplikohet përcaktimi ligjor i mësipërm.</w:t>
      </w:r>
    </w:p>
    <w:p w14:paraId="1DE15E2B"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p>
    <w:p w14:paraId="69E66399"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pPr>
    </w:p>
    <w:p w14:paraId="4687C577" w14:textId="77777777" w:rsidR="00DC2B59" w:rsidRPr="002E06C4" w:rsidRDefault="00DC2B59" w:rsidP="00DC2B59">
      <w:pPr>
        <w:pStyle w:val="ListParagraph"/>
        <w:spacing w:before="120" w:after="120" w:line="276" w:lineRule="auto"/>
        <w:ind w:left="0"/>
        <w:contextualSpacing w:val="0"/>
        <w:jc w:val="both"/>
        <w:rPr>
          <w:rFonts w:asciiTheme="majorHAnsi" w:hAnsiTheme="majorHAnsi" w:cs="Times New Roman"/>
          <w:lang w:val="sq-AL"/>
        </w:rPr>
        <w:sectPr w:rsidR="00DC2B59" w:rsidRPr="002E06C4" w:rsidSect="00787F0C">
          <w:pgSz w:w="12240" w:h="15840"/>
          <w:pgMar w:top="720" w:right="990" w:bottom="630" w:left="990" w:header="720" w:footer="0" w:gutter="0"/>
          <w:cols w:space="720"/>
          <w:docGrid w:linePitch="360"/>
        </w:sectPr>
      </w:pPr>
    </w:p>
    <w:p w14:paraId="61AF3ABF" w14:textId="77777777" w:rsidR="00DC2B59" w:rsidRPr="002E06C4" w:rsidRDefault="00DC2B59" w:rsidP="00A2716B">
      <w:pPr>
        <w:pStyle w:val="Heading2"/>
        <w:numPr>
          <w:ilvl w:val="1"/>
          <w:numId w:val="4"/>
        </w:numPr>
        <w:spacing w:line="276" w:lineRule="auto"/>
        <w:ind w:hanging="720"/>
        <w:rPr>
          <w:rFonts w:cs="Times New Roman"/>
          <w:noProof/>
          <w:color w:val="4F81BD" w:themeColor="accent1"/>
          <w:sz w:val="26"/>
          <w:lang w:val="sq-AL"/>
        </w:rPr>
      </w:pPr>
      <w:bookmarkStart w:id="232" w:name="_Ref10032567"/>
      <w:bookmarkStart w:id="233" w:name="_Toc10033290"/>
      <w:bookmarkStart w:id="234" w:name="_Toc10721427"/>
      <w:bookmarkStart w:id="235" w:name="_Toc11134249"/>
      <w:r w:rsidRPr="002E06C4">
        <w:rPr>
          <w:rFonts w:cs="Times New Roman"/>
          <w:noProof/>
          <w:color w:val="4F81BD" w:themeColor="accent1"/>
          <w:sz w:val="26"/>
          <w:lang w:val="sq-AL"/>
        </w:rPr>
        <w:lastRenderedPageBreak/>
        <w:t>Shtojca 2 – Efektet e paket</w:t>
      </w:r>
      <w:r w:rsidR="00C33B16" w:rsidRPr="002E06C4">
        <w:rPr>
          <w:rFonts w:cs="Times New Roman"/>
          <w:noProof/>
          <w:color w:val="4F81BD" w:themeColor="accent1"/>
          <w:sz w:val="26"/>
          <w:lang w:val="sq-AL"/>
        </w:rPr>
        <w:t>ë</w:t>
      </w:r>
      <w:r w:rsidRPr="002E06C4">
        <w:rPr>
          <w:rFonts w:cs="Times New Roman"/>
          <w:noProof/>
          <w:color w:val="4F81BD" w:themeColor="accent1"/>
          <w:sz w:val="26"/>
          <w:lang w:val="sq-AL"/>
        </w:rPr>
        <w:t>s fiskale 2018</w:t>
      </w:r>
      <w:bookmarkEnd w:id="232"/>
      <w:bookmarkEnd w:id="233"/>
      <w:bookmarkEnd w:id="234"/>
      <w:bookmarkEnd w:id="235"/>
    </w:p>
    <w:p w14:paraId="1A6DAD65" w14:textId="77777777" w:rsidR="00DC2B59" w:rsidRPr="002E06C4" w:rsidRDefault="00DC2B59" w:rsidP="00DC2B59">
      <w:pPr>
        <w:rPr>
          <w:rFonts w:asciiTheme="majorHAnsi" w:hAnsiTheme="majorHAnsi" w:cs="Times New Roman"/>
          <w:lang w:val="sq-AL"/>
        </w:rPr>
      </w:pPr>
    </w:p>
    <w:tbl>
      <w:tblPr>
        <w:tblStyle w:val="ListTable3-Accent52"/>
        <w:tblW w:w="5000" w:type="pct"/>
        <w:tblLook w:val="04A0" w:firstRow="1" w:lastRow="0" w:firstColumn="1" w:lastColumn="0" w:noHBand="0" w:noVBand="1"/>
      </w:tblPr>
      <w:tblGrid>
        <w:gridCol w:w="1444"/>
        <w:gridCol w:w="1449"/>
        <w:gridCol w:w="1621"/>
        <w:gridCol w:w="1621"/>
        <w:gridCol w:w="1449"/>
        <w:gridCol w:w="1443"/>
        <w:gridCol w:w="1449"/>
      </w:tblGrid>
      <w:tr w:rsidR="00DC2B59" w:rsidRPr="002E06C4" w14:paraId="4BDDF0B2" w14:textId="77777777" w:rsidTr="00CC0F51">
        <w:trPr>
          <w:cnfStyle w:val="100000000000" w:firstRow="1" w:lastRow="0" w:firstColumn="0" w:lastColumn="0" w:oddVBand="0" w:evenVBand="0" w:oddHBand="0" w:evenHBand="0" w:firstRowFirstColumn="0" w:firstRowLastColumn="0" w:lastRowFirstColumn="0" w:lastRowLastColumn="0"/>
          <w:trHeight w:val="1228"/>
        </w:trPr>
        <w:tc>
          <w:tcPr>
            <w:cnfStyle w:val="001000000100" w:firstRow="0" w:lastRow="0" w:firstColumn="1" w:lastColumn="0" w:oddVBand="0" w:evenVBand="0" w:oddHBand="0" w:evenHBand="0" w:firstRowFirstColumn="1" w:firstRowLastColumn="0" w:lastRowFirstColumn="0" w:lastRowLastColumn="0"/>
            <w:tcW w:w="701" w:type="pct"/>
            <w:noWrap/>
            <w:hideMark/>
          </w:tcPr>
          <w:p w14:paraId="7CA1C6C4" w14:textId="77777777" w:rsidR="00DC2B59" w:rsidRPr="002E06C4" w:rsidRDefault="00DC2B59" w:rsidP="003734A7">
            <w:pPr>
              <w:contextualSpacing/>
              <w:jc w:val="center"/>
              <w:rPr>
                <w:rFonts w:asciiTheme="majorHAnsi" w:hAnsiTheme="majorHAnsi" w:cs="Times New Roman"/>
                <w:sz w:val="20"/>
                <w:szCs w:val="20"/>
                <w:lang w:val="sq-AL"/>
              </w:rPr>
            </w:pPr>
          </w:p>
          <w:p w14:paraId="65534D8E" w14:textId="77777777" w:rsidR="00DC2B59" w:rsidRPr="002E06C4" w:rsidRDefault="00DC2B59" w:rsidP="003734A7">
            <w:pPr>
              <w:contextualSpacing/>
              <w:jc w:val="center"/>
              <w:rPr>
                <w:rFonts w:asciiTheme="majorHAnsi" w:hAnsiTheme="majorHAnsi" w:cs="Times New Roman"/>
                <w:sz w:val="20"/>
                <w:szCs w:val="20"/>
                <w:lang w:val="sq-AL"/>
              </w:rPr>
            </w:pPr>
          </w:p>
          <w:p w14:paraId="47D32045" w14:textId="77777777" w:rsidR="00DC2B59" w:rsidRPr="002E06C4" w:rsidRDefault="00DC2B59" w:rsidP="003734A7">
            <w:pPr>
              <w:contextualSpacing/>
              <w:jc w:val="center"/>
              <w:rPr>
                <w:rFonts w:asciiTheme="majorHAnsi" w:hAnsiTheme="majorHAnsi" w:cs="Times New Roman"/>
                <w:sz w:val="20"/>
                <w:szCs w:val="20"/>
                <w:lang w:val="sq-AL"/>
              </w:rPr>
            </w:pPr>
            <w:r w:rsidRPr="002E06C4">
              <w:rPr>
                <w:rFonts w:asciiTheme="majorHAnsi" w:hAnsiTheme="majorHAnsi" w:cs="Times New Roman"/>
                <w:sz w:val="20"/>
                <w:szCs w:val="20"/>
                <w:lang w:val="sq-AL"/>
              </w:rPr>
              <w:t>Masat</w:t>
            </w:r>
          </w:p>
        </w:tc>
        <w:tc>
          <w:tcPr>
            <w:tcW w:w="703" w:type="pct"/>
            <w:hideMark/>
          </w:tcPr>
          <w:p w14:paraId="0989CF30"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06DE08EE"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Efekti i parashikuar i paketës</w:t>
            </w:r>
            <w:r w:rsidRPr="002E06C4">
              <w:rPr>
                <w:rFonts w:asciiTheme="majorHAnsi" w:hAnsiTheme="majorHAnsi" w:cs="Times New Roman"/>
                <w:color w:val="FF0000"/>
                <w:sz w:val="20"/>
                <w:szCs w:val="20"/>
                <w:lang w:val="sq-AL"/>
              </w:rPr>
              <w:t>*</w:t>
            </w:r>
          </w:p>
        </w:tc>
        <w:tc>
          <w:tcPr>
            <w:tcW w:w="785" w:type="pct"/>
            <w:hideMark/>
          </w:tcPr>
          <w:p w14:paraId="0F09578C"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74705B77"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Të ardhura të mbledhura si efekt i masës fiskale</w:t>
            </w:r>
          </w:p>
          <w:p w14:paraId="1571DA9F"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tc>
        <w:tc>
          <w:tcPr>
            <w:tcW w:w="785" w:type="pct"/>
            <w:hideMark/>
          </w:tcPr>
          <w:p w14:paraId="4BDCB8F0"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6DAFAB59"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Diferenca Parashikimi/Të ardhura të mbledhura</w:t>
            </w:r>
          </w:p>
        </w:tc>
        <w:tc>
          <w:tcPr>
            <w:tcW w:w="703" w:type="pct"/>
            <w:hideMark/>
          </w:tcPr>
          <w:p w14:paraId="074D5F36"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3E4A410E"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41AE96E5"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Diferenca Fakt 2018/Fakt 2017</w:t>
            </w:r>
          </w:p>
        </w:tc>
        <w:tc>
          <w:tcPr>
            <w:tcW w:w="620" w:type="pct"/>
            <w:noWrap/>
            <w:hideMark/>
          </w:tcPr>
          <w:p w14:paraId="61DF9CBE"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5A8CFEC9"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6E175615"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Faktorët</w:t>
            </w:r>
          </w:p>
        </w:tc>
        <w:tc>
          <w:tcPr>
            <w:tcW w:w="703" w:type="pct"/>
            <w:noWrap/>
            <w:hideMark/>
          </w:tcPr>
          <w:p w14:paraId="104E6782"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2AE58DB7"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437A74C1" w14:textId="77777777" w:rsidR="00DC2B59" w:rsidRPr="002E06C4" w:rsidRDefault="00DC2B59" w:rsidP="003734A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Efektet</w:t>
            </w:r>
          </w:p>
        </w:tc>
      </w:tr>
      <w:tr w:rsidR="00DC2B59" w:rsidRPr="002E06C4" w14:paraId="3E79F81C" w14:textId="77777777" w:rsidTr="00CC0F51">
        <w:trPr>
          <w:cnfStyle w:val="000000100000" w:firstRow="0" w:lastRow="0" w:firstColumn="0" w:lastColumn="0" w:oddVBand="0" w:evenVBand="0" w:oddHBand="1" w:evenHBand="0" w:firstRowFirstColumn="0" w:firstRowLastColumn="0" w:lastRowFirstColumn="0" w:lastRowLastColumn="0"/>
          <w:trHeight w:val="3097"/>
        </w:trPr>
        <w:tc>
          <w:tcPr>
            <w:cnfStyle w:val="001000000000" w:firstRow="0" w:lastRow="0" w:firstColumn="1" w:lastColumn="0" w:oddVBand="0" w:evenVBand="0" w:oddHBand="0" w:evenHBand="0" w:firstRowFirstColumn="0" w:firstRowLastColumn="0" w:lastRowFirstColumn="0" w:lastRowLastColumn="0"/>
            <w:tcW w:w="701" w:type="pct"/>
            <w:hideMark/>
          </w:tcPr>
          <w:p w14:paraId="1C67BBAD" w14:textId="77777777" w:rsidR="00DC2B59" w:rsidRPr="002E06C4" w:rsidRDefault="00DC2B59" w:rsidP="003734A7">
            <w:pPr>
              <w:contextualSpacing/>
              <w:jc w:val="center"/>
              <w:rPr>
                <w:rFonts w:asciiTheme="majorHAnsi" w:hAnsiTheme="majorHAnsi" w:cs="Times New Roman"/>
                <w:sz w:val="20"/>
                <w:szCs w:val="20"/>
                <w:lang w:val="sq-AL"/>
              </w:rPr>
            </w:pPr>
          </w:p>
          <w:p w14:paraId="52979B9C" w14:textId="77777777" w:rsidR="00DC2B59" w:rsidRPr="002E06C4" w:rsidRDefault="00DC2B59" w:rsidP="003734A7">
            <w:pPr>
              <w:contextualSpacing/>
              <w:jc w:val="center"/>
              <w:rPr>
                <w:rFonts w:asciiTheme="majorHAnsi" w:hAnsiTheme="majorHAnsi" w:cs="Times New Roman"/>
                <w:sz w:val="20"/>
                <w:szCs w:val="20"/>
                <w:lang w:val="sq-AL"/>
              </w:rPr>
            </w:pPr>
          </w:p>
          <w:p w14:paraId="1D399F9E" w14:textId="77777777" w:rsidR="00DC2B59" w:rsidRPr="002E06C4" w:rsidRDefault="00DC2B59" w:rsidP="003734A7">
            <w:pPr>
              <w:contextualSpacing/>
              <w:jc w:val="center"/>
              <w:rPr>
                <w:rFonts w:asciiTheme="majorHAnsi" w:hAnsiTheme="majorHAnsi" w:cs="Times New Roman"/>
                <w:sz w:val="20"/>
                <w:szCs w:val="20"/>
                <w:lang w:val="sq-AL"/>
              </w:rPr>
            </w:pPr>
          </w:p>
          <w:p w14:paraId="46AD321C" w14:textId="77777777" w:rsidR="00DC2B59" w:rsidRPr="002E06C4" w:rsidRDefault="00DC2B59" w:rsidP="003734A7">
            <w:pPr>
              <w:contextualSpacing/>
              <w:jc w:val="center"/>
              <w:rPr>
                <w:rFonts w:asciiTheme="majorHAnsi" w:hAnsiTheme="majorHAnsi" w:cs="Times New Roman"/>
                <w:sz w:val="20"/>
                <w:szCs w:val="20"/>
                <w:lang w:val="sq-AL"/>
              </w:rPr>
            </w:pPr>
            <w:r w:rsidRPr="002E06C4">
              <w:rPr>
                <w:rFonts w:asciiTheme="majorHAnsi" w:hAnsiTheme="majorHAnsi" w:cs="Times New Roman"/>
                <w:sz w:val="20"/>
                <w:szCs w:val="20"/>
                <w:lang w:val="sq-AL"/>
              </w:rPr>
              <w:t>Rritet niveli i akcizës së cigareve për vitin 2018, nga 5750 lekë/1000 fije që ishte parashikuar në kalendar, në 5850 lekë/1000 fije.</w:t>
            </w:r>
          </w:p>
        </w:tc>
        <w:tc>
          <w:tcPr>
            <w:tcW w:w="703" w:type="pct"/>
            <w:hideMark/>
          </w:tcPr>
          <w:p w14:paraId="7D684179"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23A4AEFA"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7FD97592"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5480708D"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5E6ABDA4"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3FFA3669"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7D064151"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7404C532"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760E0A45" w14:textId="77777777" w:rsidR="00DC2B59" w:rsidRPr="002E06C4" w:rsidRDefault="00B538BA"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 miliard</w:t>
            </w:r>
            <w:r w:rsidR="00DC2B59" w:rsidRPr="002E06C4">
              <w:rPr>
                <w:rFonts w:asciiTheme="majorHAnsi" w:hAnsiTheme="majorHAnsi" w:cs="Times New Roman"/>
                <w:sz w:val="20"/>
                <w:szCs w:val="20"/>
                <w:lang w:val="sq-AL"/>
              </w:rPr>
              <w:t xml:space="preserve"> lekë</w:t>
            </w:r>
          </w:p>
        </w:tc>
        <w:tc>
          <w:tcPr>
            <w:tcW w:w="785" w:type="pct"/>
            <w:hideMark/>
          </w:tcPr>
          <w:p w14:paraId="13ACE3B1"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6AA7C30F"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40F2F469"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43973171"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1A5098F7"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2108F833"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70268667"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10FF215F"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26AFE80B" w14:textId="77777777" w:rsidR="00DC2B59" w:rsidRPr="002E06C4" w:rsidRDefault="00B538BA"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+0.8 miliard</w:t>
            </w:r>
            <w:r w:rsidR="00DC2B59" w:rsidRPr="002E06C4">
              <w:rPr>
                <w:rFonts w:asciiTheme="majorHAnsi" w:hAnsiTheme="majorHAnsi" w:cs="Times New Roman"/>
                <w:sz w:val="20"/>
                <w:szCs w:val="20"/>
                <w:lang w:val="sq-AL"/>
              </w:rPr>
              <w:t xml:space="preserve"> lekë</w:t>
            </w:r>
          </w:p>
        </w:tc>
        <w:tc>
          <w:tcPr>
            <w:tcW w:w="785" w:type="pct"/>
            <w:hideMark/>
          </w:tcPr>
          <w:p w14:paraId="4565C01E"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6B881BBB"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5F9CD728"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1EF70E0C"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06E2A726"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4033068A"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008EBCA5"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7EE7B79E"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1A7C12A7" w14:textId="77777777" w:rsidR="00DC2B59" w:rsidRPr="002E06C4" w:rsidRDefault="00B538BA"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-0.2 miliard</w:t>
            </w:r>
            <w:r w:rsidR="00DC2B59" w:rsidRPr="002E06C4">
              <w:rPr>
                <w:rFonts w:asciiTheme="majorHAnsi" w:hAnsiTheme="majorHAnsi" w:cs="Times New Roman"/>
                <w:sz w:val="20"/>
                <w:szCs w:val="20"/>
                <w:lang w:val="sq-AL"/>
              </w:rPr>
              <w:t xml:space="preserve"> lekë</w:t>
            </w:r>
          </w:p>
        </w:tc>
        <w:tc>
          <w:tcPr>
            <w:tcW w:w="703" w:type="pct"/>
            <w:hideMark/>
          </w:tcPr>
          <w:p w14:paraId="24E43F0D"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635399E8"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19443E5D"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6A192A88"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62819ED0"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21B6719F"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6F31B55A"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610740AB"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6E48CD70" w14:textId="77777777" w:rsidR="00DC2B59" w:rsidRPr="002E06C4" w:rsidRDefault="00B538BA"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 xml:space="preserve">-1 miliard </w:t>
            </w:r>
            <w:r w:rsidR="00DC2B59" w:rsidRPr="002E06C4">
              <w:rPr>
                <w:rFonts w:asciiTheme="majorHAnsi" w:hAnsiTheme="majorHAnsi" w:cs="Times New Roman"/>
                <w:sz w:val="20"/>
                <w:szCs w:val="20"/>
                <w:lang w:val="sq-AL"/>
              </w:rPr>
              <w:t>lekë</w:t>
            </w:r>
          </w:p>
        </w:tc>
        <w:tc>
          <w:tcPr>
            <w:tcW w:w="620" w:type="pct"/>
            <w:hideMark/>
          </w:tcPr>
          <w:p w14:paraId="79FE4269"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2A46B8BF"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762A41F0"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p>
          <w:p w14:paraId="4E308A20"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Ulja e sasisë së importuar të cigareve në masën -250 ton, krahasuar me vitin 2017, si pasojë e rritjes se nivelit të akcizës.</w:t>
            </w:r>
          </w:p>
        </w:tc>
        <w:tc>
          <w:tcPr>
            <w:tcW w:w="703" w:type="pct"/>
            <w:hideMark/>
          </w:tcPr>
          <w:p w14:paraId="372FC3DE" w14:textId="77777777" w:rsidR="00DC2B59" w:rsidRPr="002E06C4" w:rsidRDefault="00DC2B59" w:rsidP="003734A7">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Rënia e të ardhurave në buxhetin e shtetit. Rritja e akcizës për cigaret është një nga politikat e përdorura për frenimin dhe uljen e konsumit të cigareve nga popullata si produkt me efekte negative në shëndet duke rritur çmimin e shitjes së tyre.</w:t>
            </w:r>
          </w:p>
        </w:tc>
      </w:tr>
      <w:tr w:rsidR="00DC2B59" w:rsidRPr="002E06C4" w14:paraId="29A0B37B" w14:textId="77777777" w:rsidTr="00CC0F51">
        <w:trPr>
          <w:trHeight w:val="1293"/>
        </w:trPr>
        <w:tc>
          <w:tcPr>
            <w:cnfStyle w:val="001000000000" w:firstRow="0" w:lastRow="0" w:firstColumn="1" w:lastColumn="0" w:oddVBand="0" w:evenVBand="0" w:oddHBand="0" w:evenHBand="0" w:firstRowFirstColumn="0" w:firstRowLastColumn="0" w:lastRowFirstColumn="0" w:lastRowLastColumn="0"/>
            <w:tcW w:w="701" w:type="pct"/>
            <w:hideMark/>
          </w:tcPr>
          <w:p w14:paraId="6830298E" w14:textId="77777777" w:rsidR="00DC2B59" w:rsidRPr="002E06C4" w:rsidRDefault="00DC2B59" w:rsidP="003734A7">
            <w:pPr>
              <w:contextualSpacing/>
              <w:jc w:val="center"/>
              <w:rPr>
                <w:rFonts w:asciiTheme="majorHAnsi" w:hAnsiTheme="majorHAnsi" w:cs="Times New Roman"/>
                <w:sz w:val="8"/>
                <w:szCs w:val="20"/>
                <w:lang w:val="sq-AL"/>
              </w:rPr>
            </w:pPr>
          </w:p>
          <w:p w14:paraId="1AB70F32" w14:textId="77777777" w:rsidR="00DC2B59" w:rsidRPr="002E06C4" w:rsidRDefault="00DC2B59" w:rsidP="003734A7">
            <w:pPr>
              <w:contextualSpacing/>
              <w:jc w:val="center"/>
              <w:rPr>
                <w:rFonts w:asciiTheme="majorHAnsi" w:hAnsiTheme="majorHAnsi" w:cs="Times New Roman"/>
                <w:sz w:val="20"/>
                <w:szCs w:val="20"/>
                <w:lang w:val="sq-AL"/>
              </w:rPr>
            </w:pPr>
          </w:p>
          <w:p w14:paraId="7BCEA623" w14:textId="77777777" w:rsidR="00DC2B59" w:rsidRPr="002E06C4" w:rsidRDefault="00DC2B59" w:rsidP="003734A7">
            <w:pPr>
              <w:contextualSpacing/>
              <w:jc w:val="center"/>
              <w:rPr>
                <w:rFonts w:asciiTheme="majorHAnsi" w:hAnsiTheme="majorHAnsi" w:cs="Times New Roman"/>
                <w:sz w:val="20"/>
                <w:szCs w:val="20"/>
                <w:lang w:val="sq-AL"/>
              </w:rPr>
            </w:pPr>
            <w:r w:rsidRPr="002E06C4">
              <w:rPr>
                <w:rFonts w:asciiTheme="majorHAnsi" w:hAnsiTheme="majorHAnsi" w:cs="Times New Roman"/>
                <w:sz w:val="20"/>
                <w:szCs w:val="20"/>
                <w:lang w:val="sq-AL"/>
              </w:rPr>
              <w:t>Ulet pragu i regjistrimit në skemën e TVSH-së nga        5 milionë lekë, në 2 milionë lekë.</w:t>
            </w:r>
          </w:p>
          <w:p w14:paraId="41C876AA" w14:textId="77777777" w:rsidR="00DC2B59" w:rsidRPr="002E06C4" w:rsidRDefault="00DC2B59" w:rsidP="003734A7">
            <w:pPr>
              <w:contextualSpacing/>
              <w:jc w:val="center"/>
              <w:rPr>
                <w:rFonts w:asciiTheme="majorHAnsi" w:hAnsiTheme="majorHAnsi" w:cs="Times New Roman"/>
                <w:sz w:val="20"/>
                <w:szCs w:val="20"/>
                <w:lang w:val="sq-AL"/>
              </w:rPr>
            </w:pPr>
          </w:p>
        </w:tc>
        <w:tc>
          <w:tcPr>
            <w:tcW w:w="703" w:type="pct"/>
            <w:hideMark/>
          </w:tcPr>
          <w:p w14:paraId="427D2B9A"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56FE9699"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7FE45BBF"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76A0AB5D" w14:textId="77777777" w:rsidR="00DC2B59" w:rsidRPr="002E06C4" w:rsidRDefault="00DC2B59" w:rsidP="00B538BA">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+1 miliard lekë</w:t>
            </w:r>
          </w:p>
        </w:tc>
        <w:tc>
          <w:tcPr>
            <w:tcW w:w="785" w:type="pct"/>
            <w:hideMark/>
          </w:tcPr>
          <w:p w14:paraId="0CDB0E17"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4AB85335"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1C5D03B4"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3763D600" w14:textId="77777777" w:rsidR="00DC2B59" w:rsidRPr="002E06C4" w:rsidRDefault="00DC2B59" w:rsidP="00B538BA">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+0.8  miliard lekë</w:t>
            </w:r>
          </w:p>
        </w:tc>
        <w:tc>
          <w:tcPr>
            <w:tcW w:w="785" w:type="pct"/>
            <w:hideMark/>
          </w:tcPr>
          <w:p w14:paraId="0C158E07"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31F655B8"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52435001"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7B61203C" w14:textId="77777777" w:rsidR="00DC2B59" w:rsidRPr="002E06C4" w:rsidRDefault="00DC2B59" w:rsidP="00B538BA">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-0.2 miliard lekë</w:t>
            </w:r>
          </w:p>
        </w:tc>
        <w:tc>
          <w:tcPr>
            <w:tcW w:w="703" w:type="pct"/>
            <w:noWrap/>
            <w:hideMark/>
          </w:tcPr>
          <w:p w14:paraId="581E90E3"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27A92E4E"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20623803"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730B7E1D"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w:t>
            </w:r>
          </w:p>
        </w:tc>
        <w:tc>
          <w:tcPr>
            <w:tcW w:w="620" w:type="pct"/>
            <w:hideMark/>
          </w:tcPr>
          <w:p w14:paraId="1AF21320"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53D47E60"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Formalizimi dhe kontrolli i zinxhirit të transaksioneve nga kompanitë e mëdha tek biznesi i vogël</w:t>
            </w:r>
          </w:p>
          <w:p w14:paraId="1A011B38"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tc>
        <w:tc>
          <w:tcPr>
            <w:tcW w:w="703" w:type="pct"/>
            <w:hideMark/>
          </w:tcPr>
          <w:p w14:paraId="377DEDDD"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p>
          <w:p w14:paraId="751B0BCD" w14:textId="77777777" w:rsidR="00DC2B59" w:rsidRPr="002E06C4" w:rsidRDefault="00DC2B59" w:rsidP="003734A7">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q-AL"/>
              </w:rPr>
            </w:pPr>
            <w:r w:rsidRPr="002E06C4">
              <w:rPr>
                <w:rFonts w:asciiTheme="majorHAnsi" w:hAnsiTheme="majorHAnsi" w:cs="Times New Roman"/>
                <w:sz w:val="20"/>
                <w:szCs w:val="20"/>
                <w:lang w:val="sq-AL"/>
              </w:rPr>
              <w:t>Formalizim të qarkullimit të mallrave dhe shërbimeve dhe një mbulim tërësor të TVSH-së</w:t>
            </w:r>
          </w:p>
        </w:tc>
      </w:tr>
    </w:tbl>
    <w:p w14:paraId="151240D7" w14:textId="77777777" w:rsidR="00DC2B59" w:rsidRPr="002E06C4" w:rsidRDefault="00DC2B59" w:rsidP="00DC2B59">
      <w:pPr>
        <w:spacing w:before="240"/>
        <w:contextualSpacing/>
        <w:rPr>
          <w:rFonts w:asciiTheme="majorHAnsi" w:hAnsiTheme="majorHAnsi" w:cs="Times New Roman"/>
          <w:i/>
          <w:color w:val="FF0000"/>
          <w:sz w:val="8"/>
          <w:szCs w:val="22"/>
          <w:lang w:val="sq-AL"/>
        </w:rPr>
      </w:pPr>
    </w:p>
    <w:p w14:paraId="784E32B2" w14:textId="77777777" w:rsidR="00DC2B59" w:rsidRPr="002E06C4" w:rsidRDefault="00DC2B59" w:rsidP="00DC2B59">
      <w:pPr>
        <w:spacing w:before="240"/>
        <w:contextualSpacing/>
        <w:rPr>
          <w:rFonts w:asciiTheme="majorHAnsi" w:hAnsiTheme="majorHAnsi" w:cs="Times New Roman"/>
          <w:i/>
          <w:sz w:val="22"/>
          <w:szCs w:val="22"/>
          <w:lang w:val="sq-AL"/>
        </w:rPr>
      </w:pPr>
      <w:r w:rsidRPr="002E06C4">
        <w:rPr>
          <w:rFonts w:asciiTheme="majorHAnsi" w:hAnsiTheme="majorHAnsi" w:cs="Times New Roman"/>
          <w:i/>
          <w:color w:val="FF0000"/>
          <w:sz w:val="22"/>
          <w:szCs w:val="22"/>
          <w:lang w:val="sq-AL"/>
        </w:rPr>
        <w:t>*</w:t>
      </w:r>
      <w:r w:rsidRPr="002E06C4">
        <w:rPr>
          <w:rFonts w:asciiTheme="majorHAnsi" w:hAnsiTheme="majorHAnsi" w:cs="Times New Roman"/>
          <w:i/>
          <w:sz w:val="22"/>
          <w:szCs w:val="22"/>
          <w:lang w:val="sq-AL"/>
        </w:rPr>
        <w:t xml:space="preserve"> Parashikimi i Paketës Fiskale 2018 është projektuar në muajin Tetor 2017.</w:t>
      </w:r>
    </w:p>
    <w:p w14:paraId="6AFBD883" w14:textId="77777777" w:rsidR="00A94670" w:rsidRPr="002E06C4" w:rsidRDefault="00A94670" w:rsidP="00A94670">
      <w:pPr>
        <w:rPr>
          <w:rFonts w:asciiTheme="majorHAnsi" w:hAnsiTheme="majorHAnsi" w:cs="Times New Roman"/>
          <w:lang w:val="sq-AL"/>
        </w:rPr>
      </w:pPr>
    </w:p>
    <w:p w14:paraId="5AAE118C" w14:textId="77777777" w:rsidR="00DC2B59" w:rsidRPr="002E06C4" w:rsidRDefault="00DC2B59" w:rsidP="00A94670">
      <w:pPr>
        <w:rPr>
          <w:rFonts w:asciiTheme="majorHAnsi" w:hAnsiTheme="majorHAnsi" w:cs="Times New Roman"/>
          <w:lang w:val="sq-AL"/>
        </w:rPr>
        <w:sectPr w:rsidR="00DC2B59" w:rsidRPr="002E06C4" w:rsidSect="00CC0F51">
          <w:pgSz w:w="12240" w:h="15840"/>
          <w:pgMar w:top="720" w:right="810" w:bottom="720" w:left="1170" w:header="720" w:footer="168" w:gutter="0"/>
          <w:cols w:space="720"/>
          <w:docGrid w:linePitch="360"/>
        </w:sectPr>
      </w:pPr>
    </w:p>
    <w:p w14:paraId="62E420B8" w14:textId="77777777" w:rsidR="00DC2B59" w:rsidRPr="002E06C4" w:rsidRDefault="00DC2B59" w:rsidP="00EB3D5E">
      <w:pPr>
        <w:pStyle w:val="Heading2"/>
        <w:numPr>
          <w:ilvl w:val="1"/>
          <w:numId w:val="4"/>
        </w:numPr>
        <w:spacing w:before="0" w:line="276" w:lineRule="auto"/>
        <w:ind w:hanging="720"/>
        <w:rPr>
          <w:rFonts w:cs="Times New Roman"/>
          <w:noProof/>
          <w:color w:val="4F81BD" w:themeColor="accent1"/>
          <w:sz w:val="26"/>
          <w:lang w:val="sq-AL"/>
        </w:rPr>
      </w:pPr>
      <w:bookmarkStart w:id="236" w:name="_Toc10033291"/>
      <w:bookmarkStart w:id="237" w:name="_Toc10721428"/>
      <w:bookmarkStart w:id="238" w:name="_Toc11134250"/>
      <w:r w:rsidRPr="002E06C4">
        <w:rPr>
          <w:rFonts w:cs="Times New Roman"/>
          <w:noProof/>
          <w:color w:val="4F81BD" w:themeColor="accent1"/>
          <w:sz w:val="26"/>
          <w:lang w:val="sq-AL"/>
        </w:rPr>
        <w:lastRenderedPageBreak/>
        <w:t>Shtojca 3 - T</w:t>
      </w:r>
      <w:r w:rsidR="00C33B16" w:rsidRPr="002E06C4">
        <w:rPr>
          <w:rFonts w:cs="Times New Roman"/>
          <w:noProof/>
          <w:color w:val="4F81BD" w:themeColor="accent1"/>
          <w:sz w:val="26"/>
          <w:lang w:val="sq-AL"/>
        </w:rPr>
        <w:t>ë</w:t>
      </w:r>
      <w:r w:rsidRPr="002E06C4">
        <w:rPr>
          <w:rFonts w:cs="Times New Roman"/>
          <w:noProof/>
          <w:color w:val="4F81BD" w:themeColor="accent1"/>
          <w:sz w:val="26"/>
          <w:lang w:val="sq-AL"/>
        </w:rPr>
        <w:t xml:space="preserve"> ardhurat e pushtetit vendor</w:t>
      </w:r>
      <w:bookmarkEnd w:id="236"/>
      <w:bookmarkEnd w:id="237"/>
      <w:bookmarkEnd w:id="238"/>
      <w:r w:rsidRPr="002E06C4">
        <w:rPr>
          <w:rFonts w:cs="Times New Roman"/>
          <w:noProof/>
          <w:color w:val="4F81BD" w:themeColor="accent1"/>
          <w:sz w:val="26"/>
          <w:lang w:val="sq-AL"/>
        </w:rPr>
        <w:t xml:space="preserve"> </w:t>
      </w:r>
    </w:p>
    <w:p w14:paraId="64C80C28" w14:textId="77777777" w:rsidR="00DC2B59" w:rsidRPr="002E06C4" w:rsidRDefault="00DC2B59" w:rsidP="00DC2B59">
      <w:pPr>
        <w:pStyle w:val="Footer"/>
        <w:spacing w:before="240" w:line="276" w:lineRule="auto"/>
        <w:jc w:val="both"/>
        <w:rPr>
          <w:rFonts w:asciiTheme="majorHAnsi" w:hAnsiTheme="majorHAnsi"/>
          <w:lang w:val="sq-AL"/>
        </w:rPr>
      </w:pPr>
      <w:r w:rsidRPr="002E06C4">
        <w:rPr>
          <w:rFonts w:asciiTheme="majorHAnsi" w:hAnsiTheme="majorHAnsi"/>
          <w:lang w:val="sq-AL"/>
        </w:rPr>
        <w:t>Problemet e Menaxhimit të Financave Publike (MFP) në nivel vendor nuk janë një fenomen i ri por këto probleme ekzistojnë prej shumë vitesh të shfaqura në mënyra dhe forma të ndryshme. Fragmentimi i pushtetit vendor ka bërë që në një pjesë të konsiderueshme të njësive të qeverisjeve vendore (sidomos në ish komunat) niveli i menaxhimit të financave publike të ishte i ulët. Janë evidentuar dobësi të theksuara në mbledhjen dhe administrimin e të ardhurave, në kryerjen më efiçencë të shpenzimeve, në mbajtjen e kontabilitetit publik dhe domosdoshmërisht këto janë shoqëruar me një stok të lartë të detyrimeve të prapambetura. Në këto kushte, menaxhimi i financave vendore ka reflektuar një sistem jo efikas si në rolin kushtetues që kanë njësitë në ofrimin e shërbimeve publike por gjithashtu edhe si kontributor të rëndësishëm të zhvillimit ekonomik dhe infrastrukturor të vendit.</w:t>
      </w:r>
    </w:p>
    <w:p w14:paraId="69874826" w14:textId="77777777" w:rsidR="00DC2B59" w:rsidRPr="002E06C4" w:rsidRDefault="00DC2B59" w:rsidP="00DC2B59">
      <w:pPr>
        <w:pStyle w:val="Footer"/>
        <w:spacing w:before="240" w:line="276" w:lineRule="auto"/>
        <w:jc w:val="both"/>
        <w:rPr>
          <w:rFonts w:asciiTheme="majorHAnsi" w:hAnsiTheme="majorHAnsi"/>
          <w:lang w:val="sq-AL"/>
        </w:rPr>
      </w:pPr>
      <w:r w:rsidRPr="002E06C4">
        <w:rPr>
          <w:rFonts w:asciiTheme="majorHAnsi" w:hAnsiTheme="majorHAnsi"/>
          <w:lang w:val="sq-AL"/>
        </w:rPr>
        <w:t xml:space="preserve">Prandaj, në mbështetje të plotë me planin e veprimit të përcaktuar në Strategjinë Ndërsektoriale për Decentralizimin dhe Qeverisjen Vendore 2015-2020, u ndërmorën hapa të thellë në reformimin administrativ dhe financiar të pushtetit vendor në Shqipëri. Në dhjetor të vitit 2015, u miratua ligji “Për vetëqeverisjen vendore”, nëpërmjet të cilit një paketë funksionesh të transferohen nga qeverisja qendore tek ajo vendore sëbashku me mbulimin financiar të tyre si një siguri më tepër për vazhdimësinë e ofrimit të tyre me një cilësi të lartë. Reforma e nisur imponoj ndryshime të rëndësishme edhe në aspektin financiar të qeverisjes vendore duke bërë që tashmë njësitë e reja vendore me shtrirjen e gjërë administrative të kenë edhe burime më të mëdha financiare për tu përdorur. Në këtë kuadër gjithashtu u miratua ligji nr.68, datë 27.04.2017 “Për Financat e Vetëqeverisjes Vendore” i cila ka për qëllim plotësimin dhe mbështetjen financiare e fiskale të reformave të decentralizimit të ndërmarra deri më tani nga Qeveria shqiptare. Reformat në qeverisjen vendore janë  fokusuar si në thellimin e decentralizimit fiskal duke riparë të gjithë skemën e të ardhurave të pushtetit vendor, ashtu edhe anën e shpenzimeve publike vendore, pra menxhimin e financave publike në nivel vendor. Është plotësisht në interes të zhvillimit që reformat në këtë drejtim filluan pikërisht nga menaxhimi financiar në nivel vendor, pasi u krijuan kushtet e favorshme ligjore dhe humane që në vitet e ardhshme të kemi një decentralizim fiskal real për qeverisjen vendore. Në këto kushte, është punuar ngushtësisht me njësitë e vetëqeverisjes vendore me qëllim jo vetëm me plotësimin e kuadrit nënligjor por gjithashtu edhe në drejtim të implementimit sa më të suksesshëm nga NJVQV-të. Në këtë kuptim </w:t>
      </w:r>
      <w:r w:rsidRPr="002E06C4">
        <w:rPr>
          <w:rFonts w:asciiTheme="majorHAnsi" w:hAnsiTheme="majorHAnsi"/>
          <w:b/>
          <w:lang w:val="sq-AL"/>
        </w:rPr>
        <w:t>disa prej arritjeve në realizimin e buxhetit faktik 2018</w:t>
      </w:r>
      <w:r w:rsidRPr="002E06C4">
        <w:rPr>
          <w:rFonts w:asciiTheme="majorHAnsi" w:hAnsiTheme="majorHAnsi"/>
          <w:lang w:val="sq-AL"/>
        </w:rPr>
        <w:t xml:space="preserve"> paraqiten si mëposhtë:</w:t>
      </w:r>
    </w:p>
    <w:p w14:paraId="05E7D00C" w14:textId="77777777" w:rsidR="00DC2B59" w:rsidRPr="002E06C4" w:rsidRDefault="00DC2B59" w:rsidP="006C0253">
      <w:pPr>
        <w:pStyle w:val="Footer"/>
        <w:numPr>
          <w:ilvl w:val="0"/>
          <w:numId w:val="16"/>
        </w:numPr>
        <w:spacing w:line="276" w:lineRule="auto"/>
        <w:ind w:left="540" w:hanging="450"/>
        <w:jc w:val="both"/>
        <w:rPr>
          <w:rFonts w:asciiTheme="majorHAnsi" w:hAnsiTheme="majorHAnsi"/>
          <w:lang w:val="sq-AL"/>
        </w:rPr>
      </w:pPr>
      <w:r w:rsidRPr="002E06C4">
        <w:rPr>
          <w:rFonts w:asciiTheme="majorHAnsi" w:hAnsiTheme="majorHAnsi"/>
          <w:lang w:val="sq-AL"/>
        </w:rPr>
        <w:t>Miratimi i udhëzimeve të procedurave standarte për përgatitjen e programit buxhetor afatmesëm të njësive të vetëqeverisjes vendore dhe të monitorimit të buxhetit vendor;</w:t>
      </w:r>
    </w:p>
    <w:p w14:paraId="2925019A" w14:textId="77777777" w:rsidR="00DC2B59" w:rsidRPr="002E06C4" w:rsidRDefault="00DC2B59" w:rsidP="006C0253">
      <w:pPr>
        <w:pStyle w:val="Footer"/>
        <w:numPr>
          <w:ilvl w:val="0"/>
          <w:numId w:val="16"/>
        </w:numPr>
        <w:spacing w:line="276" w:lineRule="auto"/>
        <w:ind w:left="540" w:hanging="450"/>
        <w:jc w:val="both"/>
        <w:rPr>
          <w:rFonts w:asciiTheme="majorHAnsi" w:hAnsiTheme="majorHAnsi"/>
          <w:lang w:val="sq-AL"/>
        </w:rPr>
      </w:pPr>
      <w:r w:rsidRPr="002E06C4">
        <w:rPr>
          <w:rFonts w:asciiTheme="majorHAnsi" w:hAnsiTheme="majorHAnsi"/>
          <w:lang w:val="sq-AL"/>
        </w:rPr>
        <w:tab/>
        <w:t xml:space="preserve">Unifikimi i procedurave të hartimit të projektbuxhetit afatmesëm në të gjitha njësitë e vetëqeverisjes vendore; </w:t>
      </w:r>
    </w:p>
    <w:p w14:paraId="0BBB2EFD" w14:textId="77777777" w:rsidR="00DC2B59" w:rsidRPr="002E06C4" w:rsidRDefault="00DC2B59" w:rsidP="006C0253">
      <w:pPr>
        <w:pStyle w:val="Footer"/>
        <w:numPr>
          <w:ilvl w:val="0"/>
          <w:numId w:val="16"/>
        </w:numPr>
        <w:spacing w:line="276" w:lineRule="auto"/>
        <w:ind w:left="540" w:hanging="450"/>
        <w:jc w:val="both"/>
        <w:rPr>
          <w:rFonts w:asciiTheme="majorHAnsi" w:hAnsiTheme="majorHAnsi"/>
          <w:lang w:val="sq-AL"/>
        </w:rPr>
      </w:pPr>
      <w:r w:rsidRPr="002E06C4">
        <w:rPr>
          <w:rFonts w:asciiTheme="majorHAnsi" w:hAnsiTheme="majorHAnsi"/>
          <w:lang w:val="sq-AL"/>
        </w:rPr>
        <w:tab/>
        <w:t>Hartimi i udhëzimeve vjetore për përgatitjen e buxhetit vendor në përputhje me nevojat për informacion që kanë NJVQV-të në secilën fazë të përgatitjes së PBA-së;</w:t>
      </w:r>
    </w:p>
    <w:p w14:paraId="270662AC" w14:textId="77777777" w:rsidR="00DC2B59" w:rsidRPr="002E06C4" w:rsidRDefault="00DC2B59" w:rsidP="006C0253">
      <w:pPr>
        <w:pStyle w:val="Footer"/>
        <w:numPr>
          <w:ilvl w:val="0"/>
          <w:numId w:val="16"/>
        </w:numPr>
        <w:spacing w:line="276" w:lineRule="auto"/>
        <w:ind w:left="540" w:hanging="450"/>
        <w:jc w:val="both"/>
        <w:rPr>
          <w:rFonts w:asciiTheme="majorHAnsi" w:hAnsiTheme="majorHAnsi"/>
          <w:lang w:val="sq-AL"/>
        </w:rPr>
      </w:pPr>
      <w:r w:rsidRPr="002E06C4">
        <w:rPr>
          <w:rFonts w:asciiTheme="majorHAnsi" w:hAnsiTheme="majorHAnsi"/>
          <w:lang w:val="sq-AL"/>
        </w:rPr>
        <w:tab/>
        <w:t>Buxhetimi mbi bazën e programeve buxhetore të standartizuara në të gjitha njësitë e vetëqeverisjes vendore, organizimin e shpenzimeve sipas funksioneve;</w:t>
      </w:r>
    </w:p>
    <w:p w14:paraId="3B043441" w14:textId="77777777" w:rsidR="00DC2B59" w:rsidRPr="002E06C4" w:rsidRDefault="00DC2B59" w:rsidP="006C0253">
      <w:pPr>
        <w:pStyle w:val="Footer"/>
        <w:numPr>
          <w:ilvl w:val="0"/>
          <w:numId w:val="16"/>
        </w:numPr>
        <w:spacing w:line="276" w:lineRule="auto"/>
        <w:ind w:left="540" w:hanging="450"/>
        <w:jc w:val="both"/>
        <w:rPr>
          <w:rFonts w:asciiTheme="majorHAnsi" w:hAnsiTheme="majorHAnsi"/>
          <w:lang w:val="sq-AL"/>
        </w:rPr>
      </w:pPr>
      <w:r w:rsidRPr="002E06C4">
        <w:rPr>
          <w:rFonts w:asciiTheme="majorHAnsi" w:hAnsiTheme="majorHAnsi"/>
          <w:lang w:val="sq-AL"/>
        </w:rPr>
        <w:tab/>
        <w:t>Përdorimi i një instrumenti të ri për planifikimin financiar dhe hartimin e programit buxhetor afatmesëm që standardizon mënyrën e paraqitjes së informacionit buxhetor;</w:t>
      </w:r>
    </w:p>
    <w:p w14:paraId="2B557E4D" w14:textId="77777777" w:rsidR="00DC2B59" w:rsidRPr="002E06C4" w:rsidRDefault="00DC2B59" w:rsidP="006C0253">
      <w:pPr>
        <w:pStyle w:val="Footer"/>
        <w:numPr>
          <w:ilvl w:val="0"/>
          <w:numId w:val="16"/>
        </w:numPr>
        <w:spacing w:line="276" w:lineRule="auto"/>
        <w:ind w:left="540" w:hanging="450"/>
        <w:jc w:val="both"/>
        <w:rPr>
          <w:rFonts w:asciiTheme="majorHAnsi" w:hAnsiTheme="majorHAnsi"/>
          <w:lang w:val="sq-AL"/>
        </w:rPr>
      </w:pPr>
      <w:r w:rsidRPr="002E06C4">
        <w:rPr>
          <w:rFonts w:asciiTheme="majorHAnsi" w:hAnsiTheme="majorHAnsi"/>
          <w:lang w:val="sq-AL"/>
        </w:rPr>
        <w:tab/>
        <w:t>Është realizuar studimi në lidhje me shtesën e fondeve për edukatorët dhe personelin ndihmës në arsimin parashkollor me qëllim rritjen e cilësisë së këtij shërbimi në nivel vendor.</w:t>
      </w:r>
    </w:p>
    <w:p w14:paraId="09DB1DE7" w14:textId="77777777" w:rsidR="00DC2B59" w:rsidRPr="002E06C4" w:rsidRDefault="00DC2B59" w:rsidP="006C0253">
      <w:pPr>
        <w:pStyle w:val="Footer"/>
        <w:numPr>
          <w:ilvl w:val="0"/>
          <w:numId w:val="16"/>
        </w:numPr>
        <w:spacing w:line="276" w:lineRule="auto"/>
        <w:ind w:left="540" w:hanging="450"/>
        <w:jc w:val="both"/>
        <w:rPr>
          <w:rFonts w:asciiTheme="majorHAnsi" w:hAnsiTheme="majorHAnsi"/>
          <w:lang w:val="sq-AL"/>
        </w:rPr>
      </w:pPr>
      <w:r w:rsidRPr="002E06C4">
        <w:rPr>
          <w:rFonts w:asciiTheme="majorHAnsi" w:hAnsiTheme="majorHAnsi"/>
          <w:lang w:val="sq-AL"/>
        </w:rPr>
        <w:lastRenderedPageBreak/>
        <w:tab/>
        <w:t xml:space="preserve">Të gjitha njësitë vendore janë asistuar drejtpërdrejt nga personeli i MFE në procesin e implementimit të risive që solli udhëzimi i përgatitjes së projektbuxhetit afatmesëm 2019-2021. </w:t>
      </w:r>
    </w:p>
    <w:p w14:paraId="3616D6CC" w14:textId="77777777" w:rsidR="00DC2B59" w:rsidRPr="002E06C4" w:rsidRDefault="00DC2B59" w:rsidP="006C0253">
      <w:pPr>
        <w:pStyle w:val="Footer"/>
        <w:numPr>
          <w:ilvl w:val="0"/>
          <w:numId w:val="16"/>
        </w:numPr>
        <w:spacing w:line="276" w:lineRule="auto"/>
        <w:ind w:left="540" w:hanging="450"/>
        <w:jc w:val="both"/>
        <w:rPr>
          <w:rFonts w:asciiTheme="majorHAnsi" w:hAnsiTheme="majorHAnsi"/>
          <w:lang w:val="sq-AL"/>
        </w:rPr>
      </w:pPr>
      <w:r w:rsidRPr="002E06C4">
        <w:rPr>
          <w:rFonts w:asciiTheme="majorHAnsi" w:hAnsiTheme="majorHAnsi"/>
          <w:lang w:val="sq-AL"/>
        </w:rPr>
        <w:tab/>
        <w:t xml:space="preserve">Zhvillimi i seancave periodike degjimore dhe konsultative midis qeverisë qendrore e asaj vendore; </w:t>
      </w:r>
    </w:p>
    <w:p w14:paraId="253B2C93" w14:textId="77777777" w:rsidR="00DC2B59" w:rsidRPr="002E06C4" w:rsidRDefault="00DC2B59" w:rsidP="00DC2B59">
      <w:pPr>
        <w:pStyle w:val="Footer"/>
        <w:spacing w:before="240" w:line="276" w:lineRule="auto"/>
        <w:jc w:val="both"/>
        <w:rPr>
          <w:rFonts w:asciiTheme="majorHAnsi" w:hAnsiTheme="majorHAnsi"/>
          <w:lang w:val="sq-AL"/>
        </w:rPr>
      </w:pPr>
      <w:r w:rsidRPr="002E06C4">
        <w:rPr>
          <w:rFonts w:asciiTheme="majorHAnsi" w:hAnsiTheme="majorHAnsi"/>
          <w:lang w:val="sq-AL"/>
        </w:rPr>
        <w:t>Vazhdimi i këtyre masave për vitin 2019, dhe në vazhdim, rrisin autonominë financiare dhe për rrjedhojë më shumë fonde për njësitë e vetëqeverisjes vendore, garantojnë më shumë parashikueshmëri, stabilitet dhe transparencë të buxheteve vendore dhe njëkohësisht disiplinë financiare dhe mirëmenaxhim të financave publike në nivel vendor..</w:t>
      </w:r>
    </w:p>
    <w:p w14:paraId="6A29BC6C" w14:textId="77777777" w:rsidR="00DC2B59" w:rsidRPr="002E06C4" w:rsidRDefault="00DC2B59" w:rsidP="00DC2B59">
      <w:pPr>
        <w:spacing w:line="276" w:lineRule="auto"/>
        <w:jc w:val="both"/>
        <w:rPr>
          <w:rFonts w:asciiTheme="majorHAnsi" w:hAnsiTheme="majorHAnsi" w:cs="Times New Roman"/>
          <w:lang w:val="sq-AL"/>
        </w:rPr>
      </w:pPr>
    </w:p>
    <w:p w14:paraId="5E2E5DD7" w14:textId="77777777" w:rsidR="00DC2B59" w:rsidRPr="002E06C4" w:rsidRDefault="00DC2B59" w:rsidP="00A2716B">
      <w:pPr>
        <w:pStyle w:val="Heading3"/>
        <w:numPr>
          <w:ilvl w:val="2"/>
          <w:numId w:val="4"/>
        </w:numPr>
        <w:rPr>
          <w:rFonts w:cs="Times New Roman"/>
          <w:b/>
          <w:lang w:val="sq-AL"/>
        </w:rPr>
      </w:pPr>
      <w:bookmarkStart w:id="239" w:name="_Toc10033292"/>
      <w:bookmarkStart w:id="240" w:name="_Toc10721429"/>
      <w:bookmarkStart w:id="241" w:name="_Toc11134251"/>
      <w:r w:rsidRPr="002E06C4">
        <w:rPr>
          <w:rFonts w:cs="Times New Roman"/>
          <w:b/>
          <w:lang w:val="sq-AL"/>
        </w:rPr>
        <w:t>Të ardhurat e Pushtetit Vendor dhe kapaciteti fiskal</w:t>
      </w:r>
      <w:bookmarkEnd w:id="239"/>
      <w:bookmarkEnd w:id="240"/>
      <w:bookmarkEnd w:id="241"/>
    </w:p>
    <w:p w14:paraId="33D2DC72" w14:textId="77777777" w:rsidR="00DC2B59" w:rsidRPr="002E06C4" w:rsidRDefault="00DC2B59" w:rsidP="00DC2B59">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 xml:space="preserve">Burimet e të ardhurave të pushtetit vendor mbështeten në përcaktimet ligjore të ligjit nr. 9632, datë 30.06.2018 “Për sistemin e taksave vendore” i ndryshuar dhe ligjin nr. 68, datë 27.01.2017 “Për vetëqeverisjen vendore”. Të ardhurat e pushtetit vendor gjatë dekadës së fundit janë prekur nga shumë ndryshime ligjore për taksat dhe tarifat vendore, të cilat kanë ndikuar në ndryshime të vazhdueshme të të ardhurave për njësitë e vetëqeverisjes.  Po ashtu  ndryshimet kanë patur efekte edhe sa i përket administrimit të taksave dhe tarifave vendore duke e detyruar administratën tatimore vendore në shumë raste të përshtatet me një ambient të ndryshëm fiskal. </w:t>
      </w:r>
    </w:p>
    <w:p w14:paraId="3B5FC500" w14:textId="77777777" w:rsidR="00DC2B59" w:rsidRPr="002E06C4" w:rsidRDefault="00DC2B59" w:rsidP="00DC2B59">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Në këndvështrimin e shpenzimeve publike janë bërë përpjekje të vazhdueshme për rritjen e dispilnës buxhetore dhe financiare.  Thellimi dhe konoslidimi i decentralizimit fiskal vendor jo vetëm ka rritur fondet për punë dhe shërbime publike por ka imponuar edhe një përmirësim të menaxhimit financiar në nivel vendor. Në këtë këndvështrim është bërë e  mundur hartimi i një sërë udhëzimesh standarte sic janë udhëzimi nr. 23, datë 30.07.2018 “Për procedurat standarde të përgatitjes së programit buxhetor afatmesëm të njësive të vetëqverisjes vendore” dhe udhëzimin nr. 22, datë 30.07.2018 “Për procedurat standarde të monitorimit të buxhetit të njësive të vetëqeverisjes vendore”.</w:t>
      </w:r>
    </w:p>
    <w:p w14:paraId="641564B1" w14:textId="77777777" w:rsidR="00DC2B59" w:rsidRPr="002E06C4" w:rsidRDefault="00DC2B59" w:rsidP="00DC2B59">
      <w:pPr>
        <w:pStyle w:val="Caption"/>
        <w:keepNext/>
        <w:rPr>
          <w:rFonts w:asciiTheme="majorHAnsi" w:hAnsiTheme="majorHAnsi" w:cs="Times New Roman"/>
          <w:lang w:val="sq-AL"/>
        </w:rPr>
      </w:pPr>
      <w:bookmarkStart w:id="242" w:name="_Toc11141716"/>
      <w:r w:rsidRPr="002E06C4">
        <w:rPr>
          <w:rFonts w:asciiTheme="majorHAnsi" w:hAnsiTheme="majorHAnsi" w:cs="Times New Roman"/>
          <w:lang w:val="sq-AL"/>
        </w:rPr>
        <w:t xml:space="preserve">Grafiku </w:t>
      </w:r>
      <w:r w:rsidRPr="002E06C4">
        <w:rPr>
          <w:rFonts w:asciiTheme="majorHAnsi" w:hAnsiTheme="majorHAnsi" w:cs="Times New Roman"/>
          <w:lang w:val="sq-AL"/>
        </w:rPr>
        <w:fldChar w:fldCharType="begin"/>
      </w:r>
      <w:r w:rsidRPr="002E06C4">
        <w:rPr>
          <w:rFonts w:asciiTheme="majorHAnsi" w:hAnsiTheme="majorHAnsi" w:cs="Times New Roman"/>
          <w:lang w:val="sq-AL"/>
        </w:rPr>
        <w:instrText xml:space="preserve"> SEQ Grafiku \* ARABIC </w:instrText>
      </w:r>
      <w:r w:rsidRPr="002E06C4">
        <w:rPr>
          <w:rFonts w:asciiTheme="majorHAnsi" w:hAnsiTheme="majorHAnsi" w:cs="Times New Roman"/>
          <w:lang w:val="sq-AL"/>
        </w:rPr>
        <w:fldChar w:fldCharType="separate"/>
      </w:r>
      <w:r w:rsidR="006A57F3">
        <w:rPr>
          <w:rFonts w:asciiTheme="majorHAnsi" w:hAnsiTheme="majorHAnsi" w:cs="Times New Roman"/>
          <w:noProof/>
          <w:lang w:val="sq-AL"/>
        </w:rPr>
        <w:t>40</w:t>
      </w:r>
      <w:r w:rsidRPr="002E06C4">
        <w:rPr>
          <w:rFonts w:asciiTheme="majorHAnsi" w:hAnsiTheme="majorHAnsi" w:cs="Times New Roman"/>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vendore p</w:t>
      </w:r>
      <w:r w:rsidR="00C33B16" w:rsidRPr="002E06C4">
        <w:rPr>
          <w:rFonts w:asciiTheme="majorHAnsi" w:hAnsiTheme="majorHAnsi" w:cs="Times New Roman"/>
          <w:lang w:val="sq-AL"/>
        </w:rPr>
        <w:t>ë</w:t>
      </w:r>
      <w:r w:rsidRPr="002E06C4">
        <w:rPr>
          <w:rFonts w:asciiTheme="majorHAnsi" w:hAnsiTheme="majorHAnsi" w:cs="Times New Roman"/>
          <w:lang w:val="sq-AL"/>
        </w:rPr>
        <w:t>r periudh</w:t>
      </w:r>
      <w:r w:rsidR="00C33B16" w:rsidRPr="002E06C4">
        <w:rPr>
          <w:rFonts w:asciiTheme="majorHAnsi" w:hAnsiTheme="majorHAnsi" w:cs="Times New Roman"/>
          <w:lang w:val="sq-AL"/>
        </w:rPr>
        <w:t>ë</w:t>
      </w:r>
      <w:r w:rsidRPr="002E06C4">
        <w:rPr>
          <w:rFonts w:asciiTheme="majorHAnsi" w:hAnsiTheme="majorHAnsi" w:cs="Times New Roman"/>
          <w:lang w:val="sq-AL"/>
        </w:rPr>
        <w:t>n 2017 - 2018</w:t>
      </w:r>
      <w:bookmarkEnd w:id="242"/>
    </w:p>
    <w:p w14:paraId="23C4D662" w14:textId="77777777" w:rsidR="00DC2B59" w:rsidRPr="002E06C4" w:rsidRDefault="00DC2B59" w:rsidP="00DC2B59">
      <w:pPr>
        <w:spacing w:line="276" w:lineRule="auto"/>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71EFB18E" wp14:editId="137B84E8">
            <wp:extent cx="5661660" cy="1607820"/>
            <wp:effectExtent l="0" t="0" r="15240" b="1143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1613FA6" w14:textId="77777777" w:rsidR="00DC2B59" w:rsidRPr="002E06C4" w:rsidRDefault="00DC2B59" w:rsidP="00DC2B59">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 xml:space="preserve">Për vitin 2018, njësitë e qeverisjes vendore në shkallë kombëtare kanë mbledhur të ardhura (tatimore dhe jo-tatimore) në masën 21.863 milionë lekë, shifër kjo që është 3.251 milionë lekë më shumë ose gati 19 për qind më e lartë se vlera e të ardhurave të mbledhura gjatë vitit 2015.  </w:t>
      </w:r>
    </w:p>
    <w:p w14:paraId="1AD3992D" w14:textId="77777777" w:rsidR="00DC2B59" w:rsidRPr="002E06C4" w:rsidRDefault="00DC2B59" w:rsidP="00DC2B59">
      <w:pPr>
        <w:pStyle w:val="Caption"/>
        <w:keepNext/>
        <w:rPr>
          <w:rFonts w:asciiTheme="majorHAnsi" w:hAnsiTheme="majorHAnsi" w:cs="Times New Roman"/>
          <w:lang w:val="sq-AL"/>
        </w:rPr>
      </w:pPr>
      <w:bookmarkStart w:id="243" w:name="_Toc11141717"/>
      <w:r w:rsidRPr="002E06C4">
        <w:rPr>
          <w:rFonts w:asciiTheme="majorHAnsi" w:hAnsiTheme="majorHAnsi" w:cs="Times New Roman"/>
          <w:lang w:val="sq-AL"/>
        </w:rPr>
        <w:lastRenderedPageBreak/>
        <w:t xml:space="preserve">Grafiku </w:t>
      </w:r>
      <w:r w:rsidRPr="002E06C4">
        <w:rPr>
          <w:rFonts w:asciiTheme="majorHAnsi" w:hAnsiTheme="majorHAnsi" w:cs="Times New Roman"/>
          <w:lang w:val="sq-AL"/>
        </w:rPr>
        <w:fldChar w:fldCharType="begin"/>
      </w:r>
      <w:r w:rsidRPr="002E06C4">
        <w:rPr>
          <w:rFonts w:asciiTheme="majorHAnsi" w:hAnsiTheme="majorHAnsi" w:cs="Times New Roman"/>
          <w:lang w:val="sq-AL"/>
        </w:rPr>
        <w:instrText xml:space="preserve"> SEQ Grafiku \* ARABIC </w:instrText>
      </w:r>
      <w:r w:rsidRPr="002E06C4">
        <w:rPr>
          <w:rFonts w:asciiTheme="majorHAnsi" w:hAnsiTheme="majorHAnsi" w:cs="Times New Roman"/>
          <w:lang w:val="sq-AL"/>
        </w:rPr>
        <w:fldChar w:fldCharType="separate"/>
      </w:r>
      <w:r w:rsidR="006A57F3">
        <w:rPr>
          <w:rFonts w:asciiTheme="majorHAnsi" w:hAnsiTheme="majorHAnsi" w:cs="Times New Roman"/>
          <w:noProof/>
          <w:lang w:val="sq-AL"/>
        </w:rPr>
        <w:t>41</w:t>
      </w:r>
      <w:r w:rsidRPr="002E06C4">
        <w:rPr>
          <w:rFonts w:asciiTheme="majorHAnsi" w:hAnsiTheme="majorHAnsi" w:cs="Times New Roman"/>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sipas burimit, p</w:t>
      </w:r>
      <w:r w:rsidR="00C33B16" w:rsidRPr="002E06C4">
        <w:rPr>
          <w:rFonts w:asciiTheme="majorHAnsi" w:hAnsiTheme="majorHAnsi" w:cs="Times New Roman"/>
          <w:lang w:val="sq-AL"/>
        </w:rPr>
        <w:t>ë</w:t>
      </w:r>
      <w:r w:rsidRPr="002E06C4">
        <w:rPr>
          <w:rFonts w:asciiTheme="majorHAnsi" w:hAnsiTheme="majorHAnsi" w:cs="Times New Roman"/>
          <w:lang w:val="sq-AL"/>
        </w:rPr>
        <w:t>r nj</w:t>
      </w:r>
      <w:r w:rsidR="00C33B16" w:rsidRPr="002E06C4">
        <w:rPr>
          <w:rFonts w:asciiTheme="majorHAnsi" w:hAnsiTheme="majorHAnsi" w:cs="Times New Roman"/>
          <w:lang w:val="sq-AL"/>
        </w:rPr>
        <w:t>ë</w:t>
      </w:r>
      <w:r w:rsidRPr="002E06C4">
        <w:rPr>
          <w:rFonts w:asciiTheme="majorHAnsi" w:hAnsiTheme="majorHAnsi" w:cs="Times New Roman"/>
          <w:lang w:val="sq-AL"/>
        </w:rPr>
        <w:t>sit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e qeverisjes vendore</w:t>
      </w:r>
      <w:bookmarkEnd w:id="243"/>
    </w:p>
    <w:p w14:paraId="42A80CF8" w14:textId="77777777" w:rsidR="00DC2B59" w:rsidRPr="002E06C4" w:rsidRDefault="00DC2B59" w:rsidP="00D0175F">
      <w:pPr>
        <w:spacing w:line="276" w:lineRule="auto"/>
        <w:ind w:hanging="142"/>
        <w:jc w:val="center"/>
        <w:rPr>
          <w:rFonts w:asciiTheme="majorHAnsi" w:hAnsiTheme="majorHAnsi" w:cs="Times New Roman"/>
          <w:noProof/>
          <w:lang w:val="sq-AL" w:eastAsia="sq-AL"/>
        </w:rPr>
      </w:pPr>
      <w:r w:rsidRPr="002E06C4">
        <w:rPr>
          <w:rFonts w:asciiTheme="majorHAnsi" w:hAnsiTheme="majorHAnsi" w:cs="Times New Roman"/>
          <w:noProof/>
        </w:rPr>
        <w:drawing>
          <wp:inline distT="0" distB="0" distL="0" distR="0" wp14:anchorId="04A6768D" wp14:editId="011EB088">
            <wp:extent cx="5868035" cy="1668780"/>
            <wp:effectExtent l="0" t="0" r="18415" b="762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40653B8" w14:textId="77777777" w:rsidR="00DC2B59" w:rsidRPr="002E06C4" w:rsidRDefault="00DC2B59" w:rsidP="00DC2B59">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41C69A94" w14:textId="77777777" w:rsidR="00DC2B59" w:rsidRPr="002E06C4" w:rsidRDefault="00DC2B59" w:rsidP="00DC2B59">
      <w:pPr>
        <w:spacing w:before="240" w:line="276" w:lineRule="auto"/>
        <w:jc w:val="both"/>
        <w:rPr>
          <w:rFonts w:asciiTheme="majorHAnsi" w:hAnsiTheme="majorHAnsi" w:cs="Times New Roman"/>
          <w:lang w:val="sq-AL"/>
        </w:rPr>
      </w:pPr>
      <w:r w:rsidRPr="002E06C4">
        <w:rPr>
          <w:rFonts w:asciiTheme="majorHAnsi" w:hAnsiTheme="majorHAnsi" w:cs="Times New Roman"/>
          <w:lang w:val="sq-AL"/>
        </w:rPr>
        <w:t>Ndër vite të ardhurat e pushtetit vendor kanë pësuar ndryshime si në vlerë ashtu edhe në strukturën e burimit të këtyre të ardhurave. Të ardhurat që siguron pushteti vendor nga taksat lokale janë ato që zënë pjesën më të madhe ose 75% të shumës totale të këtyrë të ardhurave. Kjo konfirmon edhe një herë që procesi i decentralizimit kryesisht pas vitit 2016 e në vazhdim ka dhënë një efekt shumë të madh duke bërë që njësitë e vetëqeverisjes vendore të mbledhin më shumë dhe sigurisht të ofrojnë më shumë shërbime cilësore.</w:t>
      </w:r>
      <w:r w:rsidR="00D0175F" w:rsidRPr="002E06C4">
        <w:rPr>
          <w:rFonts w:asciiTheme="majorHAnsi" w:hAnsiTheme="majorHAnsi" w:cs="Times New Roman"/>
          <w:lang w:val="sq-AL"/>
        </w:rPr>
        <w:t xml:space="preserve"> </w:t>
      </w:r>
      <w:r w:rsidRPr="002E06C4">
        <w:rPr>
          <w:rFonts w:asciiTheme="majorHAnsi" w:hAnsiTheme="majorHAnsi" w:cs="Times New Roman"/>
          <w:lang w:val="sq-AL"/>
        </w:rPr>
        <w:t xml:space="preserve">Parë në këtë këndvështrim, rritja e efektshmërisë së mbledhjes së taksave nga pushteti vendor bën që ato të sigurojnë një nivel më të lartë pavarësie financiare dhe gjithashtu kjo tregon që tashmë për pushtetin vendor ka nisur një periudhë e re menaxhimi financiar. Gjithashtu, duke ju referuar totalit të këtyre të ardhurave tendencat rritëse janë qartazi të evidentueshme, ku pothuajse të gjithë zërat përbërës të të ardhurave vendore janë në rritje me përjashtim të taksës mbi mbiznesin e vogël. Kjo rritje e konsiderueshme në të ardhurat e përgjithshme të pushtetit vendor i referohet kryesisht rritjes që vjen nga taksat lokale. </w:t>
      </w:r>
    </w:p>
    <w:p w14:paraId="7B24E658" w14:textId="77777777" w:rsidR="00DC2B59" w:rsidRPr="002E06C4" w:rsidRDefault="00DC2B59" w:rsidP="00E92B09">
      <w:pPr>
        <w:pStyle w:val="Caption"/>
        <w:keepNext/>
        <w:spacing w:before="240"/>
        <w:rPr>
          <w:rFonts w:asciiTheme="majorHAnsi" w:hAnsiTheme="majorHAnsi" w:cs="Times New Roman"/>
          <w:lang w:val="sq-AL"/>
        </w:rPr>
      </w:pPr>
      <w:bookmarkStart w:id="244" w:name="_Toc8810314"/>
      <w:bookmarkStart w:id="245" w:name="_Toc11141718"/>
      <w:r w:rsidRPr="002E06C4">
        <w:rPr>
          <w:rFonts w:asciiTheme="majorHAnsi" w:hAnsiTheme="majorHAnsi" w:cs="Times New Roman"/>
          <w:lang w:val="sq-AL"/>
        </w:rPr>
        <w:t xml:space="preserve">Grafiku </w:t>
      </w:r>
      <w:r w:rsidRPr="002E06C4">
        <w:rPr>
          <w:rFonts w:asciiTheme="majorHAnsi" w:hAnsiTheme="majorHAnsi" w:cs="Times New Roman"/>
          <w:lang w:val="sq-AL"/>
        </w:rPr>
        <w:fldChar w:fldCharType="begin"/>
      </w:r>
      <w:r w:rsidRPr="002E06C4">
        <w:rPr>
          <w:rFonts w:asciiTheme="majorHAnsi" w:hAnsiTheme="majorHAnsi" w:cs="Times New Roman"/>
          <w:lang w:val="sq-AL"/>
        </w:rPr>
        <w:instrText xml:space="preserve"> SEQ Grafiku \* ARABIC </w:instrText>
      </w:r>
      <w:r w:rsidRPr="002E06C4">
        <w:rPr>
          <w:rFonts w:asciiTheme="majorHAnsi" w:hAnsiTheme="majorHAnsi" w:cs="Times New Roman"/>
          <w:lang w:val="sq-AL"/>
        </w:rPr>
        <w:fldChar w:fldCharType="separate"/>
      </w:r>
      <w:r w:rsidR="006A57F3">
        <w:rPr>
          <w:rFonts w:asciiTheme="majorHAnsi" w:hAnsiTheme="majorHAnsi" w:cs="Times New Roman"/>
          <w:noProof/>
          <w:lang w:val="sq-AL"/>
        </w:rPr>
        <w:t>42</w:t>
      </w:r>
      <w:r w:rsidRPr="002E06C4">
        <w:rPr>
          <w:rFonts w:asciiTheme="majorHAnsi" w:hAnsiTheme="majorHAnsi" w:cs="Times New Roman"/>
          <w:lang w:val="sq-AL"/>
        </w:rPr>
        <w:fldChar w:fldCharType="end"/>
      </w:r>
      <w:r w:rsidR="00E92B09" w:rsidRPr="002E06C4">
        <w:rPr>
          <w:rFonts w:asciiTheme="majorHAnsi" w:hAnsiTheme="majorHAnsi" w:cs="Times New Roman"/>
          <w:lang w:val="sq-AL"/>
        </w:rPr>
        <w:t xml:space="preserve"> </w:t>
      </w:r>
      <w:r w:rsidRPr="002E06C4">
        <w:rPr>
          <w:rFonts w:asciiTheme="majorHAnsi" w:hAnsiTheme="majorHAnsi" w:cs="Times New Roman"/>
          <w:lang w:val="sq-AL"/>
        </w:rPr>
        <w:t>Të ardhurat e përgjithshme të pushtetit vendor</w:t>
      </w:r>
      <w:bookmarkEnd w:id="244"/>
      <w:bookmarkEnd w:id="245"/>
    </w:p>
    <w:p w14:paraId="51A5C237" w14:textId="77777777" w:rsidR="00DC2B59" w:rsidRPr="002E06C4" w:rsidRDefault="00DC2B59" w:rsidP="00DC2B59">
      <w:pPr>
        <w:spacing w:line="276" w:lineRule="auto"/>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1166F274" wp14:editId="35700397">
            <wp:extent cx="5786755" cy="1706880"/>
            <wp:effectExtent l="0" t="0" r="4445" b="762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F18A8BF" w14:textId="77777777" w:rsidR="00DC2B59" w:rsidRPr="002E06C4" w:rsidRDefault="00DC2B59" w:rsidP="00DC2B59">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500E8F63" w14:textId="77777777" w:rsidR="00DC2B59" w:rsidRPr="002E06C4" w:rsidRDefault="00DC2B59" w:rsidP="00DC2B59">
      <w:pPr>
        <w:spacing w:before="240" w:line="276" w:lineRule="auto"/>
        <w:jc w:val="both"/>
        <w:rPr>
          <w:rFonts w:asciiTheme="majorHAnsi" w:hAnsiTheme="majorHAnsi" w:cs="Times New Roman"/>
          <w:lang w:val="sq-AL"/>
        </w:rPr>
      </w:pPr>
      <w:r w:rsidRPr="002E06C4">
        <w:rPr>
          <w:rFonts w:asciiTheme="majorHAnsi" w:hAnsiTheme="majorHAnsi" w:cs="Times New Roman"/>
          <w:b/>
          <w:lang w:val="sq-AL"/>
        </w:rPr>
        <w:t xml:space="preserve">Taksa mbi pasurinë </w:t>
      </w:r>
      <w:r w:rsidRPr="002E06C4">
        <w:rPr>
          <w:rFonts w:asciiTheme="majorHAnsi" w:hAnsiTheme="majorHAnsi" w:cs="Times New Roman"/>
          <w:lang w:val="sq-AL"/>
        </w:rPr>
        <w:t xml:space="preserve">përbën një burim të rëndësishëm të të ardhurave të njësive vendore. Sipas treguesve fiskal taksa mbi pasurinë përbën rreth 24% e totalit të të ardhurave që sigurojnë njësitë e vetëqeverisjes vendore në vitin 2018. Ndër vite ashtu si paraqitet edhe në grafikun e mëposhtëm kjo taksë ka qënë në luhatje të vazhdueshme me ulje dhe ngritje nga viti në vit. Në këtë kuptim vëme re që ky ndryshim reflektohet qartë me një rritje të konsiderueshme nga viti 2013 në vitin 2014 me rreth 50% të shumës së mbledhur, rënie me 6% në vitin 2015 dhe rikthim tek rritja me 19% në vitin 2016 e me tej nje rritje konstante vjetore në rreth 6% deri në vitin 2018. Në raport me vitin 2017 gjatë vitit 2018 janë mbedhur rreth 314 milion lekë më shumë të ardhura nga taksa mbi pasurinë nga ana e pushtetit vendor. Kjo tregon rritjen e përgjegjshmërisë në mbledhjen e kësaj takse nga pushteti </w:t>
      </w:r>
      <w:r w:rsidRPr="002E06C4">
        <w:rPr>
          <w:rFonts w:asciiTheme="majorHAnsi" w:hAnsiTheme="majorHAnsi" w:cs="Times New Roman"/>
          <w:lang w:val="sq-AL"/>
        </w:rPr>
        <w:lastRenderedPageBreak/>
        <w:t xml:space="preserve">vendor dhe gjithashtu uljen e numrit të familjeve që më parë nuk paguanin këtë taksë si pasojë e informalitet të ndërtimit. </w:t>
      </w:r>
    </w:p>
    <w:p w14:paraId="599FA74C" w14:textId="77777777" w:rsidR="00DC2B59" w:rsidRPr="002E06C4" w:rsidRDefault="00DC2B59" w:rsidP="00DC2B59">
      <w:pPr>
        <w:spacing w:line="276" w:lineRule="auto"/>
        <w:jc w:val="both"/>
        <w:rPr>
          <w:rFonts w:asciiTheme="majorHAnsi" w:hAnsiTheme="majorHAnsi" w:cs="Times New Roman"/>
          <w:sz w:val="12"/>
          <w:szCs w:val="12"/>
          <w:lang w:val="sq-AL"/>
        </w:rPr>
      </w:pPr>
    </w:p>
    <w:p w14:paraId="5CE202BF" w14:textId="77777777" w:rsidR="00031470" w:rsidRPr="002E06C4" w:rsidRDefault="00031470" w:rsidP="0053605E">
      <w:pPr>
        <w:pStyle w:val="Caption"/>
        <w:keepNext/>
        <w:rPr>
          <w:rFonts w:asciiTheme="majorHAnsi" w:hAnsiTheme="majorHAnsi" w:cs="Times New Roman"/>
          <w:lang w:val="sq-AL"/>
        </w:rPr>
      </w:pPr>
      <w:bookmarkStart w:id="246" w:name="_Toc11141719"/>
      <w:r w:rsidRPr="002E06C4">
        <w:rPr>
          <w:rFonts w:asciiTheme="majorHAnsi" w:hAnsiTheme="majorHAnsi" w:cs="Times New Roman"/>
          <w:lang w:val="sq-AL"/>
        </w:rPr>
        <w:t xml:space="preserve">Grafiku </w:t>
      </w:r>
      <w:r w:rsidRPr="002E06C4">
        <w:rPr>
          <w:rFonts w:asciiTheme="majorHAnsi" w:hAnsiTheme="majorHAnsi" w:cs="Times New Roman"/>
          <w:lang w:val="sq-AL"/>
        </w:rPr>
        <w:fldChar w:fldCharType="begin"/>
      </w:r>
      <w:r w:rsidRPr="002E06C4">
        <w:rPr>
          <w:rFonts w:asciiTheme="majorHAnsi" w:hAnsiTheme="majorHAnsi" w:cs="Times New Roman"/>
          <w:lang w:val="sq-AL"/>
        </w:rPr>
        <w:instrText xml:space="preserve"> SEQ Grafiku \* ARABIC </w:instrText>
      </w:r>
      <w:r w:rsidRPr="002E06C4">
        <w:rPr>
          <w:rFonts w:asciiTheme="majorHAnsi" w:hAnsiTheme="majorHAnsi" w:cs="Times New Roman"/>
          <w:lang w:val="sq-AL"/>
        </w:rPr>
        <w:fldChar w:fldCharType="separate"/>
      </w:r>
      <w:r w:rsidR="006A57F3">
        <w:rPr>
          <w:rFonts w:asciiTheme="majorHAnsi" w:hAnsiTheme="majorHAnsi" w:cs="Times New Roman"/>
          <w:noProof/>
          <w:lang w:val="sq-AL"/>
        </w:rPr>
        <w:t>43</w:t>
      </w:r>
      <w:r w:rsidRPr="002E06C4">
        <w:rPr>
          <w:rFonts w:asciiTheme="majorHAnsi" w:hAnsiTheme="majorHAnsi" w:cs="Times New Roman"/>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nga taksa mbi pasurin</w:t>
      </w:r>
      <w:r w:rsidR="00C33B16" w:rsidRPr="002E06C4">
        <w:rPr>
          <w:rFonts w:asciiTheme="majorHAnsi" w:hAnsiTheme="majorHAnsi" w:cs="Times New Roman"/>
          <w:lang w:val="sq-AL"/>
        </w:rPr>
        <w:t>ë</w:t>
      </w:r>
      <w:bookmarkEnd w:id="246"/>
    </w:p>
    <w:p w14:paraId="6590480E" w14:textId="77777777" w:rsidR="00DC2B59" w:rsidRPr="002E06C4" w:rsidRDefault="00DC2B59" w:rsidP="00DC2B59">
      <w:pPr>
        <w:spacing w:line="276" w:lineRule="auto"/>
        <w:jc w:val="center"/>
        <w:rPr>
          <w:rFonts w:asciiTheme="majorHAnsi" w:hAnsiTheme="majorHAnsi" w:cs="Times New Roman"/>
          <w:lang w:val="sq-AL"/>
        </w:rPr>
      </w:pPr>
      <w:r w:rsidRPr="002E06C4">
        <w:rPr>
          <w:rFonts w:asciiTheme="majorHAnsi" w:hAnsiTheme="majorHAnsi" w:cs="Times New Roman"/>
          <w:noProof/>
        </w:rPr>
        <w:drawing>
          <wp:inline distT="0" distB="0" distL="0" distR="0" wp14:anchorId="254686B8" wp14:editId="1DAB0E52">
            <wp:extent cx="5781675" cy="2171700"/>
            <wp:effectExtent l="0" t="0" r="9525" b="1905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B2925CA" w14:textId="77777777" w:rsidR="00DC2B59" w:rsidRPr="002E06C4" w:rsidRDefault="00DC2B59" w:rsidP="00DC2B59">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249B9505" w14:textId="77777777" w:rsidR="00DC2B59" w:rsidRPr="002E06C4" w:rsidRDefault="00DC2B59" w:rsidP="00DC2B59">
      <w:pPr>
        <w:spacing w:before="240" w:line="276" w:lineRule="auto"/>
        <w:jc w:val="both"/>
        <w:rPr>
          <w:rFonts w:asciiTheme="majorHAnsi" w:hAnsiTheme="majorHAnsi" w:cs="Times New Roman"/>
          <w:lang w:val="sq-AL"/>
        </w:rPr>
      </w:pPr>
      <w:r w:rsidRPr="002E06C4">
        <w:rPr>
          <w:rFonts w:asciiTheme="majorHAnsi" w:hAnsiTheme="majorHAnsi" w:cs="Times New Roman"/>
          <w:b/>
          <w:lang w:val="sq-AL"/>
        </w:rPr>
        <w:t xml:space="preserve">Taksa e biznesit të vogël </w:t>
      </w:r>
      <w:r w:rsidRPr="002E06C4">
        <w:rPr>
          <w:rFonts w:asciiTheme="majorHAnsi" w:hAnsiTheme="majorHAnsi" w:cs="Times New Roman"/>
          <w:lang w:val="sq-AL"/>
        </w:rPr>
        <w:t>është një taksë e ndarë nga e cila pushteti vendor ka përfituar në mënyrë konstante një shumë ndër vite. Prandaj vërehet qartë që shuma e përfituar nga pushteti vendor ndër vite ka ndryshime të vogla që nuk kanë ndikuar buxhetin vendor. Në buxhetin e vitit 2016 u reduktua përqindja që përfitonte pushteti vendor nga Taksa e Biznesit të Vogël dhe kjo paraqitet qartë edhe në grafikun e mëposhtëm ku të ardhurat nga kjo taksë u reduktuan me 71% në raport me vitin 2015. Gjatë vitit 2018, pushteti vendor nga kjo taksë ka përfituar një vlerë 316 milion lekë ose pothuajse në të njëjtin nivel me një vit më parë. Në kushtet kur pesha që zë ky burim i të ardhurave për njësitë e vetëqeverisjes vendore është shumë e vogël edhe ndryshimi i tij sigurisht që nuk afekton ndjeshëm politikat fiskale të pushtetit vendor.</w:t>
      </w:r>
    </w:p>
    <w:p w14:paraId="7FB0A42C" w14:textId="77777777" w:rsidR="00D0175F" w:rsidRPr="002E06C4" w:rsidRDefault="00D0175F" w:rsidP="00D0175F">
      <w:pPr>
        <w:pStyle w:val="Caption"/>
        <w:keepNext/>
        <w:spacing w:after="0"/>
        <w:rPr>
          <w:rFonts w:asciiTheme="majorHAnsi" w:hAnsiTheme="majorHAnsi" w:cs="Times New Roman"/>
          <w:sz w:val="8"/>
          <w:szCs w:val="8"/>
          <w:lang w:val="sq-AL"/>
        </w:rPr>
      </w:pPr>
    </w:p>
    <w:p w14:paraId="36973780" w14:textId="77777777" w:rsidR="00031470" w:rsidRPr="002E06C4" w:rsidRDefault="00031470" w:rsidP="00031470">
      <w:pPr>
        <w:pStyle w:val="Caption"/>
        <w:keepNext/>
        <w:rPr>
          <w:rFonts w:asciiTheme="majorHAnsi" w:hAnsiTheme="majorHAnsi" w:cs="Times New Roman"/>
          <w:lang w:val="sq-AL"/>
        </w:rPr>
      </w:pPr>
      <w:bookmarkStart w:id="247" w:name="_Toc11141720"/>
      <w:r w:rsidRPr="002E06C4">
        <w:rPr>
          <w:rFonts w:asciiTheme="majorHAnsi" w:hAnsiTheme="majorHAnsi" w:cs="Times New Roman"/>
          <w:lang w:val="sq-AL"/>
        </w:rPr>
        <w:t xml:space="preserve">Grafiku </w:t>
      </w:r>
      <w:r w:rsidRPr="002E06C4">
        <w:rPr>
          <w:rFonts w:asciiTheme="majorHAnsi" w:hAnsiTheme="majorHAnsi" w:cs="Times New Roman"/>
          <w:lang w:val="sq-AL"/>
        </w:rPr>
        <w:fldChar w:fldCharType="begin"/>
      </w:r>
      <w:r w:rsidRPr="002E06C4">
        <w:rPr>
          <w:rFonts w:asciiTheme="majorHAnsi" w:hAnsiTheme="majorHAnsi" w:cs="Times New Roman"/>
          <w:lang w:val="sq-AL"/>
        </w:rPr>
        <w:instrText xml:space="preserve"> SEQ Grafiku \* ARABIC </w:instrText>
      </w:r>
      <w:r w:rsidRPr="002E06C4">
        <w:rPr>
          <w:rFonts w:asciiTheme="majorHAnsi" w:hAnsiTheme="majorHAnsi" w:cs="Times New Roman"/>
          <w:lang w:val="sq-AL"/>
        </w:rPr>
        <w:fldChar w:fldCharType="separate"/>
      </w:r>
      <w:r w:rsidR="006A57F3">
        <w:rPr>
          <w:rFonts w:asciiTheme="majorHAnsi" w:hAnsiTheme="majorHAnsi" w:cs="Times New Roman"/>
          <w:noProof/>
          <w:lang w:val="sq-AL"/>
        </w:rPr>
        <w:t>44</w:t>
      </w:r>
      <w:r w:rsidRPr="002E06C4">
        <w:rPr>
          <w:rFonts w:asciiTheme="majorHAnsi" w:hAnsiTheme="majorHAnsi" w:cs="Times New Roman"/>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nga taksa e biznesit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vog</w:t>
      </w:r>
      <w:r w:rsidR="00C33B16" w:rsidRPr="002E06C4">
        <w:rPr>
          <w:rFonts w:asciiTheme="majorHAnsi" w:hAnsiTheme="majorHAnsi" w:cs="Times New Roman"/>
          <w:lang w:val="sq-AL"/>
        </w:rPr>
        <w:t>ë</w:t>
      </w:r>
      <w:r w:rsidRPr="002E06C4">
        <w:rPr>
          <w:rFonts w:asciiTheme="majorHAnsi" w:hAnsiTheme="majorHAnsi" w:cs="Times New Roman"/>
          <w:lang w:val="sq-AL"/>
        </w:rPr>
        <w:t>l</w:t>
      </w:r>
      <w:bookmarkEnd w:id="247"/>
    </w:p>
    <w:p w14:paraId="62390BBB" w14:textId="77777777" w:rsidR="00DC2B59" w:rsidRPr="002E06C4" w:rsidRDefault="00DC2B59" w:rsidP="00DC2B59">
      <w:pPr>
        <w:spacing w:line="276" w:lineRule="auto"/>
        <w:jc w:val="center"/>
        <w:rPr>
          <w:rFonts w:asciiTheme="majorHAnsi" w:hAnsiTheme="majorHAnsi" w:cs="Times New Roman"/>
          <w:noProof/>
          <w:lang w:val="sq-AL" w:eastAsia="sq-AL"/>
        </w:rPr>
      </w:pPr>
      <w:r w:rsidRPr="002E06C4">
        <w:rPr>
          <w:rFonts w:asciiTheme="majorHAnsi" w:hAnsiTheme="majorHAnsi" w:cs="Times New Roman"/>
          <w:noProof/>
        </w:rPr>
        <w:drawing>
          <wp:inline distT="0" distB="0" distL="0" distR="0" wp14:anchorId="46513296" wp14:editId="340E7351">
            <wp:extent cx="5786755" cy="2042160"/>
            <wp:effectExtent l="0" t="0" r="17145" b="1524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183E3CB" w14:textId="77777777" w:rsidR="00DC2B59" w:rsidRPr="002E06C4" w:rsidRDefault="00DC2B59" w:rsidP="00DC2B59">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p w14:paraId="7BC6BAEF" w14:textId="77777777" w:rsidR="00DC2B59" w:rsidRPr="002E06C4" w:rsidRDefault="00DC2B59" w:rsidP="00DC2B59">
      <w:pPr>
        <w:spacing w:before="240" w:line="276" w:lineRule="auto"/>
        <w:jc w:val="both"/>
        <w:rPr>
          <w:rFonts w:asciiTheme="majorHAnsi" w:hAnsiTheme="majorHAnsi" w:cs="Times New Roman"/>
          <w:lang w:val="sq-AL"/>
        </w:rPr>
      </w:pPr>
      <w:r w:rsidRPr="002E06C4">
        <w:rPr>
          <w:rFonts w:asciiTheme="majorHAnsi" w:hAnsiTheme="majorHAnsi" w:cs="Times New Roman"/>
          <w:b/>
          <w:lang w:val="sq-AL"/>
        </w:rPr>
        <w:t xml:space="preserve">Të ardhurat nga taksat lokale </w:t>
      </w:r>
      <w:r w:rsidRPr="002E06C4">
        <w:rPr>
          <w:rFonts w:asciiTheme="majorHAnsi" w:hAnsiTheme="majorHAnsi" w:cs="Times New Roman"/>
          <w:lang w:val="sq-AL"/>
        </w:rPr>
        <w:t xml:space="preserve">janë zëri më i rëndësishëm i të ardhurave të pushtetit vendor. Prandaj duke ju referuar vlerave faktike të buxhetit 2018 ky zë në totalin e të ardhurave vendore rreth 75% të tyre. Në këtë mënyrë për sa paraqitet në grafikun e mëposhtëm në raport me vitin 2017 të ardhurat e mbledhura nga pushteti vendor në vitin 2018 janë rreth 3.1 miliard lekë më shumë. Kjo rritje e konsiderueshme është pasqyrë e qartë e reformës së suksesshme administrativo-territoriale e cila ka bërë të mundur që me bashkitë e reja efekshmëria e mbledhjes të taksave lokale të rritet dhe njësitë në kushtet e administrimit të një territori më të madh të zotërojnë më shumë burime për të ardhura </w:t>
      </w:r>
      <w:r w:rsidRPr="002E06C4">
        <w:rPr>
          <w:rFonts w:asciiTheme="majorHAnsi" w:hAnsiTheme="majorHAnsi" w:cs="Times New Roman"/>
          <w:lang w:val="sq-AL"/>
        </w:rPr>
        <w:lastRenderedPageBreak/>
        <w:t>e më shumë mundësi për investime. Parë edhe në kënvështrimin e trendit të rritjes në vite të këtij burimi të të ardhurave vihet re që nga viti në vit ky trend ka qëndruar në një rritje konstante prej rreth 3 miliard</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lekë më shumë se një vit më parë.</w:t>
      </w:r>
    </w:p>
    <w:p w14:paraId="11FE5B03" w14:textId="77777777" w:rsidR="00D0175F" w:rsidRPr="002E06C4" w:rsidRDefault="00D0175F" w:rsidP="00D0175F">
      <w:pPr>
        <w:pStyle w:val="Caption"/>
        <w:keepNext/>
        <w:spacing w:after="0"/>
        <w:rPr>
          <w:rFonts w:asciiTheme="majorHAnsi" w:hAnsiTheme="majorHAnsi" w:cs="Times New Roman"/>
          <w:lang w:val="sq-AL"/>
        </w:rPr>
      </w:pPr>
    </w:p>
    <w:p w14:paraId="65F6430D" w14:textId="77777777" w:rsidR="00031470" w:rsidRPr="002E06C4" w:rsidRDefault="00031470" w:rsidP="00031470">
      <w:pPr>
        <w:pStyle w:val="Caption"/>
        <w:keepNext/>
        <w:rPr>
          <w:rFonts w:asciiTheme="majorHAnsi" w:hAnsiTheme="majorHAnsi" w:cs="Times New Roman"/>
          <w:lang w:val="sq-AL"/>
        </w:rPr>
      </w:pPr>
      <w:bookmarkStart w:id="248" w:name="_Toc11141721"/>
      <w:r w:rsidRPr="002E06C4">
        <w:rPr>
          <w:rFonts w:asciiTheme="majorHAnsi" w:hAnsiTheme="majorHAnsi" w:cs="Times New Roman"/>
          <w:lang w:val="sq-AL"/>
        </w:rPr>
        <w:t xml:space="preserve">Grafiku </w:t>
      </w:r>
      <w:r w:rsidRPr="002E06C4">
        <w:rPr>
          <w:rFonts w:asciiTheme="majorHAnsi" w:hAnsiTheme="majorHAnsi" w:cs="Times New Roman"/>
          <w:lang w:val="sq-AL"/>
        </w:rPr>
        <w:fldChar w:fldCharType="begin"/>
      </w:r>
      <w:r w:rsidRPr="002E06C4">
        <w:rPr>
          <w:rFonts w:asciiTheme="majorHAnsi" w:hAnsiTheme="majorHAnsi" w:cs="Times New Roman"/>
          <w:lang w:val="sq-AL"/>
        </w:rPr>
        <w:instrText xml:space="preserve"> SEQ Grafiku \* ARABIC </w:instrText>
      </w:r>
      <w:r w:rsidRPr="002E06C4">
        <w:rPr>
          <w:rFonts w:asciiTheme="majorHAnsi" w:hAnsiTheme="majorHAnsi" w:cs="Times New Roman"/>
          <w:lang w:val="sq-AL"/>
        </w:rPr>
        <w:fldChar w:fldCharType="separate"/>
      </w:r>
      <w:r w:rsidR="006A57F3">
        <w:rPr>
          <w:rFonts w:asciiTheme="majorHAnsi" w:hAnsiTheme="majorHAnsi" w:cs="Times New Roman"/>
          <w:noProof/>
          <w:lang w:val="sq-AL"/>
        </w:rPr>
        <w:t>45</w:t>
      </w:r>
      <w:r w:rsidRPr="002E06C4">
        <w:rPr>
          <w:rFonts w:asciiTheme="majorHAnsi" w:hAnsiTheme="majorHAnsi" w:cs="Times New Roman"/>
          <w:lang w:val="sq-AL"/>
        </w:rPr>
        <w:fldChar w:fldCharType="end"/>
      </w:r>
      <w:r w:rsidRPr="002E06C4">
        <w:rPr>
          <w:rFonts w:asciiTheme="majorHAnsi" w:hAnsiTheme="majorHAnsi" w:cs="Times New Roman"/>
          <w:lang w:val="sq-AL"/>
        </w:rPr>
        <w:t xml:space="preserve"> T</w:t>
      </w:r>
      <w:r w:rsidR="00C33B16" w:rsidRPr="002E06C4">
        <w:rPr>
          <w:rFonts w:asciiTheme="majorHAnsi" w:hAnsiTheme="majorHAnsi" w:cs="Times New Roman"/>
          <w:lang w:val="sq-AL"/>
        </w:rPr>
        <w:t>ë</w:t>
      </w:r>
      <w:r w:rsidRPr="002E06C4">
        <w:rPr>
          <w:rFonts w:asciiTheme="majorHAnsi" w:hAnsiTheme="majorHAnsi" w:cs="Times New Roman"/>
          <w:lang w:val="sq-AL"/>
        </w:rPr>
        <w:t xml:space="preserve"> ardhurat nga taksat lokale</w:t>
      </w:r>
      <w:bookmarkEnd w:id="248"/>
    </w:p>
    <w:p w14:paraId="33773612" w14:textId="77777777" w:rsidR="00DC2B59" w:rsidRPr="002E06C4" w:rsidRDefault="00DC2B59" w:rsidP="00DC2B59">
      <w:pPr>
        <w:spacing w:line="276" w:lineRule="auto"/>
        <w:jc w:val="center"/>
        <w:rPr>
          <w:rFonts w:asciiTheme="majorHAnsi" w:hAnsiTheme="majorHAnsi" w:cs="Times New Roman"/>
          <w:b/>
          <w:lang w:val="sq-AL"/>
        </w:rPr>
      </w:pPr>
      <w:r w:rsidRPr="002E06C4">
        <w:rPr>
          <w:rFonts w:asciiTheme="majorHAnsi" w:hAnsiTheme="majorHAnsi" w:cs="Times New Roman"/>
          <w:noProof/>
        </w:rPr>
        <w:drawing>
          <wp:inline distT="0" distB="0" distL="0" distR="0" wp14:anchorId="3B6D7CF0" wp14:editId="725ED9A7">
            <wp:extent cx="5786755" cy="2186940"/>
            <wp:effectExtent l="0" t="0" r="17145" b="1016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F621D0A" w14:textId="77777777" w:rsidR="00DC2B59" w:rsidRPr="002E06C4" w:rsidRDefault="00DC2B59" w:rsidP="00DC2B59">
      <w:pPr>
        <w:spacing w:line="276" w:lineRule="auto"/>
        <w:ind w:firstLine="720"/>
        <w:rPr>
          <w:rFonts w:asciiTheme="majorHAnsi" w:eastAsia="SimSun" w:hAnsiTheme="majorHAnsi" w:cs="Times New Roman"/>
          <w:i/>
          <w:sz w:val="20"/>
          <w:lang w:val="sq-AL"/>
        </w:rPr>
      </w:pPr>
      <w:r w:rsidRPr="002E06C4">
        <w:rPr>
          <w:rFonts w:asciiTheme="majorHAnsi" w:eastAsia="SimSun" w:hAnsiTheme="majorHAnsi" w:cs="Times New Roman"/>
          <w:i/>
          <w:sz w:val="20"/>
          <w:lang w:val="sq-AL"/>
        </w:rPr>
        <w:t>Burimi: Ministria e Financave dhe Ekonomisë (2019)</w:t>
      </w:r>
    </w:p>
    <w:sectPr w:rsidR="00DC2B59" w:rsidRPr="002E06C4" w:rsidSect="00276D93">
      <w:headerReference w:type="even" r:id="rId66"/>
      <w:headerReference w:type="default" r:id="rId67"/>
      <w:footerReference w:type="even" r:id="rId68"/>
      <w:footerReference w:type="default" r:id="rId69"/>
      <w:headerReference w:type="first" r:id="rId70"/>
      <w:footerReference w:type="first" r:id="rId71"/>
      <w:pgSz w:w="11907" w:h="16839" w:code="9"/>
      <w:pgMar w:top="201" w:right="1017" w:bottom="720" w:left="990" w:header="45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42B53" w14:textId="77777777" w:rsidR="003D3813" w:rsidRDefault="003D3813" w:rsidP="00BC6AC3">
      <w:r>
        <w:separator/>
      </w:r>
    </w:p>
  </w:endnote>
  <w:endnote w:type="continuationSeparator" w:id="0">
    <w:p w14:paraId="7B2DD615" w14:textId="77777777" w:rsidR="003D3813" w:rsidRDefault="003D3813" w:rsidP="00BC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50198"/>
      <w:docPartObj>
        <w:docPartGallery w:val="Page Numbers (Bottom of Page)"/>
        <w:docPartUnique/>
      </w:docPartObj>
    </w:sdtPr>
    <w:sdtEndPr>
      <w:rPr>
        <w:noProof/>
      </w:rPr>
    </w:sdtEndPr>
    <w:sdtContent>
      <w:p w14:paraId="48F3270C" w14:textId="77777777" w:rsidR="002755E8" w:rsidRDefault="002755E8">
        <w:pPr>
          <w:pStyle w:val="Footer"/>
          <w:jc w:val="right"/>
        </w:pPr>
        <w:r>
          <w:fldChar w:fldCharType="begin"/>
        </w:r>
        <w:r>
          <w:instrText xml:space="preserve"> PAGE   \* MERGEFORMAT </w:instrText>
        </w:r>
        <w:r>
          <w:fldChar w:fldCharType="separate"/>
        </w:r>
        <w:r w:rsidR="0076336C">
          <w:rPr>
            <w:noProof/>
          </w:rPr>
          <w:t>8</w:t>
        </w:r>
        <w:r>
          <w:rPr>
            <w:noProof/>
          </w:rPr>
          <w:fldChar w:fldCharType="end"/>
        </w:r>
      </w:p>
    </w:sdtContent>
  </w:sdt>
  <w:p w14:paraId="332DCCDB" w14:textId="77777777" w:rsidR="002755E8" w:rsidRDefault="002755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126151"/>
      <w:docPartObj>
        <w:docPartGallery w:val="Page Numbers (Bottom of Page)"/>
        <w:docPartUnique/>
      </w:docPartObj>
    </w:sdtPr>
    <w:sdtEndPr>
      <w:rPr>
        <w:noProof/>
      </w:rPr>
    </w:sdtEndPr>
    <w:sdtContent>
      <w:p w14:paraId="70597741" w14:textId="77777777" w:rsidR="002755E8" w:rsidRDefault="002755E8">
        <w:pPr>
          <w:pStyle w:val="Footer"/>
          <w:jc w:val="right"/>
        </w:pPr>
        <w:r>
          <w:fldChar w:fldCharType="begin"/>
        </w:r>
        <w:r>
          <w:instrText xml:space="preserve"> PAGE   \* MERGEFORMAT </w:instrText>
        </w:r>
        <w:r>
          <w:fldChar w:fldCharType="separate"/>
        </w:r>
        <w:r w:rsidR="0076336C">
          <w:rPr>
            <w:noProof/>
          </w:rPr>
          <w:t>9</w:t>
        </w:r>
        <w:r>
          <w:rPr>
            <w:noProof/>
          </w:rPr>
          <w:fldChar w:fldCharType="end"/>
        </w:r>
      </w:p>
    </w:sdtContent>
  </w:sdt>
  <w:p w14:paraId="3340FDE9" w14:textId="77777777" w:rsidR="002755E8" w:rsidRDefault="002755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678886"/>
      <w:docPartObj>
        <w:docPartGallery w:val="Page Numbers (Bottom of Page)"/>
        <w:docPartUnique/>
      </w:docPartObj>
    </w:sdtPr>
    <w:sdtEndPr>
      <w:rPr>
        <w:noProof/>
      </w:rPr>
    </w:sdtEndPr>
    <w:sdtContent>
      <w:p w14:paraId="2CC3A612" w14:textId="77777777" w:rsidR="002755E8" w:rsidRDefault="002755E8">
        <w:pPr>
          <w:pStyle w:val="Footer"/>
          <w:jc w:val="right"/>
        </w:pPr>
        <w:r>
          <w:fldChar w:fldCharType="begin"/>
        </w:r>
        <w:r>
          <w:instrText xml:space="preserve"> PAGE   \* MERGEFORMAT </w:instrText>
        </w:r>
        <w:r>
          <w:fldChar w:fldCharType="separate"/>
        </w:r>
        <w:r w:rsidR="00C94BC7">
          <w:rPr>
            <w:noProof/>
          </w:rPr>
          <w:t>82</w:t>
        </w:r>
        <w:r>
          <w:rPr>
            <w:noProof/>
          </w:rPr>
          <w:fldChar w:fldCharType="end"/>
        </w:r>
      </w:p>
    </w:sdtContent>
  </w:sdt>
  <w:p w14:paraId="68C6BE21" w14:textId="77777777" w:rsidR="002755E8" w:rsidRDefault="002755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635566"/>
      <w:docPartObj>
        <w:docPartGallery w:val="Page Numbers (Bottom of Page)"/>
        <w:docPartUnique/>
      </w:docPartObj>
    </w:sdtPr>
    <w:sdtEndPr/>
    <w:sdtContent>
      <w:p w14:paraId="56DCAF41" w14:textId="77777777" w:rsidR="002755E8" w:rsidRDefault="002755E8">
        <w:pPr>
          <w:pStyle w:val="Footer"/>
          <w:jc w:val="right"/>
        </w:pPr>
        <w:r>
          <w:fldChar w:fldCharType="begin"/>
        </w:r>
        <w:r>
          <w:instrText xml:space="preserve"> PAGE   \* MERGEFORMAT </w:instrText>
        </w:r>
        <w:r>
          <w:fldChar w:fldCharType="separate"/>
        </w:r>
        <w:r w:rsidR="00C94BC7">
          <w:rPr>
            <w:noProof/>
          </w:rPr>
          <w:t>83</w:t>
        </w:r>
        <w:r>
          <w:rPr>
            <w:noProof/>
          </w:rPr>
          <w:fldChar w:fldCharType="end"/>
        </w:r>
      </w:p>
    </w:sdtContent>
  </w:sdt>
  <w:p w14:paraId="6B3C2B0D" w14:textId="77777777" w:rsidR="002755E8" w:rsidRDefault="002755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10D45" w14:textId="77777777" w:rsidR="002755E8" w:rsidRDefault="002755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0A68C" w14:textId="77777777" w:rsidR="003D3813" w:rsidRDefault="003D3813" w:rsidP="00BC6AC3">
      <w:r>
        <w:separator/>
      </w:r>
    </w:p>
  </w:footnote>
  <w:footnote w:type="continuationSeparator" w:id="0">
    <w:p w14:paraId="06E92527" w14:textId="77777777" w:rsidR="003D3813" w:rsidRDefault="003D3813" w:rsidP="00BC6AC3">
      <w:r>
        <w:continuationSeparator/>
      </w:r>
    </w:p>
  </w:footnote>
  <w:footnote w:id="1">
    <w:p w14:paraId="21255433" w14:textId="77777777" w:rsidR="002755E8" w:rsidRPr="00BC6AC3" w:rsidRDefault="002755E8" w:rsidP="00E0091E">
      <w:pPr>
        <w:pStyle w:val="FootnoteText"/>
        <w:rPr>
          <w:lang w:val="en-GB"/>
        </w:rPr>
      </w:pPr>
      <w:r>
        <w:rPr>
          <w:rStyle w:val="FootnoteReference"/>
        </w:rPr>
        <w:footnoteRef/>
      </w:r>
      <w:r>
        <w:t xml:space="preserve"> </w:t>
      </w:r>
      <w:r w:rsidRPr="00337851">
        <w:rPr>
          <w:lang w:val="sq-AL"/>
        </w:rPr>
        <w:t>Akti Normativ nr. 2, datë 19.12.2018 (</w:t>
      </w:r>
      <w:r>
        <w:rPr>
          <w:lang w:val="sq-AL"/>
        </w:rPr>
        <w:t>i</w:t>
      </w:r>
      <w:r w:rsidRPr="00337851">
        <w:rPr>
          <w:lang w:val="sq-AL"/>
        </w:rPr>
        <w:t xml:space="preserve"> rishikuar)</w:t>
      </w:r>
    </w:p>
  </w:footnote>
  <w:footnote w:id="2">
    <w:p w14:paraId="25CD7993" w14:textId="45D5D08A" w:rsidR="002755E8" w:rsidRDefault="002755E8">
      <w:pPr>
        <w:pStyle w:val="FootnoteText"/>
      </w:pPr>
      <w:r>
        <w:rPr>
          <w:rStyle w:val="FootnoteReference"/>
        </w:rPr>
        <w:footnoteRef/>
      </w:r>
      <w:r>
        <w:t xml:space="preserve"> </w:t>
      </w:r>
      <w:r>
        <w:rPr>
          <w:rFonts w:ascii="Times New Roman" w:hAnsi="Times New Roman"/>
        </w:rPr>
        <w:t>Referuar të dhënave në</w:t>
      </w:r>
      <w:r w:rsidRPr="005A7391">
        <w:rPr>
          <w:rFonts w:ascii="Times New Roman" w:hAnsi="Times New Roman"/>
        </w:rPr>
        <w:t xml:space="preserve"> </w:t>
      </w:r>
      <w:r>
        <w:rPr>
          <w:rFonts w:ascii="Times New Roman" w:hAnsi="Times New Roman"/>
        </w:rPr>
        <w:t>“</w:t>
      </w:r>
      <w:r w:rsidRPr="0001344D">
        <w:rPr>
          <w:rFonts w:ascii="Times New Roman" w:hAnsi="Times New Roman"/>
        </w:rPr>
        <w:t>Kuadrin Makroekonomik dhe Fiskal p</w:t>
      </w:r>
      <w:r>
        <w:rPr>
          <w:rFonts w:ascii="Times New Roman" w:hAnsi="Times New Roman"/>
        </w:rPr>
        <w:t>ë</w:t>
      </w:r>
      <w:r w:rsidRPr="0001344D">
        <w:rPr>
          <w:rFonts w:ascii="Times New Roman" w:hAnsi="Times New Roman"/>
        </w:rPr>
        <w:t>r 2020-2022</w:t>
      </w:r>
      <w:r>
        <w:rPr>
          <w:rFonts w:ascii="Times New Roman" w:hAnsi="Times New Roman"/>
        </w:rPr>
        <w:t>”</w:t>
      </w:r>
      <w:r w:rsidRPr="0001344D">
        <w:rPr>
          <w:rFonts w:ascii="Times New Roman" w:hAnsi="Times New Roman"/>
        </w:rPr>
        <w:t>,</w:t>
      </w:r>
      <w:r w:rsidRPr="005A7391">
        <w:rPr>
          <w:rFonts w:ascii="Times New Roman" w:hAnsi="Times New Roman"/>
        </w:rPr>
        <w:t xml:space="preserve"> </w:t>
      </w:r>
      <w:r>
        <w:rPr>
          <w:rFonts w:ascii="Times New Roman" w:hAnsi="Times New Roman"/>
        </w:rPr>
        <w:t xml:space="preserve">miratuar me </w:t>
      </w:r>
      <w:r w:rsidRPr="005A7391">
        <w:rPr>
          <w:rFonts w:ascii="Times New Roman" w:hAnsi="Times New Roman"/>
        </w:rPr>
        <w:t xml:space="preserve">VKM </w:t>
      </w:r>
      <w:r>
        <w:rPr>
          <w:rFonts w:ascii="Times New Roman" w:hAnsi="Times New Roman"/>
        </w:rPr>
        <w:t>nr.</w:t>
      </w:r>
      <w:r w:rsidRPr="005A7391">
        <w:rPr>
          <w:rFonts w:ascii="Times New Roman" w:hAnsi="Times New Roman"/>
        </w:rPr>
        <w:t>4 datë 09.01.2019</w:t>
      </w:r>
    </w:p>
  </w:footnote>
  <w:footnote w:id="3">
    <w:p w14:paraId="7D6370C2" w14:textId="77777777" w:rsidR="002755E8" w:rsidRPr="007F44B9" w:rsidRDefault="002755E8">
      <w:pPr>
        <w:pStyle w:val="FootnoteText"/>
        <w:rPr>
          <w:lang w:val="en-GB"/>
        </w:rPr>
      </w:pPr>
      <w:r>
        <w:rPr>
          <w:rStyle w:val="FootnoteReference"/>
        </w:rPr>
        <w:footnoteRef/>
      </w:r>
      <w:r>
        <w:t xml:space="preserve"> Shtojca </w:t>
      </w:r>
      <w:r>
        <w:fldChar w:fldCharType="begin"/>
      </w:r>
      <w:r>
        <w:instrText xml:space="preserve"> REF _Ref10032567 \w \h </w:instrText>
      </w:r>
      <w:r>
        <w:fldChar w:fldCharType="separate"/>
      </w:r>
      <w:r>
        <w:t>8.2</w:t>
      </w:r>
      <w:r>
        <w:fldChar w:fldCharType="end"/>
      </w:r>
      <w:r>
        <w:t xml:space="preserve"> </w:t>
      </w:r>
      <w:r>
        <w:rPr>
          <w:lang w:val="en-GB"/>
        </w:rPr>
        <w:t>për një diskutim më të detajuar të efekteve të politikës fiskale.</w:t>
      </w:r>
    </w:p>
  </w:footnote>
  <w:footnote w:id="4">
    <w:p w14:paraId="6AE9B93C" w14:textId="77777777" w:rsidR="002755E8" w:rsidRDefault="002755E8">
      <w:pPr>
        <w:pStyle w:val="FootnoteText"/>
      </w:pPr>
      <w:r>
        <w:rPr>
          <w:rStyle w:val="FootnoteReference"/>
        </w:rPr>
        <w:footnoteRef/>
      </w:r>
      <w:r>
        <w:t xml:space="preserve"> </w:t>
      </w:r>
      <w:r w:rsidRPr="00C33B16">
        <w:rPr>
          <w:noProof/>
          <w:lang w:val="sq-AL"/>
        </w:rPr>
        <w:t>nuk përfshihen të ardhurat nga sigurimet shoqërore dhe shëndetësore</w:t>
      </w:r>
    </w:p>
  </w:footnote>
  <w:footnote w:id="5">
    <w:p w14:paraId="23742F41" w14:textId="77777777" w:rsidR="002755E8" w:rsidRPr="002521DC" w:rsidRDefault="002755E8">
      <w:pPr>
        <w:pStyle w:val="FootnoteText"/>
        <w:rPr>
          <w:lang w:val="en-GB"/>
        </w:rPr>
      </w:pPr>
      <w:r>
        <w:rPr>
          <w:rStyle w:val="FootnoteReference"/>
        </w:rPr>
        <w:footnoteRef/>
      </w:r>
      <w:r>
        <w:t xml:space="preserve"> </w:t>
      </w:r>
      <w:r>
        <w:rPr>
          <w:lang w:val="en-GB"/>
        </w:rPr>
        <w:t xml:space="preserve">Ose 98.4% të planit vjetor të rishikuar sipas Aktit Normativ </w:t>
      </w:r>
      <w:r w:rsidRPr="00245123">
        <w:rPr>
          <w:noProof/>
          <w:lang w:val="sq-AL"/>
        </w:rPr>
        <w:t>nr. 2, datë 19.12.2018</w:t>
      </w:r>
      <w:r>
        <w:rPr>
          <w:noProof/>
          <w:lang w:val="sq-AL"/>
        </w:rPr>
        <w:t>.</w:t>
      </w:r>
    </w:p>
  </w:footnote>
  <w:footnote w:id="6">
    <w:p w14:paraId="3B459F37" w14:textId="77777777" w:rsidR="002755E8" w:rsidRPr="00146CA5" w:rsidRDefault="002755E8" w:rsidP="009F1868">
      <w:pPr>
        <w:pStyle w:val="FootnoteText"/>
        <w:rPr>
          <w:i/>
          <w:lang w:val="en-GB"/>
        </w:rPr>
      </w:pPr>
      <w:r w:rsidRPr="00146CA5">
        <w:rPr>
          <w:rStyle w:val="FootnoteReference"/>
          <w:i/>
        </w:rPr>
        <w:footnoteRef/>
      </w:r>
      <w:r w:rsidRPr="00146CA5">
        <w:rPr>
          <w:i/>
        </w:rPr>
        <w:t xml:space="preserve"> </w:t>
      </w:r>
      <w:r w:rsidRPr="00146CA5">
        <w:rPr>
          <w:i/>
          <w:lang w:val="en-GB"/>
        </w:rPr>
        <w:t>Shih raportin e posaçëm për Fondin rezervë dhe të kontingjencës për më shumë detaje.</w:t>
      </w:r>
    </w:p>
  </w:footnote>
  <w:footnote w:id="7">
    <w:p w14:paraId="78F9C935" w14:textId="77777777" w:rsidR="002755E8" w:rsidRPr="00CB33A5" w:rsidRDefault="002755E8" w:rsidP="002350D2">
      <w:pPr>
        <w:pStyle w:val="FootnoteText"/>
        <w:ind w:left="142" w:hanging="142"/>
        <w:jc w:val="both"/>
        <w:rPr>
          <w:rFonts w:ascii="Times New Roman" w:hAnsi="Times New Roman"/>
        </w:rPr>
      </w:pPr>
      <w:r>
        <w:rPr>
          <w:rStyle w:val="FootnoteReference"/>
        </w:rPr>
        <w:footnoteRef/>
      </w:r>
      <w:r>
        <w:t xml:space="preserve"> </w:t>
      </w:r>
      <w:r>
        <w:rPr>
          <w:rFonts w:ascii="Times New Roman" w:hAnsi="Times New Roman"/>
        </w:rPr>
        <w:t>Referuar të dhënave në</w:t>
      </w:r>
      <w:r w:rsidRPr="005A7391">
        <w:rPr>
          <w:rFonts w:ascii="Times New Roman" w:hAnsi="Times New Roman"/>
        </w:rPr>
        <w:t xml:space="preserve"> </w:t>
      </w:r>
      <w:r>
        <w:rPr>
          <w:rFonts w:ascii="Times New Roman" w:hAnsi="Times New Roman"/>
        </w:rPr>
        <w:t>“</w:t>
      </w:r>
      <w:r w:rsidRPr="0001344D">
        <w:rPr>
          <w:rFonts w:ascii="Times New Roman" w:hAnsi="Times New Roman"/>
        </w:rPr>
        <w:t>Kuadrin Makroekonomik dhe Fiskal p</w:t>
      </w:r>
      <w:r>
        <w:rPr>
          <w:rFonts w:ascii="Times New Roman" w:hAnsi="Times New Roman"/>
        </w:rPr>
        <w:t>ë</w:t>
      </w:r>
      <w:r w:rsidRPr="0001344D">
        <w:rPr>
          <w:rFonts w:ascii="Times New Roman" w:hAnsi="Times New Roman"/>
        </w:rPr>
        <w:t>r 2020-2022</w:t>
      </w:r>
      <w:r>
        <w:rPr>
          <w:rFonts w:ascii="Times New Roman" w:hAnsi="Times New Roman"/>
        </w:rPr>
        <w:t>”</w:t>
      </w:r>
      <w:r w:rsidRPr="0001344D">
        <w:rPr>
          <w:rFonts w:ascii="Times New Roman" w:hAnsi="Times New Roman"/>
        </w:rPr>
        <w:t>,</w:t>
      </w:r>
      <w:r w:rsidRPr="005A7391">
        <w:rPr>
          <w:rFonts w:ascii="Times New Roman" w:hAnsi="Times New Roman"/>
        </w:rPr>
        <w:t xml:space="preserve"> </w:t>
      </w:r>
      <w:r>
        <w:rPr>
          <w:rFonts w:ascii="Times New Roman" w:hAnsi="Times New Roman"/>
        </w:rPr>
        <w:t xml:space="preserve">miratuar me </w:t>
      </w:r>
      <w:r w:rsidRPr="005A7391">
        <w:rPr>
          <w:rFonts w:ascii="Times New Roman" w:hAnsi="Times New Roman"/>
        </w:rPr>
        <w:t xml:space="preserve">VKM </w:t>
      </w:r>
      <w:r>
        <w:rPr>
          <w:rFonts w:ascii="Times New Roman" w:hAnsi="Times New Roman"/>
        </w:rPr>
        <w:t>nr.</w:t>
      </w:r>
      <w:r w:rsidRPr="005A7391">
        <w:rPr>
          <w:rFonts w:ascii="Times New Roman" w:hAnsi="Times New Roman"/>
        </w:rPr>
        <w:t>4 datë 09.01.2019.</w:t>
      </w:r>
    </w:p>
  </w:footnote>
  <w:footnote w:id="8">
    <w:p w14:paraId="21A8FA5B" w14:textId="77777777" w:rsidR="002755E8" w:rsidRPr="00A93DA9" w:rsidRDefault="002755E8" w:rsidP="002350D2">
      <w:pPr>
        <w:pStyle w:val="FootnoteText"/>
        <w:ind w:left="142" w:hanging="142"/>
        <w:jc w:val="both"/>
        <w:rPr>
          <w:rFonts w:ascii="Times New Roman" w:hAnsi="Times New Roman"/>
        </w:rPr>
      </w:pPr>
      <w:r>
        <w:rPr>
          <w:rStyle w:val="FootnoteReference"/>
        </w:rPr>
        <w:footnoteRef/>
      </w:r>
      <w:r>
        <w:t xml:space="preserve"> </w:t>
      </w:r>
      <w:r>
        <w:rPr>
          <w:rFonts w:ascii="Times New Roman" w:hAnsi="Times New Roman"/>
        </w:rPr>
        <w:t>R</w:t>
      </w:r>
      <w:r w:rsidRPr="005A7391">
        <w:rPr>
          <w:rFonts w:ascii="Times New Roman" w:hAnsi="Times New Roman"/>
        </w:rPr>
        <w:t xml:space="preserve">eferuar </w:t>
      </w:r>
      <w:r>
        <w:rPr>
          <w:rFonts w:ascii="Times New Roman" w:hAnsi="Times New Roman"/>
        </w:rPr>
        <w:t>p</w:t>
      </w:r>
      <w:r w:rsidRPr="005A7391">
        <w:rPr>
          <w:rFonts w:ascii="Times New Roman" w:hAnsi="Times New Roman"/>
        </w:rPr>
        <w:t>lani</w:t>
      </w:r>
      <w:r>
        <w:rPr>
          <w:rFonts w:ascii="Times New Roman" w:hAnsi="Times New Roman"/>
        </w:rPr>
        <w:t>t</w:t>
      </w:r>
      <w:r w:rsidRPr="005A7391">
        <w:rPr>
          <w:rFonts w:ascii="Times New Roman" w:hAnsi="Times New Roman"/>
        </w:rPr>
        <w:t xml:space="preserve"> vjetor </w:t>
      </w:r>
      <w:r>
        <w:rPr>
          <w:rFonts w:ascii="Times New Roman" w:hAnsi="Times New Roman"/>
        </w:rPr>
        <w:t>në AN</w:t>
      </w:r>
      <w:r w:rsidRPr="0001344D">
        <w:rPr>
          <w:rFonts w:ascii="Times New Roman" w:hAnsi="Times New Roman"/>
        </w:rPr>
        <w:t xml:space="preserve"> 2</w:t>
      </w:r>
      <w:r>
        <w:rPr>
          <w:rFonts w:ascii="Times New Roman" w:hAnsi="Times New Roman"/>
        </w:rPr>
        <w:t>/</w:t>
      </w:r>
      <w:r w:rsidRPr="005A7391">
        <w:rPr>
          <w:rFonts w:ascii="Times New Roman" w:hAnsi="Times New Roman"/>
        </w:rPr>
        <w:t xml:space="preserve">2018 </w:t>
      </w:r>
      <w:r>
        <w:rPr>
          <w:rFonts w:ascii="Times New Roman" w:hAnsi="Times New Roman"/>
        </w:rPr>
        <w:t>“</w:t>
      </w:r>
      <w:r w:rsidRPr="005A7391">
        <w:rPr>
          <w:rFonts w:ascii="Times New Roman" w:hAnsi="Times New Roman"/>
        </w:rPr>
        <w:t xml:space="preserve">Për disa ndryshime në Ligjin </w:t>
      </w:r>
      <w:r>
        <w:rPr>
          <w:rFonts w:ascii="Times New Roman" w:hAnsi="Times New Roman"/>
        </w:rPr>
        <w:t>n</w:t>
      </w:r>
      <w:r w:rsidRPr="005A7391">
        <w:rPr>
          <w:rFonts w:ascii="Times New Roman" w:hAnsi="Times New Roman"/>
        </w:rPr>
        <w:t xml:space="preserve">r.109/2017 “Për Buxhetin e Vitit </w:t>
      </w:r>
      <w:r>
        <w:rPr>
          <w:rFonts w:ascii="Times New Roman" w:hAnsi="Times New Roman"/>
        </w:rPr>
        <w:t>2018”</w:t>
      </w:r>
      <w:r w:rsidRPr="005A7391">
        <w:rPr>
          <w:rFonts w:ascii="Times New Roman" w:hAnsi="Times New Roman"/>
        </w:rPr>
        <w:t>, të ndryshuar.</w:t>
      </w:r>
    </w:p>
  </w:footnote>
  <w:footnote w:id="9">
    <w:p w14:paraId="6A993186" w14:textId="77777777" w:rsidR="002755E8" w:rsidRPr="00967BC5" w:rsidRDefault="002755E8" w:rsidP="002350D2">
      <w:pPr>
        <w:pStyle w:val="FootnoteText"/>
        <w:ind w:right="238"/>
        <w:jc w:val="both"/>
      </w:pPr>
      <w:r>
        <w:rPr>
          <w:rStyle w:val="FootnoteReference"/>
        </w:rPr>
        <w:footnoteRef/>
      </w:r>
      <w:r>
        <w:t xml:space="preserve"> </w:t>
      </w:r>
      <w:hyperlink r:id="rId1" w:history="1">
        <w:r w:rsidRPr="0063692C">
          <w:rPr>
            <w:rStyle w:val="Hyperlink"/>
          </w:rPr>
          <w:t>https://</w:t>
        </w:r>
        <w:r>
          <w:rPr>
            <w:rStyle w:val="Hyperlink"/>
          </w:rPr>
          <w:t>ëëë</w:t>
        </w:r>
        <w:r w:rsidRPr="0063692C">
          <w:rPr>
            <w:rStyle w:val="Hyperlink"/>
          </w:rPr>
          <w:t>.bankofalbania.org/Tregjet/Titujt_shteterore/Titujt_reference/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204"/>
      <w:gridCol w:w="1911"/>
    </w:tblGrid>
    <w:tr w:rsidR="002755E8" w:rsidRPr="005B570E" w14:paraId="5C7DA755" w14:textId="77777777"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738364066"/>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14:paraId="24C02F4D" w14:textId="77777777" w:rsidR="002755E8" w:rsidRPr="008E7E7B" w:rsidRDefault="002755E8"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7BE35D42" w14:textId="77777777" w:rsidR="002755E8" w:rsidRPr="00D0175F" w:rsidRDefault="002755E8" w:rsidP="00D0175F">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2018</w:t>
          </w:r>
        </w:p>
      </w:tc>
    </w:tr>
  </w:tbl>
  <w:p w14:paraId="5B89598B" w14:textId="77777777" w:rsidR="002755E8" w:rsidRDefault="002755E8" w:rsidP="00D017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204"/>
      <w:gridCol w:w="1911"/>
    </w:tblGrid>
    <w:tr w:rsidR="002755E8" w:rsidRPr="005B570E" w14:paraId="239F8542" w14:textId="77777777"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1064723736"/>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14:paraId="25DD8793" w14:textId="77777777" w:rsidR="002755E8" w:rsidRPr="008E7E7B" w:rsidRDefault="002755E8"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3EA6E4AD" w14:textId="77777777" w:rsidR="002755E8" w:rsidRPr="00D0175F" w:rsidRDefault="002755E8" w:rsidP="00D0175F">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2018</w:t>
          </w:r>
        </w:p>
      </w:tc>
    </w:tr>
  </w:tbl>
  <w:p w14:paraId="39C80899" w14:textId="77777777" w:rsidR="002755E8" w:rsidRDefault="002755E8" w:rsidP="00D017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665"/>
      <w:gridCol w:w="1799"/>
    </w:tblGrid>
    <w:tr w:rsidR="002755E8" w:rsidRPr="005B570E" w14:paraId="7D210D9E" w14:textId="77777777" w:rsidTr="00276D93">
      <w:trPr>
        <w:trHeight w:val="155"/>
        <w:jc w:val="center"/>
      </w:trPr>
      <w:sdt>
        <w:sdtPr>
          <w:rPr>
            <w:rFonts w:asciiTheme="majorHAnsi" w:eastAsiaTheme="majorEastAsia" w:hAnsiTheme="majorHAnsi" w:cstheme="majorBidi"/>
            <w:color w:val="A6A6A6" w:themeColor="background1" w:themeShade="A6"/>
            <w:sz w:val="18"/>
            <w:szCs w:val="18"/>
          </w:rPr>
          <w:alias w:val="Title"/>
          <w:id w:val="1580633186"/>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14:paraId="0F303669" w14:textId="77777777" w:rsidR="002755E8" w:rsidRPr="008E7E7B" w:rsidRDefault="002755E8" w:rsidP="00276D93">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47A4175C" w14:textId="77777777" w:rsidR="002755E8" w:rsidRPr="00D0175F" w:rsidRDefault="002755E8" w:rsidP="00276D93">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2018</w:t>
          </w:r>
        </w:p>
      </w:tc>
    </w:tr>
  </w:tbl>
  <w:p w14:paraId="7814677F" w14:textId="77777777" w:rsidR="002755E8" w:rsidRDefault="002755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665"/>
      <w:gridCol w:w="1799"/>
    </w:tblGrid>
    <w:tr w:rsidR="002755E8" w:rsidRPr="005B570E" w14:paraId="2FA0DAF2" w14:textId="77777777" w:rsidTr="00D0175F">
      <w:trPr>
        <w:trHeight w:val="155"/>
      </w:trPr>
      <w:sdt>
        <w:sdtPr>
          <w:rPr>
            <w:rFonts w:asciiTheme="majorHAnsi" w:eastAsiaTheme="majorEastAsia" w:hAnsiTheme="majorHAnsi" w:cstheme="majorBidi"/>
            <w:color w:val="A6A6A6" w:themeColor="background1" w:themeShade="A6"/>
            <w:sz w:val="18"/>
            <w:szCs w:val="18"/>
          </w:rPr>
          <w:alias w:val="Title"/>
          <w:id w:val="-343171165"/>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14:paraId="67CEA46B" w14:textId="77777777" w:rsidR="002755E8" w:rsidRPr="008E7E7B" w:rsidRDefault="002755E8" w:rsidP="003734A7">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7D8698CD" w14:textId="77777777" w:rsidR="002755E8" w:rsidRPr="00D0175F" w:rsidRDefault="002755E8" w:rsidP="003734A7">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2018</w:t>
          </w:r>
        </w:p>
      </w:tc>
    </w:tr>
  </w:tbl>
  <w:p w14:paraId="48FC5419" w14:textId="77777777" w:rsidR="002755E8" w:rsidRDefault="002755E8" w:rsidP="003734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665"/>
      <w:gridCol w:w="1799"/>
    </w:tblGrid>
    <w:tr w:rsidR="002755E8" w:rsidRPr="005B570E" w14:paraId="5B9E1201" w14:textId="77777777" w:rsidTr="007D7D97">
      <w:trPr>
        <w:trHeight w:val="155"/>
        <w:jc w:val="center"/>
      </w:trPr>
      <w:sdt>
        <w:sdtPr>
          <w:rPr>
            <w:rFonts w:asciiTheme="majorHAnsi" w:eastAsiaTheme="majorEastAsia" w:hAnsiTheme="majorHAnsi" w:cstheme="majorBidi"/>
            <w:color w:val="A6A6A6" w:themeColor="background1" w:themeShade="A6"/>
            <w:sz w:val="18"/>
            <w:szCs w:val="18"/>
          </w:rPr>
          <w:alias w:val="Title"/>
          <w:id w:val="835194154"/>
          <w:showingPlcHdr/>
          <w:dataBinding w:prefixMappings="xmlns:ns0='http://schemas.openxmlformats.org/package/2006/metadata/core-properties' xmlns:ns1='http://purl.org/dc/elements/1.1/'" w:xpath="/ns0:coreProperties[1]/ns1:title[1]" w:storeItemID="{6C3C8BC8-F283-45AE-878A-BAB7291924A1}"/>
          <w:text/>
        </w:sdtPr>
        <w:sdtEndPr/>
        <w:sdtContent>
          <w:tc>
            <w:tcPr>
              <w:tcW w:w="8665" w:type="dxa"/>
              <w:tcBorders>
                <w:right w:val="single" w:sz="12" w:space="0" w:color="A6A6A6" w:themeColor="background1" w:themeShade="A6"/>
              </w:tcBorders>
            </w:tcPr>
            <w:p w14:paraId="5628D53A" w14:textId="77777777" w:rsidR="002755E8" w:rsidRPr="008E7E7B" w:rsidRDefault="002755E8" w:rsidP="00EB3D5E">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7788F14D" w14:textId="77777777" w:rsidR="002755E8" w:rsidRPr="00D0175F" w:rsidRDefault="002755E8" w:rsidP="00EB3D5E">
          <w:pPr>
            <w:pStyle w:val="Header"/>
            <w:rPr>
              <w:rFonts w:asciiTheme="majorHAnsi" w:eastAsiaTheme="majorEastAsia" w:hAnsiTheme="majorHAnsi" w:cstheme="majorBidi"/>
              <w:b/>
              <w:bCs/>
              <w:color w:val="A6A6A6" w:themeColor="background1" w:themeShade="A6"/>
              <w:sz w:val="18"/>
              <w:szCs w:val="18"/>
            </w:rPr>
          </w:pPr>
          <w:r w:rsidRPr="00D0175F">
            <w:rPr>
              <w:rFonts w:asciiTheme="majorHAnsi" w:eastAsiaTheme="majorEastAsia" w:hAnsiTheme="majorHAnsi" w:cstheme="majorBidi"/>
              <w:b/>
              <w:bCs/>
              <w:color w:val="A6A6A6" w:themeColor="background1" w:themeShade="A6"/>
              <w:sz w:val="18"/>
              <w:szCs w:val="18"/>
            </w:rPr>
            <w:t>Buxheti Faktik 2018</w:t>
          </w:r>
        </w:p>
      </w:tc>
    </w:tr>
  </w:tbl>
  <w:p w14:paraId="5A259417" w14:textId="77777777" w:rsidR="002755E8" w:rsidRDefault="002755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0976"/>
    <w:multiLevelType w:val="hybridMultilevel"/>
    <w:tmpl w:val="5BCC00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C221EA"/>
    <w:multiLevelType w:val="hybridMultilevel"/>
    <w:tmpl w:val="9724EAA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AC71937"/>
    <w:multiLevelType w:val="hybridMultilevel"/>
    <w:tmpl w:val="CAEAE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A6B33"/>
    <w:multiLevelType w:val="hybridMultilevel"/>
    <w:tmpl w:val="979E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4F7A0F"/>
    <w:multiLevelType w:val="hybridMultilevel"/>
    <w:tmpl w:val="9210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931D4"/>
    <w:multiLevelType w:val="hybridMultilevel"/>
    <w:tmpl w:val="7944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C2610"/>
    <w:multiLevelType w:val="multilevel"/>
    <w:tmpl w:val="073AB6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4D32807"/>
    <w:multiLevelType w:val="hybridMultilevel"/>
    <w:tmpl w:val="C1A6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F248B4"/>
    <w:multiLevelType w:val="hybridMultilevel"/>
    <w:tmpl w:val="351E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9E7A7C"/>
    <w:multiLevelType w:val="hybridMultilevel"/>
    <w:tmpl w:val="964EB1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6D05AC7"/>
    <w:multiLevelType w:val="hybridMultilevel"/>
    <w:tmpl w:val="BFB2AB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8117E47"/>
    <w:multiLevelType w:val="hybridMultilevel"/>
    <w:tmpl w:val="3028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A41818"/>
    <w:multiLevelType w:val="hybridMultilevel"/>
    <w:tmpl w:val="0980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E35BE4"/>
    <w:multiLevelType w:val="hybridMultilevel"/>
    <w:tmpl w:val="2BCEE07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E87463"/>
    <w:multiLevelType w:val="hybridMultilevel"/>
    <w:tmpl w:val="CFAC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F72D1"/>
    <w:multiLevelType w:val="hybridMultilevel"/>
    <w:tmpl w:val="F34C37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A540805"/>
    <w:multiLevelType w:val="hybridMultilevel"/>
    <w:tmpl w:val="0F1C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67E70"/>
    <w:multiLevelType w:val="hybridMultilevel"/>
    <w:tmpl w:val="D8F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1671AF"/>
    <w:multiLevelType w:val="hybridMultilevel"/>
    <w:tmpl w:val="1D64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126D4C"/>
    <w:multiLevelType w:val="hybridMultilevel"/>
    <w:tmpl w:val="E9FAB0A8"/>
    <w:lvl w:ilvl="0" w:tplc="9EEAF2B8">
      <w:start w:val="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A492F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A906250"/>
    <w:multiLevelType w:val="hybridMultilevel"/>
    <w:tmpl w:val="BDB0BA8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FBA00FA"/>
    <w:multiLevelType w:val="hybridMultilevel"/>
    <w:tmpl w:val="6F1E5770"/>
    <w:lvl w:ilvl="0" w:tplc="E48C5C16">
      <w:start w:val="1"/>
      <w:numFmt w:val="bullet"/>
      <w:lvlText w:val=""/>
      <w:lvlJc w:val="left"/>
      <w:pPr>
        <w:ind w:left="72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3985C1D"/>
    <w:multiLevelType w:val="hybridMultilevel"/>
    <w:tmpl w:val="CA9C47F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D91956"/>
    <w:multiLevelType w:val="hybridMultilevel"/>
    <w:tmpl w:val="6A3AB90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6822AD7"/>
    <w:multiLevelType w:val="hybridMultilevel"/>
    <w:tmpl w:val="53E02A1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B3E5562"/>
    <w:multiLevelType w:val="hybridMultilevel"/>
    <w:tmpl w:val="E670EDBC"/>
    <w:lvl w:ilvl="0" w:tplc="E448512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BC2445"/>
    <w:multiLevelType w:val="hybridMultilevel"/>
    <w:tmpl w:val="530414F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E316C7E"/>
    <w:multiLevelType w:val="hybridMultilevel"/>
    <w:tmpl w:val="DD0A73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F87413D"/>
    <w:multiLevelType w:val="hybridMultilevel"/>
    <w:tmpl w:val="1CE2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C7114F"/>
    <w:multiLevelType w:val="hybridMultilevel"/>
    <w:tmpl w:val="5A42F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24E43D6"/>
    <w:multiLevelType w:val="hybridMultilevel"/>
    <w:tmpl w:val="440865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731206"/>
    <w:multiLevelType w:val="hybridMultilevel"/>
    <w:tmpl w:val="FC4EEEA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8266983"/>
    <w:multiLevelType w:val="hybridMultilevel"/>
    <w:tmpl w:val="475E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D9564D"/>
    <w:multiLevelType w:val="hybridMultilevel"/>
    <w:tmpl w:val="2BC465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706FC0"/>
    <w:multiLevelType w:val="hybridMultilevel"/>
    <w:tmpl w:val="3466ADFE"/>
    <w:lvl w:ilvl="0" w:tplc="E8FA85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7C40ED"/>
    <w:multiLevelType w:val="hybridMultilevel"/>
    <w:tmpl w:val="30022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E03C5E"/>
    <w:multiLevelType w:val="hybridMultilevel"/>
    <w:tmpl w:val="447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A84D9B"/>
    <w:multiLevelType w:val="hybridMultilevel"/>
    <w:tmpl w:val="13A02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706106"/>
    <w:multiLevelType w:val="hybridMultilevel"/>
    <w:tmpl w:val="EEBA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21565C"/>
    <w:multiLevelType w:val="hybridMultilevel"/>
    <w:tmpl w:val="0E46F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6EF3103"/>
    <w:multiLevelType w:val="hybridMultilevel"/>
    <w:tmpl w:val="72047566"/>
    <w:lvl w:ilvl="0" w:tplc="04090017">
      <w:start w:val="1"/>
      <w:numFmt w:val="lowerLetter"/>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44E453A4">
      <w:start w:val="1"/>
      <w:numFmt w:val="lowerRoman"/>
      <w:lvlText w:val="(%3)"/>
      <w:lvlJc w:val="left"/>
      <w:pPr>
        <w:ind w:left="2700" w:hanging="72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27548F"/>
    <w:multiLevelType w:val="hybridMultilevel"/>
    <w:tmpl w:val="6C4AC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982907"/>
    <w:multiLevelType w:val="hybridMultilevel"/>
    <w:tmpl w:val="5D7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F50CD9"/>
    <w:multiLevelType w:val="hybridMultilevel"/>
    <w:tmpl w:val="12385FA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nsid w:val="6D7731CC"/>
    <w:multiLevelType w:val="hybridMultilevel"/>
    <w:tmpl w:val="1584E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685046"/>
    <w:multiLevelType w:val="hybridMultilevel"/>
    <w:tmpl w:val="32FA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9F0651"/>
    <w:multiLevelType w:val="hybridMultilevel"/>
    <w:tmpl w:val="1104056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C92441"/>
    <w:multiLevelType w:val="hybridMultilevel"/>
    <w:tmpl w:val="3EDCE29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5D379BC"/>
    <w:multiLevelType w:val="hybridMultilevel"/>
    <w:tmpl w:val="012EBFA8"/>
    <w:lvl w:ilvl="0" w:tplc="70165D42">
      <w:start w:val="98"/>
      <w:numFmt w:val="bullet"/>
      <w:lvlText w:val="-"/>
      <w:lvlJc w:val="left"/>
      <w:pPr>
        <w:ind w:left="705" w:hanging="360"/>
      </w:pPr>
      <w:rPr>
        <w:rFonts w:ascii="Times New Roman" w:eastAsia="Times New Roman" w:hAnsi="Times New Roman" w:cs="Times New Roman"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0">
    <w:nsid w:val="77B53214"/>
    <w:multiLevelType w:val="hybridMultilevel"/>
    <w:tmpl w:val="B45A64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86E5B65"/>
    <w:multiLevelType w:val="hybridMultilevel"/>
    <w:tmpl w:val="D6BA31C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9492CFE"/>
    <w:multiLevelType w:val="hybridMultilevel"/>
    <w:tmpl w:val="BDD2AC5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BDC7590"/>
    <w:multiLevelType w:val="hybridMultilevel"/>
    <w:tmpl w:val="5714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4D6247"/>
    <w:multiLevelType w:val="hybridMultilevel"/>
    <w:tmpl w:val="95C08E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5"/>
  </w:num>
  <w:num w:numId="2">
    <w:abstractNumId w:val="19"/>
  </w:num>
  <w:num w:numId="3">
    <w:abstractNumId w:val="27"/>
  </w:num>
  <w:num w:numId="4">
    <w:abstractNumId w:val="6"/>
  </w:num>
  <w:num w:numId="5">
    <w:abstractNumId w:val="20"/>
  </w:num>
  <w:num w:numId="6">
    <w:abstractNumId w:val="26"/>
  </w:num>
  <w:num w:numId="7">
    <w:abstractNumId w:val="46"/>
  </w:num>
  <w:num w:numId="8">
    <w:abstractNumId w:val="4"/>
  </w:num>
  <w:num w:numId="9">
    <w:abstractNumId w:val="36"/>
  </w:num>
  <w:num w:numId="10">
    <w:abstractNumId w:val="53"/>
  </w:num>
  <w:num w:numId="11">
    <w:abstractNumId w:val="28"/>
  </w:num>
  <w:num w:numId="12">
    <w:abstractNumId w:val="45"/>
  </w:num>
  <w:num w:numId="13">
    <w:abstractNumId w:val="12"/>
  </w:num>
  <w:num w:numId="14">
    <w:abstractNumId w:val="25"/>
  </w:num>
  <w:num w:numId="15">
    <w:abstractNumId w:val="9"/>
  </w:num>
  <w:num w:numId="16">
    <w:abstractNumId w:val="44"/>
  </w:num>
  <w:num w:numId="17">
    <w:abstractNumId w:val="49"/>
  </w:num>
  <w:num w:numId="18">
    <w:abstractNumId w:val="42"/>
  </w:num>
  <w:num w:numId="19">
    <w:abstractNumId w:val="39"/>
  </w:num>
  <w:num w:numId="20">
    <w:abstractNumId w:val="54"/>
  </w:num>
  <w:num w:numId="21">
    <w:abstractNumId w:val="50"/>
  </w:num>
  <w:num w:numId="22">
    <w:abstractNumId w:val="23"/>
  </w:num>
  <w:num w:numId="23">
    <w:abstractNumId w:val="37"/>
  </w:num>
  <w:num w:numId="24">
    <w:abstractNumId w:val="34"/>
  </w:num>
  <w:num w:numId="25">
    <w:abstractNumId w:val="8"/>
  </w:num>
  <w:num w:numId="26">
    <w:abstractNumId w:val="22"/>
  </w:num>
  <w:num w:numId="27">
    <w:abstractNumId w:val="3"/>
  </w:num>
  <w:num w:numId="28">
    <w:abstractNumId w:val="10"/>
  </w:num>
  <w:num w:numId="29">
    <w:abstractNumId w:val="52"/>
  </w:num>
  <w:num w:numId="30">
    <w:abstractNumId w:val="13"/>
  </w:num>
  <w:num w:numId="31">
    <w:abstractNumId w:val="48"/>
  </w:num>
  <w:num w:numId="32">
    <w:abstractNumId w:val="24"/>
  </w:num>
  <w:num w:numId="33">
    <w:abstractNumId w:val="32"/>
  </w:num>
  <w:num w:numId="34">
    <w:abstractNumId w:val="38"/>
  </w:num>
  <w:num w:numId="35">
    <w:abstractNumId w:val="0"/>
  </w:num>
  <w:num w:numId="36">
    <w:abstractNumId w:val="1"/>
  </w:num>
  <w:num w:numId="37">
    <w:abstractNumId w:val="2"/>
  </w:num>
  <w:num w:numId="38">
    <w:abstractNumId w:val="31"/>
  </w:num>
  <w:num w:numId="39">
    <w:abstractNumId w:val="15"/>
  </w:num>
  <w:num w:numId="40">
    <w:abstractNumId w:val="5"/>
  </w:num>
  <w:num w:numId="41">
    <w:abstractNumId w:val="33"/>
  </w:num>
  <w:num w:numId="42">
    <w:abstractNumId w:val="17"/>
  </w:num>
  <w:num w:numId="43">
    <w:abstractNumId w:val="29"/>
  </w:num>
  <w:num w:numId="44">
    <w:abstractNumId w:val="16"/>
  </w:num>
  <w:num w:numId="45">
    <w:abstractNumId w:val="14"/>
  </w:num>
  <w:num w:numId="46">
    <w:abstractNumId w:val="7"/>
  </w:num>
  <w:num w:numId="47">
    <w:abstractNumId w:val="11"/>
  </w:num>
  <w:num w:numId="48">
    <w:abstractNumId w:val="18"/>
  </w:num>
  <w:num w:numId="49">
    <w:abstractNumId w:val="43"/>
  </w:num>
  <w:num w:numId="50">
    <w:abstractNumId w:val="21"/>
  </w:num>
  <w:num w:numId="51">
    <w:abstractNumId w:val="30"/>
  </w:num>
  <w:num w:numId="52">
    <w:abstractNumId w:val="40"/>
  </w:num>
  <w:num w:numId="53">
    <w:abstractNumId w:val="47"/>
  </w:num>
  <w:num w:numId="54">
    <w:abstractNumId w:val="41"/>
  </w:num>
  <w:num w:numId="55">
    <w:abstractNumId w:val="21"/>
  </w:num>
  <w:num w:numId="56">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670"/>
    <w:rsid w:val="0000713F"/>
    <w:rsid w:val="000077B5"/>
    <w:rsid w:val="00020F57"/>
    <w:rsid w:val="00030985"/>
    <w:rsid w:val="00031470"/>
    <w:rsid w:val="00031CAC"/>
    <w:rsid w:val="00032B8A"/>
    <w:rsid w:val="00043D27"/>
    <w:rsid w:val="0006149D"/>
    <w:rsid w:val="00062D5D"/>
    <w:rsid w:val="00077771"/>
    <w:rsid w:val="00083EB3"/>
    <w:rsid w:val="00087712"/>
    <w:rsid w:val="00097BD7"/>
    <w:rsid w:val="000A14BC"/>
    <w:rsid w:val="000C49C1"/>
    <w:rsid w:val="000C55BB"/>
    <w:rsid w:val="000C7A4E"/>
    <w:rsid w:val="000E6D69"/>
    <w:rsid w:val="000F27FD"/>
    <w:rsid w:val="001012FE"/>
    <w:rsid w:val="00102D8C"/>
    <w:rsid w:val="00112782"/>
    <w:rsid w:val="00130577"/>
    <w:rsid w:val="00140052"/>
    <w:rsid w:val="00146CA5"/>
    <w:rsid w:val="001509BA"/>
    <w:rsid w:val="00162011"/>
    <w:rsid w:val="00165883"/>
    <w:rsid w:val="00176A40"/>
    <w:rsid w:val="00176A9A"/>
    <w:rsid w:val="001779A0"/>
    <w:rsid w:val="00181D61"/>
    <w:rsid w:val="00187EEE"/>
    <w:rsid w:val="001A13A5"/>
    <w:rsid w:val="001A3391"/>
    <w:rsid w:val="001A68C5"/>
    <w:rsid w:val="001B6B1A"/>
    <w:rsid w:val="001C2548"/>
    <w:rsid w:val="001C259E"/>
    <w:rsid w:val="001C2B47"/>
    <w:rsid w:val="001C3F86"/>
    <w:rsid w:val="001D1528"/>
    <w:rsid w:val="001D4BD5"/>
    <w:rsid w:val="001D7413"/>
    <w:rsid w:val="001F256B"/>
    <w:rsid w:val="001F4829"/>
    <w:rsid w:val="001F75C7"/>
    <w:rsid w:val="00201B36"/>
    <w:rsid w:val="00201E9C"/>
    <w:rsid w:val="002051A5"/>
    <w:rsid w:val="00213041"/>
    <w:rsid w:val="00215A42"/>
    <w:rsid w:val="00215ABD"/>
    <w:rsid w:val="00233F66"/>
    <w:rsid w:val="00234461"/>
    <w:rsid w:val="002350D2"/>
    <w:rsid w:val="00236222"/>
    <w:rsid w:val="002521DC"/>
    <w:rsid w:val="0025634D"/>
    <w:rsid w:val="00261FA8"/>
    <w:rsid w:val="002755E8"/>
    <w:rsid w:val="00276D93"/>
    <w:rsid w:val="00277CFC"/>
    <w:rsid w:val="00284FFE"/>
    <w:rsid w:val="0029617C"/>
    <w:rsid w:val="0029730B"/>
    <w:rsid w:val="002B34A1"/>
    <w:rsid w:val="002B365E"/>
    <w:rsid w:val="002B370B"/>
    <w:rsid w:val="002C4DD7"/>
    <w:rsid w:val="002E06C4"/>
    <w:rsid w:val="002E6CA1"/>
    <w:rsid w:val="002F31B6"/>
    <w:rsid w:val="002F71CA"/>
    <w:rsid w:val="003221E6"/>
    <w:rsid w:val="00326412"/>
    <w:rsid w:val="0033539C"/>
    <w:rsid w:val="00350A9F"/>
    <w:rsid w:val="0035253D"/>
    <w:rsid w:val="00356552"/>
    <w:rsid w:val="00357FD1"/>
    <w:rsid w:val="00364F55"/>
    <w:rsid w:val="00365BD3"/>
    <w:rsid w:val="00366E32"/>
    <w:rsid w:val="00371F22"/>
    <w:rsid w:val="003734A7"/>
    <w:rsid w:val="00375A25"/>
    <w:rsid w:val="00377806"/>
    <w:rsid w:val="00386C45"/>
    <w:rsid w:val="003956FF"/>
    <w:rsid w:val="003A4FF8"/>
    <w:rsid w:val="003B3A33"/>
    <w:rsid w:val="003B5B12"/>
    <w:rsid w:val="003D3813"/>
    <w:rsid w:val="003E52B1"/>
    <w:rsid w:val="003E54CE"/>
    <w:rsid w:val="003E608B"/>
    <w:rsid w:val="003F6966"/>
    <w:rsid w:val="00400FC0"/>
    <w:rsid w:val="0040396E"/>
    <w:rsid w:val="00405A27"/>
    <w:rsid w:val="00413093"/>
    <w:rsid w:val="004167C8"/>
    <w:rsid w:val="00434988"/>
    <w:rsid w:val="00435492"/>
    <w:rsid w:val="00437CC4"/>
    <w:rsid w:val="0044331B"/>
    <w:rsid w:val="00445C7D"/>
    <w:rsid w:val="004479DD"/>
    <w:rsid w:val="00450CD8"/>
    <w:rsid w:val="00453DA8"/>
    <w:rsid w:val="00464A3C"/>
    <w:rsid w:val="004671AF"/>
    <w:rsid w:val="00470455"/>
    <w:rsid w:val="00474274"/>
    <w:rsid w:val="00476DCB"/>
    <w:rsid w:val="00481F1A"/>
    <w:rsid w:val="004820FF"/>
    <w:rsid w:val="004821A6"/>
    <w:rsid w:val="00482E89"/>
    <w:rsid w:val="00483509"/>
    <w:rsid w:val="0048642D"/>
    <w:rsid w:val="00487791"/>
    <w:rsid w:val="00490709"/>
    <w:rsid w:val="004C4B71"/>
    <w:rsid w:val="004C6892"/>
    <w:rsid w:val="004D114F"/>
    <w:rsid w:val="004D5C3A"/>
    <w:rsid w:val="004E0DC2"/>
    <w:rsid w:val="004F78E1"/>
    <w:rsid w:val="004F78E5"/>
    <w:rsid w:val="00502E37"/>
    <w:rsid w:val="00504FC9"/>
    <w:rsid w:val="0051084E"/>
    <w:rsid w:val="005139C5"/>
    <w:rsid w:val="005140E3"/>
    <w:rsid w:val="0051589C"/>
    <w:rsid w:val="00531015"/>
    <w:rsid w:val="0053605E"/>
    <w:rsid w:val="00537BF7"/>
    <w:rsid w:val="00543C22"/>
    <w:rsid w:val="00543C81"/>
    <w:rsid w:val="0054609E"/>
    <w:rsid w:val="00546C92"/>
    <w:rsid w:val="005616CC"/>
    <w:rsid w:val="0056303A"/>
    <w:rsid w:val="00571A04"/>
    <w:rsid w:val="00581B53"/>
    <w:rsid w:val="00584F66"/>
    <w:rsid w:val="005931B3"/>
    <w:rsid w:val="00593F3B"/>
    <w:rsid w:val="005A0F02"/>
    <w:rsid w:val="005A1EC1"/>
    <w:rsid w:val="005A1F52"/>
    <w:rsid w:val="005A3996"/>
    <w:rsid w:val="005B0142"/>
    <w:rsid w:val="005B1BD0"/>
    <w:rsid w:val="005B52B4"/>
    <w:rsid w:val="005C4D37"/>
    <w:rsid w:val="005C6E2E"/>
    <w:rsid w:val="005E54DC"/>
    <w:rsid w:val="005F1700"/>
    <w:rsid w:val="0061709A"/>
    <w:rsid w:val="00617B1B"/>
    <w:rsid w:val="0062455C"/>
    <w:rsid w:val="006335AB"/>
    <w:rsid w:val="00633A7A"/>
    <w:rsid w:val="00636D95"/>
    <w:rsid w:val="00641278"/>
    <w:rsid w:val="00642782"/>
    <w:rsid w:val="00647042"/>
    <w:rsid w:val="00651DF4"/>
    <w:rsid w:val="0065593B"/>
    <w:rsid w:val="006559C4"/>
    <w:rsid w:val="006562E3"/>
    <w:rsid w:val="00663DB1"/>
    <w:rsid w:val="00672CFB"/>
    <w:rsid w:val="006739B9"/>
    <w:rsid w:val="0069237D"/>
    <w:rsid w:val="0069258E"/>
    <w:rsid w:val="006A57F3"/>
    <w:rsid w:val="006B1099"/>
    <w:rsid w:val="006B3031"/>
    <w:rsid w:val="006B4944"/>
    <w:rsid w:val="006B7599"/>
    <w:rsid w:val="006C0253"/>
    <w:rsid w:val="006C27F0"/>
    <w:rsid w:val="006D089B"/>
    <w:rsid w:val="006D2CC4"/>
    <w:rsid w:val="006D577E"/>
    <w:rsid w:val="006E1920"/>
    <w:rsid w:val="006E4EB6"/>
    <w:rsid w:val="006E5463"/>
    <w:rsid w:val="00701758"/>
    <w:rsid w:val="0070205E"/>
    <w:rsid w:val="00702893"/>
    <w:rsid w:val="00711B9D"/>
    <w:rsid w:val="0073216C"/>
    <w:rsid w:val="00735CC6"/>
    <w:rsid w:val="0074673D"/>
    <w:rsid w:val="00746995"/>
    <w:rsid w:val="0076336C"/>
    <w:rsid w:val="0076564D"/>
    <w:rsid w:val="00787591"/>
    <w:rsid w:val="00787F0C"/>
    <w:rsid w:val="0079121D"/>
    <w:rsid w:val="0079130E"/>
    <w:rsid w:val="00796BF1"/>
    <w:rsid w:val="00797534"/>
    <w:rsid w:val="007A3DB6"/>
    <w:rsid w:val="007B5FA8"/>
    <w:rsid w:val="007B6437"/>
    <w:rsid w:val="007C609F"/>
    <w:rsid w:val="007D7D97"/>
    <w:rsid w:val="007E1BCD"/>
    <w:rsid w:val="007F2B8C"/>
    <w:rsid w:val="007F40F2"/>
    <w:rsid w:val="007F44B9"/>
    <w:rsid w:val="007F68A7"/>
    <w:rsid w:val="007F6A96"/>
    <w:rsid w:val="007F737B"/>
    <w:rsid w:val="00801A1A"/>
    <w:rsid w:val="0080499B"/>
    <w:rsid w:val="00807E1E"/>
    <w:rsid w:val="00810C22"/>
    <w:rsid w:val="00814B55"/>
    <w:rsid w:val="008216B6"/>
    <w:rsid w:val="0082464B"/>
    <w:rsid w:val="00824B19"/>
    <w:rsid w:val="0082521A"/>
    <w:rsid w:val="008312AD"/>
    <w:rsid w:val="00833EC1"/>
    <w:rsid w:val="00840C91"/>
    <w:rsid w:val="00850001"/>
    <w:rsid w:val="0085397E"/>
    <w:rsid w:val="00865F63"/>
    <w:rsid w:val="00876BCA"/>
    <w:rsid w:val="008868EB"/>
    <w:rsid w:val="008939F4"/>
    <w:rsid w:val="008A2AE6"/>
    <w:rsid w:val="008A32EC"/>
    <w:rsid w:val="008B6B58"/>
    <w:rsid w:val="008D3462"/>
    <w:rsid w:val="008E527B"/>
    <w:rsid w:val="008E5AD8"/>
    <w:rsid w:val="008F3D09"/>
    <w:rsid w:val="008F621A"/>
    <w:rsid w:val="00915690"/>
    <w:rsid w:val="009158B4"/>
    <w:rsid w:val="0092055B"/>
    <w:rsid w:val="009270BF"/>
    <w:rsid w:val="00933441"/>
    <w:rsid w:val="00937DB4"/>
    <w:rsid w:val="009418FC"/>
    <w:rsid w:val="00943E6E"/>
    <w:rsid w:val="00944546"/>
    <w:rsid w:val="00960A6A"/>
    <w:rsid w:val="009652AA"/>
    <w:rsid w:val="00974140"/>
    <w:rsid w:val="00975E90"/>
    <w:rsid w:val="00981B5B"/>
    <w:rsid w:val="00991D2C"/>
    <w:rsid w:val="009947C8"/>
    <w:rsid w:val="00995EFF"/>
    <w:rsid w:val="00996342"/>
    <w:rsid w:val="009973BD"/>
    <w:rsid w:val="009B211D"/>
    <w:rsid w:val="009B39DF"/>
    <w:rsid w:val="009B5557"/>
    <w:rsid w:val="009C466A"/>
    <w:rsid w:val="009D3195"/>
    <w:rsid w:val="009E2F9F"/>
    <w:rsid w:val="009E64BA"/>
    <w:rsid w:val="009F1868"/>
    <w:rsid w:val="00A06CDF"/>
    <w:rsid w:val="00A13597"/>
    <w:rsid w:val="00A13ECC"/>
    <w:rsid w:val="00A221FC"/>
    <w:rsid w:val="00A2716B"/>
    <w:rsid w:val="00A353F3"/>
    <w:rsid w:val="00A53D29"/>
    <w:rsid w:val="00A679FE"/>
    <w:rsid w:val="00A70E29"/>
    <w:rsid w:val="00A73B69"/>
    <w:rsid w:val="00A85766"/>
    <w:rsid w:val="00A94670"/>
    <w:rsid w:val="00A959E1"/>
    <w:rsid w:val="00AA4467"/>
    <w:rsid w:val="00AC045F"/>
    <w:rsid w:val="00AC21A7"/>
    <w:rsid w:val="00AC2DD4"/>
    <w:rsid w:val="00AC50ED"/>
    <w:rsid w:val="00AC7CD6"/>
    <w:rsid w:val="00AD14BF"/>
    <w:rsid w:val="00AD32CD"/>
    <w:rsid w:val="00AD5C81"/>
    <w:rsid w:val="00AD5E49"/>
    <w:rsid w:val="00AD5E77"/>
    <w:rsid w:val="00AE0384"/>
    <w:rsid w:val="00AE36FF"/>
    <w:rsid w:val="00AE53DF"/>
    <w:rsid w:val="00AF1CAF"/>
    <w:rsid w:val="00B022E2"/>
    <w:rsid w:val="00B059C1"/>
    <w:rsid w:val="00B12251"/>
    <w:rsid w:val="00B16C4A"/>
    <w:rsid w:val="00B203A6"/>
    <w:rsid w:val="00B20A3C"/>
    <w:rsid w:val="00B307A1"/>
    <w:rsid w:val="00B33EAF"/>
    <w:rsid w:val="00B5322F"/>
    <w:rsid w:val="00B538BA"/>
    <w:rsid w:val="00B538DD"/>
    <w:rsid w:val="00B611D2"/>
    <w:rsid w:val="00B67E2B"/>
    <w:rsid w:val="00B7698C"/>
    <w:rsid w:val="00BA04E1"/>
    <w:rsid w:val="00BB7030"/>
    <w:rsid w:val="00BC24E0"/>
    <w:rsid w:val="00BC3D2E"/>
    <w:rsid w:val="00BC505F"/>
    <w:rsid w:val="00BC6AC3"/>
    <w:rsid w:val="00BD43DB"/>
    <w:rsid w:val="00BD696C"/>
    <w:rsid w:val="00BE6326"/>
    <w:rsid w:val="00BE72B0"/>
    <w:rsid w:val="00BF2EC5"/>
    <w:rsid w:val="00BF6197"/>
    <w:rsid w:val="00C00CB7"/>
    <w:rsid w:val="00C10249"/>
    <w:rsid w:val="00C10558"/>
    <w:rsid w:val="00C2766F"/>
    <w:rsid w:val="00C3051C"/>
    <w:rsid w:val="00C317F8"/>
    <w:rsid w:val="00C33B16"/>
    <w:rsid w:val="00C51102"/>
    <w:rsid w:val="00C5408D"/>
    <w:rsid w:val="00C55AB6"/>
    <w:rsid w:val="00C611E7"/>
    <w:rsid w:val="00C617AD"/>
    <w:rsid w:val="00C61DCA"/>
    <w:rsid w:val="00C64C48"/>
    <w:rsid w:val="00C67F27"/>
    <w:rsid w:val="00C76A56"/>
    <w:rsid w:val="00C86485"/>
    <w:rsid w:val="00C87F41"/>
    <w:rsid w:val="00C92F51"/>
    <w:rsid w:val="00C93227"/>
    <w:rsid w:val="00C94BC7"/>
    <w:rsid w:val="00CA0B15"/>
    <w:rsid w:val="00CA43B5"/>
    <w:rsid w:val="00CA4D3D"/>
    <w:rsid w:val="00CB1FA7"/>
    <w:rsid w:val="00CC0F51"/>
    <w:rsid w:val="00CD2B0A"/>
    <w:rsid w:val="00CE5074"/>
    <w:rsid w:val="00CE77D0"/>
    <w:rsid w:val="00CF3933"/>
    <w:rsid w:val="00D0175F"/>
    <w:rsid w:val="00D03EA1"/>
    <w:rsid w:val="00D07982"/>
    <w:rsid w:val="00D23FBB"/>
    <w:rsid w:val="00D30931"/>
    <w:rsid w:val="00D3198F"/>
    <w:rsid w:val="00D359FF"/>
    <w:rsid w:val="00D46685"/>
    <w:rsid w:val="00D4683F"/>
    <w:rsid w:val="00D468EE"/>
    <w:rsid w:val="00D50F63"/>
    <w:rsid w:val="00D5285F"/>
    <w:rsid w:val="00D66723"/>
    <w:rsid w:val="00D70B2B"/>
    <w:rsid w:val="00D7441F"/>
    <w:rsid w:val="00D978DA"/>
    <w:rsid w:val="00DA2076"/>
    <w:rsid w:val="00DA6046"/>
    <w:rsid w:val="00DA712C"/>
    <w:rsid w:val="00DC1ED4"/>
    <w:rsid w:val="00DC2B59"/>
    <w:rsid w:val="00DC382E"/>
    <w:rsid w:val="00DD1551"/>
    <w:rsid w:val="00DE3E3B"/>
    <w:rsid w:val="00DF1136"/>
    <w:rsid w:val="00DF11EF"/>
    <w:rsid w:val="00DF5F3E"/>
    <w:rsid w:val="00DF734A"/>
    <w:rsid w:val="00E007DD"/>
    <w:rsid w:val="00E0091E"/>
    <w:rsid w:val="00E03144"/>
    <w:rsid w:val="00E04811"/>
    <w:rsid w:val="00E226E8"/>
    <w:rsid w:val="00E22D5C"/>
    <w:rsid w:val="00E3018C"/>
    <w:rsid w:val="00E45519"/>
    <w:rsid w:val="00E55964"/>
    <w:rsid w:val="00E60B0A"/>
    <w:rsid w:val="00E638DE"/>
    <w:rsid w:val="00E737DD"/>
    <w:rsid w:val="00E83343"/>
    <w:rsid w:val="00E84DCD"/>
    <w:rsid w:val="00E87752"/>
    <w:rsid w:val="00E92B09"/>
    <w:rsid w:val="00EA45EC"/>
    <w:rsid w:val="00EA7802"/>
    <w:rsid w:val="00EB250F"/>
    <w:rsid w:val="00EB3521"/>
    <w:rsid w:val="00EB3D5E"/>
    <w:rsid w:val="00EB5163"/>
    <w:rsid w:val="00EC41D1"/>
    <w:rsid w:val="00ED06EB"/>
    <w:rsid w:val="00EF1752"/>
    <w:rsid w:val="00EF1EEE"/>
    <w:rsid w:val="00EF645B"/>
    <w:rsid w:val="00EF75ED"/>
    <w:rsid w:val="00F04B32"/>
    <w:rsid w:val="00F2132D"/>
    <w:rsid w:val="00F25A6D"/>
    <w:rsid w:val="00F2680F"/>
    <w:rsid w:val="00F360C4"/>
    <w:rsid w:val="00F46CD5"/>
    <w:rsid w:val="00F775ED"/>
    <w:rsid w:val="00F82416"/>
    <w:rsid w:val="00F82491"/>
    <w:rsid w:val="00F8274C"/>
    <w:rsid w:val="00F82F26"/>
    <w:rsid w:val="00F91005"/>
    <w:rsid w:val="00FA0BF8"/>
    <w:rsid w:val="00FA68A6"/>
    <w:rsid w:val="00FA70E8"/>
    <w:rsid w:val="00FC14A7"/>
    <w:rsid w:val="00FC441B"/>
    <w:rsid w:val="00FD4292"/>
    <w:rsid w:val="00FD59D8"/>
    <w:rsid w:val="00FE30FC"/>
    <w:rsid w:val="00FE405A"/>
    <w:rsid w:val="00FE523F"/>
    <w:rsid w:val="00FF189E"/>
    <w:rsid w:val="00FF1ACE"/>
    <w:rsid w:val="00FF5928"/>
    <w:rsid w:val="00FF7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85AAA"/>
  <w14:defaultImageDpi w14:val="300"/>
  <w15:docId w15:val="{F3A3BA0B-9F6B-4FE2-8500-ABC8B9500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6485"/>
    <w:pPr>
      <w:keepNext/>
      <w:keepLines/>
      <w:numPr>
        <w:numId w:val="5"/>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86485"/>
    <w:pPr>
      <w:keepNext/>
      <w:keepLines/>
      <w:numPr>
        <w:ilvl w:val="1"/>
        <w:numId w:val="5"/>
      </w:numPr>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nhideWhenUsed/>
    <w:qFormat/>
    <w:rsid w:val="00DA2076"/>
    <w:pPr>
      <w:keepNext/>
      <w:keepLines/>
      <w:numPr>
        <w:ilvl w:val="2"/>
        <w:numId w:val="5"/>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DA2076"/>
    <w:pPr>
      <w:keepNext/>
      <w:keepLines/>
      <w:numPr>
        <w:ilvl w:val="3"/>
        <w:numId w:val="5"/>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A2076"/>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A2076"/>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A2076"/>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A2076"/>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076"/>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A94670"/>
    <w:pPr>
      <w:ind w:left="720"/>
      <w:contextualSpacing/>
    </w:pPr>
  </w:style>
  <w:style w:type="paragraph" w:styleId="NormalWeb">
    <w:name w:val="Normal (Web)"/>
    <w:basedOn w:val="Normal"/>
    <w:uiPriority w:val="99"/>
    <w:unhideWhenUsed/>
    <w:rsid w:val="00A94670"/>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C86485"/>
    <w:rPr>
      <w:rFonts w:asciiTheme="majorHAnsi" w:eastAsiaTheme="majorEastAsia" w:hAnsiTheme="majorHAnsi" w:cstheme="majorBidi"/>
      <w:b/>
      <w:bCs/>
      <w:szCs w:val="26"/>
    </w:rPr>
  </w:style>
  <w:style w:type="character" w:customStyle="1" w:styleId="tlid-translation">
    <w:name w:val="tlid-translation"/>
    <w:basedOn w:val="DefaultParagraphFont"/>
    <w:rsid w:val="00C86485"/>
  </w:style>
  <w:style w:type="character" w:customStyle="1" w:styleId="Heading1Char">
    <w:name w:val="Heading 1 Char"/>
    <w:basedOn w:val="DefaultParagraphFont"/>
    <w:link w:val="Heading1"/>
    <w:uiPriority w:val="9"/>
    <w:rsid w:val="00C86485"/>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86485"/>
  </w:style>
  <w:style w:type="character" w:customStyle="1" w:styleId="MessageHeaderLabel">
    <w:name w:val="Message Header Label"/>
    <w:uiPriority w:val="99"/>
    <w:rsid w:val="00C86485"/>
    <w:rPr>
      <w:rFonts w:ascii="Arial Black" w:hAnsi="Arial Black" w:cs="Arial Black"/>
      <w:spacing w:val="-10"/>
      <w:sz w:val="18"/>
      <w:szCs w:val="18"/>
    </w:rPr>
  </w:style>
  <w:style w:type="paragraph" w:customStyle="1" w:styleId="Normal1">
    <w:name w:val="Normal1"/>
    <w:basedOn w:val="Normal"/>
    <w:rsid w:val="00C86485"/>
    <w:rPr>
      <w:rFonts w:ascii="Times New Roman" w:eastAsiaTheme="minorHAnsi" w:hAnsi="Times New Roman" w:cs="Times New Roman"/>
    </w:rPr>
  </w:style>
  <w:style w:type="paragraph" w:styleId="Quote">
    <w:name w:val="Quote"/>
    <w:basedOn w:val="Normal"/>
    <w:next w:val="Normal"/>
    <w:link w:val="QuoteChar"/>
    <w:uiPriority w:val="29"/>
    <w:qFormat/>
    <w:rsid w:val="00C86485"/>
    <w:rPr>
      <w:rFonts w:ascii="Times New Roman" w:eastAsia="Times New Roman" w:hAnsi="Times New Roman" w:cs="Times New Roman"/>
      <w:i/>
      <w:iCs/>
      <w:color w:val="000000" w:themeColor="text1"/>
    </w:rPr>
  </w:style>
  <w:style w:type="character" w:customStyle="1" w:styleId="QuoteChar">
    <w:name w:val="Quote Char"/>
    <w:basedOn w:val="DefaultParagraphFont"/>
    <w:link w:val="Quote"/>
    <w:uiPriority w:val="29"/>
    <w:rsid w:val="00C86485"/>
    <w:rPr>
      <w:rFonts w:ascii="Times New Roman" w:eastAsia="Times New Roman" w:hAnsi="Times New Roman" w:cs="Times New Roman"/>
      <w:i/>
      <w:iCs/>
      <w:color w:val="000000" w:themeColor="text1"/>
    </w:rPr>
  </w:style>
  <w:style w:type="character" w:customStyle="1" w:styleId="Heading3Char">
    <w:name w:val="Heading 3 Char"/>
    <w:basedOn w:val="DefaultParagraphFont"/>
    <w:link w:val="Heading3"/>
    <w:rsid w:val="00DA2076"/>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rsid w:val="00DA207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A207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A207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A207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A20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2076"/>
    <w:rPr>
      <w:rFonts w:asciiTheme="majorHAnsi" w:eastAsiaTheme="majorEastAsia" w:hAnsiTheme="majorHAnsi" w:cstheme="majorBidi"/>
      <w:i/>
      <w:iCs/>
      <w:color w:val="272727" w:themeColor="text1" w:themeTint="D8"/>
      <w:sz w:val="21"/>
      <w:szCs w:val="21"/>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footnote text"/>
    <w:basedOn w:val="Normal"/>
    <w:link w:val="FootnoteTextChar"/>
    <w:uiPriority w:val="99"/>
    <w:unhideWhenUsed/>
    <w:rsid w:val="00BC6AC3"/>
    <w:rPr>
      <w:sz w:val="20"/>
      <w:szCs w:val="20"/>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rsid w:val="00BC6AC3"/>
    <w:rPr>
      <w:sz w:val="20"/>
      <w:szCs w:val="20"/>
    </w:rPr>
  </w:style>
  <w:style w:type="character" w:styleId="FootnoteReference">
    <w:name w:val="footnote reference"/>
    <w:aliases w:val="ftref,BVI fnr,16 Point,Superscript 6 Point,fr,Footnote symbol,Footnote Reference Arial,nota pié di pagina,Footnote reference number,Times 10 Point,Exposant 3 Point,EN Footnote Reference,note TESI,Footnote Reference Char Char Char"/>
    <w:basedOn w:val="DefaultParagraphFont"/>
    <w:uiPriority w:val="99"/>
    <w:unhideWhenUsed/>
    <w:rsid w:val="00BC6AC3"/>
    <w:rPr>
      <w:vertAlign w:val="superscript"/>
    </w:rPr>
  </w:style>
  <w:style w:type="paragraph" w:styleId="Caption">
    <w:name w:val="caption"/>
    <w:basedOn w:val="Normal"/>
    <w:next w:val="Normal"/>
    <w:uiPriority w:val="35"/>
    <w:unhideWhenUsed/>
    <w:qFormat/>
    <w:rsid w:val="0033539C"/>
    <w:pPr>
      <w:spacing w:after="200"/>
    </w:pPr>
    <w:rPr>
      <w:i/>
      <w:iCs/>
      <w:color w:val="1F497D" w:themeColor="text2"/>
      <w:sz w:val="18"/>
      <w:szCs w:val="18"/>
    </w:rPr>
  </w:style>
  <w:style w:type="paragraph" w:styleId="BalloonText">
    <w:name w:val="Balloon Text"/>
    <w:basedOn w:val="Normal"/>
    <w:link w:val="BalloonTextChar"/>
    <w:uiPriority w:val="99"/>
    <w:unhideWhenUsed/>
    <w:rsid w:val="00E8775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87752"/>
    <w:rPr>
      <w:rFonts w:ascii="Lucida Grande" w:hAnsi="Lucida Grande" w:cs="Lucida Grande"/>
      <w:sz w:val="18"/>
      <w:szCs w:val="18"/>
    </w:rPr>
  </w:style>
  <w:style w:type="table" w:styleId="TableGrid">
    <w:name w:val="Table Grid"/>
    <w:basedOn w:val="TableNormal"/>
    <w:uiPriority w:val="59"/>
    <w:rsid w:val="00865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87591"/>
    <w:rPr>
      <w:sz w:val="16"/>
      <w:szCs w:val="16"/>
    </w:rPr>
  </w:style>
  <w:style w:type="paragraph" w:styleId="CommentText">
    <w:name w:val="annotation text"/>
    <w:basedOn w:val="Normal"/>
    <w:link w:val="CommentTextChar"/>
    <w:uiPriority w:val="99"/>
    <w:semiHidden/>
    <w:unhideWhenUsed/>
    <w:rsid w:val="00787591"/>
    <w:rPr>
      <w:sz w:val="20"/>
      <w:szCs w:val="20"/>
    </w:rPr>
  </w:style>
  <w:style w:type="character" w:customStyle="1" w:styleId="CommentTextChar">
    <w:name w:val="Comment Text Char"/>
    <w:basedOn w:val="DefaultParagraphFont"/>
    <w:link w:val="CommentText"/>
    <w:uiPriority w:val="99"/>
    <w:semiHidden/>
    <w:rsid w:val="00787591"/>
    <w:rPr>
      <w:sz w:val="20"/>
      <w:szCs w:val="20"/>
    </w:rPr>
  </w:style>
  <w:style w:type="paragraph" w:styleId="CommentSubject">
    <w:name w:val="annotation subject"/>
    <w:basedOn w:val="CommentText"/>
    <w:next w:val="CommentText"/>
    <w:link w:val="CommentSubjectChar"/>
    <w:uiPriority w:val="99"/>
    <w:semiHidden/>
    <w:unhideWhenUsed/>
    <w:rsid w:val="00787591"/>
    <w:rPr>
      <w:b/>
      <w:bCs/>
    </w:rPr>
  </w:style>
  <w:style w:type="character" w:customStyle="1" w:styleId="CommentSubjectChar">
    <w:name w:val="Comment Subject Char"/>
    <w:basedOn w:val="CommentTextChar"/>
    <w:link w:val="CommentSubject"/>
    <w:uiPriority w:val="99"/>
    <w:semiHidden/>
    <w:rsid w:val="00787591"/>
    <w:rPr>
      <w:b/>
      <w:bCs/>
      <w:sz w:val="20"/>
      <w:szCs w:val="20"/>
    </w:rPr>
  </w:style>
  <w:style w:type="table" w:customStyle="1" w:styleId="GridTable4-Accent11">
    <w:name w:val="Grid Table 4 - Accent 11"/>
    <w:basedOn w:val="TableNormal"/>
    <w:uiPriority w:val="49"/>
    <w:rsid w:val="0035253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350D2"/>
    <w:rPr>
      <w:color w:val="0000FF" w:themeColor="hyperlink"/>
      <w:u w:val="single"/>
    </w:rPr>
  </w:style>
  <w:style w:type="table" w:customStyle="1" w:styleId="ListTable3-Accent51">
    <w:name w:val="List Table 3 - Accent 51"/>
    <w:basedOn w:val="TableNormal"/>
    <w:next w:val="ListTable3-Accent52"/>
    <w:uiPriority w:val="48"/>
    <w:rsid w:val="00DC2B59"/>
    <w:rPr>
      <w:rFonts w:ascii="Times New Roman" w:eastAsiaTheme="minorHAnsi" w:hAnsi="Times New Roman" w:cs="Times New Roman"/>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DC2B5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Footer">
    <w:name w:val="footer"/>
    <w:basedOn w:val="Normal"/>
    <w:link w:val="FooterChar"/>
    <w:uiPriority w:val="99"/>
    <w:rsid w:val="00DC2B59"/>
    <w:pPr>
      <w:tabs>
        <w:tab w:val="center" w:pos="4680"/>
        <w:tab w:val="right" w:pos="936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DC2B59"/>
    <w:rPr>
      <w:rFonts w:ascii="Times New Roman" w:eastAsia="Times New Roman" w:hAnsi="Times New Roman" w:cs="Times New Roman"/>
    </w:rPr>
  </w:style>
  <w:style w:type="paragraph" w:customStyle="1" w:styleId="Default">
    <w:name w:val="Default"/>
    <w:rsid w:val="003734A7"/>
    <w:pPr>
      <w:autoSpaceDE w:val="0"/>
      <w:autoSpaceDN w:val="0"/>
      <w:adjustRightInd w:val="0"/>
    </w:pPr>
    <w:rPr>
      <w:rFonts w:ascii="Times New Roman" w:eastAsia="Batang" w:hAnsi="Times New Roman" w:cs="Times New Roman"/>
      <w:color w:val="000000"/>
      <w:lang w:eastAsia="ko-KR"/>
    </w:rPr>
  </w:style>
  <w:style w:type="paragraph" w:styleId="Subtitle">
    <w:name w:val="Subtitle"/>
    <w:basedOn w:val="Normal"/>
    <w:next w:val="Normal"/>
    <w:link w:val="SubtitleChar"/>
    <w:uiPriority w:val="11"/>
    <w:qFormat/>
    <w:rsid w:val="003734A7"/>
    <w:pPr>
      <w:numPr>
        <w:ilvl w:val="1"/>
      </w:numPr>
    </w:pPr>
    <w:rPr>
      <w:rFonts w:ascii="Times New Roman" w:eastAsiaTheme="majorEastAsia" w:hAnsi="Times New Roman" w:cstheme="majorBidi"/>
      <w:i/>
      <w:iCs/>
      <w:spacing w:val="15"/>
    </w:rPr>
  </w:style>
  <w:style w:type="character" w:customStyle="1" w:styleId="SubtitleChar">
    <w:name w:val="Subtitle Char"/>
    <w:basedOn w:val="DefaultParagraphFont"/>
    <w:link w:val="Subtitle"/>
    <w:uiPriority w:val="11"/>
    <w:rsid w:val="003734A7"/>
    <w:rPr>
      <w:rFonts w:ascii="Times New Roman" w:eastAsiaTheme="majorEastAsia" w:hAnsi="Times New Roman" w:cstheme="majorBidi"/>
      <w:i/>
      <w:iCs/>
      <w:spacing w:val="15"/>
    </w:rPr>
  </w:style>
  <w:style w:type="paragraph" w:styleId="Header">
    <w:name w:val="header"/>
    <w:basedOn w:val="Normal"/>
    <w:link w:val="HeaderChar"/>
    <w:uiPriority w:val="99"/>
    <w:rsid w:val="003734A7"/>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3734A7"/>
    <w:rPr>
      <w:rFonts w:ascii="Times New Roman" w:eastAsia="Times New Roman" w:hAnsi="Times New Roman" w:cs="Times New Roman"/>
    </w:rPr>
  </w:style>
  <w:style w:type="paragraph" w:styleId="EndnoteText">
    <w:name w:val="endnote text"/>
    <w:basedOn w:val="Normal"/>
    <w:link w:val="EndnoteTextChar"/>
    <w:rsid w:val="003734A7"/>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734A7"/>
    <w:rPr>
      <w:rFonts w:ascii="Times New Roman" w:eastAsia="Times New Roman" w:hAnsi="Times New Roman" w:cs="Times New Roman"/>
      <w:sz w:val="20"/>
      <w:szCs w:val="20"/>
    </w:rPr>
  </w:style>
  <w:style w:type="character" w:styleId="EndnoteReference">
    <w:name w:val="endnote reference"/>
    <w:basedOn w:val="DefaultParagraphFont"/>
    <w:rsid w:val="003734A7"/>
    <w:rPr>
      <w:vertAlign w:val="superscript"/>
    </w:rPr>
  </w:style>
  <w:style w:type="paragraph" w:styleId="TOCHeading">
    <w:name w:val="TOC Heading"/>
    <w:basedOn w:val="Heading1"/>
    <w:next w:val="Normal"/>
    <w:uiPriority w:val="39"/>
    <w:unhideWhenUsed/>
    <w:qFormat/>
    <w:rsid w:val="003734A7"/>
    <w:pPr>
      <w:numPr>
        <w:numId w:val="0"/>
      </w:numPr>
      <w:spacing w:before="480" w:line="276" w:lineRule="auto"/>
      <w:outlineLvl w:val="9"/>
    </w:pPr>
    <w:rPr>
      <w:b/>
      <w:bCs/>
      <w:sz w:val="28"/>
      <w:szCs w:val="28"/>
    </w:rPr>
  </w:style>
  <w:style w:type="paragraph" w:styleId="TOC1">
    <w:name w:val="toc 1"/>
    <w:basedOn w:val="Normal"/>
    <w:next w:val="Normal"/>
    <w:autoRedefine/>
    <w:uiPriority w:val="39"/>
    <w:qFormat/>
    <w:rsid w:val="003734A7"/>
    <w:pPr>
      <w:tabs>
        <w:tab w:val="left" w:pos="480"/>
        <w:tab w:val="left" w:pos="9090"/>
      </w:tabs>
      <w:spacing w:before="240" w:after="100" w:line="360" w:lineRule="auto"/>
    </w:pPr>
    <w:rPr>
      <w:rFonts w:asciiTheme="majorHAnsi" w:eastAsia="Times New Roman" w:hAnsiTheme="majorHAnsi" w:cs="Times New Roman"/>
      <w:b/>
      <w:noProof/>
      <w:color w:val="0070C0"/>
      <w:sz w:val="28"/>
      <w:lang w:val="sq-AL"/>
    </w:rPr>
  </w:style>
  <w:style w:type="paragraph" w:styleId="TOC2">
    <w:name w:val="toc 2"/>
    <w:basedOn w:val="Normal"/>
    <w:next w:val="Normal"/>
    <w:autoRedefine/>
    <w:uiPriority w:val="39"/>
    <w:qFormat/>
    <w:rsid w:val="000A14BC"/>
    <w:pPr>
      <w:tabs>
        <w:tab w:val="left" w:pos="880"/>
        <w:tab w:val="right" w:leader="dot" w:pos="9270"/>
      </w:tabs>
      <w:spacing w:after="100" w:line="276" w:lineRule="auto"/>
      <w:ind w:left="240"/>
      <w:jc w:val="both"/>
    </w:pPr>
    <w:rPr>
      <w:rFonts w:asciiTheme="majorHAnsi" w:eastAsia="Times New Roman" w:hAnsiTheme="majorHAnsi" w:cs="Times New Roman"/>
      <w:b/>
      <w:noProof/>
      <w:lang w:val="sq-AL"/>
    </w:rPr>
  </w:style>
  <w:style w:type="paragraph" w:styleId="TOC3">
    <w:name w:val="toc 3"/>
    <w:basedOn w:val="Normal"/>
    <w:next w:val="Normal"/>
    <w:autoRedefine/>
    <w:uiPriority w:val="39"/>
    <w:qFormat/>
    <w:rsid w:val="00140052"/>
    <w:pPr>
      <w:tabs>
        <w:tab w:val="left" w:pos="1320"/>
        <w:tab w:val="right" w:pos="10520"/>
      </w:tabs>
      <w:spacing w:after="100"/>
      <w:ind w:left="480"/>
      <w:jc w:val="center"/>
    </w:pPr>
    <w:rPr>
      <w:rFonts w:ascii="Times New Roman" w:eastAsia="Times New Roman" w:hAnsi="Times New Roman" w:cs="Times New Roman"/>
    </w:rPr>
  </w:style>
  <w:style w:type="paragraph" w:styleId="TOC4">
    <w:name w:val="toc 4"/>
    <w:basedOn w:val="Normal"/>
    <w:next w:val="Normal"/>
    <w:autoRedefine/>
    <w:uiPriority w:val="39"/>
    <w:rsid w:val="003734A7"/>
    <w:pPr>
      <w:spacing w:after="100"/>
      <w:ind w:left="720"/>
    </w:pPr>
    <w:rPr>
      <w:rFonts w:ascii="Times New Roman" w:eastAsia="Times New Roman" w:hAnsi="Times New Roman" w:cs="Times New Roman"/>
    </w:rPr>
  </w:style>
  <w:style w:type="paragraph" w:styleId="NoSpacing">
    <w:name w:val="No Spacing"/>
    <w:uiPriority w:val="1"/>
    <w:qFormat/>
    <w:rsid w:val="003734A7"/>
    <w:rPr>
      <w:rFonts w:eastAsiaTheme="minorHAnsi"/>
      <w:sz w:val="22"/>
      <w:szCs w:val="22"/>
    </w:rPr>
  </w:style>
  <w:style w:type="character" w:customStyle="1" w:styleId="hps">
    <w:name w:val="hps"/>
    <w:basedOn w:val="DefaultParagraphFont"/>
    <w:uiPriority w:val="99"/>
    <w:rsid w:val="003734A7"/>
  </w:style>
  <w:style w:type="table" w:customStyle="1" w:styleId="TableGridLight1">
    <w:name w:val="Table Grid Light1"/>
    <w:basedOn w:val="TableNormal"/>
    <w:uiPriority w:val="40"/>
    <w:rsid w:val="003734A7"/>
    <w:rPr>
      <w:rFonts w:eastAsiaTheme="minorHAns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734A7"/>
    <w:pPr>
      <w:pBdr>
        <w:top w:val="nil"/>
        <w:left w:val="nil"/>
        <w:bottom w:val="single" w:sz="8" w:space="4" w:color="4F81BD" w:themeColor="accent1"/>
        <w:right w:val="nil"/>
        <w:between w:val="nil"/>
        <w:bar w:val="nil"/>
      </w:pBdr>
      <w:spacing w:after="300"/>
      <w:contextualSpacing/>
    </w:pPr>
    <w:rPr>
      <w:rFonts w:asciiTheme="majorHAnsi" w:eastAsiaTheme="majorEastAsia" w:hAnsiTheme="majorHAnsi" w:cstheme="majorBidi"/>
      <w:color w:val="17365D" w:themeColor="text2" w:themeShade="BF"/>
      <w:spacing w:val="5"/>
      <w:kern w:val="28"/>
      <w:sz w:val="52"/>
      <w:szCs w:val="52"/>
      <w:bdr w:val="nil"/>
      <w:lang w:val="hr-HR"/>
    </w:rPr>
  </w:style>
  <w:style w:type="character" w:customStyle="1" w:styleId="TitleChar">
    <w:name w:val="Title Char"/>
    <w:basedOn w:val="DefaultParagraphFont"/>
    <w:link w:val="Title"/>
    <w:uiPriority w:val="10"/>
    <w:rsid w:val="003734A7"/>
    <w:rPr>
      <w:rFonts w:asciiTheme="majorHAnsi" w:eastAsiaTheme="majorEastAsia" w:hAnsiTheme="majorHAnsi" w:cstheme="majorBidi"/>
      <w:color w:val="17365D" w:themeColor="text2" w:themeShade="BF"/>
      <w:spacing w:val="5"/>
      <w:kern w:val="28"/>
      <w:sz w:val="52"/>
      <w:szCs w:val="52"/>
      <w:bdr w:val="nil"/>
      <w:lang w:val="hr-HR"/>
    </w:rPr>
  </w:style>
  <w:style w:type="paragraph" w:styleId="TableofFigures">
    <w:name w:val="table of figures"/>
    <w:basedOn w:val="Normal"/>
    <w:next w:val="Normal"/>
    <w:uiPriority w:val="99"/>
    <w:unhideWhenUsed/>
    <w:rsid w:val="003734A7"/>
    <w:rPr>
      <w:rFonts w:ascii="Times New Roman" w:eastAsia="Times New Roman" w:hAnsi="Times New Roman" w:cs="Times New Roman"/>
    </w:rPr>
  </w:style>
  <w:style w:type="table" w:customStyle="1" w:styleId="PlainTable11">
    <w:name w:val="Plain Table 11"/>
    <w:basedOn w:val="TableNormal"/>
    <w:uiPriority w:val="41"/>
    <w:rsid w:val="003734A7"/>
    <w:rPr>
      <w:rFonts w:ascii="Times New Roman" w:eastAsiaTheme="minorHAnsi"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734A7"/>
    <w:rPr>
      <w:rFonts w:ascii="Times New Roman" w:eastAsia="Times New Roman" w:hAnsi="Times New Roman" w:cs="Times New Roman"/>
    </w:rPr>
  </w:style>
  <w:style w:type="table" w:customStyle="1" w:styleId="ListTable3-Accent11">
    <w:name w:val="List Table 3 - Accent 11"/>
    <w:basedOn w:val="TableNormal"/>
    <w:uiPriority w:val="48"/>
    <w:rsid w:val="003734A7"/>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5Dark-Accent11">
    <w:name w:val="Grid Table 5 Dark - Accent 11"/>
    <w:basedOn w:val="TableNormal"/>
    <w:uiPriority w:val="50"/>
    <w:rsid w:val="003734A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1Light-Accent11">
    <w:name w:val="Grid Table 1 Light - Accent 11"/>
    <w:basedOn w:val="TableNormal"/>
    <w:uiPriority w:val="46"/>
    <w:rsid w:val="00386C45"/>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C2766F"/>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4Char1">
    <w:name w:val="Heading 4 Char1"/>
    <w:basedOn w:val="DefaultParagraphFont"/>
    <w:uiPriority w:val="9"/>
    <w:semiHidden/>
    <w:rsid w:val="00D70B2B"/>
    <w:rPr>
      <w:rFonts w:asciiTheme="majorHAnsi" w:eastAsiaTheme="majorEastAsia" w:hAnsiTheme="majorHAnsi" w:cstheme="majorBidi"/>
      <w:i/>
      <w:iCs/>
      <w:color w:val="365F91" w:themeColor="accent1" w:themeShade="BF"/>
    </w:rPr>
  </w:style>
  <w:style w:type="table" w:customStyle="1" w:styleId="TableGridLight11">
    <w:name w:val="Table Grid Light11"/>
    <w:basedOn w:val="TableNormal"/>
    <w:next w:val="TableNormal"/>
    <w:uiPriority w:val="40"/>
    <w:rsid w:val="00D70B2B"/>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2">
    <w:name w:val="Table Grid Light12"/>
    <w:basedOn w:val="TableNormal"/>
    <w:next w:val="TableNormal"/>
    <w:uiPriority w:val="40"/>
    <w:rsid w:val="00D70B2B"/>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3">
    <w:name w:val="Table Grid Light13"/>
    <w:basedOn w:val="TableNormal"/>
    <w:next w:val="TableNormal"/>
    <w:uiPriority w:val="40"/>
    <w:rsid w:val="00C611E7"/>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4">
    <w:name w:val="Table Grid Light14"/>
    <w:basedOn w:val="TableNormal"/>
    <w:next w:val="TableNormal"/>
    <w:uiPriority w:val="40"/>
    <w:rsid w:val="00AD5C81"/>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5">
    <w:name w:val="Table Grid Light15"/>
    <w:basedOn w:val="TableNormal"/>
    <w:next w:val="TableNormal"/>
    <w:uiPriority w:val="40"/>
    <w:rsid w:val="009D3195"/>
    <w:rPr>
      <w:rFonts w:eastAsiaTheme="minorHAns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20984">
      <w:bodyDiv w:val="1"/>
      <w:marLeft w:val="0"/>
      <w:marRight w:val="0"/>
      <w:marTop w:val="0"/>
      <w:marBottom w:val="0"/>
      <w:divBdr>
        <w:top w:val="none" w:sz="0" w:space="0" w:color="auto"/>
        <w:left w:val="none" w:sz="0" w:space="0" w:color="auto"/>
        <w:bottom w:val="none" w:sz="0" w:space="0" w:color="auto"/>
        <w:right w:val="none" w:sz="0" w:space="0" w:color="auto"/>
      </w:divBdr>
    </w:div>
    <w:div w:id="153837409">
      <w:bodyDiv w:val="1"/>
      <w:marLeft w:val="0"/>
      <w:marRight w:val="0"/>
      <w:marTop w:val="0"/>
      <w:marBottom w:val="0"/>
      <w:divBdr>
        <w:top w:val="none" w:sz="0" w:space="0" w:color="auto"/>
        <w:left w:val="none" w:sz="0" w:space="0" w:color="auto"/>
        <w:bottom w:val="none" w:sz="0" w:space="0" w:color="auto"/>
        <w:right w:val="none" w:sz="0" w:space="0" w:color="auto"/>
      </w:divBdr>
    </w:div>
    <w:div w:id="163131077">
      <w:bodyDiv w:val="1"/>
      <w:marLeft w:val="0"/>
      <w:marRight w:val="0"/>
      <w:marTop w:val="0"/>
      <w:marBottom w:val="0"/>
      <w:divBdr>
        <w:top w:val="none" w:sz="0" w:space="0" w:color="auto"/>
        <w:left w:val="none" w:sz="0" w:space="0" w:color="auto"/>
        <w:bottom w:val="none" w:sz="0" w:space="0" w:color="auto"/>
        <w:right w:val="none" w:sz="0" w:space="0" w:color="auto"/>
      </w:divBdr>
    </w:div>
    <w:div w:id="235213065">
      <w:bodyDiv w:val="1"/>
      <w:marLeft w:val="0"/>
      <w:marRight w:val="0"/>
      <w:marTop w:val="0"/>
      <w:marBottom w:val="0"/>
      <w:divBdr>
        <w:top w:val="none" w:sz="0" w:space="0" w:color="auto"/>
        <w:left w:val="none" w:sz="0" w:space="0" w:color="auto"/>
        <w:bottom w:val="none" w:sz="0" w:space="0" w:color="auto"/>
        <w:right w:val="none" w:sz="0" w:space="0" w:color="auto"/>
      </w:divBdr>
      <w:divsChild>
        <w:div w:id="924997869">
          <w:marLeft w:val="0"/>
          <w:marRight w:val="0"/>
          <w:marTop w:val="0"/>
          <w:marBottom w:val="0"/>
          <w:divBdr>
            <w:top w:val="none" w:sz="0" w:space="0" w:color="auto"/>
            <w:left w:val="none" w:sz="0" w:space="0" w:color="auto"/>
            <w:bottom w:val="none" w:sz="0" w:space="0" w:color="auto"/>
            <w:right w:val="none" w:sz="0" w:space="0" w:color="auto"/>
          </w:divBdr>
          <w:divsChild>
            <w:div w:id="1199930021">
              <w:marLeft w:val="0"/>
              <w:marRight w:val="0"/>
              <w:marTop w:val="0"/>
              <w:marBottom w:val="0"/>
              <w:divBdr>
                <w:top w:val="none" w:sz="0" w:space="0" w:color="auto"/>
                <w:left w:val="none" w:sz="0" w:space="0" w:color="auto"/>
                <w:bottom w:val="none" w:sz="0" w:space="0" w:color="auto"/>
                <w:right w:val="none" w:sz="0" w:space="0" w:color="auto"/>
              </w:divBdr>
              <w:divsChild>
                <w:div w:id="10688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77720">
      <w:bodyDiv w:val="1"/>
      <w:marLeft w:val="0"/>
      <w:marRight w:val="0"/>
      <w:marTop w:val="0"/>
      <w:marBottom w:val="0"/>
      <w:divBdr>
        <w:top w:val="none" w:sz="0" w:space="0" w:color="auto"/>
        <w:left w:val="none" w:sz="0" w:space="0" w:color="auto"/>
        <w:bottom w:val="none" w:sz="0" w:space="0" w:color="auto"/>
        <w:right w:val="none" w:sz="0" w:space="0" w:color="auto"/>
      </w:divBdr>
    </w:div>
    <w:div w:id="445738174">
      <w:bodyDiv w:val="1"/>
      <w:marLeft w:val="0"/>
      <w:marRight w:val="0"/>
      <w:marTop w:val="0"/>
      <w:marBottom w:val="0"/>
      <w:divBdr>
        <w:top w:val="none" w:sz="0" w:space="0" w:color="auto"/>
        <w:left w:val="none" w:sz="0" w:space="0" w:color="auto"/>
        <w:bottom w:val="none" w:sz="0" w:space="0" w:color="auto"/>
        <w:right w:val="none" w:sz="0" w:space="0" w:color="auto"/>
      </w:divBdr>
    </w:div>
    <w:div w:id="483666337">
      <w:bodyDiv w:val="1"/>
      <w:marLeft w:val="0"/>
      <w:marRight w:val="0"/>
      <w:marTop w:val="0"/>
      <w:marBottom w:val="0"/>
      <w:divBdr>
        <w:top w:val="none" w:sz="0" w:space="0" w:color="auto"/>
        <w:left w:val="none" w:sz="0" w:space="0" w:color="auto"/>
        <w:bottom w:val="none" w:sz="0" w:space="0" w:color="auto"/>
        <w:right w:val="none" w:sz="0" w:space="0" w:color="auto"/>
      </w:divBdr>
    </w:div>
    <w:div w:id="535199585">
      <w:bodyDiv w:val="1"/>
      <w:marLeft w:val="0"/>
      <w:marRight w:val="0"/>
      <w:marTop w:val="0"/>
      <w:marBottom w:val="0"/>
      <w:divBdr>
        <w:top w:val="none" w:sz="0" w:space="0" w:color="auto"/>
        <w:left w:val="none" w:sz="0" w:space="0" w:color="auto"/>
        <w:bottom w:val="none" w:sz="0" w:space="0" w:color="auto"/>
        <w:right w:val="none" w:sz="0" w:space="0" w:color="auto"/>
      </w:divBdr>
    </w:div>
    <w:div w:id="559942677">
      <w:bodyDiv w:val="1"/>
      <w:marLeft w:val="0"/>
      <w:marRight w:val="0"/>
      <w:marTop w:val="0"/>
      <w:marBottom w:val="0"/>
      <w:divBdr>
        <w:top w:val="none" w:sz="0" w:space="0" w:color="auto"/>
        <w:left w:val="none" w:sz="0" w:space="0" w:color="auto"/>
        <w:bottom w:val="none" w:sz="0" w:space="0" w:color="auto"/>
        <w:right w:val="none" w:sz="0" w:space="0" w:color="auto"/>
      </w:divBdr>
    </w:div>
    <w:div w:id="603999868">
      <w:bodyDiv w:val="1"/>
      <w:marLeft w:val="0"/>
      <w:marRight w:val="0"/>
      <w:marTop w:val="0"/>
      <w:marBottom w:val="0"/>
      <w:divBdr>
        <w:top w:val="none" w:sz="0" w:space="0" w:color="auto"/>
        <w:left w:val="none" w:sz="0" w:space="0" w:color="auto"/>
        <w:bottom w:val="none" w:sz="0" w:space="0" w:color="auto"/>
        <w:right w:val="none" w:sz="0" w:space="0" w:color="auto"/>
      </w:divBdr>
      <w:divsChild>
        <w:div w:id="304315418">
          <w:marLeft w:val="0"/>
          <w:marRight w:val="0"/>
          <w:marTop w:val="0"/>
          <w:marBottom w:val="0"/>
          <w:divBdr>
            <w:top w:val="none" w:sz="0" w:space="0" w:color="auto"/>
            <w:left w:val="none" w:sz="0" w:space="0" w:color="auto"/>
            <w:bottom w:val="none" w:sz="0" w:space="0" w:color="auto"/>
            <w:right w:val="none" w:sz="0" w:space="0" w:color="auto"/>
          </w:divBdr>
          <w:divsChild>
            <w:div w:id="1834680901">
              <w:marLeft w:val="0"/>
              <w:marRight w:val="0"/>
              <w:marTop w:val="0"/>
              <w:marBottom w:val="0"/>
              <w:divBdr>
                <w:top w:val="none" w:sz="0" w:space="0" w:color="auto"/>
                <w:left w:val="none" w:sz="0" w:space="0" w:color="auto"/>
                <w:bottom w:val="none" w:sz="0" w:space="0" w:color="auto"/>
                <w:right w:val="none" w:sz="0" w:space="0" w:color="auto"/>
              </w:divBdr>
              <w:divsChild>
                <w:div w:id="15577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8518">
      <w:bodyDiv w:val="1"/>
      <w:marLeft w:val="0"/>
      <w:marRight w:val="0"/>
      <w:marTop w:val="0"/>
      <w:marBottom w:val="0"/>
      <w:divBdr>
        <w:top w:val="none" w:sz="0" w:space="0" w:color="auto"/>
        <w:left w:val="none" w:sz="0" w:space="0" w:color="auto"/>
        <w:bottom w:val="none" w:sz="0" w:space="0" w:color="auto"/>
        <w:right w:val="none" w:sz="0" w:space="0" w:color="auto"/>
      </w:divBdr>
    </w:div>
    <w:div w:id="845365307">
      <w:bodyDiv w:val="1"/>
      <w:marLeft w:val="0"/>
      <w:marRight w:val="0"/>
      <w:marTop w:val="0"/>
      <w:marBottom w:val="0"/>
      <w:divBdr>
        <w:top w:val="none" w:sz="0" w:space="0" w:color="auto"/>
        <w:left w:val="none" w:sz="0" w:space="0" w:color="auto"/>
        <w:bottom w:val="none" w:sz="0" w:space="0" w:color="auto"/>
        <w:right w:val="none" w:sz="0" w:space="0" w:color="auto"/>
      </w:divBdr>
    </w:div>
    <w:div w:id="928735473">
      <w:bodyDiv w:val="1"/>
      <w:marLeft w:val="0"/>
      <w:marRight w:val="0"/>
      <w:marTop w:val="0"/>
      <w:marBottom w:val="0"/>
      <w:divBdr>
        <w:top w:val="none" w:sz="0" w:space="0" w:color="auto"/>
        <w:left w:val="none" w:sz="0" w:space="0" w:color="auto"/>
        <w:bottom w:val="none" w:sz="0" w:space="0" w:color="auto"/>
        <w:right w:val="none" w:sz="0" w:space="0" w:color="auto"/>
      </w:divBdr>
    </w:div>
    <w:div w:id="1034886910">
      <w:bodyDiv w:val="1"/>
      <w:marLeft w:val="0"/>
      <w:marRight w:val="0"/>
      <w:marTop w:val="0"/>
      <w:marBottom w:val="0"/>
      <w:divBdr>
        <w:top w:val="none" w:sz="0" w:space="0" w:color="auto"/>
        <w:left w:val="none" w:sz="0" w:space="0" w:color="auto"/>
        <w:bottom w:val="none" w:sz="0" w:space="0" w:color="auto"/>
        <w:right w:val="none" w:sz="0" w:space="0" w:color="auto"/>
      </w:divBdr>
    </w:div>
    <w:div w:id="1113668361">
      <w:bodyDiv w:val="1"/>
      <w:marLeft w:val="0"/>
      <w:marRight w:val="0"/>
      <w:marTop w:val="0"/>
      <w:marBottom w:val="0"/>
      <w:divBdr>
        <w:top w:val="none" w:sz="0" w:space="0" w:color="auto"/>
        <w:left w:val="none" w:sz="0" w:space="0" w:color="auto"/>
        <w:bottom w:val="none" w:sz="0" w:space="0" w:color="auto"/>
        <w:right w:val="none" w:sz="0" w:space="0" w:color="auto"/>
      </w:divBdr>
      <w:divsChild>
        <w:div w:id="1374891650">
          <w:marLeft w:val="0"/>
          <w:marRight w:val="0"/>
          <w:marTop w:val="0"/>
          <w:marBottom w:val="0"/>
          <w:divBdr>
            <w:top w:val="none" w:sz="0" w:space="0" w:color="auto"/>
            <w:left w:val="none" w:sz="0" w:space="0" w:color="auto"/>
            <w:bottom w:val="none" w:sz="0" w:space="0" w:color="auto"/>
            <w:right w:val="none" w:sz="0" w:space="0" w:color="auto"/>
          </w:divBdr>
          <w:divsChild>
            <w:div w:id="54547080">
              <w:marLeft w:val="0"/>
              <w:marRight w:val="0"/>
              <w:marTop w:val="0"/>
              <w:marBottom w:val="0"/>
              <w:divBdr>
                <w:top w:val="none" w:sz="0" w:space="0" w:color="auto"/>
                <w:left w:val="none" w:sz="0" w:space="0" w:color="auto"/>
                <w:bottom w:val="none" w:sz="0" w:space="0" w:color="auto"/>
                <w:right w:val="none" w:sz="0" w:space="0" w:color="auto"/>
              </w:divBdr>
              <w:divsChild>
                <w:div w:id="603610242">
                  <w:marLeft w:val="0"/>
                  <w:marRight w:val="0"/>
                  <w:marTop w:val="0"/>
                  <w:marBottom w:val="0"/>
                  <w:divBdr>
                    <w:top w:val="none" w:sz="0" w:space="0" w:color="auto"/>
                    <w:left w:val="none" w:sz="0" w:space="0" w:color="auto"/>
                    <w:bottom w:val="none" w:sz="0" w:space="0" w:color="auto"/>
                    <w:right w:val="none" w:sz="0" w:space="0" w:color="auto"/>
                  </w:divBdr>
                  <w:divsChild>
                    <w:div w:id="1539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17368">
      <w:bodyDiv w:val="1"/>
      <w:marLeft w:val="0"/>
      <w:marRight w:val="0"/>
      <w:marTop w:val="0"/>
      <w:marBottom w:val="0"/>
      <w:divBdr>
        <w:top w:val="none" w:sz="0" w:space="0" w:color="auto"/>
        <w:left w:val="none" w:sz="0" w:space="0" w:color="auto"/>
        <w:bottom w:val="none" w:sz="0" w:space="0" w:color="auto"/>
        <w:right w:val="none" w:sz="0" w:space="0" w:color="auto"/>
      </w:divBdr>
    </w:div>
    <w:div w:id="1320231834">
      <w:bodyDiv w:val="1"/>
      <w:marLeft w:val="0"/>
      <w:marRight w:val="0"/>
      <w:marTop w:val="0"/>
      <w:marBottom w:val="0"/>
      <w:divBdr>
        <w:top w:val="none" w:sz="0" w:space="0" w:color="auto"/>
        <w:left w:val="none" w:sz="0" w:space="0" w:color="auto"/>
        <w:bottom w:val="none" w:sz="0" w:space="0" w:color="auto"/>
        <w:right w:val="none" w:sz="0" w:space="0" w:color="auto"/>
      </w:divBdr>
    </w:div>
    <w:div w:id="1439328997">
      <w:bodyDiv w:val="1"/>
      <w:marLeft w:val="0"/>
      <w:marRight w:val="0"/>
      <w:marTop w:val="0"/>
      <w:marBottom w:val="0"/>
      <w:divBdr>
        <w:top w:val="none" w:sz="0" w:space="0" w:color="auto"/>
        <w:left w:val="none" w:sz="0" w:space="0" w:color="auto"/>
        <w:bottom w:val="none" w:sz="0" w:space="0" w:color="auto"/>
        <w:right w:val="none" w:sz="0" w:space="0" w:color="auto"/>
      </w:divBdr>
    </w:div>
    <w:div w:id="1536774619">
      <w:bodyDiv w:val="1"/>
      <w:marLeft w:val="0"/>
      <w:marRight w:val="0"/>
      <w:marTop w:val="0"/>
      <w:marBottom w:val="0"/>
      <w:divBdr>
        <w:top w:val="none" w:sz="0" w:space="0" w:color="auto"/>
        <w:left w:val="none" w:sz="0" w:space="0" w:color="auto"/>
        <w:bottom w:val="none" w:sz="0" w:space="0" w:color="auto"/>
        <w:right w:val="none" w:sz="0" w:space="0" w:color="auto"/>
      </w:divBdr>
    </w:div>
    <w:div w:id="1639997483">
      <w:bodyDiv w:val="1"/>
      <w:marLeft w:val="0"/>
      <w:marRight w:val="0"/>
      <w:marTop w:val="0"/>
      <w:marBottom w:val="0"/>
      <w:divBdr>
        <w:top w:val="none" w:sz="0" w:space="0" w:color="auto"/>
        <w:left w:val="none" w:sz="0" w:space="0" w:color="auto"/>
        <w:bottom w:val="none" w:sz="0" w:space="0" w:color="auto"/>
        <w:right w:val="none" w:sz="0" w:space="0" w:color="auto"/>
      </w:divBdr>
      <w:divsChild>
        <w:div w:id="1025131616">
          <w:marLeft w:val="547"/>
          <w:marRight w:val="0"/>
          <w:marTop w:val="0"/>
          <w:marBottom w:val="0"/>
          <w:divBdr>
            <w:top w:val="none" w:sz="0" w:space="0" w:color="auto"/>
            <w:left w:val="none" w:sz="0" w:space="0" w:color="auto"/>
            <w:bottom w:val="none" w:sz="0" w:space="0" w:color="auto"/>
            <w:right w:val="none" w:sz="0" w:space="0" w:color="auto"/>
          </w:divBdr>
        </w:div>
        <w:div w:id="613252147">
          <w:marLeft w:val="547"/>
          <w:marRight w:val="0"/>
          <w:marTop w:val="0"/>
          <w:marBottom w:val="0"/>
          <w:divBdr>
            <w:top w:val="none" w:sz="0" w:space="0" w:color="auto"/>
            <w:left w:val="none" w:sz="0" w:space="0" w:color="auto"/>
            <w:bottom w:val="none" w:sz="0" w:space="0" w:color="auto"/>
            <w:right w:val="none" w:sz="0" w:space="0" w:color="auto"/>
          </w:divBdr>
        </w:div>
        <w:div w:id="1163817127">
          <w:marLeft w:val="547"/>
          <w:marRight w:val="0"/>
          <w:marTop w:val="0"/>
          <w:marBottom w:val="0"/>
          <w:divBdr>
            <w:top w:val="none" w:sz="0" w:space="0" w:color="auto"/>
            <w:left w:val="none" w:sz="0" w:space="0" w:color="auto"/>
            <w:bottom w:val="none" w:sz="0" w:space="0" w:color="auto"/>
            <w:right w:val="none" w:sz="0" w:space="0" w:color="auto"/>
          </w:divBdr>
        </w:div>
      </w:divsChild>
    </w:div>
    <w:div w:id="1743717393">
      <w:bodyDiv w:val="1"/>
      <w:marLeft w:val="0"/>
      <w:marRight w:val="0"/>
      <w:marTop w:val="0"/>
      <w:marBottom w:val="0"/>
      <w:divBdr>
        <w:top w:val="none" w:sz="0" w:space="0" w:color="auto"/>
        <w:left w:val="none" w:sz="0" w:space="0" w:color="auto"/>
        <w:bottom w:val="none" w:sz="0" w:space="0" w:color="auto"/>
        <w:right w:val="none" w:sz="0" w:space="0" w:color="auto"/>
      </w:divBdr>
    </w:div>
    <w:div w:id="1783451315">
      <w:bodyDiv w:val="1"/>
      <w:marLeft w:val="0"/>
      <w:marRight w:val="0"/>
      <w:marTop w:val="0"/>
      <w:marBottom w:val="0"/>
      <w:divBdr>
        <w:top w:val="none" w:sz="0" w:space="0" w:color="auto"/>
        <w:left w:val="none" w:sz="0" w:space="0" w:color="auto"/>
        <w:bottom w:val="none" w:sz="0" w:space="0" w:color="auto"/>
        <w:right w:val="none" w:sz="0" w:space="0" w:color="auto"/>
      </w:divBdr>
    </w:div>
    <w:div w:id="1788351360">
      <w:bodyDiv w:val="1"/>
      <w:marLeft w:val="0"/>
      <w:marRight w:val="0"/>
      <w:marTop w:val="0"/>
      <w:marBottom w:val="0"/>
      <w:divBdr>
        <w:top w:val="none" w:sz="0" w:space="0" w:color="auto"/>
        <w:left w:val="none" w:sz="0" w:space="0" w:color="auto"/>
        <w:bottom w:val="none" w:sz="0" w:space="0" w:color="auto"/>
        <w:right w:val="none" w:sz="0" w:space="0" w:color="auto"/>
      </w:divBdr>
    </w:div>
    <w:div w:id="1924366314">
      <w:bodyDiv w:val="1"/>
      <w:marLeft w:val="0"/>
      <w:marRight w:val="0"/>
      <w:marTop w:val="0"/>
      <w:marBottom w:val="0"/>
      <w:divBdr>
        <w:top w:val="none" w:sz="0" w:space="0" w:color="auto"/>
        <w:left w:val="none" w:sz="0" w:space="0" w:color="auto"/>
        <w:bottom w:val="none" w:sz="0" w:space="0" w:color="auto"/>
        <w:right w:val="none" w:sz="0" w:space="0" w:color="auto"/>
      </w:divBdr>
      <w:divsChild>
        <w:div w:id="462041097">
          <w:marLeft w:val="0"/>
          <w:marRight w:val="0"/>
          <w:marTop w:val="0"/>
          <w:marBottom w:val="0"/>
          <w:divBdr>
            <w:top w:val="none" w:sz="0" w:space="0" w:color="auto"/>
            <w:left w:val="none" w:sz="0" w:space="0" w:color="auto"/>
            <w:bottom w:val="none" w:sz="0" w:space="0" w:color="auto"/>
            <w:right w:val="none" w:sz="0" w:space="0" w:color="auto"/>
          </w:divBdr>
          <w:divsChild>
            <w:div w:id="1609048487">
              <w:marLeft w:val="0"/>
              <w:marRight w:val="0"/>
              <w:marTop w:val="0"/>
              <w:marBottom w:val="0"/>
              <w:divBdr>
                <w:top w:val="none" w:sz="0" w:space="0" w:color="auto"/>
                <w:left w:val="none" w:sz="0" w:space="0" w:color="auto"/>
                <w:bottom w:val="none" w:sz="0" w:space="0" w:color="auto"/>
                <w:right w:val="none" w:sz="0" w:space="0" w:color="auto"/>
              </w:divBdr>
              <w:divsChild>
                <w:div w:id="5518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90916">
      <w:bodyDiv w:val="1"/>
      <w:marLeft w:val="0"/>
      <w:marRight w:val="0"/>
      <w:marTop w:val="0"/>
      <w:marBottom w:val="0"/>
      <w:divBdr>
        <w:top w:val="none" w:sz="0" w:space="0" w:color="auto"/>
        <w:left w:val="none" w:sz="0" w:space="0" w:color="auto"/>
        <w:bottom w:val="none" w:sz="0" w:space="0" w:color="auto"/>
        <w:right w:val="none" w:sz="0" w:space="0" w:color="auto"/>
      </w:divBdr>
    </w:div>
    <w:div w:id="1978997837">
      <w:bodyDiv w:val="1"/>
      <w:marLeft w:val="0"/>
      <w:marRight w:val="0"/>
      <w:marTop w:val="0"/>
      <w:marBottom w:val="0"/>
      <w:divBdr>
        <w:top w:val="none" w:sz="0" w:space="0" w:color="auto"/>
        <w:left w:val="none" w:sz="0" w:space="0" w:color="auto"/>
        <w:bottom w:val="none" w:sz="0" w:space="0" w:color="auto"/>
        <w:right w:val="none" w:sz="0" w:space="0" w:color="auto"/>
      </w:divBdr>
    </w:div>
    <w:div w:id="1988510583">
      <w:bodyDiv w:val="1"/>
      <w:marLeft w:val="0"/>
      <w:marRight w:val="0"/>
      <w:marTop w:val="0"/>
      <w:marBottom w:val="0"/>
      <w:divBdr>
        <w:top w:val="none" w:sz="0" w:space="0" w:color="auto"/>
        <w:left w:val="none" w:sz="0" w:space="0" w:color="auto"/>
        <w:bottom w:val="none" w:sz="0" w:space="0" w:color="auto"/>
        <w:right w:val="none" w:sz="0" w:space="0" w:color="auto"/>
      </w:divBdr>
    </w:div>
    <w:div w:id="2014870742">
      <w:bodyDiv w:val="1"/>
      <w:marLeft w:val="0"/>
      <w:marRight w:val="0"/>
      <w:marTop w:val="0"/>
      <w:marBottom w:val="0"/>
      <w:divBdr>
        <w:top w:val="none" w:sz="0" w:space="0" w:color="auto"/>
        <w:left w:val="none" w:sz="0" w:space="0" w:color="auto"/>
        <w:bottom w:val="none" w:sz="0" w:space="0" w:color="auto"/>
        <w:right w:val="none" w:sz="0" w:space="0" w:color="auto"/>
      </w:divBdr>
    </w:div>
    <w:div w:id="2145806974">
      <w:bodyDiv w:val="1"/>
      <w:marLeft w:val="0"/>
      <w:marRight w:val="0"/>
      <w:marTop w:val="0"/>
      <w:marBottom w:val="0"/>
      <w:divBdr>
        <w:top w:val="none" w:sz="0" w:space="0" w:color="auto"/>
        <w:left w:val="none" w:sz="0" w:space="0" w:color="auto"/>
        <w:bottom w:val="none" w:sz="0" w:space="0" w:color="auto"/>
        <w:right w:val="none" w:sz="0" w:space="0" w:color="auto"/>
      </w:divBdr>
      <w:divsChild>
        <w:div w:id="1746760512">
          <w:marLeft w:val="547"/>
          <w:marRight w:val="0"/>
          <w:marTop w:val="0"/>
          <w:marBottom w:val="0"/>
          <w:divBdr>
            <w:top w:val="none" w:sz="0" w:space="0" w:color="auto"/>
            <w:left w:val="none" w:sz="0" w:space="0" w:color="auto"/>
            <w:bottom w:val="none" w:sz="0" w:space="0" w:color="auto"/>
            <w:right w:val="none" w:sz="0" w:space="0" w:color="auto"/>
          </w:divBdr>
        </w:div>
        <w:div w:id="210811459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29.xml"/><Relationship Id="rId47" Type="http://schemas.openxmlformats.org/officeDocument/2006/relationships/chart" Target="charts/chart34.xml"/><Relationship Id="rId63" Type="http://schemas.openxmlformats.org/officeDocument/2006/relationships/chart" Target="charts/chart40.xml"/><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image" Target="media/image4.png"/><Relationship Id="rId58" Type="http://schemas.openxmlformats.org/officeDocument/2006/relationships/image" Target="cid:image001.png@01D50987.3AEE2C20"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chart" Target="charts/chart38.xml"/><Relationship Id="rId19" Type="http://schemas.openxmlformats.org/officeDocument/2006/relationships/chart" Target="charts/chart6.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hyperlink" Target="http://financa.gov.al/akti-normativ-nr-1-date-26-07-2018-i-buxhetit-te-vitit-2018/" TargetMode="External"/><Relationship Id="rId56" Type="http://schemas.openxmlformats.org/officeDocument/2006/relationships/image" Target="media/image7.emf"/><Relationship Id="rId64" Type="http://schemas.openxmlformats.org/officeDocument/2006/relationships/chart" Target="charts/chart41.xm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image" Target="media/image9.emf"/><Relationship Id="rId67" Type="http://schemas.openxmlformats.org/officeDocument/2006/relationships/header" Target="header4.xml"/><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image" Target="media/image5.emf"/><Relationship Id="rId62" Type="http://schemas.openxmlformats.org/officeDocument/2006/relationships/chart" Target="charts/chart39.xm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yperlink" Target="http://financa.gov.al/akti-normativ-nr-2-date-19-12-2018-i-buxhetit-te-vitit-2018/" TargetMode="External"/><Relationship Id="rId57" Type="http://schemas.openxmlformats.org/officeDocument/2006/relationships/image" Target="media/image8.png"/><Relationship Id="rId10" Type="http://schemas.openxmlformats.org/officeDocument/2006/relationships/header" Target="header2.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6.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5.xml"/><Relationship Id="rId39" Type="http://schemas.openxmlformats.org/officeDocument/2006/relationships/chart" Target="charts/chart26.xml"/><Relationship Id="rId34" Type="http://schemas.openxmlformats.org/officeDocument/2006/relationships/chart" Target="charts/chart21.xml"/><Relationship Id="rId50" Type="http://schemas.openxmlformats.org/officeDocument/2006/relationships/image" Target="media/image3.png"/><Relationship Id="rId55" Type="http://schemas.openxmlformats.org/officeDocument/2006/relationships/image" Target="media/image6.emf"/><Relationship Id="rId7" Type="http://schemas.openxmlformats.org/officeDocument/2006/relationships/endnotes" Target="endnotes.xml"/><Relationship Id="rId71"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bankofalbania.org/Tregjet/Titujt_shteterore/Titujt_referenc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abinaymeri:Desktop:Jonida_MF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lisard.zani\AppData\Local\Microsoft\Windows\Temporary%20Internet%20Files\Content.Outlook\12014SJB\te%20dhena%20tatime%202018%20(000000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lisard.zani\Desktop\Analiza%20-%20BLISARD\Plane%20DPT\Te%20dhenat%20e%20vitit%202018%20-%20Nr%20i%20subjektev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sabinaymeri:Desktop:Jonida_MF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sabinaymeri:Desktop:Jonida_MFE.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oleObject" Target="file:///\\Users\user\Dropbox\Ecorys2016\FInal%20March%2019\tables%20for%20Albania%20v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sabinaymeri:Desktop:Jonida_MF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lisard.zani\Desktop\Analiza%20-%20BLISARD\Plane%20DPT\Te%20dhenat%20e%20vitit%202018%20-%20Nr%20i%20subjektev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lisard.zani\Desktop\Analiza%20-%20BLISARD\Plane%20DPT\Te%20dhenat%20e%20vitit%202018%20-%20Nr%20i%20subjektev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lisard.zani\Desktop\Analiza%20-%20BLISARD\Plane%20DPT\Te%20dhenat%20e%20vitit%202018%20-%20Nr%20i%20subjekteve.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nisa.kume\AppData\Local\Microsoft\Windows\INetCache\Content.Outlook\M86TBOJ5\Grafiket%2012%20mujore%20te%20treguesve%20fiskale%2013%2005%202019%20(2).xlsx" TargetMode="Externa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28.xml.rels><?xml version="1.0" encoding="UTF-8" standalone="yes"?>
<Relationships xmlns="http://schemas.openxmlformats.org/package/2006/relationships"><Relationship Id="rId2" Type="http://schemas.openxmlformats.org/officeDocument/2006/relationships/oleObject" Target="file:///\\Users\user\Library\Containers\com.microsoft.Excel\Data\Desktop\ABER\Grafiket%2012%20mujore%20te%20treguesve%20fiskale%2016%2001%202019.xlsx" TargetMode="External"/><Relationship Id="rId1" Type="http://schemas.openxmlformats.org/officeDocument/2006/relationships/themeOverride" Target="../theme/themeOverride6.xml"/></Relationships>
</file>

<file path=word/charts/_rels/chart29.xml.rels><?xml version="1.0" encoding="UTF-8" standalone="yes"?>
<Relationships xmlns="http://schemas.openxmlformats.org/package/2006/relationships"><Relationship Id="rId2" Type="http://schemas.openxmlformats.org/officeDocument/2006/relationships/oleObject" Target="file:///\\Users\user\Library\Containers\com.microsoft.Excel\Data\Desktop\ABER\Grafiket%2012%20mujore%20te%20treguesve%20fiskale%2016%2001%202019.xlsx" TargetMode="External"/><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abinaymeri:Dropbox:Ecorys2016:FInal%20March%2019:tables%20for%20Albania%20v2.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31.xml.rels><?xml version="1.0" encoding="UTF-8" standalone="yes"?>
<Relationships xmlns="http://schemas.openxmlformats.org/package/2006/relationships"><Relationship Id="rId2" Type="http://schemas.openxmlformats.org/officeDocument/2006/relationships/oleObject" Target="file:///\\Users\user\Library\Containers\com.microsoft.Excel\Data\Desktop\ABER\Grafiket%2012%20mujore%20te%20treguesve%20fiskale%2016%2001%202019.xlsx" TargetMode="External"/><Relationship Id="rId1" Type="http://schemas.openxmlformats.org/officeDocument/2006/relationships/themeOverride" Target="../theme/themeOverride9.xml"/></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3.xml.rels><?xml version="1.0" encoding="UTF-8" standalone="yes"?>
<Relationships xmlns="http://schemas.openxmlformats.org/package/2006/relationships"><Relationship Id="rId2" Type="http://schemas.openxmlformats.org/officeDocument/2006/relationships/oleObject" Target="file:///\\Users\user\Library\Containers\com.microsoft.Excel\Data\Desktop\ABER\Grafiket%2012%20mujore%20te%20treguesve%20fiskale%2016%2001%202019.xlsx" TargetMode="External"/><Relationship Id="rId1" Type="http://schemas.openxmlformats.org/officeDocument/2006/relationships/themeOverride" Target="../theme/themeOverride10.xml"/></Relationships>
</file>

<file path=word/charts/_rels/chart3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1.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ariel.Frroku\Desktop\Viti%202018\Analiza%20e%20buxhetit%20vjetor%202018%20te%20NJVQV-ve\2018%20Formatet%20e%20tabelave%20te%20shpenzimeve%20te%20nevojshme%20per%20analizen%20TE%20PERFUNDURA.xlsx" TargetMode="Externa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39.xml.rels><?xml version="1.0" encoding="UTF-8" standalone="yes"?>
<Relationships xmlns="http://schemas.openxmlformats.org/package/2006/relationships"><Relationship Id="rId1" Type="http://schemas.openxmlformats.org/officeDocument/2006/relationships/oleObject" Target="file:///C:\Users\Mariel.Frroku\Desktop\Viti%202018\Analiza%20e%20buxhetit%20vjetor%202018%20te%20NJVQV-ve\2018%20Formatet%20e%20tabelave%20te%20shpenzimeve%20te%20nevojshme%20per%20analizen%20TE%20PERFUNDU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hart%203%20in%20Microsoft%20Word"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Mariel.Frroku\Desktop\Viti%202018\Analiza%20e%20buxhetit%20vjetor%202018%20te%20NJVQV-ve\2018%20Formatet%20e%20tabelave%20te%20shpenzimeve%20te%20nevojshme%20per%20analizen%20TE%20PERFUNDUR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Mariel.Frroku\Desktop\Viti%202018\Analiza%20e%20buxhetit%20vjetor%202018%20te%20NJVQV-ve\2018%20Formatet%20e%20tabelave%20te%20shpenzimeve%20te%20nevojshme%20per%20analizen%20TE%20PERFUNDUR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Mariel.Frroku\Desktop\Viti%202018\Analiza%20e%20buxhetit%20vjetor%202018%20te%20NJVQV-ve\2018%20Formatet%20e%20tabelave%20te%20shpenzimeve%20te%20nevojshme%20per%20analizen%20TE%20PERFUNDUR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Chart%203%20in%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sabinaymeri:Dropbox:Ecorys2016:FInal%20March%2019:tables%20for%20Albania%20v2.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blisard.zani\Desktop\Treguesit%20Analitik%20Fiskal%20-%20DHJETOR%20%202018.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345235491396901"/>
          <c:y val="8.0420661923909703E-2"/>
          <c:w val="0.57369276757071996"/>
          <c:h val="0.785545226271399"/>
        </c:manualLayout>
      </c:layout>
      <c:barChart>
        <c:barDir val="col"/>
        <c:grouping val="clustered"/>
        <c:varyColors val="0"/>
        <c:ser>
          <c:idx val="0"/>
          <c:order val="0"/>
          <c:tx>
            <c:strRef>
              <c:f>graphs!$B$5</c:f>
              <c:strCache>
                <c:ptCount val="1"/>
                <c:pt idx="0">
                  <c:v>PBB</c:v>
                </c:pt>
              </c:strCache>
            </c:strRef>
          </c:tx>
          <c:invertIfNegative val="0"/>
          <c:cat>
            <c:numRef>
              <c:f>graphs!$C$4:$I$4</c:f>
              <c:numCache>
                <c:formatCode>General</c:formatCode>
                <c:ptCount val="7"/>
                <c:pt idx="0">
                  <c:v>2012</c:v>
                </c:pt>
                <c:pt idx="1">
                  <c:v>2013</c:v>
                </c:pt>
                <c:pt idx="2">
                  <c:v>2014</c:v>
                </c:pt>
                <c:pt idx="3">
                  <c:v>2015</c:v>
                </c:pt>
                <c:pt idx="4">
                  <c:v>2016</c:v>
                </c:pt>
                <c:pt idx="5">
                  <c:v>2017</c:v>
                </c:pt>
                <c:pt idx="6">
                  <c:v>2018</c:v>
                </c:pt>
              </c:numCache>
            </c:numRef>
          </c:cat>
          <c:val>
            <c:numRef>
              <c:f>graphs!$C$5:$I$5</c:f>
              <c:numCache>
                <c:formatCode>_ * #.##0_)\ _A_L_L_ ;_ * \(#.##0\)\ _A_L_L_ ;_ * "-"_)\ _A_L_L_ ;_ @_ </c:formatCode>
                <c:ptCount val="7"/>
                <c:pt idx="0">
                  <c:v>1332811.4315947799</c:v>
                </c:pt>
                <c:pt idx="1">
                  <c:v>1350052.5227604201</c:v>
                </c:pt>
                <c:pt idx="2">
                  <c:v>1395304.5570594701</c:v>
                </c:pt>
                <c:pt idx="3">
                  <c:v>1434307</c:v>
                </c:pt>
                <c:pt idx="4">
                  <c:v>1475251</c:v>
                </c:pt>
                <c:pt idx="5">
                  <c:v>1552868</c:v>
                </c:pt>
                <c:pt idx="6">
                  <c:v>1647625</c:v>
                </c:pt>
              </c:numCache>
            </c:numRef>
          </c:val>
          <c:extLst xmlns:c16r2="http://schemas.microsoft.com/office/drawing/2015/06/chart">
            <c:ext xmlns:c16="http://schemas.microsoft.com/office/drawing/2014/chart" uri="{C3380CC4-5D6E-409C-BE32-E72D297353CC}">
              <c16:uniqueId val="{00000000-9815-8948-8838-082E722F62B1}"/>
            </c:ext>
          </c:extLst>
        </c:ser>
        <c:ser>
          <c:idx val="2"/>
          <c:order val="1"/>
          <c:tx>
            <c:strRef>
              <c:f>graphs!$B$6</c:f>
              <c:strCache>
                <c:ptCount val="1"/>
                <c:pt idx="0">
                  <c:v>Shpenzimet e pwrgjithshme (fakti)</c:v>
                </c:pt>
              </c:strCache>
            </c:strRef>
          </c:tx>
          <c:invertIfNegative val="0"/>
          <c:dPt>
            <c:idx val="6"/>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F392-E840-AB55-F22E7F5C705E}"/>
              </c:ext>
            </c:extLst>
          </c:dPt>
          <c:cat>
            <c:numRef>
              <c:f>graphs!$C$4:$I$4</c:f>
              <c:numCache>
                <c:formatCode>General</c:formatCode>
                <c:ptCount val="7"/>
                <c:pt idx="0">
                  <c:v>2012</c:v>
                </c:pt>
                <c:pt idx="1">
                  <c:v>2013</c:v>
                </c:pt>
                <c:pt idx="2">
                  <c:v>2014</c:v>
                </c:pt>
                <c:pt idx="3">
                  <c:v>2015</c:v>
                </c:pt>
                <c:pt idx="4">
                  <c:v>2016</c:v>
                </c:pt>
                <c:pt idx="5">
                  <c:v>2017</c:v>
                </c:pt>
                <c:pt idx="6">
                  <c:v>2018</c:v>
                </c:pt>
              </c:numCache>
            </c:numRef>
          </c:cat>
          <c:val>
            <c:numRef>
              <c:f>graphs!$C$6:$I$6</c:f>
              <c:numCache>
                <c:formatCode>_ * #.##0_)\ _A_L_L_ ;_ * \(#.##0\)\ _A_L_L_ ;_ * "-"_)\ _A_L_L_ ;_ @_ </c:formatCode>
                <c:ptCount val="7"/>
                <c:pt idx="0">
                  <c:v>376241</c:v>
                </c:pt>
                <c:pt idx="1">
                  <c:v>394118</c:v>
                </c:pt>
                <c:pt idx="2">
                  <c:v>438849</c:v>
                </c:pt>
                <c:pt idx="3">
                  <c:v>437408</c:v>
                </c:pt>
                <c:pt idx="4">
                  <c:v>433697</c:v>
                </c:pt>
                <c:pt idx="5">
                  <c:v>461410</c:v>
                </c:pt>
                <c:pt idx="6">
                  <c:v>476147.14000000007</c:v>
                </c:pt>
              </c:numCache>
            </c:numRef>
          </c:val>
          <c:extLst xmlns:c16r2="http://schemas.microsoft.com/office/drawing/2015/06/chart">
            <c:ext xmlns:c16="http://schemas.microsoft.com/office/drawing/2014/chart" uri="{C3380CC4-5D6E-409C-BE32-E72D297353CC}">
              <c16:uniqueId val="{00000001-9815-8948-8838-082E722F62B1}"/>
            </c:ext>
          </c:extLst>
        </c:ser>
        <c:ser>
          <c:idx val="1"/>
          <c:order val="2"/>
          <c:tx>
            <c:strRef>
              <c:f>graphs!$B$7</c:f>
              <c:strCache>
                <c:ptCount val="1"/>
                <c:pt idx="0">
                  <c:v>Deficiti buxhetor (plani)</c:v>
                </c:pt>
              </c:strCache>
            </c:strRef>
          </c:tx>
          <c:invertIfNegative val="0"/>
          <c:cat>
            <c:numRef>
              <c:f>graphs!$C$4:$I$4</c:f>
              <c:numCache>
                <c:formatCode>General</c:formatCode>
                <c:ptCount val="7"/>
                <c:pt idx="0">
                  <c:v>2012</c:v>
                </c:pt>
                <c:pt idx="1">
                  <c:v>2013</c:v>
                </c:pt>
                <c:pt idx="2">
                  <c:v>2014</c:v>
                </c:pt>
                <c:pt idx="3">
                  <c:v>2015</c:v>
                </c:pt>
                <c:pt idx="4">
                  <c:v>2016</c:v>
                </c:pt>
                <c:pt idx="5">
                  <c:v>2017</c:v>
                </c:pt>
                <c:pt idx="6">
                  <c:v>2018</c:v>
                </c:pt>
              </c:numCache>
            </c:numRef>
          </c:cat>
          <c:val>
            <c:numRef>
              <c:f>[3]графики!$K$25:$Q$25</c:f>
              <c:numCache>
                <c:formatCode>General</c:formatCode>
                <c:ptCount val="7"/>
                <c:pt idx="0">
                  <c:v>4.1500000000000004</c:v>
                </c:pt>
                <c:pt idx="1">
                  <c:v>54.7</c:v>
                </c:pt>
                <c:pt idx="2">
                  <c:v>155.1</c:v>
                </c:pt>
                <c:pt idx="3">
                  <c:v>84.9</c:v>
                </c:pt>
                <c:pt idx="4">
                  <c:v>73.75</c:v>
                </c:pt>
                <c:pt idx="5">
                  <c:v>573.6</c:v>
                </c:pt>
                <c:pt idx="6">
                  <c:v>301.79000000000002</c:v>
                </c:pt>
              </c:numCache>
            </c:numRef>
          </c:val>
          <c:extLst xmlns:c16r2="http://schemas.microsoft.com/office/drawing/2015/06/chart">
            <c:ext xmlns:c16="http://schemas.microsoft.com/office/drawing/2014/chart" uri="{C3380CC4-5D6E-409C-BE32-E72D297353CC}">
              <c16:uniqueId val="{00000002-9815-8948-8838-082E722F62B1}"/>
            </c:ext>
          </c:extLst>
        </c:ser>
        <c:dLbls>
          <c:showLegendKey val="0"/>
          <c:showVal val="0"/>
          <c:showCatName val="0"/>
          <c:showSerName val="0"/>
          <c:showPercent val="0"/>
          <c:showBubbleSize val="0"/>
        </c:dLbls>
        <c:gapWidth val="150"/>
        <c:axId val="-1423681184"/>
        <c:axId val="-1423667040"/>
      </c:barChart>
      <c:lineChart>
        <c:grouping val="standard"/>
        <c:varyColors val="0"/>
        <c:ser>
          <c:idx val="4"/>
          <c:order val="3"/>
          <c:tx>
            <c:strRef>
              <c:f>graphs!$B$11</c:f>
              <c:strCache>
                <c:ptCount val="1"/>
                <c:pt idx="0">
                  <c:v>Deficiti buxhetor ndaj PBB-sw (fakti)</c:v>
                </c:pt>
              </c:strCache>
            </c:strRef>
          </c:tx>
          <c:spPr>
            <a:ln>
              <a:solidFill>
                <a:schemeClr val="accent2">
                  <a:lumMod val="60000"/>
                  <a:lumOff val="40000"/>
                </a:schemeClr>
              </a:solidFill>
            </a:ln>
          </c:spPr>
          <c:marker>
            <c:symbol val="triangle"/>
            <c:size val="7"/>
            <c:spPr>
              <a:solidFill>
                <a:schemeClr val="accent2">
                  <a:lumMod val="60000"/>
                  <a:lumOff val="40000"/>
                </a:schemeClr>
              </a:solidFill>
            </c:spPr>
          </c:marker>
          <c:dLbls>
            <c:dLbl>
              <c:idx val="6"/>
              <c:layout>
                <c:manualLayout>
                  <c:x val="-6.7720610887903E-3"/>
                  <c:y val="-6.82011752082821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15-8948-8838-082E722F62B1}"/>
                </c:ext>
                <c:ext xmlns:c15="http://schemas.microsoft.com/office/drawing/2012/chart" uri="{CE6537A1-D6FC-4f65-9D91-7224C49458BB}"/>
              </c:extLst>
            </c:dLbl>
            <c:numFmt formatCode="#,#00%" sourceLinked="0"/>
            <c:spPr>
              <a:solidFill>
                <a:schemeClr val="accent2">
                  <a:lumMod val="20000"/>
                  <a:lumOff val="80000"/>
                </a:schemeClr>
              </a:solidFill>
            </c:spPr>
            <c:txPr>
              <a:bodyPr/>
              <a:lstStyle/>
              <a:p>
                <a:pPr>
                  <a:defRPr lang="en-US" sz="7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graphs!$B$9</c:f>
              <c:strCache>
                <c:ptCount val="1"/>
                <c:pt idx="0">
                  <c:v>Shpenzimet e përgjithshme ndaj PBB-sw (nw %)</c:v>
                </c:pt>
              </c:strCache>
            </c:strRef>
          </c:cat>
          <c:val>
            <c:numRef>
              <c:f>graphs!$C$11:$I$11</c:f>
              <c:numCache>
                <c:formatCode>#,#00%</c:formatCode>
                <c:ptCount val="7"/>
                <c:pt idx="0">
                  <c:v>-3.4406592645389499E-2</c:v>
                </c:pt>
                <c:pt idx="1">
                  <c:v>-4.9582959826725802E-2</c:v>
                </c:pt>
                <c:pt idx="2">
                  <c:v>-5.1693373776407599E-2</c:v>
                </c:pt>
                <c:pt idx="3">
                  <c:v>-4.0578481454807101E-2</c:v>
                </c:pt>
                <c:pt idx="4">
                  <c:v>-1.8082346665076E-2</c:v>
                </c:pt>
                <c:pt idx="5">
                  <c:v>-1.9910900346970899E-2</c:v>
                </c:pt>
                <c:pt idx="6">
                  <c:v>-1.6175403990592498E-2</c:v>
                </c:pt>
              </c:numCache>
            </c:numRef>
          </c:val>
          <c:smooth val="0"/>
          <c:extLst xmlns:c16r2="http://schemas.microsoft.com/office/drawing/2015/06/chart">
            <c:ext xmlns:c16="http://schemas.microsoft.com/office/drawing/2014/chart" uri="{C3380CC4-5D6E-409C-BE32-E72D297353CC}">
              <c16:uniqueId val="{00000004-9815-8948-8838-082E722F62B1}"/>
            </c:ext>
          </c:extLst>
        </c:ser>
        <c:ser>
          <c:idx val="5"/>
          <c:order val="4"/>
          <c:tx>
            <c:strRef>
              <c:f>graphs!$B$9</c:f>
              <c:strCache>
                <c:ptCount val="1"/>
                <c:pt idx="0">
                  <c:v>Shpenzimet e përgjithshme ndaj PBB-sw (nw %)</c:v>
                </c:pt>
              </c:strCache>
            </c:strRef>
          </c:tx>
          <c:spPr>
            <a:ln>
              <a:solidFill>
                <a:schemeClr val="accent2"/>
              </a:solidFill>
            </a:ln>
          </c:spPr>
          <c:marker>
            <c:symbol val="diamond"/>
            <c:size val="7"/>
            <c:spPr>
              <a:solidFill>
                <a:srgbClr val="C0504D"/>
              </a:solidFill>
            </c:spPr>
          </c:marker>
          <c:dLbls>
            <c:numFmt formatCode="#.#00%" sourceLinked="0"/>
            <c:spPr>
              <a:solidFill>
                <a:schemeClr val="accent1">
                  <a:lumMod val="20000"/>
                  <a:lumOff val="80000"/>
                </a:schemeClr>
              </a:solidFill>
            </c:spPr>
            <c:txPr>
              <a:bodyPr/>
              <a:lstStyle/>
              <a:p>
                <a:pPr>
                  <a:defRPr lang="en-US" sz="7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a:prstDash val="sysDot"/>
              </a:ln>
            </c:spPr>
            <c:trendlineType val="linear"/>
            <c:dispRSqr val="0"/>
            <c:dispEq val="0"/>
          </c:trendline>
          <c:cat>
            <c:strRef>
              <c:f>graphs!$B$9</c:f>
              <c:strCache>
                <c:ptCount val="1"/>
                <c:pt idx="0">
                  <c:v>Shpenzimet e përgjithshme ndaj PBB-sw (nw %)</c:v>
                </c:pt>
              </c:strCache>
            </c:strRef>
          </c:cat>
          <c:val>
            <c:numRef>
              <c:f>graphs!$C$9:$I$9</c:f>
              <c:numCache>
                <c:formatCode>#,#00%</c:formatCode>
                <c:ptCount val="7"/>
                <c:pt idx="0">
                  <c:v>0.28229124621913498</c:v>
                </c:pt>
                <c:pt idx="1">
                  <c:v>0.29192790158575099</c:v>
                </c:pt>
                <c:pt idx="2">
                  <c:v>0.31451843096166099</c:v>
                </c:pt>
                <c:pt idx="3">
                  <c:v>0.304961211233021</c:v>
                </c:pt>
                <c:pt idx="4">
                  <c:v>0.29398183766694602</c:v>
                </c:pt>
                <c:pt idx="5">
                  <c:v>0.29713407707544998</c:v>
                </c:pt>
                <c:pt idx="6">
                  <c:v>0.28898999468932601</c:v>
                </c:pt>
              </c:numCache>
            </c:numRef>
          </c:val>
          <c:smooth val="0"/>
          <c:extLst xmlns:c16r2="http://schemas.microsoft.com/office/drawing/2015/06/chart">
            <c:ext xmlns:c16="http://schemas.microsoft.com/office/drawing/2014/chart" uri="{C3380CC4-5D6E-409C-BE32-E72D297353CC}">
              <c16:uniqueId val="{00000006-9815-8948-8838-082E722F62B1}"/>
            </c:ext>
          </c:extLst>
        </c:ser>
        <c:dLbls>
          <c:showLegendKey val="0"/>
          <c:showVal val="0"/>
          <c:showCatName val="0"/>
          <c:showSerName val="0"/>
          <c:showPercent val="0"/>
          <c:showBubbleSize val="0"/>
        </c:dLbls>
        <c:marker val="1"/>
        <c:smooth val="0"/>
        <c:axId val="-1423677376"/>
        <c:axId val="-1423685536"/>
      </c:lineChart>
      <c:catAx>
        <c:axId val="-1423681184"/>
        <c:scaling>
          <c:orientation val="minMax"/>
        </c:scaling>
        <c:delete val="0"/>
        <c:axPos val="b"/>
        <c:numFmt formatCode="General" sourceLinked="1"/>
        <c:majorTickMark val="none"/>
        <c:minorTickMark val="none"/>
        <c:tickLblPos val="nextTo"/>
        <c:crossAx val="-1423667040"/>
        <c:crosses val="autoZero"/>
        <c:auto val="1"/>
        <c:lblAlgn val="ctr"/>
        <c:lblOffset val="100"/>
        <c:noMultiLvlLbl val="0"/>
      </c:catAx>
      <c:valAx>
        <c:axId val="-1423667040"/>
        <c:scaling>
          <c:orientation val="minMax"/>
        </c:scaling>
        <c:delete val="0"/>
        <c:axPos val="l"/>
        <c:majorGridlines>
          <c:spPr>
            <a:ln w="3175">
              <a:solidFill>
                <a:schemeClr val="tx2">
                  <a:lumMod val="60000"/>
                  <a:lumOff val="40000"/>
                </a:schemeClr>
              </a:solidFill>
              <a:prstDash val="sysDot"/>
            </a:ln>
          </c:spPr>
        </c:majorGridlines>
        <c:title>
          <c:tx>
            <c:rich>
              <a:bodyPr rot="-5400000" vert="horz"/>
              <a:lstStyle/>
              <a:p>
                <a:pPr>
                  <a:defRPr lang="en-US" sz="500" b="1"/>
                </a:pPr>
                <a:r>
                  <a:rPr lang="lv-LV" sz="500" b="1">
                    <a:solidFill>
                      <a:schemeClr val="tx2"/>
                    </a:solidFill>
                    <a:latin typeface="Garamond" panose="02020404030301010803" pitchFamily="18" charset="0"/>
                  </a:rPr>
                  <a:t>milionë lekë</a:t>
                </a:r>
                <a:endParaRPr lang="en-US" sz="500" b="1">
                  <a:solidFill>
                    <a:schemeClr val="tx2"/>
                  </a:solidFill>
                  <a:latin typeface="Garamond" panose="02020404030301010803" pitchFamily="18" charset="0"/>
                </a:endParaRPr>
              </a:p>
            </c:rich>
          </c:tx>
          <c:overlay val="0"/>
        </c:title>
        <c:numFmt formatCode="_ * #.##0_)\ _A_L_L_ ;_ * \(#.##0\)\ _A_L_L_ ;_ * &quot;-&quot;_)\ _A_L_L_ ;_ @_ " sourceLinked="1"/>
        <c:majorTickMark val="none"/>
        <c:minorTickMark val="none"/>
        <c:tickLblPos val="nextTo"/>
        <c:txPr>
          <a:bodyPr/>
          <a:lstStyle/>
          <a:p>
            <a:pPr>
              <a:defRPr lang="en-US" sz="500"/>
            </a:pPr>
            <a:endParaRPr lang="en-US"/>
          </a:p>
        </c:txPr>
        <c:crossAx val="-1423681184"/>
        <c:crosses val="autoZero"/>
        <c:crossBetween val="between"/>
      </c:valAx>
      <c:valAx>
        <c:axId val="-1423685536"/>
        <c:scaling>
          <c:orientation val="minMax"/>
        </c:scaling>
        <c:delete val="0"/>
        <c:axPos val="r"/>
        <c:numFmt formatCode="0%" sourceLinked="0"/>
        <c:majorTickMark val="out"/>
        <c:minorTickMark val="none"/>
        <c:tickLblPos val="nextTo"/>
        <c:txPr>
          <a:bodyPr/>
          <a:lstStyle/>
          <a:p>
            <a:pPr>
              <a:defRPr lang="en-US" sz="500"/>
            </a:pPr>
            <a:endParaRPr lang="en-US"/>
          </a:p>
        </c:txPr>
        <c:crossAx val="-1423677376"/>
        <c:crosses val="max"/>
        <c:crossBetween val="between"/>
      </c:valAx>
      <c:catAx>
        <c:axId val="-1423677376"/>
        <c:scaling>
          <c:orientation val="minMax"/>
        </c:scaling>
        <c:delete val="1"/>
        <c:axPos val="b"/>
        <c:numFmt formatCode="General" sourceLinked="1"/>
        <c:majorTickMark val="out"/>
        <c:minorTickMark val="none"/>
        <c:tickLblPos val="none"/>
        <c:crossAx val="-1423685536"/>
        <c:crosses val="autoZero"/>
        <c:auto val="1"/>
        <c:lblAlgn val="ctr"/>
        <c:lblOffset val="100"/>
        <c:noMultiLvlLbl val="0"/>
      </c:catAx>
    </c:plotArea>
    <c:legend>
      <c:legendPos val="r"/>
      <c:legendEntry>
        <c:idx val="2"/>
        <c:delete val="1"/>
      </c:legendEntry>
      <c:legendEntry>
        <c:idx val="5"/>
        <c:delete val="1"/>
      </c:legendEntry>
      <c:layout>
        <c:manualLayout>
          <c:xMode val="edge"/>
          <c:yMode val="edge"/>
          <c:x val="0.74768518518518501"/>
          <c:y val="8.6084205450192505E-2"/>
          <c:w val="0.233796296296296"/>
          <c:h val="0.83401730676025498"/>
        </c:manualLayout>
      </c:layout>
      <c:overlay val="0"/>
      <c:txPr>
        <a:bodyPr/>
        <a:lstStyle/>
        <a:p>
          <a:pPr>
            <a:defRPr lang="en-US" sz="700" kern="900" spc="10" baseline="0">
              <a:solidFill>
                <a:schemeClr val="tx2"/>
              </a:solidFill>
              <a:latin typeface="Garamond" panose="02020404030301010803" pitchFamily="18" charset="0"/>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C0504D">
          <a:lumMod val="60000"/>
          <a:lumOff val="40000"/>
        </a:srgbClr>
      </a:solidFill>
    </a:ln>
  </c:spPr>
  <c:txPr>
    <a:bodyPr/>
    <a:lstStyle/>
    <a:p>
      <a:pPr>
        <a:defRPr sz="8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841A-1144-8D27-35F06F9C9BF9}"/>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841A-1144-8D27-35F06F9C9BF9}"/>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841A-1144-8D27-35F06F9C9BF9}"/>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841A-1144-8D27-35F06F9C9BF9}"/>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841A-1144-8D27-35F06F9C9BF9}"/>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841A-1144-8D27-35F06F9C9BF9}"/>
              </c:ext>
            </c:extLst>
          </c:dPt>
          <c:dLbls>
            <c:dLbl>
              <c:idx val="5"/>
              <c:layout>
                <c:manualLayout>
                  <c:x val="7.2524059492563402E-3"/>
                  <c:y val="6.0290172061825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41A-1144-8D27-35F06F9C9B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2 in Microsoft Word]Total te ardhura'!$C$36:$C$41</c:f>
              <c:strCache>
                <c:ptCount val="6"/>
                <c:pt idx="0">
                  <c:v>TVSH</c:v>
                </c:pt>
                <c:pt idx="1">
                  <c:v>TF</c:v>
                </c:pt>
                <c:pt idx="2">
                  <c:v>Akciza</c:v>
                </c:pt>
                <c:pt idx="3">
                  <c:v>TAP</c:v>
                </c:pt>
                <c:pt idx="4">
                  <c:v>Taksa Nacionale </c:v>
                </c:pt>
                <c:pt idx="5">
                  <c:v>Taksa Doganore</c:v>
                </c:pt>
              </c:strCache>
            </c:strRef>
          </c:cat>
          <c:val>
            <c:numRef>
              <c:f>'[Chart 2 in Microsoft Word]Total te ardhura'!$D$36:$D$41</c:f>
              <c:numCache>
                <c:formatCode>0%</c:formatCode>
                <c:ptCount val="6"/>
                <c:pt idx="0">
                  <c:v>0.47157410450213599</c:v>
                </c:pt>
                <c:pt idx="1">
                  <c:v>0.11337495892211601</c:v>
                </c:pt>
                <c:pt idx="2">
                  <c:v>0.14788038120276001</c:v>
                </c:pt>
                <c:pt idx="3">
                  <c:v>0.119947420308906</c:v>
                </c:pt>
                <c:pt idx="4">
                  <c:v>0.12717712783437399</c:v>
                </c:pt>
                <c:pt idx="5">
                  <c:v>2.0374630299047E-2</c:v>
                </c:pt>
              </c:numCache>
            </c:numRef>
          </c:val>
          <c:extLst xmlns:c16r2="http://schemas.microsoft.com/office/drawing/2015/06/chart">
            <c:ext xmlns:c16="http://schemas.microsoft.com/office/drawing/2014/chart" uri="{C3380CC4-5D6E-409C-BE32-E72D297353CC}">
              <c16:uniqueId val="{0000000C-841A-1144-8D27-35F06F9C9BF9}"/>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3086375009198612"/>
          <c:y val="0.23697756602595577"/>
          <c:w val="0.25511755831922878"/>
          <c:h val="0.61842362083492453"/>
        </c:manualLayout>
      </c:layout>
      <c:overlay val="0"/>
      <c:spPr>
        <a:solidFill>
          <a:schemeClr val="lt1">
            <a:alpha val="50000"/>
          </a:schemeClr>
        </a:solid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797373358348967E-2"/>
          <c:y val="9.700176366843033E-2"/>
          <c:w val="0.94840525328330205"/>
          <c:h val="0.63780083045174896"/>
        </c:manualLayout>
      </c:layout>
      <c:barChart>
        <c:barDir val="col"/>
        <c:grouping val="stacked"/>
        <c:varyColors val="0"/>
        <c:ser>
          <c:idx val="0"/>
          <c:order val="0"/>
          <c:tx>
            <c:strRef>
              <c:f>doganat!$C$3</c:f>
              <c:strCache>
                <c:ptCount val="1"/>
                <c:pt idx="0">
                  <c:v>Realizimi Total</c:v>
                </c:pt>
              </c:strCache>
            </c:strRef>
          </c:tx>
          <c:spPr>
            <a:solidFill>
              <a:schemeClr val="bg1"/>
            </a:solidFill>
            <a:ln>
              <a:noFill/>
            </a:ln>
            <a:effectLst/>
          </c:spPr>
          <c:invertIfNegative val="0"/>
          <c:dPt>
            <c:idx val="0"/>
            <c:invertIfNegative val="0"/>
            <c:bubble3D val="0"/>
            <c:spPr>
              <a:solidFill>
                <a:srgbClr val="C0504D">
                  <a:lumMod val="75000"/>
                </a:srgbClr>
              </a:solidFill>
              <a:ln>
                <a:noFill/>
              </a:ln>
              <a:effectLst/>
            </c:spPr>
            <c:extLst xmlns:c16r2="http://schemas.microsoft.com/office/drawing/2015/06/chart">
              <c:ext xmlns:c16="http://schemas.microsoft.com/office/drawing/2014/chart" uri="{C3380CC4-5D6E-409C-BE32-E72D297353CC}">
                <c16:uniqueId val="{00000001-66AF-CC48-AEBF-27250E37CF33}"/>
              </c:ext>
            </c:extLst>
          </c:dPt>
          <c:dPt>
            <c:idx val="5"/>
            <c:invertIfNegative val="0"/>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3-66AF-CC48-AEBF-27250E37CF33}"/>
              </c:ext>
            </c:extLst>
          </c:dPt>
          <c:dPt>
            <c:idx val="6"/>
            <c:invertIfNegative val="0"/>
            <c:bubble3D val="0"/>
            <c:spPr>
              <a:solidFill>
                <a:srgbClr val="C0504D">
                  <a:lumMod val="60000"/>
                  <a:lumOff val="40000"/>
                </a:srgbClr>
              </a:solidFill>
              <a:ln>
                <a:noFill/>
              </a:ln>
              <a:effectLst/>
            </c:spPr>
            <c:extLst xmlns:c16r2="http://schemas.microsoft.com/office/drawing/2015/06/chart">
              <c:ext xmlns:c16="http://schemas.microsoft.com/office/drawing/2014/chart" uri="{C3380CC4-5D6E-409C-BE32-E72D297353CC}">
                <c16:uniqueId val="{00000005-66AF-CC48-AEBF-27250E37CF33}"/>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AF-CC48-AEBF-27250E37CF33}"/>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AF-CC48-AEBF-27250E37CF33}"/>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6AF-CC48-AEBF-27250E37CF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doganat!$B$4:$B$10</c:f>
              <c:strCache>
                <c:ptCount val="7"/>
                <c:pt idx="0">
                  <c:v>Fakt 2017</c:v>
                </c:pt>
                <c:pt idx="1">
                  <c:v>TVSH Import</c:v>
                </c:pt>
                <c:pt idx="2">
                  <c:v>Akciza</c:v>
                </c:pt>
                <c:pt idx="3">
                  <c:v>Renta</c:v>
                </c:pt>
                <c:pt idx="4">
                  <c:v>T. Doganore</c:v>
                </c:pt>
                <c:pt idx="5">
                  <c:v>Fakt  2018</c:v>
                </c:pt>
                <c:pt idx="6">
                  <c:v>Plan 2018</c:v>
                </c:pt>
              </c:strCache>
            </c:strRef>
          </c:cat>
          <c:val>
            <c:numRef>
              <c:f>doganat!$C$4:$C$10</c:f>
              <c:numCache>
                <c:formatCode>_(* #,##0_);_(* \(#,##0\);_(* "-"??_);_(@_)</c:formatCode>
                <c:ptCount val="7"/>
                <c:pt idx="0">
                  <c:v>158514</c:v>
                </c:pt>
                <c:pt idx="1">
                  <c:v>158514</c:v>
                </c:pt>
                <c:pt idx="2">
                  <c:v>160968</c:v>
                </c:pt>
                <c:pt idx="3">
                  <c:v>160968</c:v>
                </c:pt>
                <c:pt idx="4">
                  <c:v>160978</c:v>
                </c:pt>
                <c:pt idx="5">
                  <c:v>160978</c:v>
                </c:pt>
                <c:pt idx="6">
                  <c:v>167447</c:v>
                </c:pt>
              </c:numCache>
            </c:numRef>
          </c:val>
          <c:extLst xmlns:c16r2="http://schemas.microsoft.com/office/drawing/2015/06/chart">
            <c:ext xmlns:c16="http://schemas.microsoft.com/office/drawing/2014/chart" uri="{C3380CC4-5D6E-409C-BE32-E72D297353CC}">
              <c16:uniqueId val="{00000006-66AF-CC48-AEBF-27250E37CF33}"/>
            </c:ext>
          </c:extLst>
        </c:ser>
        <c:ser>
          <c:idx val="1"/>
          <c:order val="1"/>
          <c:tx>
            <c:strRef>
              <c:f>doganat!$D$3</c:f>
              <c:strCache>
                <c:ptCount val="1"/>
                <c:pt idx="0">
                  <c:v>Rënie</c:v>
                </c:pt>
              </c:strCache>
            </c:strRef>
          </c:tx>
          <c:spPr>
            <a:solidFill>
              <a:srgbClr val="FF0000"/>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7-66AF-CC48-AEBF-27250E37CF33}"/>
                </c:ext>
                <c:ext xmlns:c15="http://schemas.microsoft.com/office/drawing/2012/chart" uri="{CE6537A1-D6FC-4f65-9D91-7224C49458BB}"/>
              </c:extLst>
            </c:dLbl>
            <c:dLbl>
              <c:idx val="2"/>
              <c:layout>
                <c:manualLayout>
                  <c:x val="-3.9489761007105698E-17"/>
                  <c:y val="-3.5714285714285698E-2"/>
                </c:manualLayout>
              </c:layout>
              <c:tx>
                <c:rich>
                  <a:bodyPr/>
                  <a:lstStyle/>
                  <a:p>
                    <a:fld id="{4B23A143-EC58-4F98-91AA-A62254DFB53B}" type="VALUE">
                      <a:rPr lang="en-US">
                        <a:solidFill>
                          <a:srgbClr val="FF0000"/>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6AF-CC48-AEBF-27250E37CF33}"/>
                </c:ext>
                <c:ext xmlns:c15="http://schemas.microsoft.com/office/drawing/2012/chart" uri="{CE6537A1-D6FC-4f65-9D91-7224C49458BB}">
                  <c15:dlblFieldTable/>
                  <c15:showDataLabelsRange val="0"/>
                </c:ext>
              </c:extLst>
            </c:dLbl>
            <c:dLbl>
              <c:idx val="3"/>
              <c:delete val="1"/>
              <c:extLst xmlns:c16r2="http://schemas.microsoft.com/office/drawing/2015/06/chart">
                <c:ext xmlns:c16="http://schemas.microsoft.com/office/drawing/2014/chart" uri="{C3380CC4-5D6E-409C-BE32-E72D297353CC}">
                  <c16:uniqueId val="{00000009-66AF-CC48-AEBF-27250E37CF33}"/>
                </c:ext>
                <c:ext xmlns:c15="http://schemas.microsoft.com/office/drawing/2012/chart" uri="{CE6537A1-D6FC-4f65-9D91-7224C49458BB}"/>
              </c:extLst>
            </c:dLbl>
            <c:dLbl>
              <c:idx val="4"/>
              <c:layout>
                <c:manualLayout>
                  <c:x val="0"/>
                  <c:y val="-2.9761904761904798E-2"/>
                </c:manualLayout>
              </c:layout>
              <c:tx>
                <c:rich>
                  <a:bodyPr/>
                  <a:lstStyle/>
                  <a:p>
                    <a:fld id="{5AD66BEC-DBF3-4851-A4CD-56985CCFCF94}" type="VALUE">
                      <a:rPr lang="en-US">
                        <a:solidFill>
                          <a:srgbClr val="FF0000"/>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6AF-CC48-AEBF-27250E37CF3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doganat!$B$4:$B$10</c:f>
              <c:strCache>
                <c:ptCount val="7"/>
                <c:pt idx="0">
                  <c:v>Fakt 2017</c:v>
                </c:pt>
                <c:pt idx="1">
                  <c:v>TVSH Import</c:v>
                </c:pt>
                <c:pt idx="2">
                  <c:v>Akciza</c:v>
                </c:pt>
                <c:pt idx="3">
                  <c:v>Renta</c:v>
                </c:pt>
                <c:pt idx="4">
                  <c:v>T. Doganore</c:v>
                </c:pt>
                <c:pt idx="5">
                  <c:v>Fakt  2018</c:v>
                </c:pt>
                <c:pt idx="6">
                  <c:v>Plan 2018</c:v>
                </c:pt>
              </c:strCache>
            </c:strRef>
          </c:cat>
          <c:val>
            <c:numRef>
              <c:f>doganat!$D$4:$D$10</c:f>
              <c:numCache>
                <c:formatCode>_(* #,##0_);_(* \(#,##0\);_(* "-"??_);_(@_)</c:formatCode>
                <c:ptCount val="7"/>
                <c:pt idx="0">
                  <c:v>0</c:v>
                </c:pt>
                <c:pt idx="1">
                  <c:v>0</c:v>
                </c:pt>
                <c:pt idx="2">
                  <c:v>117</c:v>
                </c:pt>
                <c:pt idx="3">
                  <c:v>0</c:v>
                </c:pt>
                <c:pt idx="4">
                  <c:v>275</c:v>
                </c:pt>
              </c:numCache>
            </c:numRef>
          </c:val>
          <c:extLst xmlns:c16r2="http://schemas.microsoft.com/office/drawing/2015/06/chart">
            <c:ext xmlns:c16="http://schemas.microsoft.com/office/drawing/2014/chart" uri="{C3380CC4-5D6E-409C-BE32-E72D297353CC}">
              <c16:uniqueId val="{0000000B-66AF-CC48-AEBF-27250E37CF33}"/>
            </c:ext>
          </c:extLst>
        </c:ser>
        <c:ser>
          <c:idx val="2"/>
          <c:order val="2"/>
          <c:tx>
            <c:strRef>
              <c:f>doganat!$E$3</c:f>
              <c:strCache>
                <c:ptCount val="1"/>
                <c:pt idx="0">
                  <c:v>Rritje</c:v>
                </c:pt>
              </c:strCache>
            </c:strRef>
          </c:tx>
          <c:spPr>
            <a:solidFill>
              <a:srgbClr val="0070C0"/>
            </a:solidFill>
            <a:ln>
              <a:noFill/>
            </a:ln>
            <a:effectLst/>
          </c:spPr>
          <c:invertIfNegative val="0"/>
          <c:dLbls>
            <c:dLbl>
              <c:idx val="1"/>
              <c:layout>
                <c:manualLayout>
                  <c:x val="0"/>
                  <c:y val="-5.952380952380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6AF-CC48-AEBF-27250E37CF3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D-66AF-CC48-AEBF-27250E37CF33}"/>
                </c:ext>
                <c:ext xmlns:c15="http://schemas.microsoft.com/office/drawing/2012/chart" uri="{CE6537A1-D6FC-4f65-9D91-7224C49458BB}"/>
              </c:extLst>
            </c:dLbl>
            <c:dLbl>
              <c:idx val="3"/>
              <c:layout>
                <c:manualLayout>
                  <c:x val="-8.6160473882607204E-3"/>
                  <c:y val="-4.7619047619047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6AF-CC48-AEBF-27250E37CF3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F-66AF-CC48-AEBF-27250E37CF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doganat!$B$4:$B$10</c:f>
              <c:strCache>
                <c:ptCount val="7"/>
                <c:pt idx="0">
                  <c:v>Fakt 2017</c:v>
                </c:pt>
                <c:pt idx="1">
                  <c:v>TVSH Import</c:v>
                </c:pt>
                <c:pt idx="2">
                  <c:v>Akciza</c:v>
                </c:pt>
                <c:pt idx="3">
                  <c:v>Renta</c:v>
                </c:pt>
                <c:pt idx="4">
                  <c:v>T. Doganore</c:v>
                </c:pt>
                <c:pt idx="5">
                  <c:v>Fakt  2018</c:v>
                </c:pt>
                <c:pt idx="6">
                  <c:v>Plan 2018</c:v>
                </c:pt>
              </c:strCache>
            </c:strRef>
          </c:cat>
          <c:val>
            <c:numRef>
              <c:f>doganat!$E$4:$E$10</c:f>
              <c:numCache>
                <c:formatCode>_(* #,##0_);_(* \(#,##0\);_(* "-"??_);_(@_)</c:formatCode>
                <c:ptCount val="7"/>
                <c:pt idx="1">
                  <c:v>2571</c:v>
                </c:pt>
                <c:pt idx="2">
                  <c:v>0</c:v>
                </c:pt>
                <c:pt idx="3">
                  <c:v>285</c:v>
                </c:pt>
                <c:pt idx="4">
                  <c:v>0</c:v>
                </c:pt>
              </c:numCache>
            </c:numRef>
          </c:val>
          <c:extLst xmlns:c16r2="http://schemas.microsoft.com/office/drawing/2015/06/chart">
            <c:ext xmlns:c16="http://schemas.microsoft.com/office/drawing/2014/chart" uri="{C3380CC4-5D6E-409C-BE32-E72D297353CC}">
              <c16:uniqueId val="{00000010-66AF-CC48-AEBF-27250E37CF33}"/>
            </c:ext>
          </c:extLst>
        </c:ser>
        <c:dLbls>
          <c:showLegendKey val="0"/>
          <c:showVal val="0"/>
          <c:showCatName val="0"/>
          <c:showSerName val="0"/>
          <c:showPercent val="0"/>
          <c:showBubbleSize val="0"/>
        </c:dLbls>
        <c:gapWidth val="38"/>
        <c:overlap val="100"/>
        <c:axId val="-1423675744"/>
        <c:axId val="-1423675200"/>
      </c:barChart>
      <c:catAx>
        <c:axId val="-14236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675200"/>
        <c:crosses val="autoZero"/>
        <c:auto val="1"/>
        <c:lblAlgn val="ctr"/>
        <c:lblOffset val="100"/>
        <c:noMultiLvlLbl val="0"/>
      </c:catAx>
      <c:valAx>
        <c:axId val="-1423675200"/>
        <c:scaling>
          <c:orientation val="minMax"/>
          <c:min val="80000"/>
        </c:scaling>
        <c:delete val="1"/>
        <c:axPos val="l"/>
        <c:numFmt formatCode="_(* #,##0_);_(* \(#,##0\);_(* &quot;-&quot;??_);_(@_)" sourceLinked="1"/>
        <c:majorTickMark val="none"/>
        <c:minorTickMark val="none"/>
        <c:tickLblPos val="nextTo"/>
        <c:crossAx val="-1423675744"/>
        <c:crosses val="autoZero"/>
        <c:crossBetween val="between"/>
      </c:valAx>
      <c:spPr>
        <a:noFill/>
        <a:ln>
          <a:noFill/>
        </a:ln>
        <a:effectLst/>
      </c:spPr>
    </c:plotArea>
    <c:legend>
      <c:legendPos val="b"/>
      <c:legendEntry>
        <c:idx val="0"/>
        <c:delete val="1"/>
      </c:legendEntry>
      <c:layout>
        <c:manualLayout>
          <c:xMode val="edge"/>
          <c:yMode val="edge"/>
          <c:x val="0.369188976377953"/>
          <c:y val="2.3726305045202699E-2"/>
          <c:w val="0.26995538057742802"/>
          <c:h val="7.8125546806649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060796645702299E-2"/>
          <c:y val="5.0925925925925902E-2"/>
          <c:w val="0.95387840670859603"/>
          <c:h val="0.81396617089530499"/>
        </c:manualLayout>
      </c:layout>
      <c:barChart>
        <c:barDir val="col"/>
        <c:grouping val="stacked"/>
        <c:varyColors val="0"/>
        <c:ser>
          <c:idx val="0"/>
          <c:order val="0"/>
          <c:tx>
            <c:strRef>
              <c:f>doganat!$I$3</c:f>
              <c:strCache>
                <c:ptCount val="1"/>
                <c:pt idx="0">
                  <c:v>Realizimi Total</c:v>
                </c:pt>
              </c:strCache>
            </c:strRef>
          </c:tx>
          <c:spPr>
            <a:solidFill>
              <a:schemeClr val="bg1"/>
            </a:solidFill>
            <a:ln>
              <a:noFill/>
            </a:ln>
            <a:effectLst/>
          </c:spPr>
          <c:invertIfNegative val="0"/>
          <c:dPt>
            <c:idx val="0"/>
            <c:invertIfNegative val="0"/>
            <c:bubble3D val="0"/>
            <c:spPr>
              <a:solidFill>
                <a:srgbClr val="C0504D">
                  <a:lumMod val="75000"/>
                </a:srgbClr>
              </a:solidFill>
              <a:ln>
                <a:noFill/>
              </a:ln>
              <a:effectLst/>
            </c:spPr>
            <c:extLst xmlns:c16r2="http://schemas.microsoft.com/office/drawing/2015/06/chart">
              <c:ext xmlns:c16="http://schemas.microsoft.com/office/drawing/2014/chart" uri="{C3380CC4-5D6E-409C-BE32-E72D297353CC}">
                <c16:uniqueId val="{00000001-8422-7542-AE70-32E237EFA30D}"/>
              </c:ext>
            </c:extLst>
          </c:dPt>
          <c:dPt>
            <c:idx val="6"/>
            <c:invertIfNegative val="0"/>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3-8422-7542-AE70-32E237EFA30D}"/>
              </c:ext>
            </c:extLst>
          </c:dPt>
          <c:dPt>
            <c:idx val="7"/>
            <c:invertIfNegative val="0"/>
            <c:bubble3D val="0"/>
            <c:spPr>
              <a:solidFill>
                <a:srgbClr val="C0504D">
                  <a:lumMod val="60000"/>
                  <a:lumOff val="40000"/>
                </a:srgbClr>
              </a:solidFill>
              <a:ln>
                <a:noFill/>
              </a:ln>
              <a:effectLst/>
            </c:spPr>
            <c:extLst xmlns:c16r2="http://schemas.microsoft.com/office/drawing/2015/06/chart">
              <c:ext xmlns:c16="http://schemas.microsoft.com/office/drawing/2014/chart" uri="{C3380CC4-5D6E-409C-BE32-E72D297353CC}">
                <c16:uniqueId val="{00000005-8422-7542-AE70-32E237EFA30D}"/>
              </c:ext>
            </c:extLst>
          </c:dPt>
          <c:dLbls>
            <c:dLbl>
              <c:idx val="1"/>
              <c:delete val="1"/>
              <c:extLst xmlns:c16r2="http://schemas.microsoft.com/office/drawing/2015/06/chart">
                <c:ext xmlns:c16="http://schemas.microsoft.com/office/drawing/2014/chart" uri="{C3380CC4-5D6E-409C-BE32-E72D297353CC}">
                  <c16:uniqueId val="{00000006-8422-7542-AE70-32E237EFA30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8422-7542-AE70-32E237EFA30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8-8422-7542-AE70-32E237EFA30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8422-7542-AE70-32E237EFA30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8422-7542-AE70-32E237EFA3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doganat!$H$4:$H$11</c:f>
              <c:strCache>
                <c:ptCount val="8"/>
                <c:pt idx="0">
                  <c:v>Fakt 2017</c:v>
                </c:pt>
                <c:pt idx="1">
                  <c:v>TVSH </c:v>
                </c:pt>
                <c:pt idx="2">
                  <c:v>TF</c:v>
                </c:pt>
                <c:pt idx="3">
                  <c:v>TAP</c:v>
                </c:pt>
                <c:pt idx="4">
                  <c:v>T. Nacionale</c:v>
                </c:pt>
                <c:pt idx="5">
                  <c:v>Kontribute</c:v>
                </c:pt>
                <c:pt idx="6">
                  <c:v>Fakt 2018</c:v>
                </c:pt>
                <c:pt idx="7">
                  <c:v>Plan 2018</c:v>
                </c:pt>
              </c:strCache>
            </c:strRef>
          </c:cat>
          <c:val>
            <c:numRef>
              <c:f>doganat!$I$4:$I$11</c:f>
              <c:numCache>
                <c:formatCode>_(* #,##0_);_(* \(#,##0\);_(* "-"??_);_(@_)</c:formatCode>
                <c:ptCount val="8"/>
                <c:pt idx="0">
                  <c:v>217692</c:v>
                </c:pt>
                <c:pt idx="1">
                  <c:v>217692</c:v>
                </c:pt>
                <c:pt idx="2">
                  <c:v>219045</c:v>
                </c:pt>
                <c:pt idx="3">
                  <c:v>221861</c:v>
                </c:pt>
                <c:pt idx="4">
                  <c:v>226162</c:v>
                </c:pt>
                <c:pt idx="5">
                  <c:v>226162</c:v>
                </c:pt>
                <c:pt idx="6">
                  <c:v>232169</c:v>
                </c:pt>
                <c:pt idx="7">
                  <c:v>231413</c:v>
                </c:pt>
              </c:numCache>
            </c:numRef>
          </c:val>
          <c:extLst xmlns:c16r2="http://schemas.microsoft.com/office/drawing/2015/06/chart">
            <c:ext xmlns:c16="http://schemas.microsoft.com/office/drawing/2014/chart" uri="{C3380CC4-5D6E-409C-BE32-E72D297353CC}">
              <c16:uniqueId val="{0000000B-8422-7542-AE70-32E237EFA30D}"/>
            </c:ext>
          </c:extLst>
        </c:ser>
        <c:ser>
          <c:idx val="1"/>
          <c:order val="1"/>
          <c:tx>
            <c:strRef>
              <c:f>doganat!$J$3</c:f>
              <c:strCache>
                <c:ptCount val="1"/>
                <c:pt idx="0">
                  <c:v>Rënie</c:v>
                </c:pt>
              </c:strCache>
            </c:strRef>
          </c:tx>
          <c:spPr>
            <a:solidFill>
              <a:schemeClr val="accent2"/>
            </a:solidFill>
            <a:ln>
              <a:noFill/>
            </a:ln>
            <a:effectLst/>
          </c:spPr>
          <c:invertIfNegative val="0"/>
          <c:cat>
            <c:strRef>
              <c:f>doganat!$H$4:$H$11</c:f>
              <c:strCache>
                <c:ptCount val="8"/>
                <c:pt idx="0">
                  <c:v>Fakt 2017</c:v>
                </c:pt>
                <c:pt idx="1">
                  <c:v>TVSH </c:v>
                </c:pt>
                <c:pt idx="2">
                  <c:v>TF</c:v>
                </c:pt>
                <c:pt idx="3">
                  <c:v>TAP</c:v>
                </c:pt>
                <c:pt idx="4">
                  <c:v>T. Nacionale</c:v>
                </c:pt>
                <c:pt idx="5">
                  <c:v>Kontribute</c:v>
                </c:pt>
                <c:pt idx="6">
                  <c:v>Fakt 2018</c:v>
                </c:pt>
                <c:pt idx="7">
                  <c:v>Plan 2018</c:v>
                </c:pt>
              </c:strCache>
            </c:strRef>
          </c:cat>
          <c:val>
            <c:numRef>
              <c:f>doganat!$J$4:$J$11</c:f>
              <c:numCache>
                <c:formatCode>_(* #,##0_);_(* \(#,##0\);_(* "-"??_);_(@_)</c:formatCode>
                <c:ptCount val="8"/>
                <c:pt idx="0">
                  <c:v>0</c:v>
                </c:pt>
                <c:pt idx="1">
                  <c:v>0</c:v>
                </c:pt>
                <c:pt idx="2">
                  <c:v>0</c:v>
                </c:pt>
                <c:pt idx="3">
                  <c:v>0</c:v>
                </c:pt>
                <c:pt idx="4">
                  <c:v>114</c:v>
                </c:pt>
                <c:pt idx="5">
                  <c:v>0</c:v>
                </c:pt>
              </c:numCache>
            </c:numRef>
          </c:val>
          <c:extLst xmlns:c16r2="http://schemas.microsoft.com/office/drawing/2015/06/chart">
            <c:ext xmlns:c16="http://schemas.microsoft.com/office/drawing/2014/chart" uri="{C3380CC4-5D6E-409C-BE32-E72D297353CC}">
              <c16:uniqueId val="{0000000C-8422-7542-AE70-32E237EFA30D}"/>
            </c:ext>
          </c:extLst>
        </c:ser>
        <c:ser>
          <c:idx val="2"/>
          <c:order val="2"/>
          <c:tx>
            <c:strRef>
              <c:f>doganat!$K$3</c:f>
              <c:strCache>
                <c:ptCount val="1"/>
                <c:pt idx="0">
                  <c:v>Rritje</c:v>
                </c:pt>
              </c:strCache>
            </c:strRef>
          </c:tx>
          <c:spPr>
            <a:solidFill>
              <a:srgbClr val="0070C0"/>
            </a:solidFill>
            <a:ln>
              <a:noFill/>
            </a:ln>
            <a:effectLst/>
          </c:spPr>
          <c:invertIfNegative val="0"/>
          <c:dLbls>
            <c:dLbl>
              <c:idx val="1"/>
              <c:layout>
                <c:manualLayout>
                  <c:x val="-2.1130480718436302E-3"/>
                  <c:y val="-5.58464223385689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422-7542-AE70-32E237EFA30D}"/>
                </c:ext>
                <c:ext xmlns:c15="http://schemas.microsoft.com/office/drawing/2012/chart" uri="{CE6537A1-D6FC-4f65-9D91-7224C49458BB}"/>
              </c:extLst>
            </c:dLbl>
            <c:dLbl>
              <c:idx val="2"/>
              <c:layout>
                <c:manualLayout>
                  <c:x val="-4.2260961436872699E-3"/>
                  <c:y val="-7.67888307155323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422-7542-AE70-32E237EFA30D}"/>
                </c:ext>
                <c:ext xmlns:c15="http://schemas.microsoft.com/office/drawing/2012/chart" uri="{CE6537A1-D6FC-4f65-9D91-7224C49458BB}"/>
              </c:extLst>
            </c:dLbl>
            <c:dLbl>
              <c:idx val="3"/>
              <c:layout>
                <c:manualLayout>
                  <c:x val="0"/>
                  <c:y val="-4.88656195462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422-7542-AE70-32E237EFA30D}"/>
                </c:ext>
                <c:ext xmlns:c15="http://schemas.microsoft.com/office/drawing/2012/chart" uri="{CE6537A1-D6FC-4f65-9D91-7224C49458BB}"/>
              </c:extLst>
            </c:dLbl>
            <c:dLbl>
              <c:idx val="4"/>
              <c:layout>
                <c:manualLayout>
                  <c:x val="0"/>
                  <c:y val="-5.5846422338568999E-2"/>
                </c:manualLayout>
              </c:layout>
              <c:tx>
                <c:rich>
                  <a:bodyPr/>
                  <a:lstStyle/>
                  <a:p>
                    <a:r>
                      <a:rPr lang="en-US">
                        <a:solidFill>
                          <a:srgbClr val="FF0000"/>
                        </a:solidFill>
                      </a:rPr>
                      <a:t>114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422-7542-AE70-32E237EFA30D}"/>
                </c:ext>
                <c:ext xmlns:c15="http://schemas.microsoft.com/office/drawing/2012/chart" uri="{CE6537A1-D6FC-4f65-9D91-7224C49458BB}"/>
              </c:extLst>
            </c:dLbl>
            <c:dLbl>
              <c:idx val="5"/>
              <c:layout>
                <c:manualLayout>
                  <c:x val="0"/>
                  <c:y val="-9.07504363001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422-7542-AE70-32E237EFA3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doganat!$H$4:$H$11</c:f>
              <c:strCache>
                <c:ptCount val="8"/>
                <c:pt idx="0">
                  <c:v>Fakt 2017</c:v>
                </c:pt>
                <c:pt idx="1">
                  <c:v>TVSH </c:v>
                </c:pt>
                <c:pt idx="2">
                  <c:v>TF</c:v>
                </c:pt>
                <c:pt idx="3">
                  <c:v>TAP</c:v>
                </c:pt>
                <c:pt idx="4">
                  <c:v>T. Nacionale</c:v>
                </c:pt>
                <c:pt idx="5">
                  <c:v>Kontribute</c:v>
                </c:pt>
                <c:pt idx="6">
                  <c:v>Fakt 2018</c:v>
                </c:pt>
                <c:pt idx="7">
                  <c:v>Plan 2018</c:v>
                </c:pt>
              </c:strCache>
            </c:strRef>
          </c:cat>
          <c:val>
            <c:numRef>
              <c:f>doganat!$K$4:$K$11</c:f>
              <c:numCache>
                <c:formatCode>_(* #,##0_);_(* \(#,##0\);_(* "-"??_);_(@_)</c:formatCode>
                <c:ptCount val="8"/>
                <c:pt idx="1">
                  <c:v>1353</c:v>
                </c:pt>
                <c:pt idx="2">
                  <c:v>2816</c:v>
                </c:pt>
                <c:pt idx="3">
                  <c:v>4415</c:v>
                </c:pt>
                <c:pt idx="4">
                  <c:v>0</c:v>
                </c:pt>
                <c:pt idx="5">
                  <c:v>6007</c:v>
                </c:pt>
              </c:numCache>
            </c:numRef>
          </c:val>
          <c:extLst xmlns:c16r2="http://schemas.microsoft.com/office/drawing/2015/06/chart">
            <c:ext xmlns:c16="http://schemas.microsoft.com/office/drawing/2014/chart" uri="{C3380CC4-5D6E-409C-BE32-E72D297353CC}">
              <c16:uniqueId val="{00000012-8422-7542-AE70-32E237EFA30D}"/>
            </c:ext>
          </c:extLst>
        </c:ser>
        <c:dLbls>
          <c:showLegendKey val="0"/>
          <c:showVal val="0"/>
          <c:showCatName val="0"/>
          <c:showSerName val="0"/>
          <c:showPercent val="0"/>
          <c:showBubbleSize val="0"/>
        </c:dLbls>
        <c:gapWidth val="38"/>
        <c:overlap val="100"/>
        <c:axId val="-1357515328"/>
        <c:axId val="-1357524032"/>
      </c:barChart>
      <c:catAx>
        <c:axId val="-13575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524032"/>
        <c:crosses val="autoZero"/>
        <c:auto val="1"/>
        <c:lblAlgn val="ctr"/>
        <c:lblOffset val="100"/>
        <c:noMultiLvlLbl val="0"/>
      </c:catAx>
      <c:valAx>
        <c:axId val="-1357524032"/>
        <c:scaling>
          <c:orientation val="minMax"/>
          <c:min val="150000"/>
        </c:scaling>
        <c:delete val="1"/>
        <c:axPos val="l"/>
        <c:numFmt formatCode="_(* #,##0_);_(* \(#,##0\);_(* &quot;-&quot;??_);_(@_)" sourceLinked="1"/>
        <c:majorTickMark val="none"/>
        <c:minorTickMark val="none"/>
        <c:tickLblPos val="nextTo"/>
        <c:crossAx val="-1357515328"/>
        <c:crosses val="autoZero"/>
        <c:crossBetween val="between"/>
      </c:valAx>
      <c:spPr>
        <a:noFill/>
        <a:ln>
          <a:noFill/>
        </a:ln>
        <a:effectLst/>
      </c:spPr>
    </c:plotArea>
    <c:legend>
      <c:legendPos val="b"/>
      <c:legendEntry>
        <c:idx val="0"/>
        <c:delete val="1"/>
      </c:legendEntry>
      <c:layout>
        <c:manualLayout>
          <c:xMode val="edge"/>
          <c:yMode val="edge"/>
          <c:x val="0.39418897637795303"/>
          <c:y val="5.6133712452610098E-2"/>
          <c:w val="0.20051093613298299"/>
          <c:h val="7.8125546806649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917104111985998E-2"/>
          <c:y val="0.14046405657626099"/>
          <c:w val="0.50461045494313195"/>
          <c:h val="0.84101742490522002"/>
        </c:manualLayout>
      </c:layout>
      <c:pieChart>
        <c:varyColors val="1"/>
        <c:ser>
          <c:idx val="0"/>
          <c:order val="0"/>
          <c:tx>
            <c:strRef>
              <c:f>'Te dhena'!$E$21</c:f>
              <c:strCache>
                <c:ptCount val="1"/>
                <c:pt idx="0">
                  <c:v>Pesha sipas sektorit</c:v>
                </c:pt>
              </c:strCache>
            </c:strRef>
          </c:tx>
          <c:explosion val="7"/>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44B-E942-864F-4FD8E26DB60E}"/>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44B-E942-864F-4FD8E26DB60E}"/>
              </c:ext>
            </c:extLst>
          </c:dPt>
          <c:dPt>
            <c:idx val="2"/>
            <c:bubble3D val="0"/>
            <c:explosion val="6"/>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644B-E942-864F-4FD8E26DB60E}"/>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644B-E942-864F-4FD8E26DB60E}"/>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644B-E942-864F-4FD8E26DB60E}"/>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644B-E942-864F-4FD8E26DB60E}"/>
              </c:ext>
            </c:extLst>
          </c:dPt>
          <c:dLbls>
            <c:dLbl>
              <c:idx val="5"/>
              <c:delete val="1"/>
              <c:extLst xmlns:c16r2="http://schemas.microsoft.com/office/drawing/2015/06/chart">
                <c:ext xmlns:c16="http://schemas.microsoft.com/office/drawing/2014/chart" uri="{C3380CC4-5D6E-409C-BE32-E72D297353CC}">
                  <c16:uniqueId val="{0000000B-644B-E942-864F-4FD8E26DB60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'Te dhena'!$A$22:$A$27</c:f>
              <c:strCache>
                <c:ptCount val="6"/>
                <c:pt idx="0">
                  <c:v>në Sektorin e Ndërtimit</c:v>
                </c:pt>
                <c:pt idx="1">
                  <c:v>në Sektorin e Prodhimit</c:v>
                </c:pt>
                <c:pt idx="2">
                  <c:v>në Sektorin e Shërbimit</c:v>
                </c:pt>
                <c:pt idx="3">
                  <c:v>në Sektorin e Transportit</c:v>
                </c:pt>
                <c:pt idx="4">
                  <c:v>në Sektorin e Tregtisë</c:v>
                </c:pt>
                <c:pt idx="5">
                  <c:v>PAPERCAKTUAR</c:v>
                </c:pt>
              </c:strCache>
            </c:strRef>
          </c:cat>
          <c:val>
            <c:numRef>
              <c:f>'Te dhena'!$E$22:$E$27</c:f>
              <c:numCache>
                <c:formatCode>#.000%</c:formatCode>
                <c:ptCount val="6"/>
                <c:pt idx="0">
                  <c:v>8.4974422391629001E-2</c:v>
                </c:pt>
                <c:pt idx="1">
                  <c:v>0.18241771621679201</c:v>
                </c:pt>
                <c:pt idx="2">
                  <c:v>0.53103120541880899</c:v>
                </c:pt>
                <c:pt idx="3">
                  <c:v>5.0368626002623602E-2</c:v>
                </c:pt>
                <c:pt idx="4">
                  <c:v>0.14898326912798601</c:v>
                </c:pt>
                <c:pt idx="5">
                  <c:v>2.2247608421609201E-3</c:v>
                </c:pt>
              </c:numCache>
            </c:numRef>
          </c:val>
          <c:extLst xmlns:c16r2="http://schemas.microsoft.com/office/drawing/2015/06/chart">
            <c:ext xmlns:c16="http://schemas.microsoft.com/office/drawing/2014/chart" uri="{C3380CC4-5D6E-409C-BE32-E72D297353CC}">
              <c16:uniqueId val="{0000000C-644B-E942-864F-4FD8E26DB60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028215223097103E-2"/>
          <c:y val="0.13120479731700199"/>
          <c:w val="0.49905489938757702"/>
          <c:h val="0.83175816564596095"/>
        </c:manualLayout>
      </c:layout>
      <c:pieChart>
        <c:varyColors val="1"/>
        <c:ser>
          <c:idx val="0"/>
          <c:order val="0"/>
          <c:tx>
            <c:strRef>
              <c:f>'Te dhena'!$F$21</c:f>
              <c:strCache>
                <c:ptCount val="1"/>
                <c:pt idx="0">
                  <c:v>Pesha sipas sektorit (TVSH)</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59DB-4345-924D-42A1102AB9C0}"/>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59DB-4345-924D-42A1102AB9C0}"/>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59DB-4345-924D-42A1102AB9C0}"/>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59DB-4345-924D-42A1102AB9C0}"/>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59DB-4345-924D-42A1102AB9C0}"/>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59DB-4345-924D-42A1102AB9C0}"/>
              </c:ext>
            </c:extLst>
          </c:dPt>
          <c:dLbls>
            <c:dLbl>
              <c:idx val="5"/>
              <c:delete val="1"/>
              <c:extLst xmlns:c16r2="http://schemas.microsoft.com/office/drawing/2015/06/chart">
                <c:ext xmlns:c16="http://schemas.microsoft.com/office/drawing/2014/chart" uri="{C3380CC4-5D6E-409C-BE32-E72D297353CC}">
                  <c16:uniqueId val="{0000000B-59DB-4345-924D-42A1102AB9C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'Te dhena'!$A$22:$A$27</c:f>
              <c:strCache>
                <c:ptCount val="6"/>
                <c:pt idx="0">
                  <c:v>në Sektorin e Ndërtimit</c:v>
                </c:pt>
                <c:pt idx="1">
                  <c:v>në Sektorin e Prodhimit</c:v>
                </c:pt>
                <c:pt idx="2">
                  <c:v>në Sektorin e Shërbimit</c:v>
                </c:pt>
                <c:pt idx="3">
                  <c:v>në Sektorin e Transportit</c:v>
                </c:pt>
                <c:pt idx="4">
                  <c:v>në Sektorin e Tregtisë</c:v>
                </c:pt>
                <c:pt idx="5">
                  <c:v>PAPERCAKTUAR</c:v>
                </c:pt>
              </c:strCache>
            </c:strRef>
          </c:cat>
          <c:val>
            <c:numRef>
              <c:f>'Te dhena'!$F$22:$F$27</c:f>
              <c:numCache>
                <c:formatCode>#.#00%</c:formatCode>
                <c:ptCount val="6"/>
                <c:pt idx="0">
                  <c:v>0.17428375332839199</c:v>
                </c:pt>
                <c:pt idx="1">
                  <c:v>0.26408197557020002</c:v>
                </c:pt>
                <c:pt idx="2">
                  <c:v>0.31867615539424199</c:v>
                </c:pt>
                <c:pt idx="3">
                  <c:v>2.2856569826197201E-2</c:v>
                </c:pt>
                <c:pt idx="4">
                  <c:v>0.220085166937529</c:v>
                </c:pt>
                <c:pt idx="5">
                  <c:v>1.6378943439846301E-5</c:v>
                </c:pt>
              </c:numCache>
            </c:numRef>
          </c:val>
          <c:extLst xmlns:c16r2="http://schemas.microsoft.com/office/drawing/2015/06/chart">
            <c:ext xmlns:c16="http://schemas.microsoft.com/office/drawing/2014/chart" uri="{C3380CC4-5D6E-409C-BE32-E72D297353CC}">
              <c16:uniqueId val="{0000000C-59DB-4345-924D-42A1102AB9C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'[Chart in Microsoft Office Word]graphs'!$N$136</c:f>
              <c:strCache>
                <c:ptCount val="1"/>
                <c:pt idx="0">
                  <c:v>Rimbursim TVSH</c:v>
                </c:pt>
              </c:strCache>
            </c:strRef>
          </c:tx>
          <c:invertIfNegative val="0"/>
          <c:cat>
            <c:numRef>
              <c:f>'[Chart in Microsoft Office Word]graphs'!$O$135:$U$135</c:f>
              <c:numCache>
                <c:formatCode>General</c:formatCode>
                <c:ptCount val="7"/>
                <c:pt idx="0">
                  <c:v>2012</c:v>
                </c:pt>
                <c:pt idx="1">
                  <c:v>2013</c:v>
                </c:pt>
                <c:pt idx="2">
                  <c:v>2014</c:v>
                </c:pt>
                <c:pt idx="3">
                  <c:v>2015</c:v>
                </c:pt>
                <c:pt idx="4">
                  <c:v>2016</c:v>
                </c:pt>
                <c:pt idx="5">
                  <c:v>2017</c:v>
                </c:pt>
                <c:pt idx="6">
                  <c:v>2018</c:v>
                </c:pt>
              </c:numCache>
            </c:numRef>
          </c:cat>
          <c:val>
            <c:numRef>
              <c:f>'[Chart in Microsoft Office Word]graphs'!$O$136:$U$136</c:f>
              <c:numCache>
                <c:formatCode>_(* #.##0_);_(* \(#.##0\);_(* "-"??_);_(@_)</c:formatCode>
                <c:ptCount val="7"/>
                <c:pt idx="0">
                  <c:v>7008</c:v>
                </c:pt>
                <c:pt idx="1">
                  <c:v>7397</c:v>
                </c:pt>
                <c:pt idx="2">
                  <c:v>9600</c:v>
                </c:pt>
                <c:pt idx="3">
                  <c:v>7692</c:v>
                </c:pt>
                <c:pt idx="4">
                  <c:v>8886</c:v>
                </c:pt>
                <c:pt idx="5">
                  <c:v>13891</c:v>
                </c:pt>
                <c:pt idx="6" formatCode="_(* #.##00_);_(* \(#.##00\);_(* &quot;-&quot;??_);_(@_)">
                  <c:v>14394.3</c:v>
                </c:pt>
              </c:numCache>
            </c:numRef>
          </c:val>
          <c:extLst xmlns:c16r2="http://schemas.microsoft.com/office/drawing/2015/06/chart">
            <c:ext xmlns:c16="http://schemas.microsoft.com/office/drawing/2014/chart" uri="{C3380CC4-5D6E-409C-BE32-E72D297353CC}">
              <c16:uniqueId val="{00000001-0999-6941-90BD-2A379243CC76}"/>
            </c:ext>
          </c:extLst>
        </c:ser>
        <c:dLbls>
          <c:showLegendKey val="0"/>
          <c:showVal val="0"/>
          <c:showCatName val="0"/>
          <c:showSerName val="0"/>
          <c:showPercent val="0"/>
          <c:showBubbleSize val="0"/>
        </c:dLbls>
        <c:gapWidth val="150"/>
        <c:axId val="-1357503360"/>
        <c:axId val="-1357535456"/>
      </c:barChart>
      <c:lineChart>
        <c:grouping val="standard"/>
        <c:varyColors val="0"/>
        <c:ser>
          <c:idx val="4"/>
          <c:order val="1"/>
          <c:tx>
            <c:strRef>
              <c:f>'[Chart in Microsoft Office Word]graphs'!$N$137</c:f>
              <c:strCache>
                <c:ptCount val="1"/>
                <c:pt idx="0">
                  <c:v>Në % të TVSH totale</c:v>
                </c:pt>
              </c:strCache>
            </c:strRef>
          </c:tx>
          <c:spPr>
            <a:ln>
              <a:solidFill>
                <a:schemeClr val="accent2">
                  <a:lumMod val="60000"/>
                  <a:lumOff val="40000"/>
                </a:schemeClr>
              </a:solidFill>
            </a:ln>
          </c:spPr>
          <c:marker>
            <c:symbol val="diamond"/>
            <c:size val="7"/>
            <c:spPr>
              <a:solidFill>
                <a:schemeClr val="accent1"/>
              </a:solidFill>
            </c:spPr>
          </c:marker>
          <c:dLbls>
            <c:dLbl>
              <c:idx val="0"/>
              <c:layout>
                <c:manualLayout>
                  <c:x val="-2.3493396743482199E-2"/>
                  <c:y val="3.7510646364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99-6941-90BD-2A379243CC76}"/>
                </c:ext>
                <c:ext xmlns:c15="http://schemas.microsoft.com/office/drawing/2012/chart" uri="{CE6537A1-D6FC-4f65-9D91-7224C49458BB}"/>
              </c:extLst>
            </c:dLbl>
            <c:dLbl>
              <c:idx val="1"/>
              <c:layout>
                <c:manualLayout>
                  <c:x val="-2.01371972086993E-2"/>
                  <c:y val="3.06902603351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999-6941-90BD-2A379243CC76}"/>
                </c:ext>
                <c:ext xmlns:c15="http://schemas.microsoft.com/office/drawing/2012/chart" uri="{CE6537A1-D6FC-4f65-9D91-7224C49458BB}"/>
              </c:extLst>
            </c:dLbl>
            <c:dLbl>
              <c:idx val="2"/>
              <c:layout>
                <c:manualLayout>
                  <c:x val="-2.5171496510874199E-2"/>
                  <c:y val="4.09207051249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999-6941-90BD-2A379243CC76}"/>
                </c:ext>
                <c:ext xmlns:c15="http://schemas.microsoft.com/office/drawing/2012/chart" uri="{CE6537A1-D6FC-4f65-9D91-7224C49458BB}"/>
              </c:extLst>
            </c:dLbl>
            <c:dLbl>
              <c:idx val="3"/>
              <c:layout>
                <c:manualLayout>
                  <c:x val="-2.1815296976090699E-2"/>
                  <c:y val="3.7510646364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999-6941-90BD-2A379243CC76}"/>
                </c:ext>
                <c:ext xmlns:c15="http://schemas.microsoft.com/office/drawing/2012/chart" uri="{CE6537A1-D6FC-4f65-9D91-7224C49458BB}"/>
              </c:extLst>
            </c:dLbl>
            <c:dLbl>
              <c:idx val="4"/>
              <c:layout>
                <c:manualLayout>
                  <c:x val="-2.3493396743482199E-2"/>
                  <c:y val="4.09207051249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999-6941-90BD-2A379243CC76}"/>
                </c:ext>
                <c:ext xmlns:c15="http://schemas.microsoft.com/office/drawing/2012/chart" uri="{CE6537A1-D6FC-4f65-9D91-7224C49458BB}"/>
              </c:extLst>
            </c:dLbl>
            <c:dLbl>
              <c:idx val="5"/>
              <c:layout>
                <c:manualLayout>
                  <c:x val="-1.8459097441307502E-2"/>
                  <c:y val="4.09207051249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999-6941-90BD-2A379243CC76}"/>
                </c:ext>
                <c:ext xmlns:c15="http://schemas.microsoft.com/office/drawing/2012/chart" uri="{CE6537A1-D6FC-4f65-9D91-7224C49458BB}"/>
              </c:extLst>
            </c:dLbl>
            <c:dLbl>
              <c:idx val="6"/>
              <c:layout>
                <c:manualLayout>
                  <c:x val="-2.01371972086993E-2"/>
                  <c:y val="3.7510646364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999-6941-90BD-2A379243CC76}"/>
                </c:ext>
                <c:ext xmlns:c15="http://schemas.microsoft.com/office/drawing/2012/chart" uri="{CE6537A1-D6FC-4f65-9D91-7224C49458BB}"/>
              </c:extLst>
            </c:dLbl>
            <c:dLbl>
              <c:idx val="7"/>
              <c:layout>
                <c:manualLayout>
                  <c:x val="-2.3493396743482199E-2"/>
                  <c:y val="3.4100587604141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999-6941-90BD-2A379243CC76}"/>
                </c:ext>
                <c:ext xmlns:c15="http://schemas.microsoft.com/office/drawing/2012/chart" uri="{CE6537A1-D6FC-4f65-9D91-7224C49458BB}"/>
              </c:extLst>
            </c:dLbl>
            <c:dLbl>
              <c:idx val="8"/>
              <c:layout>
                <c:manualLayout>
                  <c:x val="-2.68495962782654E-2"/>
                  <c:y val="4.09207051249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999-6941-90BD-2A379243CC76}"/>
                </c:ext>
                <c:ext xmlns:c15="http://schemas.microsoft.com/office/drawing/2012/chart" uri="{CE6537A1-D6FC-4f65-9D91-7224C49458BB}"/>
              </c:extLst>
            </c:dLbl>
            <c:dLbl>
              <c:idx val="9"/>
              <c:layout>
                <c:manualLayout>
                  <c:x val="-2.3493396743482199E-2"/>
                  <c:y val="3.0690528843726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999-6941-90BD-2A379243CC76}"/>
                </c:ext>
                <c:ext xmlns:c15="http://schemas.microsoft.com/office/drawing/2012/chart" uri="{CE6537A1-D6FC-4f65-9D91-7224C49458BB}"/>
              </c:extLst>
            </c:dLbl>
            <c:dLbl>
              <c:idx val="10"/>
              <c:layout>
                <c:manualLayout>
                  <c:x val="-2.5171496510874199E-2"/>
                  <c:y val="-3.7510646364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999-6941-90BD-2A379243CC76}"/>
                </c:ext>
                <c:ext xmlns:c15="http://schemas.microsoft.com/office/drawing/2012/chart" uri="{CE6537A1-D6FC-4f65-9D91-7224C49458BB}"/>
              </c:extLst>
            </c:dLbl>
            <c:dLbl>
              <c:idx val="11"/>
              <c:layout>
                <c:manualLayout>
                  <c:x val="-2.01371972086993E-2"/>
                  <c:y val="-3.0690528843726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999-6941-90BD-2A379243CC76}"/>
                </c:ext>
                <c:ext xmlns:c15="http://schemas.microsoft.com/office/drawing/2012/chart" uri="{CE6537A1-D6FC-4f65-9D91-7224C49458BB}"/>
              </c:extLst>
            </c:dLbl>
            <c:dLbl>
              <c:idx val="12"/>
              <c:layout>
                <c:manualLayout>
                  <c:x val="-2.01371972086993E-2"/>
                  <c:y val="3.41005876041410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999-6941-90BD-2A379243CC76}"/>
                </c:ext>
                <c:ext xmlns:c15="http://schemas.microsoft.com/office/drawing/2012/chart" uri="{CE6537A1-D6FC-4f65-9D91-7224C49458BB}"/>
              </c:extLst>
            </c:dLbl>
            <c:dLbl>
              <c:idx val="13"/>
              <c:layout>
                <c:manualLayout>
                  <c:x val="-2.01371972086993E-2"/>
                  <c:y val="3.0690528843726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999-6941-90BD-2A379243CC76}"/>
                </c:ext>
                <c:ext xmlns:c15="http://schemas.microsoft.com/office/drawing/2012/chart" uri="{CE6537A1-D6FC-4f65-9D91-7224C49458BB}"/>
              </c:extLst>
            </c:dLbl>
            <c:spPr>
              <a:solidFill>
                <a:schemeClr val="accent2">
                  <a:lumMod val="20000"/>
                  <a:lumOff val="80000"/>
                </a:schemeClr>
              </a:solidFill>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'[Chart in Microsoft Office Word]graphs'!$O$137:$U$137</c:f>
              <c:numCache>
                <c:formatCode>#,#00%</c:formatCode>
                <c:ptCount val="7"/>
                <c:pt idx="0">
                  <c:v>6.0137626606094202E-2</c:v>
                </c:pt>
                <c:pt idx="1">
                  <c:v>6.6080219975576102E-2</c:v>
                </c:pt>
                <c:pt idx="2">
                  <c:v>7.7588297098520997E-2</c:v>
                </c:pt>
                <c:pt idx="3">
                  <c:v>6.1152937996390599E-2</c:v>
                </c:pt>
                <c:pt idx="4">
                  <c:v>6.7630717710632393E-2</c:v>
                </c:pt>
                <c:pt idx="5">
                  <c:v>9.9547931565831402E-2</c:v>
                </c:pt>
                <c:pt idx="6">
                  <c:v>0.100334007556748</c:v>
                </c:pt>
              </c:numCache>
            </c:numRef>
          </c:val>
          <c:smooth val="0"/>
          <c:extLst xmlns:c16r2="http://schemas.microsoft.com/office/drawing/2015/06/chart">
            <c:ext xmlns:c16="http://schemas.microsoft.com/office/drawing/2014/chart" uri="{C3380CC4-5D6E-409C-BE32-E72D297353CC}">
              <c16:uniqueId val="{00000010-0999-6941-90BD-2A379243CC76}"/>
            </c:ext>
          </c:extLst>
        </c:ser>
        <c:dLbls>
          <c:showLegendKey val="0"/>
          <c:showVal val="0"/>
          <c:showCatName val="0"/>
          <c:showSerName val="0"/>
          <c:showPercent val="0"/>
          <c:showBubbleSize val="0"/>
        </c:dLbls>
        <c:marker val="1"/>
        <c:smooth val="0"/>
        <c:axId val="-1357512608"/>
        <c:axId val="-1357527840"/>
      </c:lineChart>
      <c:catAx>
        <c:axId val="-1357503360"/>
        <c:scaling>
          <c:orientation val="minMax"/>
        </c:scaling>
        <c:delete val="0"/>
        <c:axPos val="b"/>
        <c:numFmt formatCode="General" sourceLinked="1"/>
        <c:majorTickMark val="none"/>
        <c:minorTickMark val="none"/>
        <c:tickLblPos val="nextTo"/>
        <c:txPr>
          <a:bodyPr rot="0" vert="horz"/>
          <a:lstStyle/>
          <a:p>
            <a:pPr>
              <a:defRPr sz="800"/>
            </a:pPr>
            <a:endParaRPr lang="en-US"/>
          </a:p>
        </c:txPr>
        <c:crossAx val="-1357535456"/>
        <c:crosses val="autoZero"/>
        <c:auto val="0"/>
        <c:lblAlgn val="ctr"/>
        <c:lblOffset val="100"/>
        <c:noMultiLvlLbl val="0"/>
      </c:catAx>
      <c:valAx>
        <c:axId val="-1357535456"/>
        <c:scaling>
          <c:orientation val="minMax"/>
        </c:scaling>
        <c:delete val="0"/>
        <c:axPos val="l"/>
        <c:numFmt formatCode="_(* #.##0_);_(* \(#.##0\);_(* &quot;-&quot;??_);_(@_)" sourceLinked="1"/>
        <c:majorTickMark val="none"/>
        <c:minorTickMark val="none"/>
        <c:tickLblPos val="nextTo"/>
        <c:txPr>
          <a:bodyPr/>
          <a:lstStyle/>
          <a:p>
            <a:pPr>
              <a:defRPr sz="800"/>
            </a:pPr>
            <a:endParaRPr lang="en-US"/>
          </a:p>
        </c:txPr>
        <c:crossAx val="-1357503360"/>
        <c:crosses val="autoZero"/>
        <c:crossBetween val="between"/>
      </c:valAx>
      <c:valAx>
        <c:axId val="-1357527840"/>
        <c:scaling>
          <c:orientation val="minMax"/>
        </c:scaling>
        <c:delete val="0"/>
        <c:axPos val="r"/>
        <c:numFmt formatCode="0%" sourceLinked="0"/>
        <c:majorTickMark val="out"/>
        <c:minorTickMark val="none"/>
        <c:tickLblPos val="nextTo"/>
        <c:txPr>
          <a:bodyPr/>
          <a:lstStyle/>
          <a:p>
            <a:pPr>
              <a:defRPr sz="800"/>
            </a:pPr>
            <a:endParaRPr lang="en-US"/>
          </a:p>
        </c:txPr>
        <c:crossAx val="-1357512608"/>
        <c:crosses val="max"/>
        <c:crossBetween val="between"/>
      </c:valAx>
      <c:catAx>
        <c:axId val="-1357512608"/>
        <c:scaling>
          <c:orientation val="minMax"/>
        </c:scaling>
        <c:delete val="1"/>
        <c:axPos val="b"/>
        <c:numFmt formatCode="General" sourceLinked="1"/>
        <c:majorTickMark val="out"/>
        <c:minorTickMark val="none"/>
        <c:tickLblPos val="none"/>
        <c:crossAx val="-1357527840"/>
        <c:crosses val="autoZero"/>
        <c:auto val="1"/>
        <c:lblAlgn val="ctr"/>
        <c:lblOffset val="100"/>
        <c:noMultiLvlLbl val="0"/>
      </c:catAx>
    </c:plotArea>
    <c:legend>
      <c:legendPos val="b"/>
      <c:overlay val="0"/>
      <c:txPr>
        <a:bodyPr/>
        <a:lstStyle/>
        <a:p>
          <a:pPr>
            <a:defRPr sz="800">
              <a:solidFill>
                <a:srgbClr val="002060"/>
              </a:solidFill>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C0504D">
          <a:lumMod val="60000"/>
          <a:lumOff val="40000"/>
        </a:srgbClr>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2"/>
          <c:order val="0"/>
          <c:tx>
            <c:strRef>
              <c:f>graphs!$N$47</c:f>
              <c:strCache>
                <c:ptCount val="1"/>
                <c:pt idx="0">
                  <c:v>Akciza</c:v>
                </c:pt>
              </c:strCache>
            </c:strRef>
          </c:tx>
          <c:spPr>
            <a:solidFill>
              <a:schemeClr val="accent1"/>
            </a:solidFill>
          </c:spPr>
          <c:invertIfNegative val="0"/>
          <c:cat>
            <c:numRef>
              <c:f>graphs!$O$46:$W$46</c:f>
              <c:numCache>
                <c:formatCode>0_);\(0\)</c:formatCode>
                <c:ptCount val="9"/>
                <c:pt idx="0">
                  <c:v>2010</c:v>
                </c:pt>
                <c:pt idx="1">
                  <c:v>2011</c:v>
                </c:pt>
                <c:pt idx="2">
                  <c:v>2012</c:v>
                </c:pt>
                <c:pt idx="3">
                  <c:v>2013</c:v>
                </c:pt>
                <c:pt idx="4">
                  <c:v>2014</c:v>
                </c:pt>
                <c:pt idx="5">
                  <c:v>2015</c:v>
                </c:pt>
                <c:pt idx="6">
                  <c:v>2016</c:v>
                </c:pt>
                <c:pt idx="7">
                  <c:v>2017</c:v>
                </c:pt>
                <c:pt idx="8">
                  <c:v>2018</c:v>
                </c:pt>
              </c:numCache>
            </c:numRef>
          </c:cat>
          <c:val>
            <c:numRef>
              <c:f>graphs!$O$47:$W$47</c:f>
              <c:numCache>
                <c:formatCode>#.##00</c:formatCode>
                <c:ptCount val="9"/>
                <c:pt idx="0">
                  <c:v>38.787999999999997</c:v>
                </c:pt>
                <c:pt idx="1">
                  <c:v>40.402999999999999</c:v>
                </c:pt>
                <c:pt idx="2">
                  <c:v>36.420999999999999</c:v>
                </c:pt>
                <c:pt idx="3">
                  <c:v>38.151000000000003</c:v>
                </c:pt>
                <c:pt idx="4">
                  <c:v>40.893999999999998</c:v>
                </c:pt>
                <c:pt idx="5">
                  <c:v>39.027000000000001</c:v>
                </c:pt>
                <c:pt idx="6">
                  <c:v>41.896000000000001</c:v>
                </c:pt>
                <c:pt idx="7">
                  <c:v>45.104770000000002</c:v>
                </c:pt>
                <c:pt idx="8">
                  <c:v>44.986559999999997</c:v>
                </c:pt>
              </c:numCache>
            </c:numRef>
          </c:val>
          <c:extLst xmlns:c16r2="http://schemas.microsoft.com/office/drawing/2015/06/chart">
            <c:ext xmlns:c16="http://schemas.microsoft.com/office/drawing/2014/chart" uri="{C3380CC4-5D6E-409C-BE32-E72D297353CC}">
              <c16:uniqueId val="{00000000-F01A-864D-B6E8-5FF319CBD2F1}"/>
            </c:ext>
          </c:extLst>
        </c:ser>
        <c:dLbls>
          <c:showLegendKey val="0"/>
          <c:showVal val="0"/>
          <c:showCatName val="0"/>
          <c:showSerName val="0"/>
          <c:showPercent val="0"/>
          <c:showBubbleSize val="0"/>
        </c:dLbls>
        <c:gapWidth val="150"/>
        <c:axId val="-1357533280"/>
        <c:axId val="-1357510432"/>
      </c:barChart>
      <c:lineChart>
        <c:grouping val="standard"/>
        <c:varyColors val="0"/>
        <c:ser>
          <c:idx val="1"/>
          <c:order val="1"/>
          <c:tx>
            <c:strRef>
              <c:f>graphs!$N$48</c:f>
              <c:strCache>
                <c:ptCount val="1"/>
                <c:pt idx="0">
                  <c:v>Akciza në % të totalit të të ardhurave</c:v>
                </c:pt>
              </c:strCache>
            </c:strRef>
          </c:tx>
          <c:marker>
            <c:symbol val="diamond"/>
            <c:size val="7"/>
            <c:spPr>
              <a:solidFill>
                <a:srgbClr val="FF6600"/>
              </a:solidFill>
              <a:ln>
                <a:solidFill>
                  <a:schemeClr val="accent5">
                    <a:lumMod val="75000"/>
                  </a:schemeClr>
                </a:solidFill>
              </a:ln>
            </c:spPr>
          </c:marker>
          <c:cat>
            <c:numRef>
              <c:f>graphs!$O$46:$W$46</c:f>
              <c:numCache>
                <c:formatCode>0_);\(0\)</c:formatCode>
                <c:ptCount val="9"/>
                <c:pt idx="0">
                  <c:v>2010</c:v>
                </c:pt>
                <c:pt idx="1">
                  <c:v>2011</c:v>
                </c:pt>
                <c:pt idx="2">
                  <c:v>2012</c:v>
                </c:pt>
                <c:pt idx="3">
                  <c:v>2013</c:v>
                </c:pt>
                <c:pt idx="4">
                  <c:v>2014</c:v>
                </c:pt>
                <c:pt idx="5">
                  <c:v>2015</c:v>
                </c:pt>
                <c:pt idx="6">
                  <c:v>2016</c:v>
                </c:pt>
                <c:pt idx="7">
                  <c:v>2017</c:v>
                </c:pt>
                <c:pt idx="8">
                  <c:v>2018</c:v>
                </c:pt>
              </c:numCache>
            </c:numRef>
          </c:cat>
          <c:val>
            <c:numRef>
              <c:f>graphs!$O$48:$W$48</c:f>
              <c:numCache>
                <c:formatCode>0%</c:formatCode>
                <c:ptCount val="9"/>
                <c:pt idx="0">
                  <c:v>0.11945023574083601</c:v>
                </c:pt>
                <c:pt idx="1">
                  <c:v>0.12225957654121899</c:v>
                </c:pt>
                <c:pt idx="2">
                  <c:v>0.110238389268245</c:v>
                </c:pt>
                <c:pt idx="3">
                  <c:v>0.11660610847170801</c:v>
                </c:pt>
                <c:pt idx="4">
                  <c:v>0.11151256677419601</c:v>
                </c:pt>
                <c:pt idx="5">
                  <c:v>0.10291767535323799</c:v>
                </c:pt>
                <c:pt idx="6">
                  <c:v>0.102933263885647</c:v>
                </c:pt>
                <c:pt idx="7">
                  <c:v>0.1047979611401</c:v>
                </c:pt>
                <c:pt idx="8">
                  <c:v>0.100082176441884</c:v>
                </c:pt>
              </c:numCache>
            </c:numRef>
          </c:val>
          <c:smooth val="0"/>
          <c:extLst xmlns:c16r2="http://schemas.microsoft.com/office/drawing/2015/06/chart">
            <c:ext xmlns:c16="http://schemas.microsoft.com/office/drawing/2014/chart" uri="{C3380CC4-5D6E-409C-BE32-E72D297353CC}">
              <c16:uniqueId val="{00000001-F01A-864D-B6E8-5FF319CBD2F1}"/>
            </c:ext>
          </c:extLst>
        </c:ser>
        <c:dLbls>
          <c:showLegendKey val="0"/>
          <c:showVal val="0"/>
          <c:showCatName val="0"/>
          <c:showSerName val="0"/>
          <c:showPercent val="0"/>
          <c:showBubbleSize val="0"/>
        </c:dLbls>
        <c:marker val="1"/>
        <c:smooth val="0"/>
        <c:axId val="-1357509888"/>
        <c:axId val="-1357522944"/>
      </c:lineChart>
      <c:catAx>
        <c:axId val="-1357533280"/>
        <c:scaling>
          <c:orientation val="minMax"/>
        </c:scaling>
        <c:delete val="0"/>
        <c:axPos val="b"/>
        <c:numFmt formatCode="0_);\(0\)" sourceLinked="1"/>
        <c:majorTickMark val="none"/>
        <c:minorTickMark val="none"/>
        <c:tickLblPos val="nextTo"/>
        <c:txPr>
          <a:bodyPr rot="0" vert="horz" anchor="ctr" anchorCtr="1"/>
          <a:lstStyle/>
          <a:p>
            <a:pPr>
              <a:defRPr sz="800" baseline="0">
                <a:solidFill>
                  <a:schemeClr val="tx2"/>
                </a:solidFill>
                <a:latin typeface="Garamond" panose="02020404030301010803" pitchFamily="18" charset="0"/>
              </a:defRPr>
            </a:pPr>
            <a:endParaRPr lang="en-US"/>
          </a:p>
        </c:txPr>
        <c:crossAx val="-1357510432"/>
        <c:crosses val="autoZero"/>
        <c:auto val="1"/>
        <c:lblAlgn val="ctr"/>
        <c:lblOffset val="100"/>
        <c:noMultiLvlLbl val="0"/>
      </c:catAx>
      <c:valAx>
        <c:axId val="-1357510432"/>
        <c:scaling>
          <c:orientation val="minMax"/>
        </c:scaling>
        <c:delete val="0"/>
        <c:axPos val="l"/>
        <c:majorGridlines>
          <c:spPr>
            <a:ln w="3175">
              <a:solidFill>
                <a:schemeClr val="tx2">
                  <a:lumMod val="60000"/>
                  <a:lumOff val="40000"/>
                </a:schemeClr>
              </a:solidFill>
              <a:prstDash val="sysDot"/>
            </a:ln>
          </c:spPr>
        </c:majorGridlines>
        <c:numFmt formatCode="#.##0" sourceLinked="0"/>
        <c:majorTickMark val="none"/>
        <c:minorTickMark val="none"/>
        <c:tickLblPos val="nextTo"/>
        <c:txPr>
          <a:bodyPr/>
          <a:lstStyle/>
          <a:p>
            <a:pPr>
              <a:defRPr sz="700"/>
            </a:pPr>
            <a:endParaRPr lang="en-US"/>
          </a:p>
        </c:txPr>
        <c:crossAx val="-1357533280"/>
        <c:crosses val="autoZero"/>
        <c:crossBetween val="between"/>
      </c:valAx>
      <c:valAx>
        <c:axId val="-1357522944"/>
        <c:scaling>
          <c:orientation val="minMax"/>
        </c:scaling>
        <c:delete val="0"/>
        <c:axPos val="r"/>
        <c:numFmt formatCode="0%" sourceLinked="1"/>
        <c:majorTickMark val="out"/>
        <c:minorTickMark val="none"/>
        <c:tickLblPos val="nextTo"/>
        <c:txPr>
          <a:bodyPr/>
          <a:lstStyle/>
          <a:p>
            <a:pPr>
              <a:defRPr sz="700"/>
            </a:pPr>
            <a:endParaRPr lang="en-US"/>
          </a:p>
        </c:txPr>
        <c:crossAx val="-1357509888"/>
        <c:crosses val="max"/>
        <c:crossBetween val="between"/>
      </c:valAx>
      <c:catAx>
        <c:axId val="-1357509888"/>
        <c:scaling>
          <c:orientation val="minMax"/>
        </c:scaling>
        <c:delete val="1"/>
        <c:axPos val="b"/>
        <c:numFmt formatCode="0_);\(0\)" sourceLinked="1"/>
        <c:majorTickMark val="out"/>
        <c:minorTickMark val="none"/>
        <c:tickLblPos val="nextTo"/>
        <c:crossAx val="-1357522944"/>
        <c:crosses val="autoZero"/>
        <c:auto val="1"/>
        <c:lblAlgn val="ctr"/>
        <c:lblOffset val="100"/>
        <c:noMultiLvlLbl val="0"/>
      </c:catAx>
    </c:plotArea>
    <c:legend>
      <c:legendPos val="b"/>
      <c:overlay val="0"/>
      <c:txPr>
        <a:bodyPr/>
        <a:lstStyle/>
        <a:p>
          <a:pPr>
            <a:defRPr sz="930" spc="10" baseline="0">
              <a:solidFill>
                <a:srgbClr val="002060"/>
              </a:solidFill>
              <a:latin typeface="Garamond" panose="02020404030301010803" pitchFamily="18" charset="0"/>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C0504D">
          <a:lumMod val="60000"/>
          <a:lumOff val="40000"/>
        </a:srgbClr>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67493282033402"/>
          <c:y val="5.6022408963585402E-2"/>
          <c:w val="0.40240700695523801"/>
          <c:h val="0.9439773874419540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576-CC4A-9C91-8E8BBCCFD6D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576-CC4A-9C91-8E8BBCCFD6D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576-CC4A-9C91-8E8BBCCFD6D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576-CC4A-9C91-8E8BBCCFD6D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576-CC4A-9C91-8E8BBCCFD6DF}"/>
              </c:ext>
            </c:extLst>
          </c:dPt>
          <c:dLbls>
            <c:dLbl>
              <c:idx val="2"/>
              <c:tx>
                <c:rich>
                  <a:bodyPr/>
                  <a:lstStyle/>
                  <a:p>
                    <a:r>
                      <a:rPr lang="en-US"/>
                      <a:t>
</a:t>
                    </a:r>
                    <a:fld id="{29EF38F2-6C6A-4B71-B704-B98ED602D3BE}" type="PERCENTAGE">
                      <a:rPr lang="en-US"/>
                      <a:pPr/>
                      <a:t>[PERCENTAGE]</a:t>
                    </a:fld>
                    <a:r>
                      <a:rPr lang="en-US"/>
                      <a:t> për qind</a:t>
                    </a:r>
                  </a:p>
                </c:rich>
              </c:tx>
              <c:dLblPos val="inEnd"/>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576-CC4A-9C91-8E8BBCCFD6DF}"/>
                </c:ext>
                <c:ext xmlns:c15="http://schemas.microsoft.com/office/drawing/2012/chart" uri="{CE6537A1-D6FC-4f65-9D91-7224C49458BB}">
                  <c15:dlblFieldTable/>
                  <c15:showDataLabelsRange val="0"/>
                </c:ext>
              </c:extLst>
            </c:dLbl>
            <c:dLbl>
              <c:idx val="3"/>
              <c:layout>
                <c:manualLayout>
                  <c:x val="3.7838410330770303E-2"/>
                  <c:y val="6.177102193776579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576-CC4A-9C91-8E8BBCCFD6DF}"/>
                </c:ext>
                <c:ext xmlns:c15="http://schemas.microsoft.com/office/drawing/2012/chart" uri="{CE6537A1-D6FC-4f65-9D91-7224C49458BB}"/>
              </c:extLst>
            </c:dLbl>
            <c:dLbl>
              <c:idx val="4"/>
              <c:layout>
                <c:manualLayout>
                  <c:x val="6.6774496937882802E-2"/>
                  <c:y val="0.12359755030621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6576-CC4A-9C91-8E8BBCCFD6D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in Microsoft Word]akciza'!$B$19:$B$23</c:f>
              <c:strCache>
                <c:ptCount val="5"/>
                <c:pt idx="0">
                  <c:v>Cigare</c:v>
                </c:pt>
                <c:pt idx="1">
                  <c:v>Birrë</c:v>
                </c:pt>
                <c:pt idx="2">
                  <c:v>Karburant</c:v>
                </c:pt>
                <c:pt idx="3">
                  <c:v>Gaz i Lëngët</c:v>
                </c:pt>
                <c:pt idx="4">
                  <c:v>Kafe</c:v>
                </c:pt>
              </c:strCache>
            </c:strRef>
          </c:cat>
          <c:val>
            <c:numRef>
              <c:f>'[Chart in Microsoft Word]akciza'!$C$19:$C$23</c:f>
              <c:numCache>
                <c:formatCode>0%</c:formatCode>
                <c:ptCount val="5"/>
                <c:pt idx="0">
                  <c:v>0.34724909418276401</c:v>
                </c:pt>
                <c:pt idx="1">
                  <c:v>4.86303598817436E-2</c:v>
                </c:pt>
                <c:pt idx="2">
                  <c:v>0.561130237624203</c:v>
                </c:pt>
                <c:pt idx="3">
                  <c:v>1.5914730922266401E-2</c:v>
                </c:pt>
                <c:pt idx="4">
                  <c:v>1.0149976659924001E-2</c:v>
                </c:pt>
              </c:numCache>
            </c:numRef>
          </c:val>
          <c:extLst xmlns:c16r2="http://schemas.microsoft.com/office/drawing/2015/06/chart">
            <c:ext xmlns:c16="http://schemas.microsoft.com/office/drawing/2014/chart" uri="{C3380CC4-5D6E-409C-BE32-E72D297353CC}">
              <c16:uniqueId val="{0000000A-6576-CC4A-9C91-8E8BBCCFD6D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2"/>
          <c:order val="0"/>
          <c:tx>
            <c:strRef>
              <c:f>graphs!$N$83</c:f>
              <c:strCache>
                <c:ptCount val="1"/>
                <c:pt idx="0">
                  <c:v>Tatimi mbi të Ardhurat Personale</c:v>
                </c:pt>
              </c:strCache>
            </c:strRef>
          </c:tx>
          <c:spPr>
            <a:solidFill>
              <a:schemeClr val="accent1"/>
            </a:solidFill>
          </c:spPr>
          <c:invertIfNegative val="0"/>
          <c:cat>
            <c:numRef>
              <c:f>graphs!$O$82:$W$82</c:f>
              <c:numCache>
                <c:formatCode>0_);\(0\)</c:formatCode>
                <c:ptCount val="9"/>
                <c:pt idx="0">
                  <c:v>2010</c:v>
                </c:pt>
                <c:pt idx="1">
                  <c:v>2011</c:v>
                </c:pt>
                <c:pt idx="2">
                  <c:v>2012</c:v>
                </c:pt>
                <c:pt idx="3">
                  <c:v>2013</c:v>
                </c:pt>
                <c:pt idx="4">
                  <c:v>2014</c:v>
                </c:pt>
                <c:pt idx="5">
                  <c:v>2015</c:v>
                </c:pt>
                <c:pt idx="6">
                  <c:v>2016</c:v>
                </c:pt>
                <c:pt idx="7">
                  <c:v>2017</c:v>
                </c:pt>
                <c:pt idx="8">
                  <c:v>2018</c:v>
                </c:pt>
              </c:numCache>
            </c:numRef>
          </c:cat>
          <c:val>
            <c:numRef>
              <c:f>graphs!$O$83:$W$83</c:f>
              <c:numCache>
                <c:formatCode>General</c:formatCode>
                <c:ptCount val="9"/>
                <c:pt idx="0">
                  <c:v>27.058</c:v>
                </c:pt>
                <c:pt idx="1">
                  <c:v>27.966999999999999</c:v>
                </c:pt>
                <c:pt idx="2">
                  <c:v>27.989000000000001</c:v>
                </c:pt>
                <c:pt idx="3">
                  <c:v>29.57</c:v>
                </c:pt>
                <c:pt idx="4">
                  <c:v>28.852</c:v>
                </c:pt>
                <c:pt idx="5">
                  <c:v>29.661000000000001</c:v>
                </c:pt>
                <c:pt idx="6">
                  <c:v>31.411999999999999</c:v>
                </c:pt>
                <c:pt idx="7">
                  <c:v>32.101930000000003</c:v>
                </c:pt>
                <c:pt idx="8">
                  <c:v>36.51661</c:v>
                </c:pt>
              </c:numCache>
            </c:numRef>
          </c:val>
          <c:extLst xmlns:c16r2="http://schemas.microsoft.com/office/drawing/2015/06/chart">
            <c:ext xmlns:c16="http://schemas.microsoft.com/office/drawing/2014/chart" uri="{C3380CC4-5D6E-409C-BE32-E72D297353CC}">
              <c16:uniqueId val="{00000000-F01A-864D-B6E8-5FF319CBD2F1}"/>
            </c:ext>
          </c:extLst>
        </c:ser>
        <c:dLbls>
          <c:showLegendKey val="0"/>
          <c:showVal val="0"/>
          <c:showCatName val="0"/>
          <c:showSerName val="0"/>
          <c:showPercent val="0"/>
          <c:showBubbleSize val="0"/>
        </c:dLbls>
        <c:gapWidth val="150"/>
        <c:axId val="-1357533824"/>
        <c:axId val="-1357531104"/>
      </c:barChart>
      <c:lineChart>
        <c:grouping val="standard"/>
        <c:varyColors val="0"/>
        <c:ser>
          <c:idx val="1"/>
          <c:order val="1"/>
          <c:tx>
            <c:strRef>
              <c:f>graphs!$N$84</c:f>
              <c:strCache>
                <c:ptCount val="1"/>
                <c:pt idx="0">
                  <c:v>TAP në % të totalit të të ardhurave</c:v>
                </c:pt>
              </c:strCache>
            </c:strRef>
          </c:tx>
          <c:marker>
            <c:symbol val="diamond"/>
            <c:size val="7"/>
            <c:spPr>
              <a:solidFill>
                <a:srgbClr val="FF6600"/>
              </a:solidFill>
              <a:ln>
                <a:solidFill>
                  <a:schemeClr val="accent5">
                    <a:lumMod val="75000"/>
                  </a:schemeClr>
                </a:solidFill>
              </a:ln>
            </c:spPr>
          </c:marker>
          <c:cat>
            <c:numRef>
              <c:f>graphs!$O$82:$W$82</c:f>
              <c:numCache>
                <c:formatCode>0_);\(0\)</c:formatCode>
                <c:ptCount val="9"/>
                <c:pt idx="0">
                  <c:v>2010</c:v>
                </c:pt>
                <c:pt idx="1">
                  <c:v>2011</c:v>
                </c:pt>
                <c:pt idx="2">
                  <c:v>2012</c:v>
                </c:pt>
                <c:pt idx="3">
                  <c:v>2013</c:v>
                </c:pt>
                <c:pt idx="4">
                  <c:v>2014</c:v>
                </c:pt>
                <c:pt idx="5">
                  <c:v>2015</c:v>
                </c:pt>
                <c:pt idx="6">
                  <c:v>2016</c:v>
                </c:pt>
                <c:pt idx="7">
                  <c:v>2017</c:v>
                </c:pt>
                <c:pt idx="8">
                  <c:v>2018</c:v>
                </c:pt>
              </c:numCache>
            </c:numRef>
          </c:cat>
          <c:val>
            <c:numRef>
              <c:f>graphs!$O$84:$W$84</c:f>
              <c:numCache>
                <c:formatCode>0%</c:formatCode>
                <c:ptCount val="9"/>
                <c:pt idx="0">
                  <c:v>8.3326917569236297E-2</c:v>
                </c:pt>
                <c:pt idx="1">
                  <c:v>8.4628210210337396E-2</c:v>
                </c:pt>
                <c:pt idx="2">
                  <c:v>8.4716572231100795E-2</c:v>
                </c:pt>
                <c:pt idx="3">
                  <c:v>9.0378826964127204E-2</c:v>
                </c:pt>
                <c:pt idx="4">
                  <c:v>7.8675614431679697E-2</c:v>
                </c:pt>
                <c:pt idx="5">
                  <c:v>7.8218699071217201E-2</c:v>
                </c:pt>
                <c:pt idx="6">
                  <c:v>7.7175379157340795E-2</c:v>
                </c:pt>
                <c:pt idx="7">
                  <c:v>7.4586719157690107E-2</c:v>
                </c:pt>
                <c:pt idx="8">
                  <c:v>8.1238970151962603E-2</c:v>
                </c:pt>
              </c:numCache>
            </c:numRef>
          </c:val>
          <c:smooth val="0"/>
          <c:extLst xmlns:c16r2="http://schemas.microsoft.com/office/drawing/2015/06/chart">
            <c:ext xmlns:c16="http://schemas.microsoft.com/office/drawing/2014/chart" uri="{C3380CC4-5D6E-409C-BE32-E72D297353CC}">
              <c16:uniqueId val="{00000001-F01A-864D-B6E8-5FF319CBD2F1}"/>
            </c:ext>
          </c:extLst>
        </c:ser>
        <c:dLbls>
          <c:showLegendKey val="0"/>
          <c:showVal val="0"/>
          <c:showCatName val="0"/>
          <c:showSerName val="0"/>
          <c:showPercent val="0"/>
          <c:showBubbleSize val="0"/>
        </c:dLbls>
        <c:marker val="1"/>
        <c:smooth val="0"/>
        <c:axId val="-1357521856"/>
        <c:axId val="-1357532736"/>
      </c:lineChart>
      <c:catAx>
        <c:axId val="-1357533824"/>
        <c:scaling>
          <c:orientation val="minMax"/>
        </c:scaling>
        <c:delete val="0"/>
        <c:axPos val="b"/>
        <c:numFmt formatCode="0_);\(0\)" sourceLinked="1"/>
        <c:majorTickMark val="none"/>
        <c:minorTickMark val="none"/>
        <c:tickLblPos val="nextTo"/>
        <c:txPr>
          <a:bodyPr rot="0" vert="horz" anchor="ctr" anchorCtr="1"/>
          <a:lstStyle/>
          <a:p>
            <a:pPr>
              <a:defRPr sz="800" baseline="0">
                <a:solidFill>
                  <a:schemeClr val="tx2"/>
                </a:solidFill>
                <a:latin typeface="Garamond" panose="02020404030301010803" pitchFamily="18" charset="0"/>
              </a:defRPr>
            </a:pPr>
            <a:endParaRPr lang="en-US"/>
          </a:p>
        </c:txPr>
        <c:crossAx val="-1357531104"/>
        <c:crosses val="autoZero"/>
        <c:auto val="1"/>
        <c:lblAlgn val="ctr"/>
        <c:lblOffset val="100"/>
        <c:noMultiLvlLbl val="0"/>
      </c:catAx>
      <c:valAx>
        <c:axId val="-1357531104"/>
        <c:scaling>
          <c:orientation val="minMax"/>
        </c:scaling>
        <c:delete val="0"/>
        <c:axPos val="l"/>
        <c:majorGridlines>
          <c:spPr>
            <a:ln w="3175">
              <a:solidFill>
                <a:schemeClr val="tx2">
                  <a:lumMod val="60000"/>
                  <a:lumOff val="40000"/>
                </a:schemeClr>
              </a:solidFill>
              <a:prstDash val="sysDot"/>
            </a:ln>
          </c:spPr>
        </c:majorGridlines>
        <c:numFmt formatCode="#.##0" sourceLinked="0"/>
        <c:majorTickMark val="none"/>
        <c:minorTickMark val="none"/>
        <c:tickLblPos val="nextTo"/>
        <c:txPr>
          <a:bodyPr/>
          <a:lstStyle/>
          <a:p>
            <a:pPr>
              <a:defRPr sz="700"/>
            </a:pPr>
            <a:endParaRPr lang="en-US"/>
          </a:p>
        </c:txPr>
        <c:crossAx val="-1357533824"/>
        <c:crosses val="autoZero"/>
        <c:crossBetween val="between"/>
      </c:valAx>
      <c:valAx>
        <c:axId val="-1357532736"/>
        <c:scaling>
          <c:orientation val="minMax"/>
        </c:scaling>
        <c:delete val="0"/>
        <c:axPos val="r"/>
        <c:numFmt formatCode="0%" sourceLinked="1"/>
        <c:majorTickMark val="out"/>
        <c:minorTickMark val="none"/>
        <c:tickLblPos val="nextTo"/>
        <c:txPr>
          <a:bodyPr/>
          <a:lstStyle/>
          <a:p>
            <a:pPr>
              <a:defRPr sz="700"/>
            </a:pPr>
            <a:endParaRPr lang="en-US"/>
          </a:p>
        </c:txPr>
        <c:crossAx val="-1357521856"/>
        <c:crosses val="max"/>
        <c:crossBetween val="between"/>
      </c:valAx>
      <c:catAx>
        <c:axId val="-1357521856"/>
        <c:scaling>
          <c:orientation val="minMax"/>
        </c:scaling>
        <c:delete val="1"/>
        <c:axPos val="b"/>
        <c:numFmt formatCode="0_);\(0\)" sourceLinked="1"/>
        <c:majorTickMark val="out"/>
        <c:minorTickMark val="none"/>
        <c:tickLblPos val="nextTo"/>
        <c:crossAx val="-1357532736"/>
        <c:crosses val="autoZero"/>
        <c:auto val="1"/>
        <c:lblAlgn val="ctr"/>
        <c:lblOffset val="100"/>
        <c:noMultiLvlLbl val="0"/>
      </c:catAx>
    </c:plotArea>
    <c:legend>
      <c:legendPos val="b"/>
      <c:overlay val="0"/>
      <c:txPr>
        <a:bodyPr/>
        <a:lstStyle/>
        <a:p>
          <a:pPr>
            <a:defRPr sz="800" spc="10" baseline="0">
              <a:solidFill>
                <a:srgbClr val="002060"/>
              </a:solidFill>
              <a:latin typeface="Garamond" panose="02020404030301010803" pitchFamily="18" charset="0"/>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C0504D">
          <a:lumMod val="60000"/>
          <a:lumOff val="40000"/>
        </a:srgbClr>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91021576848403E-2"/>
          <c:y val="8.7185994954514207E-2"/>
          <c:w val="0.51833691243140101"/>
          <c:h val="0.810394766644017"/>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B08-7544-A147-3939CC574D09}"/>
              </c:ext>
            </c:extLst>
          </c:dPt>
          <c:dPt>
            <c:idx val="1"/>
            <c:bubble3D val="0"/>
            <c:explosion val="3"/>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B08-7544-A147-3939CC574D0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B08-7544-A147-3939CC574D0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BB08-7544-A147-3939CC574D0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BB08-7544-A147-3939CC574D0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BB08-7544-A147-3939CC574D0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BB08-7544-A147-3939CC574D0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tap!$B$14:$B$20</c:f>
              <c:strCache>
                <c:ptCount val="7"/>
                <c:pt idx="0">
                  <c:v>Sektori Publik </c:v>
                </c:pt>
                <c:pt idx="1">
                  <c:v>Sektori Privat</c:v>
                </c:pt>
                <c:pt idx="2">
                  <c:v>Nga Interesat </c:v>
                </c:pt>
                <c:pt idx="3">
                  <c:v>Nga Qeratë dhe Enfiteoza</c:v>
                </c:pt>
                <c:pt idx="4">
                  <c:v>Te tjera</c:v>
                </c:pt>
                <c:pt idx="5">
                  <c:v>Të tjera në Burim</c:v>
                </c:pt>
                <c:pt idx="6">
                  <c:v>Dividentët dhe Aksionet</c:v>
                </c:pt>
              </c:strCache>
            </c:strRef>
          </c:cat>
          <c:val>
            <c:numRef>
              <c:f>tap!$C$14:$C$20</c:f>
              <c:numCache>
                <c:formatCode>0%</c:formatCode>
                <c:ptCount val="7"/>
                <c:pt idx="0">
                  <c:v>0.20618876250513901</c:v>
                </c:pt>
                <c:pt idx="1">
                  <c:v>0.36651001781554099</c:v>
                </c:pt>
                <c:pt idx="2">
                  <c:v>5.73015759901329E-2</c:v>
                </c:pt>
                <c:pt idx="3">
                  <c:v>0.10617286556119</c:v>
                </c:pt>
                <c:pt idx="4">
                  <c:v>2.0716157324928E-2</c:v>
                </c:pt>
                <c:pt idx="5">
                  <c:v>0.14341765108948901</c:v>
                </c:pt>
                <c:pt idx="6">
                  <c:v>0.10112454433328801</c:v>
                </c:pt>
              </c:numCache>
            </c:numRef>
          </c:val>
          <c:extLst xmlns:c16r2="http://schemas.microsoft.com/office/drawing/2015/06/chart">
            <c:ext xmlns:c16="http://schemas.microsoft.com/office/drawing/2014/chart" uri="{C3380CC4-5D6E-409C-BE32-E72D297353CC}">
              <c16:uniqueId val="{0000000E-BB08-7544-A147-3939CC574D0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699764802126997"/>
          <c:y val="2.4267257854904099E-2"/>
          <c:w val="0.41041994750656202"/>
          <c:h val="0.9692602502357110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lv-LV" sz="1200"/>
              <a:t>T</a:t>
            </a:r>
            <a:r>
              <a:rPr lang="lv-LV" sz="1200" b="1" i="0" u="none" strike="noStrike" kern="1200" baseline="0">
                <a:solidFill>
                  <a:srgbClr val="1F497D"/>
                </a:solidFill>
                <a:latin typeface="Garamond" panose="02020404030301010803" pitchFamily="18" charset="0"/>
                <a:ea typeface="+mn-ea"/>
                <a:cs typeface="+mn-cs"/>
              </a:rPr>
              <a:t>ë</a:t>
            </a:r>
            <a:r>
              <a:rPr lang="lv-LV" sz="1200"/>
              <a:t> ardhurat totale ndaj PBB-s</a:t>
            </a:r>
            <a:r>
              <a:rPr lang="lv-LV" sz="1200" b="1" i="0" u="none" strike="noStrike" kern="1200" baseline="0">
                <a:solidFill>
                  <a:srgbClr val="1F497D"/>
                </a:solidFill>
                <a:latin typeface="Garamond" panose="02020404030301010803" pitchFamily="18" charset="0"/>
                <a:ea typeface="+mn-ea"/>
                <a:cs typeface="+mn-cs"/>
              </a:rPr>
              <a:t>ë</a:t>
            </a:r>
            <a:endParaRPr lang="en-US" sz="1200"/>
          </a:p>
        </c:rich>
      </c:tx>
      <c:overlay val="0"/>
    </c:title>
    <c:autoTitleDeleted val="0"/>
    <c:plotArea>
      <c:layout>
        <c:manualLayout>
          <c:layoutTarget val="inner"/>
          <c:xMode val="edge"/>
          <c:yMode val="edge"/>
          <c:x val="0.18719781737809091"/>
          <c:y val="0.21474358974358973"/>
          <c:w val="0.69843116201383915"/>
          <c:h val="0.52045931758530173"/>
        </c:manualLayout>
      </c:layout>
      <c:barChart>
        <c:barDir val="col"/>
        <c:grouping val="clustered"/>
        <c:varyColors val="0"/>
        <c:ser>
          <c:idx val="0"/>
          <c:order val="0"/>
          <c:tx>
            <c:strRef>
              <c:f>graphs!$P$204</c:f>
              <c:strCache>
                <c:ptCount val="1"/>
                <c:pt idx="0">
                  <c:v>Totali i tw ardhurave</c:v>
                </c:pt>
              </c:strCache>
            </c:strRef>
          </c:tx>
          <c:invertIfNegative val="0"/>
          <c:cat>
            <c:numRef>
              <c:f>graphs!$Q$203:$X$203</c:f>
              <c:numCache>
                <c:formatCode>General</c:formatCode>
                <c:ptCount val="8"/>
                <c:pt idx="0">
                  <c:v>2011</c:v>
                </c:pt>
                <c:pt idx="1">
                  <c:v>2012</c:v>
                </c:pt>
                <c:pt idx="2">
                  <c:v>2013</c:v>
                </c:pt>
                <c:pt idx="3">
                  <c:v>2014</c:v>
                </c:pt>
                <c:pt idx="4">
                  <c:v>2015</c:v>
                </c:pt>
                <c:pt idx="5">
                  <c:v>2016</c:v>
                </c:pt>
                <c:pt idx="6">
                  <c:v>2017</c:v>
                </c:pt>
                <c:pt idx="7">
                  <c:v>2018</c:v>
                </c:pt>
              </c:numCache>
            </c:numRef>
          </c:cat>
          <c:val>
            <c:numRef>
              <c:f>graphs!$Q$204:$X$204</c:f>
              <c:numCache>
                <c:formatCode>General</c:formatCode>
                <c:ptCount val="8"/>
                <c:pt idx="0">
                  <c:v>325</c:v>
                </c:pt>
                <c:pt idx="1">
                  <c:v>330</c:v>
                </c:pt>
                <c:pt idx="2">
                  <c:v>330</c:v>
                </c:pt>
                <c:pt idx="3">
                  <c:v>327</c:v>
                </c:pt>
                <c:pt idx="4">
                  <c:v>379</c:v>
                </c:pt>
                <c:pt idx="5">
                  <c:v>407</c:v>
                </c:pt>
                <c:pt idx="6">
                  <c:v>430</c:v>
                </c:pt>
                <c:pt idx="7">
                  <c:v>449</c:v>
                </c:pt>
              </c:numCache>
            </c:numRef>
          </c:val>
          <c:extLst xmlns:c16r2="http://schemas.microsoft.com/office/drawing/2015/06/chart">
            <c:ext xmlns:c16="http://schemas.microsoft.com/office/drawing/2014/chart" uri="{C3380CC4-5D6E-409C-BE32-E72D297353CC}">
              <c16:uniqueId val="{00000000-E8A4-7F45-A27F-BEB454A44015}"/>
            </c:ext>
          </c:extLst>
        </c:ser>
        <c:dLbls>
          <c:showLegendKey val="0"/>
          <c:showVal val="0"/>
          <c:showCatName val="0"/>
          <c:showSerName val="0"/>
          <c:showPercent val="0"/>
          <c:showBubbleSize val="0"/>
        </c:dLbls>
        <c:gapWidth val="150"/>
        <c:axId val="-1423670304"/>
        <c:axId val="-1423690432"/>
      </c:barChart>
      <c:lineChart>
        <c:grouping val="stacked"/>
        <c:varyColors val="0"/>
        <c:ser>
          <c:idx val="3"/>
          <c:order val="1"/>
          <c:tx>
            <c:strRef>
              <c:f>graphs!$P$205</c:f>
              <c:strCache>
                <c:ptCount val="1"/>
                <c:pt idx="0">
                  <c:v>Nw % ndaj PBB-sw</c:v>
                </c:pt>
              </c:strCache>
            </c:strRef>
          </c:tx>
          <c:marker>
            <c:symbol val="diamond"/>
            <c:size val="7"/>
            <c:spPr>
              <a:solidFill>
                <a:schemeClr val="accent2"/>
              </a:solidFill>
            </c:spPr>
          </c:marker>
          <c:dLbls>
            <c:dLbl>
              <c:idx val="0"/>
              <c:layout>
                <c:manualLayout>
                  <c:x val="-1.8542838203715599E-2"/>
                  <c:y val="4.09207051249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A4-7F45-A27F-BEB454A44015}"/>
                </c:ext>
                <c:ext xmlns:c15="http://schemas.microsoft.com/office/drawing/2012/chart" uri="{CE6537A1-D6FC-4f65-9D91-7224C49458BB}"/>
              </c:extLst>
            </c:dLbl>
            <c:dLbl>
              <c:idx val="1"/>
              <c:layout>
                <c:manualLayout>
                  <c:x val="-1.1799987947818801E-2"/>
                  <c:y val="-4.09207051249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8A4-7F45-A27F-BEB454A44015}"/>
                </c:ext>
                <c:ext xmlns:c15="http://schemas.microsoft.com/office/drawing/2012/chart" uri="{CE6537A1-D6FC-4f65-9D91-7224C49458BB}"/>
              </c:extLst>
            </c:dLbl>
            <c:dLbl>
              <c:idx val="2"/>
              <c:layout>
                <c:manualLayout>
                  <c:x val="-1.3485700511793E-2"/>
                  <c:y val="-4.0920705124969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8A4-7F45-A27F-BEB454A44015}"/>
                </c:ext>
                <c:ext xmlns:c15="http://schemas.microsoft.com/office/drawing/2012/chart" uri="{CE6537A1-D6FC-4f65-9D91-7224C49458BB}"/>
              </c:extLst>
            </c:dLbl>
            <c:dLbl>
              <c:idx val="3"/>
              <c:layout>
                <c:manualLayout>
                  <c:x val="-1.5171413075767101E-2"/>
                  <c:y val="-4.43307638853839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8A4-7F45-A27F-BEB454A44015}"/>
                </c:ext>
                <c:ext xmlns:c15="http://schemas.microsoft.com/office/drawing/2012/chart" uri="{CE6537A1-D6FC-4f65-9D91-7224C49458BB}"/>
              </c:extLst>
            </c:dLbl>
            <c:dLbl>
              <c:idx val="4"/>
              <c:layout>
                <c:manualLayout>
                  <c:x val="-1.8542838203715599E-2"/>
                  <c:y val="-3.7510646364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8A4-7F45-A27F-BEB454A44015}"/>
                </c:ext>
                <c:ext xmlns:c15="http://schemas.microsoft.com/office/drawing/2012/chart" uri="{CE6537A1-D6FC-4f65-9D91-7224C49458BB}"/>
              </c:extLst>
            </c:dLbl>
            <c:dLbl>
              <c:idx val="5"/>
              <c:layout>
                <c:manualLayout>
                  <c:x val="-2.02285507676894E-2"/>
                  <c:y val="-4.7740822645797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8A4-7F45-A27F-BEB454A44015}"/>
                </c:ext>
                <c:ext xmlns:c15="http://schemas.microsoft.com/office/drawing/2012/chart" uri="{CE6537A1-D6FC-4f65-9D91-7224C49458BB}"/>
              </c:extLst>
            </c:dLbl>
            <c:dLbl>
              <c:idx val="6"/>
              <c:layout>
                <c:manualLayout>
                  <c:x val="-2.19294606138093E-2"/>
                  <c:y val="-5.7970998927039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8A4-7F45-A27F-BEB454A44015}"/>
                </c:ext>
                <c:ext xmlns:c15="http://schemas.microsoft.com/office/drawing/2012/chart" uri="{CE6537A1-D6FC-4f65-9D91-7224C49458BB}"/>
              </c:extLst>
            </c:dLbl>
            <c:dLbl>
              <c:idx val="7"/>
              <c:layout>
                <c:manualLayout>
                  <c:x val="-2.3599975895637702E-2"/>
                  <c:y val="4.7740822645797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8A4-7F45-A27F-BEB454A44015}"/>
                </c:ext>
                <c:ext xmlns:c15="http://schemas.microsoft.com/office/drawing/2012/chart" uri="{CE6537A1-D6FC-4f65-9D91-7224C49458BB}"/>
              </c:extLst>
            </c:dLbl>
            <c:dLbl>
              <c:idx val="8"/>
              <c:layout>
                <c:manualLayout>
                  <c:x val="-2.1914263331663499E-2"/>
                  <c:y val="4.0920705124969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8A4-7F45-A27F-BEB454A44015}"/>
                </c:ext>
                <c:ext xmlns:c15="http://schemas.microsoft.com/office/drawing/2012/chart" uri="{CE6537A1-D6FC-4f65-9D91-7224C49458BB}"/>
              </c:extLst>
            </c:dLbl>
            <c:dLbl>
              <c:idx val="9"/>
              <c:layout>
                <c:manualLayout>
                  <c:x val="-2.5285688459611901E-2"/>
                  <c:y val="3.7510646364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8A4-7F45-A27F-BEB454A44015}"/>
                </c:ext>
                <c:ext xmlns:c15="http://schemas.microsoft.com/office/drawing/2012/chart" uri="{CE6537A1-D6FC-4f65-9D91-7224C49458BB}"/>
              </c:extLst>
            </c:dLbl>
            <c:dLbl>
              <c:idx val="10"/>
              <c:layout>
                <c:manualLayout>
                  <c:x val="-1.8542838203715599E-2"/>
                  <c:y val="4.09207051249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8A4-7F45-A27F-BEB454A44015}"/>
                </c:ext>
                <c:ext xmlns:c15="http://schemas.microsoft.com/office/drawing/2012/chart" uri="{CE6537A1-D6FC-4f65-9D91-7224C49458BB}"/>
              </c:extLst>
            </c:dLbl>
            <c:dLbl>
              <c:idx val="11"/>
              <c:layout>
                <c:manualLayout>
                  <c:x val="-2.02285507676894E-2"/>
                  <c:y val="-4.09207051249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8A4-7F45-A27F-BEB454A44015}"/>
                </c:ext>
                <c:ext xmlns:c15="http://schemas.microsoft.com/office/drawing/2012/chart" uri="{CE6537A1-D6FC-4f65-9D91-7224C49458BB}"/>
              </c:extLst>
            </c:dLbl>
            <c:dLbl>
              <c:idx val="12"/>
              <c:layout>
                <c:manualLayout>
                  <c:x val="-1.5171413075767101E-2"/>
                  <c:y val="-4.09207051249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8A4-7F45-A27F-BEB454A44015}"/>
                </c:ext>
                <c:ext xmlns:c15="http://schemas.microsoft.com/office/drawing/2012/chart" uri="{CE6537A1-D6FC-4f65-9D91-7224C49458BB}"/>
              </c:extLst>
            </c:dLbl>
            <c:dLbl>
              <c:idx val="13"/>
              <c:layout>
                <c:manualLayout>
                  <c:x val="-1.6857125639741399E-2"/>
                  <c:y val="2.7280470083312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8A4-7F45-A27F-BEB454A44015}"/>
                </c:ext>
                <c:ext xmlns:c15="http://schemas.microsoft.com/office/drawing/2012/chart" uri="{CE6537A1-D6FC-4f65-9D91-7224C49458BB}"/>
              </c:extLst>
            </c:dLbl>
            <c:spPr>
              <a:solidFill>
                <a:schemeClr val="accent1">
                  <a:lumMod val="20000"/>
                  <a:lumOff val="80000"/>
                </a:schemeClr>
              </a:solidFill>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graphs!$Q$203:$X$203</c:f>
              <c:numCache>
                <c:formatCode>General</c:formatCode>
                <c:ptCount val="8"/>
                <c:pt idx="0">
                  <c:v>2011</c:v>
                </c:pt>
                <c:pt idx="1">
                  <c:v>2012</c:v>
                </c:pt>
                <c:pt idx="2">
                  <c:v>2013</c:v>
                </c:pt>
                <c:pt idx="3">
                  <c:v>2014</c:v>
                </c:pt>
                <c:pt idx="4">
                  <c:v>2015</c:v>
                </c:pt>
                <c:pt idx="5">
                  <c:v>2016</c:v>
                </c:pt>
                <c:pt idx="6">
                  <c:v>2017</c:v>
                </c:pt>
                <c:pt idx="7">
                  <c:v>2018</c:v>
                </c:pt>
              </c:numCache>
            </c:numRef>
          </c:cat>
          <c:val>
            <c:numRef>
              <c:f>graphs!$Q$205:$X$205</c:f>
              <c:numCache>
                <c:formatCode>General</c:formatCode>
                <c:ptCount val="8"/>
                <c:pt idx="0">
                  <c:v>26.2</c:v>
                </c:pt>
                <c:pt idx="1">
                  <c:v>25.4</c:v>
                </c:pt>
                <c:pt idx="2">
                  <c:v>24.8</c:v>
                </c:pt>
                <c:pt idx="3">
                  <c:v>24.2</c:v>
                </c:pt>
                <c:pt idx="4">
                  <c:v>26.6</c:v>
                </c:pt>
                <c:pt idx="5">
                  <c:v>27.6</c:v>
                </c:pt>
                <c:pt idx="6">
                  <c:v>27.7</c:v>
                </c:pt>
                <c:pt idx="7">
                  <c:v>27.6</c:v>
                </c:pt>
              </c:numCache>
            </c:numRef>
          </c:val>
          <c:smooth val="0"/>
          <c:extLst xmlns:c16r2="http://schemas.microsoft.com/office/drawing/2015/06/chart">
            <c:ext xmlns:c16="http://schemas.microsoft.com/office/drawing/2014/chart" uri="{C3380CC4-5D6E-409C-BE32-E72D297353CC}">
              <c16:uniqueId val="{0000000F-E8A4-7F45-A27F-BEB454A44015}"/>
            </c:ext>
          </c:extLst>
        </c:ser>
        <c:dLbls>
          <c:showLegendKey val="0"/>
          <c:showVal val="0"/>
          <c:showCatName val="0"/>
          <c:showSerName val="0"/>
          <c:showPercent val="0"/>
          <c:showBubbleSize val="0"/>
        </c:dLbls>
        <c:marker val="1"/>
        <c:smooth val="0"/>
        <c:axId val="-1423671936"/>
        <c:axId val="-1423691520"/>
      </c:lineChart>
      <c:catAx>
        <c:axId val="-1423670304"/>
        <c:scaling>
          <c:orientation val="minMax"/>
        </c:scaling>
        <c:delete val="0"/>
        <c:axPos val="b"/>
        <c:numFmt formatCode="General" sourceLinked="1"/>
        <c:majorTickMark val="none"/>
        <c:minorTickMark val="none"/>
        <c:tickLblPos val="nextTo"/>
        <c:txPr>
          <a:bodyPr rot="0" vert="horz"/>
          <a:lstStyle/>
          <a:p>
            <a:pPr>
              <a:defRPr/>
            </a:pPr>
            <a:endParaRPr lang="en-US"/>
          </a:p>
        </c:txPr>
        <c:crossAx val="-1423690432"/>
        <c:crosses val="autoZero"/>
        <c:auto val="0"/>
        <c:lblAlgn val="ctr"/>
        <c:lblOffset val="100"/>
        <c:noMultiLvlLbl val="0"/>
      </c:catAx>
      <c:valAx>
        <c:axId val="-1423690432"/>
        <c:scaling>
          <c:orientation val="minMax"/>
        </c:scaling>
        <c:delete val="0"/>
        <c:axPos val="l"/>
        <c:majorGridlines>
          <c:spPr>
            <a:ln w="3175">
              <a:solidFill>
                <a:schemeClr val="tx2">
                  <a:lumMod val="40000"/>
                  <a:lumOff val="60000"/>
                </a:schemeClr>
              </a:solidFill>
              <a:prstDash val="sysDot"/>
            </a:ln>
          </c:spPr>
        </c:majorGridlines>
        <c:title>
          <c:tx>
            <c:rich>
              <a:bodyPr rot="-5400000" vert="horz"/>
              <a:lstStyle/>
              <a:p>
                <a:pPr>
                  <a:defRPr/>
                </a:pPr>
                <a:r>
                  <a:rPr lang="lv-LV"/>
                  <a:t>mili</a:t>
                </a:r>
                <a:r>
                  <a:rPr lang="en-GB"/>
                  <a:t>ard</a:t>
                </a:r>
                <a:r>
                  <a:rPr lang="en-GB" sz="930" b="1" i="0" u="none" strike="noStrike" kern="1200" baseline="0">
                    <a:solidFill>
                      <a:srgbClr val="1F497D"/>
                    </a:solidFill>
                    <a:latin typeface="Garamond" panose="02020404030301010803" pitchFamily="18" charset="0"/>
                    <a:ea typeface="+mn-ea"/>
                    <a:cs typeface="+mn-cs"/>
                  </a:rPr>
                  <a:t>ë</a:t>
                </a:r>
                <a:r>
                  <a:rPr lang="en-GB" baseline="0"/>
                  <a:t> l</a:t>
                </a:r>
                <a:r>
                  <a:rPr lang="lv-LV"/>
                  <a:t>ek</a:t>
                </a:r>
                <a:r>
                  <a:rPr lang="lv-LV" sz="930" b="1" i="0" u="none" strike="noStrike" kern="1200" baseline="0">
                    <a:solidFill>
                      <a:srgbClr val="1F497D"/>
                    </a:solidFill>
                    <a:latin typeface="Garamond" panose="02020404030301010803" pitchFamily="18" charset="0"/>
                    <a:ea typeface="+mn-ea"/>
                    <a:cs typeface="+mn-cs"/>
                  </a:rPr>
                  <a:t>ë</a:t>
                </a:r>
                <a:endParaRPr lang="en-US"/>
              </a:p>
            </c:rich>
          </c:tx>
          <c:overlay val="0"/>
        </c:title>
        <c:numFmt formatCode="General" sourceLinked="1"/>
        <c:majorTickMark val="none"/>
        <c:minorTickMark val="none"/>
        <c:tickLblPos val="nextTo"/>
        <c:crossAx val="-1423670304"/>
        <c:crosses val="autoZero"/>
        <c:crossBetween val="between"/>
      </c:valAx>
      <c:valAx>
        <c:axId val="-1423691520"/>
        <c:scaling>
          <c:orientation val="minMax"/>
        </c:scaling>
        <c:delete val="0"/>
        <c:axPos val="r"/>
        <c:numFmt formatCode="#,##0" sourceLinked="0"/>
        <c:majorTickMark val="out"/>
        <c:minorTickMark val="none"/>
        <c:tickLblPos val="nextTo"/>
        <c:crossAx val="-1423671936"/>
        <c:crosses val="max"/>
        <c:crossBetween val="between"/>
      </c:valAx>
      <c:catAx>
        <c:axId val="-1423671936"/>
        <c:scaling>
          <c:orientation val="minMax"/>
        </c:scaling>
        <c:delete val="1"/>
        <c:axPos val="b"/>
        <c:numFmt formatCode="General" sourceLinked="1"/>
        <c:majorTickMark val="out"/>
        <c:minorTickMark val="none"/>
        <c:tickLblPos val="none"/>
        <c:crossAx val="-1423691520"/>
        <c:crosses val="autoZero"/>
        <c:auto val="1"/>
        <c:lblAlgn val="ctr"/>
        <c:lblOffset val="100"/>
        <c:noMultiLvlLbl val="0"/>
      </c:catAx>
    </c:plotArea>
    <c:legend>
      <c:legendPos val="r"/>
      <c:layout>
        <c:manualLayout>
          <c:xMode val="edge"/>
          <c:yMode val="edge"/>
          <c:x val="4.8803513795225358E-2"/>
          <c:y val="0.84745255400767228"/>
          <c:w val="0.90334959625262157"/>
          <c:h val="0.12881284070260449"/>
        </c:manualLayout>
      </c:layout>
      <c:overlay val="0"/>
      <c:txPr>
        <a:bodyPr/>
        <a:lstStyle/>
        <a:p>
          <a:pPr>
            <a:defRPr sz="900" b="1"/>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C0504D">
          <a:lumMod val="60000"/>
          <a:lumOff val="40000"/>
        </a:srgbClr>
      </a:solidFill>
    </a:ln>
  </c:spPr>
  <c:txPr>
    <a:bodyPr/>
    <a:lstStyle/>
    <a:p>
      <a:pPr>
        <a:defRPr sz="930" baseline="0">
          <a:solidFill>
            <a:schemeClr val="tx2"/>
          </a:solidFill>
          <a:latin typeface="Garamond" panose="02020404030301010803"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2"/>
          <c:order val="0"/>
          <c:tx>
            <c:strRef>
              <c:f>graphs!$N$107</c:f>
              <c:strCache>
                <c:ptCount val="1"/>
                <c:pt idx="0">
                  <c:v>Tatimi mbi Fitimin</c:v>
                </c:pt>
              </c:strCache>
            </c:strRef>
          </c:tx>
          <c:spPr>
            <a:solidFill>
              <a:schemeClr val="accent1"/>
            </a:solidFill>
          </c:spPr>
          <c:invertIfNegative val="0"/>
          <c:cat>
            <c:numRef>
              <c:f>graphs!$O$106:$W$106</c:f>
              <c:numCache>
                <c:formatCode>0_);\(0\)</c:formatCode>
                <c:ptCount val="9"/>
                <c:pt idx="0">
                  <c:v>2010</c:v>
                </c:pt>
                <c:pt idx="1">
                  <c:v>2011</c:v>
                </c:pt>
                <c:pt idx="2">
                  <c:v>2012</c:v>
                </c:pt>
                <c:pt idx="3">
                  <c:v>2013</c:v>
                </c:pt>
                <c:pt idx="4">
                  <c:v>2014</c:v>
                </c:pt>
                <c:pt idx="5">
                  <c:v>2015</c:v>
                </c:pt>
                <c:pt idx="6">
                  <c:v>2016</c:v>
                </c:pt>
                <c:pt idx="7">
                  <c:v>2017</c:v>
                </c:pt>
                <c:pt idx="8">
                  <c:v>2018</c:v>
                </c:pt>
              </c:numCache>
            </c:numRef>
          </c:cat>
          <c:val>
            <c:numRef>
              <c:f>graphs!$O$107:$W$107</c:f>
              <c:numCache>
                <c:formatCode>General</c:formatCode>
                <c:ptCount val="9"/>
                <c:pt idx="0">
                  <c:v>17.606000000000002</c:v>
                </c:pt>
                <c:pt idx="1">
                  <c:v>19.712</c:v>
                </c:pt>
                <c:pt idx="2">
                  <c:v>16.853400000000001</c:v>
                </c:pt>
                <c:pt idx="3">
                  <c:v>15.119</c:v>
                </c:pt>
                <c:pt idx="4">
                  <c:v>21.478999999999999</c:v>
                </c:pt>
                <c:pt idx="5">
                  <c:v>24.968</c:v>
                </c:pt>
                <c:pt idx="6">
                  <c:v>29.151</c:v>
                </c:pt>
                <c:pt idx="7">
                  <c:v>31.644929999999999</c:v>
                </c:pt>
                <c:pt idx="8">
                  <c:v>34.46069</c:v>
                </c:pt>
              </c:numCache>
            </c:numRef>
          </c:val>
          <c:extLst xmlns:c16r2="http://schemas.microsoft.com/office/drawing/2015/06/chart">
            <c:ext xmlns:c16="http://schemas.microsoft.com/office/drawing/2014/chart" uri="{C3380CC4-5D6E-409C-BE32-E72D297353CC}">
              <c16:uniqueId val="{00000000-F01A-864D-B6E8-5FF319CBD2F1}"/>
            </c:ext>
          </c:extLst>
        </c:ser>
        <c:dLbls>
          <c:showLegendKey val="0"/>
          <c:showVal val="0"/>
          <c:showCatName val="0"/>
          <c:showSerName val="0"/>
          <c:showPercent val="0"/>
          <c:showBubbleSize val="0"/>
        </c:dLbls>
        <c:gapWidth val="150"/>
        <c:axId val="-1357515872"/>
        <c:axId val="-1357529472"/>
      </c:barChart>
      <c:lineChart>
        <c:grouping val="standard"/>
        <c:varyColors val="0"/>
        <c:ser>
          <c:idx val="1"/>
          <c:order val="1"/>
          <c:tx>
            <c:strRef>
              <c:f>graphs!$N$108</c:f>
              <c:strCache>
                <c:ptCount val="1"/>
                <c:pt idx="0">
                  <c:v>TF në % të totalit të të ardhurave</c:v>
                </c:pt>
              </c:strCache>
            </c:strRef>
          </c:tx>
          <c:marker>
            <c:symbol val="diamond"/>
            <c:size val="7"/>
            <c:spPr>
              <a:solidFill>
                <a:srgbClr val="FF6600"/>
              </a:solidFill>
              <a:ln>
                <a:solidFill>
                  <a:schemeClr val="accent5">
                    <a:lumMod val="75000"/>
                  </a:schemeClr>
                </a:solidFill>
              </a:ln>
            </c:spPr>
          </c:marker>
          <c:cat>
            <c:numRef>
              <c:f>graphs!$O$106:$W$106</c:f>
              <c:numCache>
                <c:formatCode>0_);\(0\)</c:formatCode>
                <c:ptCount val="9"/>
                <c:pt idx="0">
                  <c:v>2010</c:v>
                </c:pt>
                <c:pt idx="1">
                  <c:v>2011</c:v>
                </c:pt>
                <c:pt idx="2">
                  <c:v>2012</c:v>
                </c:pt>
                <c:pt idx="3">
                  <c:v>2013</c:v>
                </c:pt>
                <c:pt idx="4">
                  <c:v>2014</c:v>
                </c:pt>
                <c:pt idx="5">
                  <c:v>2015</c:v>
                </c:pt>
                <c:pt idx="6">
                  <c:v>2016</c:v>
                </c:pt>
                <c:pt idx="7">
                  <c:v>2017</c:v>
                </c:pt>
                <c:pt idx="8">
                  <c:v>2018</c:v>
                </c:pt>
              </c:numCache>
            </c:numRef>
          </c:cat>
          <c:val>
            <c:numRef>
              <c:f>graphs!$O$108:$W$108</c:f>
              <c:numCache>
                <c:formatCode>0%</c:formatCode>
                <c:ptCount val="9"/>
                <c:pt idx="0">
                  <c:v>5.42188524918314E-2</c:v>
                </c:pt>
                <c:pt idx="1">
                  <c:v>5.9648560076739403E-2</c:v>
                </c:pt>
                <c:pt idx="2">
                  <c:v>5.1011550196135402E-2</c:v>
                </c:pt>
                <c:pt idx="3">
                  <c:v>4.6210263269213403E-2</c:v>
                </c:pt>
                <c:pt idx="4">
                  <c:v>5.8570411838972901E-2</c:v>
                </c:pt>
                <c:pt idx="5">
                  <c:v>6.5842840039450803E-2</c:v>
                </c:pt>
                <c:pt idx="6">
                  <c:v>7.1620383223470002E-2</c:v>
                </c:pt>
                <c:pt idx="7">
                  <c:v>7.3524909769436306E-2</c:v>
                </c:pt>
                <c:pt idx="8">
                  <c:v>7.6665138585592499E-2</c:v>
                </c:pt>
              </c:numCache>
            </c:numRef>
          </c:val>
          <c:smooth val="0"/>
          <c:extLst xmlns:c16r2="http://schemas.microsoft.com/office/drawing/2015/06/chart">
            <c:ext xmlns:c16="http://schemas.microsoft.com/office/drawing/2014/chart" uri="{C3380CC4-5D6E-409C-BE32-E72D297353CC}">
              <c16:uniqueId val="{00000001-F01A-864D-B6E8-5FF319CBD2F1}"/>
            </c:ext>
          </c:extLst>
        </c:ser>
        <c:dLbls>
          <c:showLegendKey val="0"/>
          <c:showVal val="0"/>
          <c:showCatName val="0"/>
          <c:showSerName val="0"/>
          <c:showPercent val="0"/>
          <c:showBubbleSize val="0"/>
        </c:dLbls>
        <c:marker val="1"/>
        <c:smooth val="0"/>
        <c:axId val="-1357528384"/>
        <c:axId val="-1357520224"/>
      </c:lineChart>
      <c:catAx>
        <c:axId val="-1357515872"/>
        <c:scaling>
          <c:orientation val="minMax"/>
        </c:scaling>
        <c:delete val="0"/>
        <c:axPos val="b"/>
        <c:numFmt formatCode="0_);\(0\)" sourceLinked="1"/>
        <c:majorTickMark val="none"/>
        <c:minorTickMark val="none"/>
        <c:tickLblPos val="nextTo"/>
        <c:txPr>
          <a:bodyPr rot="0" vert="horz" anchor="ctr" anchorCtr="1"/>
          <a:lstStyle/>
          <a:p>
            <a:pPr>
              <a:defRPr sz="800" baseline="0">
                <a:solidFill>
                  <a:schemeClr val="tx2"/>
                </a:solidFill>
                <a:latin typeface="Garamond" panose="02020404030301010803" pitchFamily="18" charset="0"/>
              </a:defRPr>
            </a:pPr>
            <a:endParaRPr lang="en-US"/>
          </a:p>
        </c:txPr>
        <c:crossAx val="-1357529472"/>
        <c:crosses val="autoZero"/>
        <c:auto val="1"/>
        <c:lblAlgn val="ctr"/>
        <c:lblOffset val="100"/>
        <c:noMultiLvlLbl val="0"/>
      </c:catAx>
      <c:valAx>
        <c:axId val="-1357529472"/>
        <c:scaling>
          <c:orientation val="minMax"/>
        </c:scaling>
        <c:delete val="0"/>
        <c:axPos val="l"/>
        <c:majorGridlines>
          <c:spPr>
            <a:ln w="3175">
              <a:solidFill>
                <a:schemeClr val="tx2">
                  <a:lumMod val="60000"/>
                  <a:lumOff val="40000"/>
                </a:schemeClr>
              </a:solidFill>
              <a:prstDash val="sysDot"/>
            </a:ln>
          </c:spPr>
        </c:majorGridlines>
        <c:numFmt formatCode="#.##0" sourceLinked="0"/>
        <c:majorTickMark val="none"/>
        <c:minorTickMark val="none"/>
        <c:tickLblPos val="nextTo"/>
        <c:txPr>
          <a:bodyPr/>
          <a:lstStyle/>
          <a:p>
            <a:pPr>
              <a:defRPr sz="700"/>
            </a:pPr>
            <a:endParaRPr lang="en-US"/>
          </a:p>
        </c:txPr>
        <c:crossAx val="-1357515872"/>
        <c:crosses val="autoZero"/>
        <c:crossBetween val="between"/>
      </c:valAx>
      <c:valAx>
        <c:axId val="-1357520224"/>
        <c:scaling>
          <c:orientation val="minMax"/>
        </c:scaling>
        <c:delete val="0"/>
        <c:axPos val="r"/>
        <c:numFmt formatCode="0%" sourceLinked="1"/>
        <c:majorTickMark val="out"/>
        <c:minorTickMark val="none"/>
        <c:tickLblPos val="nextTo"/>
        <c:txPr>
          <a:bodyPr/>
          <a:lstStyle/>
          <a:p>
            <a:pPr>
              <a:defRPr sz="700"/>
            </a:pPr>
            <a:endParaRPr lang="en-US"/>
          </a:p>
        </c:txPr>
        <c:crossAx val="-1357528384"/>
        <c:crosses val="max"/>
        <c:crossBetween val="between"/>
      </c:valAx>
      <c:catAx>
        <c:axId val="-1357528384"/>
        <c:scaling>
          <c:orientation val="minMax"/>
        </c:scaling>
        <c:delete val="1"/>
        <c:axPos val="b"/>
        <c:numFmt formatCode="0_);\(0\)" sourceLinked="1"/>
        <c:majorTickMark val="out"/>
        <c:minorTickMark val="none"/>
        <c:tickLblPos val="nextTo"/>
        <c:crossAx val="-1357520224"/>
        <c:crosses val="autoZero"/>
        <c:auto val="1"/>
        <c:lblAlgn val="ctr"/>
        <c:lblOffset val="100"/>
        <c:noMultiLvlLbl val="0"/>
      </c:catAx>
    </c:plotArea>
    <c:legend>
      <c:legendPos val="b"/>
      <c:overlay val="0"/>
      <c:txPr>
        <a:bodyPr/>
        <a:lstStyle/>
        <a:p>
          <a:pPr>
            <a:defRPr sz="800" spc="10" baseline="0">
              <a:solidFill>
                <a:srgbClr val="002060"/>
              </a:solidFill>
              <a:latin typeface="Garamond" panose="02020404030301010803" pitchFamily="18" charset="0"/>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C0504D">
          <a:lumMod val="60000"/>
          <a:lumOff val="40000"/>
        </a:srgbClr>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361548556430398E-2"/>
          <c:y val="2.4599351551644302E-2"/>
          <c:w val="0.59766601049868795"/>
          <c:h val="0.93751531058617699"/>
        </c:manualLayout>
      </c:layout>
      <c:pieChart>
        <c:varyColors val="1"/>
        <c:ser>
          <c:idx val="0"/>
          <c:order val="0"/>
          <c:tx>
            <c:strRef>
              <c:f>'Te dhena'!$G$21</c:f>
              <c:strCache>
                <c:ptCount val="1"/>
                <c:pt idx="0">
                  <c:v>Pesha sipas sektorit (TF)</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2AD-F549-9EA7-7FA1BDD1B6A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2AD-F549-9EA7-7FA1BDD1B6A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02AD-F549-9EA7-7FA1BDD1B6A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02AD-F549-9EA7-7FA1BDD1B6A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02AD-F549-9EA7-7FA1BDD1B6A0}"/>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02AD-F549-9EA7-7FA1BDD1B6A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'Te dhena'!$A$22:$A$27</c:f>
              <c:strCache>
                <c:ptCount val="6"/>
                <c:pt idx="0">
                  <c:v>në Sektorin e Ndërtimit</c:v>
                </c:pt>
                <c:pt idx="1">
                  <c:v>në Sektorin e Prodhimit</c:v>
                </c:pt>
                <c:pt idx="2">
                  <c:v>në Sektorin e Shërbimit</c:v>
                </c:pt>
                <c:pt idx="3">
                  <c:v>në Sektorin e Transportit</c:v>
                </c:pt>
                <c:pt idx="4">
                  <c:v>në Sektorin e Tregtisë</c:v>
                </c:pt>
                <c:pt idx="5">
                  <c:v>PAPERCAKTUAR</c:v>
                </c:pt>
              </c:strCache>
            </c:strRef>
          </c:cat>
          <c:val>
            <c:numRef>
              <c:f>'Te dhena'!$G$22:$G$27</c:f>
              <c:numCache>
                <c:formatCode>#.#00%</c:formatCode>
                <c:ptCount val="6"/>
                <c:pt idx="0">
                  <c:v>0.14239727452713299</c:v>
                </c:pt>
                <c:pt idx="1">
                  <c:v>0.26781569197422</c:v>
                </c:pt>
                <c:pt idx="2">
                  <c:v>0.29622342921263101</c:v>
                </c:pt>
                <c:pt idx="3">
                  <c:v>4.3051039346966198E-2</c:v>
                </c:pt>
                <c:pt idx="4">
                  <c:v>0.25051060309987899</c:v>
                </c:pt>
                <c:pt idx="5">
                  <c:v>1.9618391706837801E-6</c:v>
                </c:pt>
              </c:numCache>
            </c:numRef>
          </c:val>
          <c:extLst xmlns:c16r2="http://schemas.microsoft.com/office/drawing/2015/06/chart">
            <c:ext xmlns:c16="http://schemas.microsoft.com/office/drawing/2014/chart" uri="{C3380CC4-5D6E-409C-BE32-E72D297353CC}">
              <c16:uniqueId val="{0000000C-02AD-F549-9EA7-7FA1BDD1B6A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3158038057742805"/>
          <c:y val="0.13739900159538901"/>
          <c:w val="0.36841961942257201"/>
          <c:h val="0.626158501020706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56814052089603E-2"/>
          <c:y val="0.11405572343855"/>
          <c:w val="0.61878631200322098"/>
          <c:h val="0.8682036466876670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780-F348-B368-DB5192BC291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780-F348-B368-DB5192BC291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780-F348-B368-DB5192BC291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780-F348-B368-DB5192BC291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780-F348-B368-DB5192BC291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780-F348-B368-DB5192BC291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780-F348-B368-DB5192BC29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'Bizneset aktive'!$A$3:$A$9</c:f>
              <c:strCache>
                <c:ptCount val="7"/>
                <c:pt idx="0">
                  <c:v>BM</c:v>
                </c:pt>
                <c:pt idx="1">
                  <c:v>BV me TVSH</c:v>
                </c:pt>
                <c:pt idx="2">
                  <c:v>BV pa TVSH</c:v>
                </c:pt>
                <c:pt idx="3">
                  <c:v>OJF</c:v>
                </c:pt>
                <c:pt idx="4">
                  <c:v>Të tjera</c:v>
                </c:pt>
                <c:pt idx="5">
                  <c:v>Shtetërore jobuxhetore</c:v>
                </c:pt>
                <c:pt idx="6">
                  <c:v>Shtetërore buxhetore</c:v>
                </c:pt>
              </c:strCache>
            </c:strRef>
          </c:cat>
          <c:val>
            <c:numRef>
              <c:f>'Bizneset aktive'!$D$3:$D$9</c:f>
              <c:numCache>
                <c:formatCode>#.#00%</c:formatCode>
                <c:ptCount val="7"/>
                <c:pt idx="0">
                  <c:v>0.52253274041428699</c:v>
                </c:pt>
                <c:pt idx="1">
                  <c:v>0.108871543862802</c:v>
                </c:pt>
                <c:pt idx="2">
                  <c:v>0.106224618906144</c:v>
                </c:pt>
                <c:pt idx="3">
                  <c:v>7.9687612774174705E-3</c:v>
                </c:pt>
                <c:pt idx="4">
                  <c:v>1.2103384735035E-2</c:v>
                </c:pt>
                <c:pt idx="5">
                  <c:v>2.6064183143050298E-2</c:v>
                </c:pt>
                <c:pt idx="6">
                  <c:v>0.21623476766126401</c:v>
                </c:pt>
              </c:numCache>
            </c:numRef>
          </c:val>
          <c:extLst xmlns:c16r2="http://schemas.microsoft.com/office/drawing/2015/06/chart">
            <c:ext xmlns:c16="http://schemas.microsoft.com/office/drawing/2014/chart" uri="{C3380CC4-5D6E-409C-BE32-E72D297353CC}">
              <c16:uniqueId val="{0000000E-8780-F348-B368-DB5192BC291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2563673954163499"/>
          <c:y val="8.7832426132141997E-2"/>
          <c:w val="0.26155063350894098"/>
          <c:h val="0.91216757386785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4675831670353E-2"/>
          <c:y val="8.6697608374369003E-2"/>
          <c:w val="0.61204879020264202"/>
          <c:h val="0.89960962127360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8A1-EC4D-AA52-A44592859FF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8A1-EC4D-AA52-A44592859FF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8A1-EC4D-AA52-A44592859FF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8A1-EC4D-AA52-A44592859FF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8A1-EC4D-AA52-A44592859FF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8A1-EC4D-AA52-A44592859F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'Bizneset aktive'!$A$13:$A$18</c:f>
              <c:strCache>
                <c:ptCount val="6"/>
                <c:pt idx="0">
                  <c:v>në Sektorin e Ndërtimit</c:v>
                </c:pt>
                <c:pt idx="1">
                  <c:v>në Sektorin e Prodhimit</c:v>
                </c:pt>
                <c:pt idx="2">
                  <c:v>në Sektorin e Shërbimit</c:v>
                </c:pt>
                <c:pt idx="3">
                  <c:v>në Sektorin e Transportit</c:v>
                </c:pt>
                <c:pt idx="4">
                  <c:v>në Sektorin e Tregtisë</c:v>
                </c:pt>
                <c:pt idx="5">
                  <c:v>papercaktuar</c:v>
                </c:pt>
              </c:strCache>
            </c:strRef>
          </c:cat>
          <c:val>
            <c:numRef>
              <c:f>'Bizneset aktive'!$D$13:$D$18</c:f>
              <c:numCache>
                <c:formatCode>#.#00%</c:formatCode>
                <c:ptCount val="6"/>
                <c:pt idx="0">
                  <c:v>7.4614708182783707E-2</c:v>
                </c:pt>
                <c:pt idx="1">
                  <c:v>0.18862249429592801</c:v>
                </c:pt>
                <c:pt idx="2">
                  <c:v>0.513504914560444</c:v>
                </c:pt>
                <c:pt idx="3">
                  <c:v>2.7498854766748002E-2</c:v>
                </c:pt>
                <c:pt idx="4">
                  <c:v>0.19572367694258799</c:v>
                </c:pt>
                <c:pt idx="5">
                  <c:v>3.5351251507951802E-5</c:v>
                </c:pt>
              </c:numCache>
            </c:numRef>
          </c:val>
          <c:extLst xmlns:c16r2="http://schemas.microsoft.com/office/drawing/2015/06/chart">
            <c:ext xmlns:c16="http://schemas.microsoft.com/office/drawing/2014/chart" uri="{C3380CC4-5D6E-409C-BE32-E72D297353CC}">
              <c16:uniqueId val="{0000000C-18A1-EC4D-AA52-A44592859F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9283841278751981"/>
          <c:y val="0.18732999284180382"/>
          <c:w val="0.34619728783901998"/>
          <c:h val="0.5121651369667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6196786377312"/>
          <c:y val="0.17228527433460006"/>
          <c:w val="0.82351087211659513"/>
          <c:h val="0.49218820034921296"/>
        </c:manualLayout>
      </c:layout>
      <c:barChart>
        <c:barDir val="col"/>
        <c:grouping val="stacked"/>
        <c:varyColors val="0"/>
        <c:ser>
          <c:idx val="0"/>
          <c:order val="0"/>
          <c:tx>
            <c:strRef>
              <c:f>'Raw Data'!$B$6</c:f>
              <c:strCache>
                <c:ptCount val="1"/>
                <c:pt idx="0">
                  <c:v>Shpenzime Korrente</c:v>
                </c:pt>
              </c:strCache>
            </c:strRef>
          </c:tx>
          <c:spPr>
            <a:solidFill>
              <a:srgbClr val="4F81BD">
                <a:lumMod val="40000"/>
                <a:lumOff val="60000"/>
              </a:srgbClr>
            </a:solidFill>
          </c:spPr>
          <c:invertIfNegative val="0"/>
          <c:cat>
            <c:numRef>
              <c:f>'Raw Data'!$F$2:$Q$2</c:f>
              <c:numCache>
                <c:formatCode>@</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'Raw Data'!$F$6:$Q$6</c:f>
              <c:numCache>
                <c:formatCode>#,##0</c:formatCode>
                <c:ptCount val="12"/>
                <c:pt idx="0">
                  <c:v>224976.39153153999</c:v>
                </c:pt>
                <c:pt idx="1">
                  <c:v>252688.47645016247</c:v>
                </c:pt>
                <c:pt idx="2">
                  <c:v>283897.47195161198</c:v>
                </c:pt>
                <c:pt idx="3">
                  <c:v>300878</c:v>
                </c:pt>
                <c:pt idx="4">
                  <c:v>307221</c:v>
                </c:pt>
                <c:pt idx="5">
                  <c:v>312584.8</c:v>
                </c:pt>
                <c:pt idx="6">
                  <c:v>328641</c:v>
                </c:pt>
                <c:pt idx="7">
                  <c:v>341012</c:v>
                </c:pt>
                <c:pt idx="8">
                  <c:v>350752</c:v>
                </c:pt>
                <c:pt idx="9">
                  <c:v>368720</c:v>
                </c:pt>
                <c:pt idx="10">
                  <c:v>382287.28</c:v>
                </c:pt>
                <c:pt idx="11">
                  <c:v>397344.76000000007</c:v>
                </c:pt>
              </c:numCache>
            </c:numRef>
          </c:val>
        </c:ser>
        <c:ser>
          <c:idx val="1"/>
          <c:order val="1"/>
          <c:tx>
            <c:strRef>
              <c:f>'Raw Data'!$B$28</c:f>
              <c:strCache>
                <c:ptCount val="1"/>
                <c:pt idx="0">
                  <c:v>Shpenzime Kapitale</c:v>
                </c:pt>
              </c:strCache>
            </c:strRef>
          </c:tx>
          <c:spPr>
            <a:solidFill>
              <a:srgbClr val="4F81BD">
                <a:lumMod val="75000"/>
                <a:alpha val="85000"/>
              </a:srgbClr>
            </a:solidFill>
          </c:spPr>
          <c:invertIfNegative val="0"/>
          <c:cat>
            <c:numRef>
              <c:f>'Raw Data'!$F$2:$Q$2</c:f>
              <c:numCache>
                <c:formatCode>@</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'Raw Data'!$F$28:$Q$28</c:f>
              <c:numCache>
                <c:formatCode>#,##0</c:formatCode>
                <c:ptCount val="12"/>
                <c:pt idx="0">
                  <c:v>57039.550116049992</c:v>
                </c:pt>
                <c:pt idx="1">
                  <c:v>93782.947913294993</c:v>
                </c:pt>
                <c:pt idx="2">
                  <c:v>95880.99393321434</c:v>
                </c:pt>
                <c:pt idx="3">
                  <c:v>67492</c:v>
                </c:pt>
                <c:pt idx="4">
                  <c:v>69079</c:v>
                </c:pt>
                <c:pt idx="5">
                  <c:v>61655.8</c:v>
                </c:pt>
                <c:pt idx="6">
                  <c:v>65477</c:v>
                </c:pt>
                <c:pt idx="7">
                  <c:v>60749</c:v>
                </c:pt>
                <c:pt idx="8">
                  <c:v>63059</c:v>
                </c:pt>
                <c:pt idx="9">
                  <c:v>59478</c:v>
                </c:pt>
                <c:pt idx="10">
                  <c:v>68455.28</c:v>
                </c:pt>
                <c:pt idx="11">
                  <c:v>78434.38</c:v>
                </c:pt>
              </c:numCache>
            </c:numRef>
          </c:val>
        </c:ser>
        <c:dLbls>
          <c:showLegendKey val="0"/>
          <c:showVal val="0"/>
          <c:showCatName val="0"/>
          <c:showSerName val="0"/>
          <c:showPercent val="0"/>
          <c:showBubbleSize val="0"/>
        </c:dLbls>
        <c:gapWidth val="22"/>
        <c:overlap val="100"/>
        <c:axId val="-1357503904"/>
        <c:axId val="-1357508256"/>
      </c:barChart>
      <c:lineChart>
        <c:grouping val="standard"/>
        <c:varyColors val="0"/>
        <c:ser>
          <c:idx val="2"/>
          <c:order val="2"/>
          <c:tx>
            <c:strRef>
              <c:f>'Raw Data'!$W$6:$X$6</c:f>
              <c:strCache>
                <c:ptCount val="1"/>
                <c:pt idx="0">
                  <c:v>Shpenzime Korrente Ritmi i rritjes</c:v>
                </c:pt>
              </c:strCache>
            </c:strRef>
          </c:tx>
          <c:spPr>
            <a:ln w="38100">
              <a:solidFill>
                <a:srgbClr val="C0504D">
                  <a:alpha val="62000"/>
                </a:srgbClr>
              </a:solidFill>
            </a:ln>
          </c:spPr>
          <c:marker>
            <c:symbol val="diamond"/>
            <c:size val="5"/>
            <c:spPr>
              <a:solidFill>
                <a:srgbClr val="4F81BD"/>
              </a:solidFill>
            </c:spPr>
          </c:marker>
          <c:cat>
            <c:numRef>
              <c:f>'Raw Data'!$F$2:$Q$2</c:f>
              <c:numCache>
                <c:formatCode>@</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'Raw Data'!$AA$6:$AL$6</c:f>
              <c:numCache>
                <c:formatCode>#,##0.0</c:formatCode>
                <c:ptCount val="12"/>
                <c:pt idx="0">
                  <c:v>9.8197405073850632</c:v>
                </c:pt>
                <c:pt idx="1">
                  <c:v>12.317774647362256</c:v>
                </c:pt>
                <c:pt idx="2">
                  <c:v>12.350779085727256</c:v>
                </c:pt>
                <c:pt idx="3">
                  <c:v>5.981218477099441</c:v>
                </c:pt>
                <c:pt idx="4">
                  <c:v>2.1081634416607398</c:v>
                </c:pt>
                <c:pt idx="5">
                  <c:v>1.7459092965650096</c:v>
                </c:pt>
                <c:pt idx="6">
                  <c:v>5.136590134900997</c:v>
                </c:pt>
                <c:pt idx="7">
                  <c:v>3.7642899090496922</c:v>
                </c:pt>
                <c:pt idx="8">
                  <c:v>2.8562044737428596</c:v>
                </c:pt>
                <c:pt idx="9">
                  <c:v>5.1227077821366667</c:v>
                </c:pt>
                <c:pt idx="10">
                  <c:v>3.6795617270557681</c:v>
                </c:pt>
                <c:pt idx="11">
                  <c:v>3.9387865586320419</c:v>
                </c:pt>
              </c:numCache>
            </c:numRef>
          </c:val>
          <c:smooth val="0"/>
        </c:ser>
        <c:ser>
          <c:idx val="3"/>
          <c:order val="3"/>
          <c:tx>
            <c:strRef>
              <c:f>'Raw Data'!$W$28:$X$28</c:f>
              <c:strCache>
                <c:ptCount val="1"/>
                <c:pt idx="0">
                  <c:v>Shpenzime Kapitale Ritmi i rritjes</c:v>
                </c:pt>
              </c:strCache>
            </c:strRef>
          </c:tx>
          <c:spPr>
            <a:ln>
              <a:solidFill>
                <a:srgbClr val="1F497D"/>
              </a:solidFill>
            </a:ln>
          </c:spPr>
          <c:marker>
            <c:symbol val="diamond"/>
            <c:size val="7"/>
            <c:spPr>
              <a:solidFill>
                <a:srgbClr val="4F81BD">
                  <a:lumMod val="75000"/>
                </a:srgbClr>
              </a:solidFill>
            </c:spPr>
          </c:marker>
          <c:cat>
            <c:numRef>
              <c:f>'Raw Data'!$F$2:$Q$2</c:f>
              <c:numCache>
                <c:formatCode>@</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'Raw Data'!$AA$28:$AL$28</c:f>
              <c:numCache>
                <c:formatCode>#,##0.0</c:formatCode>
                <c:ptCount val="12"/>
                <c:pt idx="0">
                  <c:v>11.605744974893529</c:v>
                </c:pt>
                <c:pt idx="1">
                  <c:v>64.417404629750081</c:v>
                </c:pt>
                <c:pt idx="2">
                  <c:v>2.2371295279170056</c:v>
                </c:pt>
                <c:pt idx="3">
                  <c:v>-29.60857284498805</c:v>
                </c:pt>
                <c:pt idx="4">
                  <c:v>2.3513897943459967</c:v>
                </c:pt>
                <c:pt idx="5">
                  <c:v>-10.7459575268895</c:v>
                </c:pt>
                <c:pt idx="6">
                  <c:v>6.1976326639180694</c:v>
                </c:pt>
                <c:pt idx="7">
                  <c:v>-7.2208561785054286</c:v>
                </c:pt>
                <c:pt idx="8">
                  <c:v>3.8025317289173488</c:v>
                </c:pt>
                <c:pt idx="9">
                  <c:v>-5.6788087346770482</c:v>
                </c:pt>
                <c:pt idx="10">
                  <c:v>15.093446316285011</c:v>
                </c:pt>
                <c:pt idx="11">
                  <c:v>14.577546100169345</c:v>
                </c:pt>
              </c:numCache>
            </c:numRef>
          </c:val>
          <c:smooth val="0"/>
        </c:ser>
        <c:ser>
          <c:idx val="4"/>
          <c:order val="4"/>
          <c:tx>
            <c:strRef>
              <c:f>'Raw Data'!$V$5</c:f>
              <c:strCache>
                <c:ptCount val="1"/>
                <c:pt idx="0">
                  <c:v>Rirmi vjetor i rritjes</c:v>
                </c:pt>
              </c:strCache>
            </c:strRef>
          </c:tx>
          <c:spPr>
            <a:ln>
              <a:solidFill>
                <a:srgbClr val="FF0000"/>
              </a:solidFill>
            </a:ln>
          </c:spPr>
          <c:marker>
            <c:symbol val="diamond"/>
            <c:size val="5"/>
            <c:spPr>
              <a:solidFill>
                <a:srgbClr val="4F81BD"/>
              </a:solidFill>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'Raw Data'!$F$2:$Q$2</c:f>
              <c:numCache>
                <c:formatCode>@</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'Raw Data'!$AA$5:$AL$5</c:f>
              <c:numCache>
                <c:formatCode>#,##0.0</c:formatCode>
                <c:ptCount val="12"/>
                <c:pt idx="0">
                  <c:v>10.377490088171379</c:v>
                </c:pt>
                <c:pt idx="1">
                  <c:v>23.039424669451662</c:v>
                </c:pt>
                <c:pt idx="2">
                  <c:v>8.0716856373340935</c:v>
                </c:pt>
                <c:pt idx="3">
                  <c:v>-4.504534777584337</c:v>
                </c:pt>
                <c:pt idx="4">
                  <c:v>3.7347829922371205</c:v>
                </c:pt>
                <c:pt idx="5">
                  <c:v>-1.5785277703965796E-2</c:v>
                </c:pt>
                <c:pt idx="6">
                  <c:v>4.7515871492869257</c:v>
                </c:pt>
                <c:pt idx="7">
                  <c:v>11.349646552555326</c:v>
                </c:pt>
                <c:pt idx="8">
                  <c:v>-0.32835895718117164</c:v>
                </c:pt>
                <c:pt idx="9">
                  <c:v>-0.84840697929621767</c:v>
                </c:pt>
                <c:pt idx="10">
                  <c:v>6.3899035501744459</c:v>
                </c:pt>
                <c:pt idx="11">
                  <c:v>3.1939762357030035</c:v>
                </c:pt>
              </c:numCache>
            </c:numRef>
          </c:val>
          <c:smooth val="0"/>
        </c:ser>
        <c:dLbls>
          <c:showLegendKey val="0"/>
          <c:showVal val="0"/>
          <c:showCatName val="0"/>
          <c:showSerName val="0"/>
          <c:showPercent val="0"/>
          <c:showBubbleSize val="0"/>
        </c:dLbls>
        <c:marker val="1"/>
        <c:smooth val="0"/>
        <c:axId val="-1357507168"/>
        <c:axId val="-1357506080"/>
      </c:lineChart>
      <c:catAx>
        <c:axId val="-1357503904"/>
        <c:scaling>
          <c:orientation val="minMax"/>
        </c:scaling>
        <c:delete val="0"/>
        <c:axPos val="b"/>
        <c:numFmt formatCode="@" sourceLinked="1"/>
        <c:majorTickMark val="out"/>
        <c:minorTickMark val="none"/>
        <c:tickLblPos val="low"/>
        <c:txPr>
          <a:bodyPr rot="0" vert="horz"/>
          <a:lstStyle/>
          <a:p>
            <a:pPr>
              <a:defRPr/>
            </a:pPr>
            <a:endParaRPr lang="en-US"/>
          </a:p>
        </c:txPr>
        <c:crossAx val="-1357508256"/>
        <c:crosses val="autoZero"/>
        <c:auto val="1"/>
        <c:lblAlgn val="ctr"/>
        <c:lblOffset val="100"/>
        <c:tickLblSkip val="1"/>
        <c:tickMarkSkip val="1"/>
        <c:noMultiLvlLbl val="0"/>
      </c:catAx>
      <c:valAx>
        <c:axId val="-1357508256"/>
        <c:scaling>
          <c:orientation val="minMax"/>
        </c:scaling>
        <c:delete val="0"/>
        <c:axPos val="l"/>
        <c:numFmt formatCode="0.0" sourceLinked="0"/>
        <c:majorTickMark val="out"/>
        <c:minorTickMark val="none"/>
        <c:tickLblPos val="nextTo"/>
        <c:txPr>
          <a:bodyPr rot="0" vert="horz"/>
          <a:lstStyle/>
          <a:p>
            <a:pPr>
              <a:defRPr/>
            </a:pPr>
            <a:endParaRPr lang="en-US"/>
          </a:p>
        </c:txPr>
        <c:crossAx val="-1357503904"/>
        <c:crosses val="autoZero"/>
        <c:crossBetween val="between"/>
        <c:dispUnits>
          <c:builtInUnit val="thousands"/>
        </c:dispUnits>
      </c:valAx>
      <c:valAx>
        <c:axId val="-1357506080"/>
        <c:scaling>
          <c:orientation val="minMax"/>
        </c:scaling>
        <c:delete val="0"/>
        <c:axPos val="r"/>
        <c:numFmt formatCode="#,##0.0" sourceLinked="1"/>
        <c:majorTickMark val="out"/>
        <c:minorTickMark val="none"/>
        <c:tickLblPos val="nextTo"/>
        <c:crossAx val="-1357507168"/>
        <c:crosses val="max"/>
        <c:crossBetween val="between"/>
      </c:valAx>
      <c:catAx>
        <c:axId val="-1357507168"/>
        <c:scaling>
          <c:orientation val="minMax"/>
        </c:scaling>
        <c:delete val="1"/>
        <c:axPos val="b"/>
        <c:numFmt formatCode="@" sourceLinked="1"/>
        <c:majorTickMark val="out"/>
        <c:minorTickMark val="none"/>
        <c:tickLblPos val="nextTo"/>
        <c:crossAx val="-1357506080"/>
        <c:crosses val="autoZero"/>
        <c:auto val="1"/>
        <c:lblAlgn val="ctr"/>
        <c:lblOffset val="100"/>
        <c:noMultiLvlLbl val="0"/>
      </c:catAx>
      <c:spPr>
        <a:solidFill>
          <a:sysClr val="window" lastClr="FFFFFF"/>
        </a:solidFill>
      </c:spPr>
    </c:plotArea>
    <c:legend>
      <c:legendPos val="b"/>
      <c:layout>
        <c:manualLayout>
          <c:xMode val="edge"/>
          <c:yMode val="edge"/>
          <c:x val="2.6648984011760107E-2"/>
          <c:y val="0.83109466881635541"/>
          <c:w val="0.95717498729928829"/>
          <c:h val="0.14624885992904244"/>
        </c:manualLayout>
      </c:layout>
      <c:overlay val="0"/>
      <c:txPr>
        <a:bodyPr/>
        <a:lstStyle/>
        <a:p>
          <a:pPr>
            <a:defRPr sz="700" b="1"/>
          </a:pPr>
          <a:endParaRPr lang="en-US"/>
        </a:p>
      </c:txPr>
    </c:legend>
    <c:plotVisOnly val="1"/>
    <c:dispBlanksAs val="gap"/>
    <c:showDLblsOverMax val="0"/>
  </c:chart>
  <c:spPr>
    <a:gradFill>
      <a:gsLst>
        <a:gs pos="0">
          <a:srgbClr val="4F81BD">
            <a:tint val="66000"/>
            <a:satMod val="160000"/>
            <a:lumMod val="24000"/>
            <a:lumOff val="76000"/>
          </a:srgbClr>
        </a:gs>
        <a:gs pos="15000">
          <a:srgbClr val="4F81BD">
            <a:tint val="44500"/>
            <a:satMod val="160000"/>
          </a:srgbClr>
        </a:gs>
        <a:gs pos="100000">
          <a:srgbClr val="4F81BD">
            <a:tint val="23500"/>
            <a:satMod val="160000"/>
          </a:srgbClr>
        </a:gs>
      </a:gsLst>
      <a:lin ang="5400000" scaled="0"/>
    </a:gradFill>
  </c:spPr>
  <c:txPr>
    <a:bodyPr/>
    <a:lstStyle/>
    <a:p>
      <a:pPr>
        <a:defRPr sz="800"/>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825351082922721"/>
          <c:y val="8.828605512262383E-2"/>
          <c:w val="0.55517493091548276"/>
          <c:h val="0.65482671541667314"/>
        </c:manualLayout>
      </c:layout>
      <c:barChart>
        <c:barDir val="col"/>
        <c:grouping val="clustered"/>
        <c:varyColors val="0"/>
        <c:ser>
          <c:idx val="0"/>
          <c:order val="0"/>
          <c:tx>
            <c:strRef>
              <c:f>Sheet1!$L$41</c:f>
              <c:strCache>
                <c:ptCount val="1"/>
                <c:pt idx="0">
                  <c:v>Shpenzimet Korente</c:v>
                </c:pt>
              </c:strCache>
            </c:strRef>
          </c:tx>
          <c:invertIfNegative val="0"/>
          <c:dLbls>
            <c:delete val="1"/>
          </c:dLbls>
          <c:cat>
            <c:strRef>
              <c:f>Sheet1!$M$40:$O$40</c:f>
              <c:strCache>
                <c:ptCount val="3"/>
                <c:pt idx="0">
                  <c:v>Plan Vjetor Buxhet Fillestar</c:v>
                </c:pt>
                <c:pt idx="1">
                  <c:v>Plani Vjetor AN2</c:v>
                </c:pt>
                <c:pt idx="2">
                  <c:v>Fakt Dhjetor 2018</c:v>
                </c:pt>
              </c:strCache>
            </c:strRef>
          </c:cat>
          <c:val>
            <c:numRef>
              <c:f>Sheet1!$M$41:$O$41</c:f>
              <c:numCache>
                <c:formatCode>#,##0</c:formatCode>
                <c:ptCount val="3"/>
                <c:pt idx="0">
                  <c:v>407981</c:v>
                </c:pt>
                <c:pt idx="1">
                  <c:v>408530</c:v>
                </c:pt>
                <c:pt idx="2">
                  <c:v>397344.76000000007</c:v>
                </c:pt>
              </c:numCache>
            </c:numRef>
          </c:val>
          <c:extLst xmlns:c16r2="http://schemas.microsoft.com/office/drawing/2015/06/chart">
            <c:ext xmlns:c16="http://schemas.microsoft.com/office/drawing/2014/chart" uri="{C3380CC4-5D6E-409C-BE32-E72D297353CC}">
              <c16:uniqueId val="{00000000-1DEF-4B69-9FA5-9AF2C76185A7}"/>
            </c:ext>
          </c:extLst>
        </c:ser>
        <c:ser>
          <c:idx val="1"/>
          <c:order val="1"/>
          <c:tx>
            <c:strRef>
              <c:f>Sheet1!$L$42</c:f>
              <c:strCache>
                <c:ptCount val="1"/>
                <c:pt idx="0">
                  <c:v>Shpenzimet Kapitale</c:v>
                </c:pt>
              </c:strCache>
            </c:strRef>
          </c:tx>
          <c:invertIfNegative val="0"/>
          <c:dLbls>
            <c:delete val="1"/>
          </c:dLbls>
          <c:cat>
            <c:strRef>
              <c:f>Sheet1!$M$40:$O$40</c:f>
              <c:strCache>
                <c:ptCount val="3"/>
                <c:pt idx="0">
                  <c:v>Plan Vjetor Buxhet Fillestar</c:v>
                </c:pt>
                <c:pt idx="1">
                  <c:v>Plani Vjetor AN2</c:v>
                </c:pt>
                <c:pt idx="2">
                  <c:v>Fakt Dhjetor 2018</c:v>
                </c:pt>
              </c:strCache>
            </c:strRef>
          </c:cat>
          <c:val>
            <c:numRef>
              <c:f>Sheet1!$M$42:$O$42</c:f>
              <c:numCache>
                <c:formatCode>#,##0</c:formatCode>
                <c:ptCount val="3"/>
                <c:pt idx="0">
                  <c:v>86388</c:v>
                </c:pt>
                <c:pt idx="1">
                  <c:v>84201</c:v>
                </c:pt>
                <c:pt idx="2">
                  <c:v>78434.38</c:v>
                </c:pt>
              </c:numCache>
            </c:numRef>
          </c:val>
          <c:extLst xmlns:c16r2="http://schemas.microsoft.com/office/drawing/2015/06/chart">
            <c:ext xmlns:c16="http://schemas.microsoft.com/office/drawing/2014/chart" uri="{C3380CC4-5D6E-409C-BE32-E72D297353CC}">
              <c16:uniqueId val="{00000001-1DEF-4B69-9FA5-9AF2C76185A7}"/>
            </c:ext>
          </c:extLst>
        </c:ser>
        <c:dLbls>
          <c:dLblPos val="outEnd"/>
          <c:showLegendKey val="0"/>
          <c:showVal val="1"/>
          <c:showCatName val="0"/>
          <c:showSerName val="0"/>
          <c:showPercent val="0"/>
          <c:showBubbleSize val="0"/>
        </c:dLbls>
        <c:gapWidth val="141"/>
        <c:overlap val="-12"/>
        <c:axId val="-1567747568"/>
        <c:axId val="-1567762800"/>
      </c:barChart>
      <c:lineChart>
        <c:grouping val="standard"/>
        <c:varyColors val="0"/>
        <c:ser>
          <c:idx val="2"/>
          <c:order val="2"/>
          <c:tx>
            <c:strRef>
              <c:f>Sheet1!$L$43</c:f>
              <c:strCache>
                <c:ptCount val="1"/>
                <c:pt idx="0">
                  <c:v>Shpenzimet korente në % ndaj totalit</c:v>
                </c:pt>
              </c:strCache>
            </c:strRef>
          </c:tx>
          <c:marker>
            <c:symbol val="square"/>
            <c:size val="7"/>
            <c:spPr>
              <a:solidFill>
                <a:schemeClr val="accent1"/>
              </a:solidFill>
              <a:ln w="28575">
                <a:solidFill>
                  <a:srgbClr val="FF0000">
                    <a:alpha val="48000"/>
                  </a:srgbClr>
                </a:solidFill>
              </a:ln>
            </c:spPr>
          </c:marker>
          <c:dLbls>
            <c:dLbl>
              <c:idx val="0"/>
              <c:layout>
                <c:manualLayout>
                  <c:x val="0"/>
                  <c:y val="4.42967884828349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875968992248062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Sheet1!$M$40:$O$40</c:f>
              <c:strCache>
                <c:ptCount val="3"/>
                <c:pt idx="0">
                  <c:v>Plan Vjetor Buxhet Fillestar</c:v>
                </c:pt>
                <c:pt idx="1">
                  <c:v>Plani Vjetor AN2</c:v>
                </c:pt>
                <c:pt idx="2">
                  <c:v>Fakt Dhjetor 2018</c:v>
                </c:pt>
              </c:strCache>
            </c:strRef>
          </c:cat>
          <c:val>
            <c:numRef>
              <c:f>Sheet1!$M$43:$O$43</c:f>
              <c:numCache>
                <c:formatCode>0.0%</c:formatCode>
                <c:ptCount val="3"/>
                <c:pt idx="0">
                  <c:v>0.82077337351554813</c:v>
                </c:pt>
                <c:pt idx="1">
                  <c:v>0.82659727940983063</c:v>
                </c:pt>
                <c:pt idx="2">
                  <c:v>0.83499999999999996</c:v>
                </c:pt>
              </c:numCache>
            </c:numRef>
          </c:val>
          <c:smooth val="0"/>
        </c:ser>
        <c:ser>
          <c:idx val="3"/>
          <c:order val="3"/>
          <c:tx>
            <c:strRef>
              <c:f>Sheet1!$L$44</c:f>
              <c:strCache>
                <c:ptCount val="1"/>
                <c:pt idx="0">
                  <c:v>Shpenzimet kapitale në % ndaj totalit</c:v>
                </c:pt>
              </c:strCache>
            </c:strRef>
          </c:tx>
          <c:marker>
            <c:symbol val="x"/>
            <c:size val="11"/>
            <c:spPr>
              <a:solidFill>
                <a:schemeClr val="accent1"/>
              </a:solidFill>
              <a:ln w="25400">
                <a:solidFill>
                  <a:srgbClr val="FF0000">
                    <a:alpha val="44000"/>
                  </a:srgbClr>
                </a:solidFill>
              </a:ln>
            </c:spPr>
          </c:marker>
          <c:dPt>
            <c:idx val="0"/>
            <c:marker>
              <c:symbol val="x"/>
              <c:size val="8"/>
            </c:marker>
            <c:bubble3D val="0"/>
          </c:dPt>
          <c:dPt>
            <c:idx val="1"/>
            <c:marker>
              <c:symbol val="x"/>
              <c:size val="7"/>
            </c:marker>
            <c:bubble3D val="0"/>
          </c:dPt>
          <c:dPt>
            <c:idx val="2"/>
            <c:marker>
              <c:symbol val="x"/>
              <c:size val="7"/>
            </c:marker>
            <c:bubble3D val="0"/>
          </c:dPt>
          <c:dLbls>
            <c:dLbl>
              <c:idx val="0"/>
              <c:layout>
                <c:manualLayout>
                  <c:x val="0"/>
                  <c:y val="-3.8759689922480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1614611477357901E-3"/>
                  <c:y val="-3.8759689922480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4296788482834998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Sheet1!$M$40:$O$40</c:f>
              <c:strCache>
                <c:ptCount val="3"/>
                <c:pt idx="0">
                  <c:v>Plan Vjetor Buxhet Fillestar</c:v>
                </c:pt>
                <c:pt idx="1">
                  <c:v>Plani Vjetor AN2</c:v>
                </c:pt>
                <c:pt idx="2">
                  <c:v>Fakt Dhjetor 2018</c:v>
                </c:pt>
              </c:strCache>
            </c:strRef>
          </c:cat>
          <c:val>
            <c:numRef>
              <c:f>Sheet1!$M$44:$O$44</c:f>
              <c:numCache>
                <c:formatCode>0.0%</c:formatCode>
                <c:ptCount val="3"/>
                <c:pt idx="0">
                  <c:v>0.17379478502984494</c:v>
                </c:pt>
                <c:pt idx="1">
                  <c:v>0.1703677025520455</c:v>
                </c:pt>
                <c:pt idx="2">
                  <c:v>0.16472718916257692</c:v>
                </c:pt>
              </c:numCache>
            </c:numRef>
          </c:val>
          <c:smooth val="0"/>
        </c:ser>
        <c:dLbls>
          <c:showLegendKey val="0"/>
          <c:showVal val="0"/>
          <c:showCatName val="0"/>
          <c:showSerName val="0"/>
          <c:showPercent val="0"/>
          <c:showBubbleSize val="0"/>
        </c:dLbls>
        <c:marker val="1"/>
        <c:smooth val="0"/>
        <c:axId val="-1567735600"/>
        <c:axId val="-1567738320"/>
      </c:lineChart>
      <c:catAx>
        <c:axId val="-1567747568"/>
        <c:scaling>
          <c:orientation val="minMax"/>
        </c:scaling>
        <c:delete val="0"/>
        <c:axPos val="b"/>
        <c:numFmt formatCode="General" sourceLinked="1"/>
        <c:majorTickMark val="none"/>
        <c:minorTickMark val="none"/>
        <c:tickLblPos val="nextTo"/>
        <c:txPr>
          <a:bodyPr rot="-60000000" vert="horz"/>
          <a:lstStyle/>
          <a:p>
            <a:pPr>
              <a:defRPr b="1"/>
            </a:pPr>
            <a:endParaRPr lang="en-US"/>
          </a:p>
        </c:txPr>
        <c:crossAx val="-1567762800"/>
        <c:crosses val="autoZero"/>
        <c:auto val="1"/>
        <c:lblAlgn val="ctr"/>
        <c:lblOffset val="100"/>
        <c:noMultiLvlLbl val="0"/>
      </c:catAx>
      <c:valAx>
        <c:axId val="-1567762800"/>
        <c:scaling>
          <c:orientation val="minMax"/>
        </c:scaling>
        <c:delete val="0"/>
        <c:axPos val="l"/>
        <c:numFmt formatCode="#,##0" sourceLinked="1"/>
        <c:majorTickMark val="none"/>
        <c:minorTickMark val="none"/>
        <c:tickLblPos val="nextTo"/>
        <c:txPr>
          <a:bodyPr rot="-60000000" vert="horz"/>
          <a:lstStyle/>
          <a:p>
            <a:pPr>
              <a:defRPr/>
            </a:pPr>
            <a:endParaRPr lang="en-US"/>
          </a:p>
        </c:txPr>
        <c:crossAx val="-1567747568"/>
        <c:crosses val="autoZero"/>
        <c:crossBetween val="between"/>
      </c:valAx>
      <c:valAx>
        <c:axId val="-1567738320"/>
        <c:scaling>
          <c:orientation val="minMax"/>
        </c:scaling>
        <c:delete val="0"/>
        <c:axPos val="r"/>
        <c:numFmt formatCode="0%" sourceLinked="0"/>
        <c:majorTickMark val="out"/>
        <c:minorTickMark val="none"/>
        <c:tickLblPos val="nextTo"/>
        <c:crossAx val="-1567735600"/>
        <c:crosses val="max"/>
        <c:crossBetween val="between"/>
      </c:valAx>
      <c:catAx>
        <c:axId val="-1567735600"/>
        <c:scaling>
          <c:orientation val="minMax"/>
        </c:scaling>
        <c:delete val="1"/>
        <c:axPos val="b"/>
        <c:numFmt formatCode="General" sourceLinked="1"/>
        <c:majorTickMark val="out"/>
        <c:minorTickMark val="none"/>
        <c:tickLblPos val="nextTo"/>
        <c:crossAx val="-1567738320"/>
        <c:crosses val="autoZero"/>
        <c:auto val="1"/>
        <c:lblAlgn val="ctr"/>
        <c:lblOffset val="100"/>
        <c:noMultiLvlLbl val="0"/>
      </c:catAx>
      <c:spPr>
        <a:solidFill>
          <a:schemeClr val="bg2"/>
        </a:solidFill>
      </c:spPr>
    </c:plotArea>
    <c:legend>
      <c:legendPos val="r"/>
      <c:layout>
        <c:manualLayout>
          <c:xMode val="edge"/>
          <c:yMode val="edge"/>
          <c:x val="0.7319579753689226"/>
          <c:y val="0.18152275037091001"/>
          <c:w val="0.25735745360353562"/>
          <c:h val="0.58878082814278454"/>
        </c:manualLayout>
      </c:layout>
      <c:overlay val="1"/>
      <c:txPr>
        <a:bodyPr rot="0" vert="horz"/>
        <a:lstStyle/>
        <a:p>
          <a:pPr>
            <a:defRPr/>
          </a:pPr>
          <a:endParaRPr lang="en-US"/>
        </a:p>
      </c:txPr>
    </c:legend>
    <c:plotVisOnly val="1"/>
    <c:dispBlanksAs val="gap"/>
    <c:showDLblsOverMax val="0"/>
  </c:chart>
  <c:spPr>
    <a:solidFill>
      <a:schemeClr val="accent1">
        <a:lumMod val="20000"/>
        <a:lumOff val="80000"/>
      </a:schemeClr>
    </a:solidFill>
  </c:spPr>
  <c:txPr>
    <a:bodyPr/>
    <a:lstStyle/>
    <a:p>
      <a:pPr>
        <a:defRPr sz="8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tx>
        <c:rich>
          <a:bodyPr/>
          <a:lstStyle/>
          <a:p>
            <a:pPr algn="l" rtl="0">
              <a:defRPr lang="sq-AL" sz="1050" b="1" i="0" u="none" strike="noStrike" kern="1200" baseline="0">
                <a:solidFill>
                  <a:sysClr val="windowText" lastClr="000000"/>
                </a:solidFill>
                <a:latin typeface="+mn-lt"/>
                <a:ea typeface="+mn-ea"/>
                <a:cs typeface="+mn-cs"/>
              </a:defRPr>
            </a:pPr>
            <a:r>
              <a:rPr lang="sq-AL" sz="1050" b="1" i="0" u="none" strike="noStrike" kern="1200" baseline="0">
                <a:solidFill>
                  <a:sysClr val="windowText" lastClr="000000"/>
                </a:solidFill>
                <a:latin typeface="+mn-lt"/>
                <a:ea typeface="+mn-ea"/>
                <a:cs typeface="+mn-cs"/>
              </a:rPr>
              <a:t>Struktura e shpenzimeve t</a:t>
            </a:r>
            <a:r>
              <a:rPr lang="sq-AL" sz="1050" b="1" i="0" u="none" strike="noStrike" baseline="0">
                <a:effectLst/>
              </a:rPr>
              <a:t>ë</a:t>
            </a:r>
            <a:r>
              <a:rPr lang="sq-AL" sz="1050" b="1" i="0" u="none" strike="noStrike" kern="1200" baseline="0">
                <a:solidFill>
                  <a:sysClr val="windowText" lastClr="000000"/>
                </a:solidFill>
                <a:latin typeface="+mn-lt"/>
                <a:ea typeface="+mn-ea"/>
                <a:cs typeface="+mn-cs"/>
              </a:rPr>
              <a:t> p</a:t>
            </a:r>
            <a:r>
              <a:rPr lang="sq-AL" sz="1050" b="1" i="0" u="none" strike="noStrike" baseline="0">
                <a:effectLst/>
              </a:rPr>
              <a:t>ë</a:t>
            </a:r>
            <a:r>
              <a:rPr lang="sq-AL" sz="1050" b="1" i="0" u="none" strike="noStrike" kern="1200" baseline="0">
                <a:solidFill>
                  <a:sysClr val="windowText" lastClr="000000"/>
                </a:solidFill>
                <a:latin typeface="+mn-lt"/>
                <a:ea typeface="+mn-ea"/>
                <a:cs typeface="+mn-cs"/>
              </a:rPr>
              <a:t>rgjithshme n</a:t>
            </a:r>
            <a:r>
              <a:rPr lang="sq-AL" sz="1050" b="1" i="0" u="none" strike="noStrike" baseline="0">
                <a:effectLst/>
              </a:rPr>
              <a:t>ë</a:t>
            </a:r>
            <a:r>
              <a:rPr lang="sq-AL" sz="1050" b="1" i="0" u="none" strike="noStrike" kern="1200" baseline="0">
                <a:solidFill>
                  <a:sysClr val="windowText" lastClr="000000"/>
                </a:solidFill>
                <a:latin typeface="+mn-lt"/>
                <a:ea typeface="+mn-ea"/>
                <a:cs typeface="+mn-cs"/>
              </a:rPr>
              <a:t> vite</a:t>
            </a:r>
          </a:p>
        </c:rich>
      </c:tx>
      <c:layout>
        <c:manualLayout>
          <c:xMode val="edge"/>
          <c:yMode val="edge"/>
          <c:x val="0.26462606459906796"/>
          <c:y val="3.7453183520599252E-2"/>
        </c:manualLayout>
      </c:layout>
      <c:overlay val="0"/>
    </c:title>
    <c:autoTitleDeleted val="0"/>
    <c:plotArea>
      <c:layout>
        <c:manualLayout>
          <c:layoutTarget val="inner"/>
          <c:xMode val="edge"/>
          <c:yMode val="edge"/>
          <c:x val="0.1226542641230529"/>
          <c:y val="0.19475726663911311"/>
          <c:w val="0.79921850143400242"/>
          <c:h val="0.52536977784682637"/>
        </c:manualLayout>
      </c:layout>
      <c:barChart>
        <c:barDir val="col"/>
        <c:grouping val="percentStacked"/>
        <c:varyColors val="0"/>
        <c:ser>
          <c:idx val="0"/>
          <c:order val="0"/>
          <c:tx>
            <c:strRef>
              <c:f>'Raw Data'!$B$6</c:f>
              <c:strCache>
                <c:ptCount val="1"/>
                <c:pt idx="0">
                  <c:v>Shpenzime Korrente</c:v>
                </c:pt>
              </c:strCache>
            </c:strRef>
          </c:tx>
          <c:spPr>
            <a:solidFill>
              <a:srgbClr val="4F81BD">
                <a:alpha val="64000"/>
              </a:srgbClr>
            </a:solidFill>
            <a:ln>
              <a:noFill/>
            </a:ln>
          </c:spPr>
          <c:invertIfNegative val="0"/>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Data'!$D$6:$Q$6</c:f>
              <c:numCache>
                <c:formatCode>#,##0</c:formatCode>
                <c:ptCount val="14"/>
                <c:pt idx="0">
                  <c:v>193963.47816870004</c:v>
                </c:pt>
                <c:pt idx="1">
                  <c:v>204859.70053481503</c:v>
                </c:pt>
                <c:pt idx="2">
                  <c:v>224976.39153153999</c:v>
                </c:pt>
                <c:pt idx="3">
                  <c:v>252688.47645016247</c:v>
                </c:pt>
                <c:pt idx="4">
                  <c:v>283897.47195161198</c:v>
                </c:pt>
                <c:pt idx="5">
                  <c:v>300878</c:v>
                </c:pt>
                <c:pt idx="6">
                  <c:v>307221</c:v>
                </c:pt>
                <c:pt idx="7">
                  <c:v>312584.8</c:v>
                </c:pt>
                <c:pt idx="8">
                  <c:v>328641</c:v>
                </c:pt>
                <c:pt idx="9">
                  <c:v>341012</c:v>
                </c:pt>
                <c:pt idx="10">
                  <c:v>350752</c:v>
                </c:pt>
                <c:pt idx="11">
                  <c:v>368720</c:v>
                </c:pt>
                <c:pt idx="12">
                  <c:v>382287.28</c:v>
                </c:pt>
                <c:pt idx="13">
                  <c:v>397344.76000000007</c:v>
                </c:pt>
              </c:numCache>
            </c:numRef>
          </c:val>
        </c:ser>
        <c:ser>
          <c:idx val="1"/>
          <c:order val="1"/>
          <c:tx>
            <c:strRef>
              <c:f>'Raw Data'!$B$28</c:f>
              <c:strCache>
                <c:ptCount val="1"/>
                <c:pt idx="0">
                  <c:v>Shpenzime Kapitale</c:v>
                </c:pt>
              </c:strCache>
            </c:strRef>
          </c:tx>
          <c:spPr>
            <a:solidFill>
              <a:srgbClr val="F79646">
                <a:alpha val="50000"/>
              </a:srgbClr>
            </a:solidFill>
            <a:ln>
              <a:noFill/>
            </a:ln>
          </c:spPr>
          <c:invertIfNegative val="0"/>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Data'!$D$28:$Q$28</c:f>
              <c:numCache>
                <c:formatCode>#,##0</c:formatCode>
                <c:ptCount val="14"/>
                <c:pt idx="0">
                  <c:v>38376.027000000002</c:v>
                </c:pt>
                <c:pt idx="1">
                  <c:v>51108.077033920992</c:v>
                </c:pt>
                <c:pt idx="2">
                  <c:v>57039.550116049992</c:v>
                </c:pt>
                <c:pt idx="3">
                  <c:v>93782.947913294993</c:v>
                </c:pt>
                <c:pt idx="4">
                  <c:v>95880.99393321434</c:v>
                </c:pt>
                <c:pt idx="5">
                  <c:v>67492</c:v>
                </c:pt>
                <c:pt idx="6">
                  <c:v>69079</c:v>
                </c:pt>
                <c:pt idx="7">
                  <c:v>61655.8</c:v>
                </c:pt>
                <c:pt idx="8">
                  <c:v>65477</c:v>
                </c:pt>
                <c:pt idx="9">
                  <c:v>60749</c:v>
                </c:pt>
                <c:pt idx="10">
                  <c:v>63059</c:v>
                </c:pt>
                <c:pt idx="11">
                  <c:v>59478</c:v>
                </c:pt>
                <c:pt idx="12">
                  <c:v>68455.28</c:v>
                </c:pt>
                <c:pt idx="13">
                  <c:v>78434.38</c:v>
                </c:pt>
              </c:numCache>
            </c:numRef>
          </c:val>
        </c:ser>
        <c:dLbls>
          <c:showLegendKey val="0"/>
          <c:showVal val="0"/>
          <c:showCatName val="0"/>
          <c:showSerName val="0"/>
          <c:showPercent val="0"/>
          <c:showBubbleSize val="0"/>
        </c:dLbls>
        <c:gapWidth val="39"/>
        <c:overlap val="100"/>
        <c:axId val="-1567736688"/>
        <c:axId val="-1567761168"/>
      </c:barChart>
      <c:lineChart>
        <c:grouping val="standard"/>
        <c:varyColors val="0"/>
        <c:ser>
          <c:idx val="2"/>
          <c:order val="2"/>
          <c:tx>
            <c:strRef>
              <c:f>'Raw Data'!$B$45</c:f>
              <c:strCache>
                <c:ptCount val="1"/>
                <c:pt idx="0">
                  <c:v>Shpenzime Korente/PBB</c:v>
                </c:pt>
              </c:strCache>
            </c:strRef>
          </c:tx>
          <c:spPr>
            <a:ln>
              <a:solidFill>
                <a:srgbClr val="00B050">
                  <a:alpha val="66000"/>
                </a:srgbClr>
              </a:solidFill>
            </a:ln>
          </c:spPr>
          <c:marker>
            <c:symbol val="none"/>
          </c:marker>
          <c:dLbls>
            <c:spPr>
              <a:noFill/>
              <a:ln>
                <a:noFill/>
              </a:ln>
              <a:effectLst/>
            </c:spPr>
            <c:txPr>
              <a:bodyPr/>
              <a:lstStyle/>
              <a:p>
                <a:pPr>
                  <a:defRPr sz="6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Data'!$D$45:$Q$45</c:f>
              <c:numCache>
                <c:formatCode>0%</c:formatCode>
                <c:ptCount val="14"/>
                <c:pt idx="0">
                  <c:v>0.24119914427702815</c:v>
                </c:pt>
                <c:pt idx="1">
                  <c:v>0.23473296857537185</c:v>
                </c:pt>
                <c:pt idx="2">
                  <c:v>0.23300872416115181</c:v>
                </c:pt>
                <c:pt idx="3">
                  <c:v>0.23382452291024639</c:v>
                </c:pt>
                <c:pt idx="4">
                  <c:v>0.24817601307730089</c:v>
                </c:pt>
                <c:pt idx="5">
                  <c:v>0.24271302724004681</c:v>
                </c:pt>
                <c:pt idx="6">
                  <c:v>0.23621041410149152</c:v>
                </c:pt>
                <c:pt idx="7">
                  <c:v>0.23453040136816319</c:v>
                </c:pt>
                <c:pt idx="8">
                  <c:v>0.2434283070172964</c:v>
                </c:pt>
                <c:pt idx="9">
                  <c:v>0.2443996891393124</c:v>
                </c:pt>
                <c:pt idx="10">
                  <c:v>0.24565922794454961</c:v>
                </c:pt>
                <c:pt idx="11">
                  <c:v>0.25035459885346939</c:v>
                </c:pt>
                <c:pt idx="12">
                  <c:v>0.24581197812245614</c:v>
                </c:pt>
                <c:pt idx="13">
                  <c:v>0.24082201179185822</c:v>
                </c:pt>
              </c:numCache>
            </c:numRef>
          </c:val>
          <c:smooth val="0"/>
        </c:ser>
        <c:ser>
          <c:idx val="3"/>
          <c:order val="3"/>
          <c:tx>
            <c:strRef>
              <c:f>'Raw Data'!$B$46</c:f>
              <c:strCache>
                <c:ptCount val="1"/>
                <c:pt idx="0">
                  <c:v>Shpenzime Kapitale/PBB</c:v>
                </c:pt>
              </c:strCache>
            </c:strRef>
          </c:tx>
          <c:spPr>
            <a:ln>
              <a:solidFill>
                <a:srgbClr val="C0504D">
                  <a:alpha val="93000"/>
                </a:srgbClr>
              </a:solidFill>
            </a:ln>
          </c:spPr>
          <c:marker>
            <c:symbol val="none"/>
          </c:marker>
          <c:dLbls>
            <c:spPr>
              <a:noFill/>
              <a:ln>
                <a:noFill/>
              </a:ln>
              <a:effectLst/>
            </c:spPr>
            <c:txPr>
              <a:bodyPr/>
              <a:lstStyle/>
              <a:p>
                <a:pPr>
                  <a:defRPr sz="6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Data'!$D$46:$Q$46</c:f>
              <c:numCache>
                <c:formatCode>0%</c:formatCode>
                <c:ptCount val="14"/>
                <c:pt idx="0">
                  <c:v>4.7721689467238142E-2</c:v>
                </c:pt>
                <c:pt idx="1">
                  <c:v>5.8560813127383558E-2</c:v>
                </c:pt>
                <c:pt idx="2">
                  <c:v>5.9076033306381975E-2</c:v>
                </c:pt>
                <c:pt idx="3">
                  <c:v>8.6781769240148465E-2</c:v>
                </c:pt>
                <c:pt idx="4">
                  <c:v>8.3816747788052634E-2</c:v>
                </c:pt>
                <c:pt idx="5">
                  <c:v>5.444461753430041E-2</c:v>
                </c:pt>
                <c:pt idx="6">
                  <c:v>5.3112186978484327E-2</c:v>
                </c:pt>
                <c:pt idx="7">
                  <c:v>4.62599573641303E-2</c:v>
                </c:pt>
                <c:pt idx="8">
                  <c:v>4.8499594568454686E-2</c:v>
                </c:pt>
                <c:pt idx="9">
                  <c:v>4.3538164978135924E-2</c:v>
                </c:pt>
                <c:pt idx="10">
                  <c:v>4.4165180112887038E-2</c:v>
                </c:pt>
                <c:pt idx="11">
                  <c:v>4.0384548792055358E-2</c:v>
                </c:pt>
                <c:pt idx="12">
                  <c:v>4.4016970142785307E-2</c:v>
                </c:pt>
                <c:pt idx="13">
                  <c:v>4.7537370784119785E-2</c:v>
                </c:pt>
              </c:numCache>
            </c:numRef>
          </c:val>
          <c:smooth val="0"/>
        </c:ser>
        <c:dLbls>
          <c:showLegendKey val="0"/>
          <c:showVal val="0"/>
          <c:showCatName val="0"/>
          <c:showSerName val="0"/>
          <c:showPercent val="0"/>
          <c:showBubbleSize val="0"/>
        </c:dLbls>
        <c:marker val="1"/>
        <c:smooth val="0"/>
        <c:axId val="-1567733424"/>
        <c:axId val="-1567749744"/>
      </c:lineChart>
      <c:catAx>
        <c:axId val="-1567736688"/>
        <c:scaling>
          <c:orientation val="minMax"/>
        </c:scaling>
        <c:delete val="0"/>
        <c:axPos val="b"/>
        <c:numFmt formatCode="General" sourceLinked="1"/>
        <c:majorTickMark val="out"/>
        <c:minorTickMark val="none"/>
        <c:tickLblPos val="low"/>
        <c:txPr>
          <a:bodyPr rot="0" vert="horz"/>
          <a:lstStyle/>
          <a:p>
            <a:pPr>
              <a:defRPr sz="800"/>
            </a:pPr>
            <a:endParaRPr lang="en-US"/>
          </a:p>
        </c:txPr>
        <c:crossAx val="-1567761168"/>
        <c:crosses val="autoZero"/>
        <c:auto val="1"/>
        <c:lblAlgn val="ctr"/>
        <c:lblOffset val="100"/>
        <c:tickLblSkip val="1"/>
        <c:tickMarkSkip val="1"/>
        <c:noMultiLvlLbl val="0"/>
      </c:catAx>
      <c:valAx>
        <c:axId val="-1567761168"/>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sq-AL" sz="600" b="0" i="0" u="none" strike="noStrike" kern="1200" baseline="0">
                    <a:solidFill>
                      <a:sysClr val="windowText" lastClr="000000"/>
                    </a:solidFill>
                    <a:latin typeface="+mn-lt"/>
                    <a:ea typeface="+mn-ea"/>
                    <a:cs typeface="+mn-cs"/>
                  </a:defRPr>
                </a:pPr>
                <a:r>
                  <a:rPr lang="sq-AL" sz="600" b="0" i="0" u="none" strike="noStrike" kern="1200" baseline="0">
                    <a:solidFill>
                      <a:sysClr val="windowText" lastClr="000000"/>
                    </a:solidFill>
                    <a:latin typeface="+mn-lt"/>
                    <a:ea typeface="+mn-ea"/>
                    <a:cs typeface="+mn-cs"/>
                  </a:rPr>
                  <a:t>Ne %</a:t>
                </a:r>
              </a:p>
            </c:rich>
          </c:tx>
          <c:layout>
            <c:manualLayout>
              <c:xMode val="edge"/>
              <c:yMode val="edge"/>
              <c:x val="2.1768707482993251E-2"/>
              <c:y val="0.42322254661987535"/>
            </c:manualLayout>
          </c:layout>
          <c:overlay val="0"/>
        </c:title>
        <c:numFmt formatCode="0%" sourceLinked="1"/>
        <c:majorTickMark val="out"/>
        <c:minorTickMark val="none"/>
        <c:tickLblPos val="nextTo"/>
        <c:spPr>
          <a:ln>
            <a:prstDash val="sysDot"/>
          </a:ln>
        </c:spPr>
        <c:txPr>
          <a:bodyPr rot="0" vert="horz"/>
          <a:lstStyle/>
          <a:p>
            <a:pPr>
              <a:defRPr sz="800"/>
            </a:pPr>
            <a:endParaRPr lang="en-US"/>
          </a:p>
        </c:txPr>
        <c:crossAx val="-1567736688"/>
        <c:crosses val="autoZero"/>
        <c:crossBetween val="between"/>
        <c:majorUnit val="0.1"/>
      </c:valAx>
      <c:valAx>
        <c:axId val="-1567749744"/>
        <c:scaling>
          <c:orientation val="minMax"/>
        </c:scaling>
        <c:delete val="0"/>
        <c:axPos val="r"/>
        <c:numFmt formatCode="0%" sourceLinked="1"/>
        <c:majorTickMark val="out"/>
        <c:minorTickMark val="none"/>
        <c:tickLblPos val="nextTo"/>
        <c:txPr>
          <a:bodyPr/>
          <a:lstStyle/>
          <a:p>
            <a:pPr>
              <a:defRPr sz="800"/>
            </a:pPr>
            <a:endParaRPr lang="en-US"/>
          </a:p>
        </c:txPr>
        <c:crossAx val="-1567733424"/>
        <c:crosses val="max"/>
        <c:crossBetween val="between"/>
      </c:valAx>
      <c:catAx>
        <c:axId val="-1567733424"/>
        <c:scaling>
          <c:orientation val="minMax"/>
        </c:scaling>
        <c:delete val="1"/>
        <c:axPos val="b"/>
        <c:numFmt formatCode="General" sourceLinked="1"/>
        <c:majorTickMark val="out"/>
        <c:minorTickMark val="none"/>
        <c:tickLblPos val="nextTo"/>
        <c:crossAx val="-1567749744"/>
        <c:crosses val="autoZero"/>
        <c:auto val="1"/>
        <c:lblAlgn val="ctr"/>
        <c:lblOffset val="100"/>
        <c:noMultiLvlLbl val="0"/>
      </c:catAx>
      <c:spPr>
        <a:noFill/>
      </c:spPr>
    </c:plotArea>
    <c:legend>
      <c:legendPos val="b"/>
      <c:layout>
        <c:manualLayout>
          <c:xMode val="edge"/>
          <c:yMode val="edge"/>
          <c:x val="2.0521527971569765E-3"/>
          <c:y val="0.86460512214505425"/>
          <c:w val="0.94323213319287214"/>
          <c:h val="0.10861121434850651"/>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8427985081494594"/>
          <c:y val="0.2980206776729693"/>
          <c:w val="0.43380122379933306"/>
          <c:h val="0.63872542887324502"/>
        </c:manualLayout>
      </c:layout>
      <c:pieChart>
        <c:varyColors val="1"/>
        <c:ser>
          <c:idx val="0"/>
          <c:order val="0"/>
          <c:tx>
            <c:strRef>
              <c:f>'Raw Data'!$B$6</c:f>
              <c:strCache>
                <c:ptCount val="1"/>
                <c:pt idx="0">
                  <c:v>Shpenzime Korrente</c:v>
                </c:pt>
              </c:strCache>
            </c:strRef>
          </c:tx>
          <c:explosion val="9"/>
          <c:dPt>
            <c:idx val="4"/>
            <c:bubble3D val="0"/>
            <c:explosion val="7"/>
          </c:dPt>
          <c:dPt>
            <c:idx val="5"/>
            <c:bubble3D val="0"/>
          </c:dPt>
          <c:dLbls>
            <c:dLbl>
              <c:idx val="0"/>
              <c:layout>
                <c:manualLayout>
                  <c:x val="1.4166668061023759E-2"/>
                  <c:y val="5.5623701281014938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1"/>
              <c:layout>
                <c:manualLayout>
                  <c:x val="4.2335115864527546E-2"/>
                  <c:y val="-2.583979328165374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2"/>
              <c:layout>
                <c:manualLayout>
                  <c:x val="0.11499764902381855"/>
                  <c:y val="-9.422741730927053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3"/>
              <c:layout>
                <c:manualLayout>
                  <c:x val="3.511884710935189E-2"/>
                  <c:y val="-2.153316106804494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4"/>
              <c:layout>
                <c:manualLayout>
                  <c:x val="-6.6111117618110851E-2"/>
                  <c:y val="-5.5623701281014938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5"/>
              <c:layout>
                <c:manualLayout>
                  <c:x val="-1.888889074803168E-2"/>
                  <c:y val="6.605314527120523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6"/>
              <c:layout>
                <c:manualLayout>
                  <c:x val="3.5283766334021041E-2"/>
                  <c:y val="-5.167958656330749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a:lstStyle/>
              <a:p>
                <a:pPr>
                  <a:defRPr sz="900" b="1">
                    <a:solidFill>
                      <a:schemeClr val="tx2"/>
                    </a:solidFill>
                  </a:defRPr>
                </a:pPr>
                <a:endParaRPr lang="en-US"/>
              </a:p>
            </c:txPr>
            <c:dLblPos val="outEnd"/>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('Raw Data'!$B$7,'Raw Data'!$B$10,'Raw Data'!$B$13,'Raw Data'!$B$14,'Raw Data'!$B$16,'Raw Data'!$B$20,'Raw Data'!$B$21)</c:f>
              <c:strCache>
                <c:ptCount val="7"/>
                <c:pt idx="0">
                  <c:v>Personeli</c:v>
                </c:pt>
                <c:pt idx="1">
                  <c:v>Interesat</c:v>
                </c:pt>
                <c:pt idx="2">
                  <c:v>Shpenzime Operative Mirembajtje</c:v>
                </c:pt>
                <c:pt idx="3">
                  <c:v>Subvecionet</c:v>
                </c:pt>
                <c:pt idx="4">
                  <c:v>Shpenzime per fonde speciale</c:v>
                </c:pt>
                <c:pt idx="5">
                  <c:v>Shpenzime per Buxhetin Vendor </c:v>
                </c:pt>
                <c:pt idx="6">
                  <c:v>Shpenzime te tjera sociale</c:v>
                </c:pt>
              </c:strCache>
            </c:strRef>
          </c:cat>
          <c:val>
            <c:numRef>
              <c:f>('Raw Data'!$Q$7,'Raw Data'!$Q$10,'Raw Data'!$Q$13,'Raw Data'!$Q$14,'Raw Data'!$Q$16,'Raw Data'!$Q$20,'Raw Data'!$Q$21)</c:f>
              <c:numCache>
                <c:formatCode>#,##0</c:formatCode>
                <c:ptCount val="7"/>
                <c:pt idx="0">
                  <c:v>73582.090000000011</c:v>
                </c:pt>
                <c:pt idx="1">
                  <c:v>36513.370000000003</c:v>
                </c:pt>
                <c:pt idx="2">
                  <c:v>45498.19</c:v>
                </c:pt>
                <c:pt idx="3">
                  <c:v>1882.56</c:v>
                </c:pt>
                <c:pt idx="4">
                  <c:v>168249.33000000002</c:v>
                </c:pt>
                <c:pt idx="5">
                  <c:v>49615.41</c:v>
                </c:pt>
                <c:pt idx="6">
                  <c:v>22003.809999999998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1">
        <a:lumMod val="20000"/>
        <a:lumOff val="80000"/>
      </a:schemeClr>
    </a:solidFill>
    <a:ln>
      <a:solidFill>
        <a:schemeClr val="tx1"/>
      </a:solidFill>
    </a:ln>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788553869790661E-2"/>
          <c:y val="0.15896467997680094"/>
          <c:w val="0.80094641828308044"/>
          <c:h val="0.63710625079882732"/>
        </c:manualLayout>
      </c:layout>
      <c:barChart>
        <c:barDir val="col"/>
        <c:grouping val="clustered"/>
        <c:varyColors val="0"/>
        <c:ser>
          <c:idx val="1"/>
          <c:order val="0"/>
          <c:tx>
            <c:strRef>
              <c:f>'Raw Data'!$B$7</c:f>
              <c:strCache>
                <c:ptCount val="1"/>
                <c:pt idx="0">
                  <c:v>Personeli</c:v>
                </c:pt>
              </c:strCache>
            </c:strRef>
          </c:tx>
          <c:spPr>
            <a:solidFill>
              <a:srgbClr val="4F81BD">
                <a:lumMod val="60000"/>
                <a:lumOff val="40000"/>
                <a:alpha val="52000"/>
              </a:srgbClr>
            </a:solidFill>
            <a:ln w="19050" cap="rnd" cmpd="thinThick">
              <a:noFill/>
              <a:bevel/>
            </a:ln>
            <a:scene3d>
              <a:camera prst="orthographicFront"/>
              <a:lightRig rig="balanced" dir="t"/>
            </a:scene3d>
            <a:sp3d prstMaterial="plastic"/>
          </c:spPr>
          <c:invertIfNegative val="0"/>
          <c:dLbls>
            <c:numFmt formatCode="#,##0.0" sourceLinked="0"/>
            <c:spPr>
              <a:noFill/>
              <a:ln>
                <a:noFill/>
              </a:ln>
              <a:effectLst/>
            </c:spPr>
            <c:txPr>
              <a:bodyPr rot="0" vert="horz"/>
              <a:lstStyle/>
              <a:p>
                <a:pPr>
                  <a:defRPr sz="7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Data'!$D$7:$Q$7</c:f>
              <c:numCache>
                <c:formatCode>#,##0</c:formatCode>
                <c:ptCount val="14"/>
                <c:pt idx="0">
                  <c:v>53674.409060000042</c:v>
                </c:pt>
                <c:pt idx="1">
                  <c:v>56708.797160000002</c:v>
                </c:pt>
                <c:pt idx="2">
                  <c:v>59087.448550000001</c:v>
                </c:pt>
                <c:pt idx="3">
                  <c:v>66620.60781999999</c:v>
                </c:pt>
                <c:pt idx="4">
                  <c:v>62359.394760000003</c:v>
                </c:pt>
                <c:pt idx="5">
                  <c:v>65762</c:v>
                </c:pt>
                <c:pt idx="6">
                  <c:v>67446</c:v>
                </c:pt>
                <c:pt idx="7">
                  <c:v>69437</c:v>
                </c:pt>
                <c:pt idx="8">
                  <c:v>70716</c:v>
                </c:pt>
                <c:pt idx="9">
                  <c:v>71373</c:v>
                </c:pt>
                <c:pt idx="10">
                  <c:v>72489</c:v>
                </c:pt>
                <c:pt idx="11">
                  <c:v>67540</c:v>
                </c:pt>
                <c:pt idx="12">
                  <c:v>72641.959999999992</c:v>
                </c:pt>
                <c:pt idx="13">
                  <c:v>73592</c:v>
                </c:pt>
              </c:numCache>
            </c:numRef>
          </c:val>
          <c:extLst xmlns:c16r2="http://schemas.microsoft.com/office/drawing/2015/06/chart">
            <c:ext xmlns:c16="http://schemas.microsoft.com/office/drawing/2014/chart" uri="{C3380CC4-5D6E-409C-BE32-E72D297353CC}">
              <c16:uniqueId val="{00000000-DA55-B94F-BDBD-D9E9DEE186F1}"/>
            </c:ext>
          </c:extLst>
        </c:ser>
        <c:dLbls>
          <c:showLegendKey val="0"/>
          <c:showVal val="0"/>
          <c:showCatName val="0"/>
          <c:showSerName val="0"/>
          <c:showPercent val="0"/>
          <c:showBubbleSize val="0"/>
        </c:dLbls>
        <c:gapWidth val="24"/>
        <c:overlap val="-10"/>
        <c:axId val="-1567745392"/>
        <c:axId val="-1567736144"/>
      </c:barChart>
      <c:lineChart>
        <c:grouping val="standard"/>
        <c:varyColors val="0"/>
        <c:ser>
          <c:idx val="0"/>
          <c:order val="1"/>
          <c:tx>
            <c:strRef>
              <c:f>'Raw Data'!$X$7</c:f>
              <c:strCache>
                <c:ptCount val="1"/>
                <c:pt idx="0">
                  <c:v>Ritmi i rritjes</c:v>
                </c:pt>
              </c:strCache>
            </c:strRef>
          </c:tx>
          <c:spPr>
            <a:ln w="41275" cmpd="sng">
              <a:solidFill>
                <a:srgbClr val="F79646"/>
              </a:solidFill>
              <a:headEnd type="none"/>
              <a:tailEnd type="triangle" w="sm" len="med"/>
            </a:ln>
          </c:spPr>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55-B94F-BDBD-D9E9DEE186F1}"/>
                </c:ext>
                <c:ext xmlns:c15="http://schemas.microsoft.com/office/drawing/2012/chart" uri="{CE6537A1-D6FC-4f65-9D91-7224C49458BB}"/>
              </c:extLst>
            </c:dLbl>
            <c:dLbl>
              <c:idx val="4"/>
              <c:layout>
                <c:manualLayout>
                  <c:x val="-4.1775563768814611E-2"/>
                  <c:y val="-9.03995989265386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55-B94F-BDBD-D9E9DEE186F1}"/>
                </c:ext>
                <c:ext xmlns:c15="http://schemas.microsoft.com/office/drawing/2012/chart" uri="{CE6537A1-D6FC-4f65-9D91-7224C49458BB}"/>
              </c:extLst>
            </c:dLbl>
            <c:dLbl>
              <c:idx val="5"/>
              <c:layout>
                <c:manualLayout>
                  <c:x val="-4.9938829074937074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55-B94F-BDBD-D9E9DEE186F1}"/>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A55-B94F-BDBD-D9E9DEE186F1}"/>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A55-B94F-BDBD-D9E9DEE186F1}"/>
                </c:ext>
                <c:ext xmlns:c15="http://schemas.microsoft.com/office/drawing/2012/chart" uri="{CE6537A1-D6FC-4f65-9D91-7224C49458BB}"/>
              </c:extLst>
            </c:dLbl>
            <c:numFmt formatCode="#,##0.0" sourceLinked="0"/>
            <c:spPr>
              <a:noFill/>
              <a:ln>
                <a:noFill/>
              </a:ln>
              <a:effectLst/>
            </c:spPr>
            <c:txPr>
              <a:bodyPr rot="0" vert="horz"/>
              <a:lstStyle/>
              <a:p>
                <a:pPr>
                  <a:defRPr sz="7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Data'!$Y$7:$AL$7</c:f>
              <c:numCache>
                <c:formatCode>#\ #,#00</c:formatCode>
                <c:ptCount val="14"/>
                <c:pt idx="1">
                  <c:v>5.6533237219397483</c:v>
                </c:pt>
                <c:pt idx="2">
                  <c:v>4.1945015749298937</c:v>
                </c:pt>
                <c:pt idx="3">
                  <c:v>12.749170009643256</c:v>
                </c:pt>
                <c:pt idx="4">
                  <c:v>-6.3962386406218599</c:v>
                </c:pt>
                <c:pt idx="5">
                  <c:v>5.4564436571192871</c:v>
                </c:pt>
                <c:pt idx="6">
                  <c:v>2.560749368936468</c:v>
                </c:pt>
                <c:pt idx="7">
                  <c:v>2.9519912226077158</c:v>
                </c:pt>
                <c:pt idx="8">
                  <c:v>1.8419574578394806</c:v>
                </c:pt>
                <c:pt idx="9">
                  <c:v>0.92906838622094001</c:v>
                </c:pt>
                <c:pt idx="10">
                  <c:v>1.5636164936320456</c:v>
                </c:pt>
                <c:pt idx="11">
                  <c:v>-6.8272427540730316</c:v>
                </c:pt>
                <c:pt idx="12">
                  <c:v>7.5539828249925849</c:v>
                </c:pt>
                <c:pt idx="13">
                  <c:v>1.3078391607275026</c:v>
                </c:pt>
              </c:numCache>
            </c:numRef>
          </c:val>
          <c:smooth val="1"/>
          <c:extLst xmlns:c16r2="http://schemas.microsoft.com/office/drawing/2015/06/chart">
            <c:ext xmlns:c16="http://schemas.microsoft.com/office/drawing/2014/chart" uri="{C3380CC4-5D6E-409C-BE32-E72D297353CC}">
              <c16:uniqueId val="{00000006-DA55-B94F-BDBD-D9E9DEE186F1}"/>
            </c:ext>
          </c:extLst>
        </c:ser>
        <c:dLbls>
          <c:showLegendKey val="0"/>
          <c:showVal val="0"/>
          <c:showCatName val="0"/>
          <c:showSerName val="0"/>
          <c:showPercent val="0"/>
          <c:showBubbleSize val="0"/>
        </c:dLbls>
        <c:marker val="1"/>
        <c:smooth val="0"/>
        <c:axId val="-1567732880"/>
        <c:axId val="-1567749200"/>
      </c:lineChart>
      <c:catAx>
        <c:axId val="-1567745392"/>
        <c:scaling>
          <c:orientation val="minMax"/>
        </c:scaling>
        <c:delete val="0"/>
        <c:axPos val="b"/>
        <c:numFmt formatCode="General" sourceLinked="1"/>
        <c:majorTickMark val="cross"/>
        <c:minorTickMark val="none"/>
        <c:tickLblPos val="nextTo"/>
        <c:txPr>
          <a:bodyPr rot="0" vert="horz"/>
          <a:lstStyle/>
          <a:p>
            <a:pPr>
              <a:defRPr sz="600"/>
            </a:pPr>
            <a:endParaRPr lang="en-US"/>
          </a:p>
        </c:txPr>
        <c:crossAx val="-1567736144"/>
        <c:crosses val="autoZero"/>
        <c:auto val="0"/>
        <c:lblAlgn val="ctr"/>
        <c:lblOffset val="100"/>
        <c:tickLblSkip val="1"/>
        <c:tickMarkSkip val="1"/>
        <c:noMultiLvlLbl val="0"/>
      </c:catAx>
      <c:valAx>
        <c:axId val="-1567736144"/>
        <c:scaling>
          <c:orientation val="minMax"/>
        </c:scaling>
        <c:delete val="0"/>
        <c:axPos val="l"/>
        <c:title>
          <c:tx>
            <c:rich>
              <a:bodyPr/>
              <a:lstStyle/>
              <a:p>
                <a:pPr algn="ctr" rtl="0">
                  <a:defRPr sz="600"/>
                </a:pPr>
                <a:r>
                  <a:rPr lang="en-US" sz="600"/>
                  <a:t>Në miliardë</a:t>
                </a:r>
              </a:p>
            </c:rich>
          </c:tx>
          <c:layout>
            <c:manualLayout>
              <c:xMode val="edge"/>
              <c:yMode val="edge"/>
              <c:x val="8.1632653061224497E-3"/>
              <c:y val="0.32586786202286644"/>
            </c:manualLayout>
          </c:layout>
          <c:overlay val="0"/>
        </c:title>
        <c:numFmt formatCode="#,##0" sourceLinked="1"/>
        <c:majorTickMark val="cross"/>
        <c:minorTickMark val="none"/>
        <c:tickLblPos val="nextTo"/>
        <c:txPr>
          <a:bodyPr rot="0" vert="horz"/>
          <a:lstStyle/>
          <a:p>
            <a:pPr>
              <a:defRPr sz="600"/>
            </a:pPr>
            <a:endParaRPr lang="en-US"/>
          </a:p>
        </c:txPr>
        <c:crossAx val="-1567745392"/>
        <c:crosses val="autoZero"/>
        <c:crossBetween val="between"/>
        <c:dispUnits>
          <c:builtInUnit val="thousands"/>
        </c:dispUnits>
      </c:valAx>
      <c:catAx>
        <c:axId val="-1567732880"/>
        <c:scaling>
          <c:orientation val="minMax"/>
        </c:scaling>
        <c:delete val="1"/>
        <c:axPos val="b"/>
        <c:numFmt formatCode="General" sourceLinked="1"/>
        <c:majorTickMark val="out"/>
        <c:minorTickMark val="none"/>
        <c:tickLblPos val="none"/>
        <c:crossAx val="-1567749200"/>
        <c:crosses val="autoZero"/>
        <c:auto val="0"/>
        <c:lblAlgn val="ctr"/>
        <c:lblOffset val="100"/>
        <c:noMultiLvlLbl val="0"/>
      </c:catAx>
      <c:valAx>
        <c:axId val="-1567749200"/>
        <c:scaling>
          <c:orientation val="minMax"/>
        </c:scaling>
        <c:delete val="0"/>
        <c:axPos val="r"/>
        <c:title>
          <c:tx>
            <c:rich>
              <a:bodyPr/>
              <a:lstStyle/>
              <a:p>
                <a:pPr algn="ctr" rtl="0">
                  <a:defRPr sz="600"/>
                </a:pPr>
                <a:r>
                  <a:rPr lang="en-US" sz="600"/>
                  <a:t>Në përqindje</a:t>
                </a:r>
              </a:p>
            </c:rich>
          </c:tx>
          <c:layout>
            <c:manualLayout>
              <c:xMode val="edge"/>
              <c:yMode val="edge"/>
              <c:x val="0.94693963254593283"/>
              <c:y val="0.28722168155946864"/>
            </c:manualLayout>
          </c:layout>
          <c:overlay val="0"/>
        </c:title>
        <c:numFmt formatCode="0" sourceLinked="0"/>
        <c:majorTickMark val="cross"/>
        <c:minorTickMark val="none"/>
        <c:tickLblPos val="nextTo"/>
        <c:txPr>
          <a:bodyPr rot="0" vert="horz"/>
          <a:lstStyle/>
          <a:p>
            <a:pPr>
              <a:defRPr sz="600"/>
            </a:pPr>
            <a:endParaRPr lang="en-US"/>
          </a:p>
        </c:txPr>
        <c:crossAx val="-1567732880"/>
        <c:crosses val="max"/>
        <c:crossBetween val="between"/>
      </c:valAx>
      <c:spPr>
        <a:noFill/>
      </c:spPr>
    </c:plotArea>
    <c:legend>
      <c:legendPos val="b"/>
      <c:layout>
        <c:manualLayout>
          <c:xMode val="edge"/>
          <c:yMode val="edge"/>
          <c:x val="0.16592899571764058"/>
          <c:y val="0.90969831018313718"/>
          <c:w val="0.76926714282134834"/>
          <c:h val="9.0301576491791047E-2"/>
        </c:manualLayout>
      </c:layout>
      <c:overlay val="0"/>
    </c:legend>
    <c:plotVisOnly val="1"/>
    <c:dispBlanksAs val="gap"/>
    <c:showDLblsOverMax val="0"/>
  </c:chart>
  <c:spPr>
    <a:ln>
      <a:solidFill>
        <a:sysClr val="windowText" lastClr="000000"/>
      </a:solidFill>
    </a:ln>
  </c:spPr>
  <c:txPr>
    <a:bodyPr/>
    <a:lstStyle/>
    <a:p>
      <a:pPr marL="0" marR="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solidFill>
          <a:latin typeface="+mn-lt"/>
          <a:ea typeface="+mn-ea"/>
          <a:cs typeface="+mn-cs"/>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260352872557598E-2"/>
          <c:y val="0.12970963781203773"/>
          <c:w val="0.89985983522892976"/>
          <c:h val="0.5744130107738662"/>
        </c:manualLayout>
      </c:layout>
      <c:barChart>
        <c:barDir val="col"/>
        <c:grouping val="stacked"/>
        <c:varyColors val="0"/>
        <c:ser>
          <c:idx val="0"/>
          <c:order val="0"/>
          <c:tx>
            <c:strRef>
              <c:f>'Raw Data'!$B$11</c:f>
              <c:strCache>
                <c:ptCount val="1"/>
                <c:pt idx="0">
                  <c:v> Te Brendshme</c:v>
                </c:pt>
              </c:strCache>
            </c:strRef>
          </c:tx>
          <c:spPr>
            <a:solidFill>
              <a:srgbClr val="4F81BD">
                <a:lumMod val="40000"/>
                <a:lumOff val="60000"/>
              </a:srgbClr>
            </a:solidFill>
            <a:ln>
              <a:noFill/>
            </a:ln>
          </c:spPr>
          <c:invertIfNegative val="0"/>
          <c:dLbls>
            <c:numFmt formatCode="#,##0.0" sourceLinked="0"/>
            <c:spPr>
              <a:noFill/>
              <a:ln>
                <a:noFill/>
              </a:ln>
              <a:effectLst/>
            </c:spPr>
            <c:txPr>
              <a:bodyPr rot="0" vert="horz"/>
              <a:lstStyle/>
              <a:p>
                <a:pPr>
                  <a:defRPr sz="7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Data'!$D$11:$Q$11</c:f>
              <c:numCache>
                <c:formatCode>#,##0</c:formatCode>
                <c:ptCount val="14"/>
                <c:pt idx="0">
                  <c:v>24183.577193000005</c:v>
                </c:pt>
                <c:pt idx="1">
                  <c:v>22977.908390000001</c:v>
                </c:pt>
                <c:pt idx="2">
                  <c:v>23498.511306879998</c:v>
                </c:pt>
                <c:pt idx="3">
                  <c:v>28385.86435</c:v>
                </c:pt>
                <c:pt idx="4">
                  <c:v>31408.081158079996</c:v>
                </c:pt>
                <c:pt idx="5">
                  <c:v>35583</c:v>
                </c:pt>
                <c:pt idx="6">
                  <c:v>34253</c:v>
                </c:pt>
                <c:pt idx="7">
                  <c:v>34005.4</c:v>
                </c:pt>
                <c:pt idx="8">
                  <c:v>35890</c:v>
                </c:pt>
                <c:pt idx="9">
                  <c:v>31834</c:v>
                </c:pt>
                <c:pt idx="10">
                  <c:v>27385</c:v>
                </c:pt>
                <c:pt idx="11">
                  <c:v>25526</c:v>
                </c:pt>
                <c:pt idx="12">
                  <c:v>21414.59</c:v>
                </c:pt>
                <c:pt idx="13">
                  <c:v>23158</c:v>
                </c:pt>
              </c:numCache>
            </c:numRef>
          </c:val>
          <c:extLst xmlns:c16r2="http://schemas.microsoft.com/office/drawing/2015/06/chart">
            <c:ext xmlns:c16="http://schemas.microsoft.com/office/drawing/2014/chart" uri="{C3380CC4-5D6E-409C-BE32-E72D297353CC}">
              <c16:uniqueId val="{00000000-C4DC-B545-A4AA-546B373F7A10}"/>
            </c:ext>
          </c:extLst>
        </c:ser>
        <c:ser>
          <c:idx val="1"/>
          <c:order val="1"/>
          <c:tx>
            <c:strRef>
              <c:f>'Raw Data'!$B$12</c:f>
              <c:strCache>
                <c:ptCount val="1"/>
                <c:pt idx="0">
                  <c:v> Te Huaja</c:v>
                </c:pt>
              </c:strCache>
            </c:strRef>
          </c:tx>
          <c:spPr>
            <a:solidFill>
              <a:srgbClr val="F79646">
                <a:alpha val="85000"/>
              </a:srgbClr>
            </a:solidFill>
            <a:ln>
              <a:noFill/>
            </a:ln>
          </c:spPr>
          <c:invertIfNegative val="0"/>
          <c:dLbls>
            <c:dLbl>
              <c:idx val="3"/>
              <c:layout>
                <c:manualLayout>
                  <c:x val="0"/>
                  <c:y val="-5.619900021681556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DC-B545-A4AA-546B373F7A10}"/>
                </c:ext>
                <c:ext xmlns:c15="http://schemas.microsoft.com/office/drawing/2012/chart" uri="{CE6537A1-D6FC-4f65-9D91-7224C49458BB}"/>
              </c:extLst>
            </c:dLbl>
            <c:dLbl>
              <c:idx val="4"/>
              <c:layout>
                <c:manualLayout>
                  <c:x val="0"/>
                  <c:y val="-5.047425872378710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4DC-B545-A4AA-546B373F7A10}"/>
                </c:ext>
                <c:ext xmlns:c15="http://schemas.microsoft.com/office/drawing/2012/chart" uri="{CE6537A1-D6FC-4f65-9D91-7224C49458BB}"/>
              </c:extLst>
            </c:dLbl>
            <c:dLbl>
              <c:idx val="5"/>
              <c:layout>
                <c:manualLayout>
                  <c:x val="0"/>
                  <c:y val="-5.835702431779082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DC-B545-A4AA-546B373F7A10}"/>
                </c:ext>
                <c:ext xmlns:c15="http://schemas.microsoft.com/office/drawing/2012/chart" uri="{CE6537A1-D6FC-4f65-9D91-7224C49458BB}"/>
              </c:extLst>
            </c:dLbl>
            <c:dLbl>
              <c:idx val="6"/>
              <c:layout>
                <c:manualLayout>
                  <c:x val="0"/>
                  <c:y val="-5.595746362260312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4DC-B545-A4AA-546B373F7A10}"/>
                </c:ext>
                <c:ext xmlns:c15="http://schemas.microsoft.com/office/drawing/2012/chart" uri="{CE6537A1-D6FC-4f65-9D91-7224C49458BB}"/>
              </c:extLst>
            </c:dLbl>
            <c:dLbl>
              <c:idx val="7"/>
              <c:layout>
                <c:manualLayout>
                  <c:x val="0"/>
                  <c:y val="-4.745221445693779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4DC-B545-A4AA-546B373F7A10}"/>
                </c:ext>
                <c:ext xmlns:c15="http://schemas.microsoft.com/office/drawing/2012/chart" uri="{CE6537A1-D6FC-4f65-9D91-7224C49458BB}"/>
              </c:extLst>
            </c:dLbl>
            <c:dLbl>
              <c:idx val="8"/>
              <c:layout>
                <c:manualLayout>
                  <c:x val="0"/>
                  <c:y val="-5.00225112310400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4DC-B545-A4AA-546B373F7A10}"/>
                </c:ext>
                <c:ext xmlns:c15="http://schemas.microsoft.com/office/drawing/2012/chart" uri="{CE6537A1-D6FC-4f65-9D91-7224C49458BB}"/>
              </c:extLst>
            </c:dLbl>
            <c:dLbl>
              <c:idx val="9"/>
              <c:layout>
                <c:manualLayout>
                  <c:x val="-1.8541207462761838E-7"/>
                  <c:y val="-6.990052825998414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DC-B545-A4AA-546B373F7A10}"/>
                </c:ext>
                <c:ext xmlns:c15="http://schemas.microsoft.com/office/drawing/2012/chart" uri="{CE6537A1-D6FC-4f65-9D91-7224C49458BB}"/>
              </c:extLst>
            </c:dLbl>
            <c:dLbl>
              <c:idx val="10"/>
              <c:layout>
                <c:manualLayout>
                  <c:x val="2.3547333477707535E-3"/>
                  <c:y val="-7.734966272008299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4DC-B545-A4AA-546B373F7A10}"/>
                </c:ext>
                <c:ext xmlns:c15="http://schemas.microsoft.com/office/drawing/2012/chart" uri="{CE6537A1-D6FC-4f65-9D91-7224C49458BB}"/>
              </c:extLst>
            </c:dLbl>
            <c:numFmt formatCode="#,##0.00" sourceLinked="0"/>
            <c:spPr>
              <a:noFill/>
              <a:ln>
                <a:noFill/>
              </a:ln>
              <a:effectLst/>
            </c:spPr>
            <c:txPr>
              <a:bodyPr rot="0" vert="horz"/>
              <a:lstStyle/>
              <a:p>
                <a:pPr>
                  <a:defRPr sz="7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Data'!$D$12:$Q$12</c:f>
              <c:numCache>
                <c:formatCode>#,##0</c:formatCode>
                <c:ptCount val="14"/>
                <c:pt idx="0">
                  <c:v>1844.7291459999997</c:v>
                </c:pt>
                <c:pt idx="1">
                  <c:v>2027.6684124750009</c:v>
                </c:pt>
                <c:pt idx="2">
                  <c:v>2095.8823431625033</c:v>
                </c:pt>
                <c:pt idx="3">
                  <c:v>2920.6954761900001</c:v>
                </c:pt>
                <c:pt idx="4">
                  <c:v>4893.2298963900002</c:v>
                </c:pt>
                <c:pt idx="5">
                  <c:v>6021</c:v>
                </c:pt>
                <c:pt idx="6">
                  <c:v>6868</c:v>
                </c:pt>
                <c:pt idx="7">
                  <c:v>7492.4</c:v>
                </c:pt>
                <c:pt idx="8">
                  <c:v>7445</c:v>
                </c:pt>
                <c:pt idx="9">
                  <c:v>8241</c:v>
                </c:pt>
                <c:pt idx="10">
                  <c:v>11258</c:v>
                </c:pt>
                <c:pt idx="11">
                  <c:v>10733</c:v>
                </c:pt>
                <c:pt idx="12">
                  <c:v>10489.19</c:v>
                </c:pt>
                <c:pt idx="13">
                  <c:v>13355</c:v>
                </c:pt>
              </c:numCache>
            </c:numRef>
          </c:val>
          <c:extLst xmlns:c16r2="http://schemas.microsoft.com/office/drawing/2015/06/chart">
            <c:ext xmlns:c16="http://schemas.microsoft.com/office/drawing/2014/chart" uri="{C3380CC4-5D6E-409C-BE32-E72D297353CC}">
              <c16:uniqueId val="{00000009-C4DC-B545-A4AA-546B373F7A10}"/>
            </c:ext>
          </c:extLst>
        </c:ser>
        <c:dLbls>
          <c:showLegendKey val="0"/>
          <c:showVal val="0"/>
          <c:showCatName val="0"/>
          <c:showSerName val="0"/>
          <c:showPercent val="0"/>
          <c:showBubbleSize val="0"/>
        </c:dLbls>
        <c:gapWidth val="22"/>
        <c:overlap val="100"/>
        <c:axId val="-1567735056"/>
        <c:axId val="-1567734512"/>
      </c:barChart>
      <c:catAx>
        <c:axId val="-1567735056"/>
        <c:scaling>
          <c:orientation val="minMax"/>
        </c:scaling>
        <c:delete val="0"/>
        <c:axPos val="b"/>
        <c:numFmt formatCode="General" sourceLinked="1"/>
        <c:majorTickMark val="out"/>
        <c:minorTickMark val="none"/>
        <c:tickLblPos val="low"/>
        <c:txPr>
          <a:bodyPr rot="0" vert="horz"/>
          <a:lstStyle/>
          <a:p>
            <a:pPr>
              <a:defRPr sz="800"/>
            </a:pPr>
            <a:endParaRPr lang="en-US"/>
          </a:p>
        </c:txPr>
        <c:crossAx val="-1567734512"/>
        <c:crosses val="autoZero"/>
        <c:auto val="1"/>
        <c:lblAlgn val="ctr"/>
        <c:lblOffset val="100"/>
        <c:tickLblSkip val="1"/>
        <c:tickMarkSkip val="1"/>
        <c:noMultiLvlLbl val="0"/>
      </c:catAx>
      <c:valAx>
        <c:axId val="-1567734512"/>
        <c:scaling>
          <c:orientation val="minMax"/>
        </c:scaling>
        <c:delete val="0"/>
        <c:axPos val="l"/>
        <c:numFmt formatCode="0" sourceLinked="0"/>
        <c:majorTickMark val="out"/>
        <c:minorTickMark val="none"/>
        <c:tickLblPos val="nextTo"/>
        <c:txPr>
          <a:bodyPr rot="0" vert="horz"/>
          <a:lstStyle/>
          <a:p>
            <a:pPr>
              <a:defRPr sz="700"/>
            </a:pPr>
            <a:endParaRPr lang="en-US"/>
          </a:p>
        </c:txPr>
        <c:crossAx val="-1567735056"/>
        <c:crosses val="autoZero"/>
        <c:crossBetween val="between"/>
        <c:dispUnits>
          <c:builtInUnit val="thousands"/>
        </c:dispUnits>
      </c:valAx>
      <c:spPr>
        <a:noFill/>
      </c:spPr>
    </c:plotArea>
    <c:legend>
      <c:legendPos val="b"/>
      <c:layout>
        <c:manualLayout>
          <c:xMode val="edge"/>
          <c:yMode val="edge"/>
          <c:x val="0.23254858199545381"/>
          <c:y val="0.87640764005622895"/>
          <c:w val="0.64026182441480672"/>
          <c:h val="9.0301689816862818E-2"/>
        </c:manualLayout>
      </c:layout>
      <c:overlay val="0"/>
      <c:txPr>
        <a:bodyPr/>
        <a:lstStyle/>
        <a:p>
          <a:pPr>
            <a:defRPr sz="800" b="1"/>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5263460088318399"/>
          <c:y val="9.6920045667936494E-2"/>
          <c:w val="0.32490230670322801"/>
          <c:h val="0.80786493804433401"/>
        </c:manualLayout>
      </c:layout>
      <c:pieChart>
        <c:varyColors val="1"/>
        <c:ser>
          <c:idx val="1"/>
          <c:order val="0"/>
          <c:tx>
            <c:strRef>
              <c:f>graphs!$T$179:$T$187</c:f>
              <c:strCache>
                <c:ptCount val="1"/>
                <c:pt idx="0">
                  <c:v>Tw ardhura nga ndihmat Tatimi mbi Vleren e Shtuar Tatimi mbi Fitimin Akcizat Tatimi mbi te Ardhurat Personale Tw tjera nga tatimet dhe doganat Te ardhura nga Pushteti Vendor Tw ardhura nga fondet speciale Tw ardhura jotatimore</c:v>
                </c:pt>
              </c:strCache>
            </c:strRef>
          </c:tx>
          <c:dPt>
            <c:idx val="0"/>
            <c:bubble3D val="0"/>
            <c:spPr>
              <a:solidFill>
                <a:schemeClr val="accent1">
                  <a:shade val="44000"/>
                </a:schemeClr>
              </a:solidFill>
              <a:ln>
                <a:noFill/>
              </a:ln>
              <a:effectLst/>
            </c:spPr>
            <c:extLst xmlns:c16r2="http://schemas.microsoft.com/office/drawing/2015/06/chart">
              <c:ext xmlns:c16="http://schemas.microsoft.com/office/drawing/2014/chart" uri="{C3380CC4-5D6E-409C-BE32-E72D297353CC}">
                <c16:uniqueId val="{00000027-ADCF-734D-8C28-DAFDC0B7FF29}"/>
              </c:ext>
            </c:extLst>
          </c:dPt>
          <c:dPt>
            <c:idx val="1"/>
            <c:bubble3D val="0"/>
            <c:spPr>
              <a:solidFill>
                <a:schemeClr val="accent1">
                  <a:shade val="58000"/>
                </a:schemeClr>
              </a:solidFill>
              <a:ln>
                <a:noFill/>
              </a:ln>
              <a:effectLst/>
            </c:spPr>
            <c:extLst xmlns:c16r2="http://schemas.microsoft.com/office/drawing/2015/06/chart">
              <c:ext xmlns:c16="http://schemas.microsoft.com/office/drawing/2014/chart" uri="{C3380CC4-5D6E-409C-BE32-E72D297353CC}">
                <c16:uniqueId val="{00000021-ADCF-734D-8C28-DAFDC0B7FF29}"/>
              </c:ext>
            </c:extLst>
          </c:dPt>
          <c:dPt>
            <c:idx val="2"/>
            <c:bubble3D val="0"/>
            <c:spPr>
              <a:solidFill>
                <a:schemeClr val="accent1">
                  <a:shade val="72000"/>
                </a:schemeClr>
              </a:solidFill>
              <a:ln>
                <a:noFill/>
              </a:ln>
              <a:effectLst/>
            </c:spPr>
            <c:extLst xmlns:c16r2="http://schemas.microsoft.com/office/drawing/2015/06/chart">
              <c:ext xmlns:c16="http://schemas.microsoft.com/office/drawing/2014/chart" uri="{C3380CC4-5D6E-409C-BE32-E72D297353CC}">
                <c16:uniqueId val="{00000020-ADCF-734D-8C28-DAFDC0B7FF29}"/>
              </c:ext>
            </c:extLst>
          </c:dPt>
          <c:dPt>
            <c:idx val="3"/>
            <c:bubble3D val="0"/>
            <c:spPr>
              <a:solidFill>
                <a:schemeClr val="accent1">
                  <a:shade val="86000"/>
                </a:schemeClr>
              </a:solidFill>
              <a:ln>
                <a:noFill/>
              </a:ln>
              <a:effectLst/>
            </c:spPr>
            <c:extLst xmlns:c16r2="http://schemas.microsoft.com/office/drawing/2015/06/chart">
              <c:ext xmlns:c16="http://schemas.microsoft.com/office/drawing/2014/chart" uri="{C3380CC4-5D6E-409C-BE32-E72D297353CC}">
                <c16:uniqueId val="{00000026-ADCF-734D-8C28-DAFDC0B7FF29}"/>
              </c:ext>
            </c:extLst>
          </c:dPt>
          <c:dPt>
            <c:idx val="4"/>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24-ADCF-734D-8C28-DAFDC0B7FF29}"/>
              </c:ext>
            </c:extLst>
          </c:dPt>
          <c:dPt>
            <c:idx val="5"/>
            <c:bubble3D val="0"/>
            <c:spPr>
              <a:solidFill>
                <a:schemeClr val="accent1">
                  <a:tint val="86000"/>
                </a:schemeClr>
              </a:solidFill>
              <a:ln>
                <a:noFill/>
              </a:ln>
              <a:effectLst/>
            </c:spPr>
            <c:extLst xmlns:c16r2="http://schemas.microsoft.com/office/drawing/2015/06/chart">
              <c:ext xmlns:c16="http://schemas.microsoft.com/office/drawing/2014/chart" uri="{C3380CC4-5D6E-409C-BE32-E72D297353CC}">
                <c16:uniqueId val="{00000025-ADCF-734D-8C28-DAFDC0B7FF29}"/>
              </c:ext>
            </c:extLst>
          </c:dPt>
          <c:dPt>
            <c:idx val="6"/>
            <c:bubble3D val="0"/>
            <c:spPr>
              <a:solidFill>
                <a:schemeClr val="accent1">
                  <a:tint val="72000"/>
                </a:schemeClr>
              </a:solidFill>
              <a:ln>
                <a:noFill/>
              </a:ln>
              <a:effectLst/>
            </c:spPr>
            <c:extLst xmlns:c16r2="http://schemas.microsoft.com/office/drawing/2015/06/chart">
              <c:ext xmlns:c16="http://schemas.microsoft.com/office/drawing/2014/chart" uri="{C3380CC4-5D6E-409C-BE32-E72D297353CC}">
                <c16:uniqueId val="{00000023-ADCF-734D-8C28-DAFDC0B7FF29}"/>
              </c:ext>
            </c:extLst>
          </c:dPt>
          <c:dPt>
            <c:idx val="7"/>
            <c:bubble3D val="0"/>
            <c:spPr>
              <a:solidFill>
                <a:schemeClr val="accent1">
                  <a:tint val="58000"/>
                </a:schemeClr>
              </a:solidFill>
              <a:ln>
                <a:noFill/>
              </a:ln>
              <a:effectLst/>
            </c:spPr>
            <c:extLst xmlns:c16r2="http://schemas.microsoft.com/office/drawing/2015/06/chart">
              <c:ext xmlns:c16="http://schemas.microsoft.com/office/drawing/2014/chart" uri="{C3380CC4-5D6E-409C-BE32-E72D297353CC}">
                <c16:uniqueId val="{00000022-ADCF-734D-8C28-DAFDC0B7FF29}"/>
              </c:ext>
            </c:extLst>
          </c:dPt>
          <c:dPt>
            <c:idx val="8"/>
            <c:bubble3D val="0"/>
            <c:spPr>
              <a:solidFill>
                <a:schemeClr val="accent1">
                  <a:tint val="44000"/>
                </a:schemeClr>
              </a:solidFill>
              <a:ln>
                <a:noFill/>
              </a:ln>
              <a:effectLst/>
            </c:spPr>
            <c:extLst xmlns:c16r2="http://schemas.microsoft.com/office/drawing/2015/06/chart">
              <c:ext xmlns:c16="http://schemas.microsoft.com/office/drawing/2014/chart" uri="{C3380CC4-5D6E-409C-BE32-E72D297353CC}">
                <c16:uniqueId val="{00000028-ADCF-734D-8C28-DAFDC0B7FF29}"/>
              </c:ext>
            </c:extLst>
          </c:dPt>
          <c:dLbls>
            <c:dLbl>
              <c:idx val="0"/>
              <c:layout>
                <c:manualLayout>
                  <c:x val="0.13755632263389173"/>
                  <c:y val="6.9140471614276564E-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4.628623794546928E-2"/>
                  <c:y val="0.1257079185856485"/>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3444156944971112E-2"/>
                  <c:y val="9.5790191580383162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7.3760344404541498E-3"/>
                  <c:y val="6.1276789220245105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3.1217516896790167E-2"/>
                  <c:y val="3.1159884541991305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2.5617690140007286E-2"/>
                  <c:y val="1.5376719642328254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2.508532042559836E-2"/>
                  <c:y val="1.4225584006723568E-3"/>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2.24280259939179E-2"/>
                  <c:y val="-3.372083410833486E-2"/>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6.7632702073713875E-3"/>
                  <c:y val="-6.111834445891114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solidFill>
                      <a:srgbClr val="10253F"/>
                    </a:solidFill>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graphs!$T$179:$T$187</c:f>
              <c:strCache>
                <c:ptCount val="9"/>
                <c:pt idx="0">
                  <c:v>Tw ardhura nga ndihmat</c:v>
                </c:pt>
                <c:pt idx="1">
                  <c:v>Tatimi mbi Vleren e Shtuar</c:v>
                </c:pt>
                <c:pt idx="2">
                  <c:v>Tatimi mbi Fitimin</c:v>
                </c:pt>
                <c:pt idx="3">
                  <c:v>Akcizat</c:v>
                </c:pt>
                <c:pt idx="4">
                  <c:v>Tatimi mbi te Ardhurat Personale</c:v>
                </c:pt>
                <c:pt idx="5">
                  <c:v>Tw tjera nga tatimet dhe doganat</c:v>
                </c:pt>
                <c:pt idx="6">
                  <c:v>Te ardhura nga Pushteti Vendor</c:v>
                </c:pt>
                <c:pt idx="7">
                  <c:v>Tw ardhura nga fondet speciale</c:v>
                </c:pt>
                <c:pt idx="8">
                  <c:v>Tw ardhura jotatimore</c:v>
                </c:pt>
              </c:strCache>
            </c:strRef>
          </c:cat>
          <c:val>
            <c:numRef>
              <c:f>graphs!$U$179:$U$187</c:f>
              <c:numCache>
                <c:formatCode>_ * #.##0_)\ _A_L_L_ ;_ * \(#.##0\)\ _A_L_L_ ;_ * "-"_)\ _A_L_L_ ;_ @_ </c:formatCode>
                <c:ptCount val="9"/>
                <c:pt idx="0">
                  <c:v>8.1644100000000002</c:v>
                </c:pt>
                <c:pt idx="1">
                  <c:v>143.46382</c:v>
                </c:pt>
                <c:pt idx="2">
                  <c:v>34.46069</c:v>
                </c:pt>
                <c:pt idx="3">
                  <c:v>44.986559999999997</c:v>
                </c:pt>
                <c:pt idx="4">
                  <c:v>36.51661</c:v>
                </c:pt>
                <c:pt idx="5">
                  <c:v>44.890020000000007</c:v>
                </c:pt>
                <c:pt idx="6">
                  <c:v>21.8628</c:v>
                </c:pt>
                <c:pt idx="7">
                  <c:v>93.153630000000007</c:v>
                </c:pt>
                <c:pt idx="8">
                  <c:v>21.997679999999999</c:v>
                </c:pt>
              </c:numCache>
            </c:numRef>
          </c:val>
          <c:extLst xmlns:c16r2="http://schemas.microsoft.com/office/drawing/2015/06/chart">
            <c:ext xmlns:c16="http://schemas.microsoft.com/office/drawing/2014/chart" uri="{C3380CC4-5D6E-409C-BE32-E72D297353CC}">
              <c16:uniqueId val="{00000001-ADCF-734D-8C28-DAFDC0B7FF2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85000"/>
      </a:schemeClr>
    </a:solidFill>
    <a:ln w="9525" cap="flat" cmpd="sng" algn="ctr">
      <a:solidFill>
        <a:srgbClr val="C0504D">
          <a:lumMod val="60000"/>
          <a:lumOff val="40000"/>
        </a:srgbClr>
      </a:solidFill>
      <a:prstDash val="solid"/>
      <a:round/>
    </a:ln>
    <a:effectLst/>
  </c:spPr>
  <c:txPr>
    <a:bodyPr/>
    <a:lstStyle/>
    <a:p>
      <a:pPr>
        <a:defRPr sz="930" baseline="0">
          <a:solidFill>
            <a:schemeClr val="tx2"/>
          </a:solidFill>
          <a:latin typeface="Garamond" panose="02020404030301010803"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25191493920402"/>
          <c:y val="9.5085370426257698E-2"/>
          <c:w val="0.7326537040012856"/>
          <c:h val="0.6472527824265869"/>
        </c:manualLayout>
      </c:layout>
      <c:barChart>
        <c:barDir val="col"/>
        <c:grouping val="clustered"/>
        <c:varyColors val="0"/>
        <c:ser>
          <c:idx val="1"/>
          <c:order val="0"/>
          <c:tx>
            <c:strRef>
              <c:f>'Raw Data'!$B$13</c:f>
              <c:strCache>
                <c:ptCount val="1"/>
                <c:pt idx="0">
                  <c:v>Shpenzime Operative Mirembajtje</c:v>
                </c:pt>
              </c:strCache>
            </c:strRef>
          </c:tx>
          <c:spPr>
            <a:solidFill>
              <a:srgbClr val="4F81BD">
                <a:lumMod val="60000"/>
                <a:lumOff val="40000"/>
                <a:alpha val="52000"/>
              </a:srgbClr>
            </a:solidFill>
            <a:ln w="19050" cap="rnd" cmpd="thinThick">
              <a:noFill/>
              <a:bevel/>
            </a:ln>
            <a:scene3d>
              <a:camera prst="orthographicFront"/>
              <a:lightRig rig="balanced" dir="t"/>
            </a:scene3d>
            <a:sp3d prstMaterial="plastic"/>
          </c:spPr>
          <c:invertIfNegative val="0"/>
          <c:dLbls>
            <c:numFmt formatCode="#,##0.0" sourceLinked="0"/>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'Raw Data'!$Y$4:$AL$4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Data'!$D$13:$Q$13</c:f>
              <c:numCache>
                <c:formatCode>#,##0</c:formatCode>
                <c:ptCount val="14"/>
                <c:pt idx="0">
                  <c:v>24515.056000000004</c:v>
                </c:pt>
                <c:pt idx="1">
                  <c:v>22800.036587000002</c:v>
                </c:pt>
                <c:pt idx="2">
                  <c:v>25258.612177700019</c:v>
                </c:pt>
                <c:pt idx="3">
                  <c:v>28787.936210000007</c:v>
                </c:pt>
                <c:pt idx="4">
                  <c:v>32058.049359870005</c:v>
                </c:pt>
                <c:pt idx="5">
                  <c:v>34318</c:v>
                </c:pt>
                <c:pt idx="6">
                  <c:v>32995</c:v>
                </c:pt>
                <c:pt idx="7">
                  <c:v>31470</c:v>
                </c:pt>
                <c:pt idx="8">
                  <c:v>32424</c:v>
                </c:pt>
                <c:pt idx="9">
                  <c:v>33124</c:v>
                </c:pt>
                <c:pt idx="10">
                  <c:v>42409</c:v>
                </c:pt>
                <c:pt idx="11">
                  <c:v>44329</c:v>
                </c:pt>
                <c:pt idx="12">
                  <c:v>43441.32</c:v>
                </c:pt>
                <c:pt idx="13">
                  <c:v>45498.19</c:v>
                </c:pt>
              </c:numCache>
            </c:numRef>
          </c:val>
        </c:ser>
        <c:dLbls>
          <c:showLegendKey val="0"/>
          <c:showVal val="0"/>
          <c:showCatName val="0"/>
          <c:showSerName val="0"/>
          <c:showPercent val="0"/>
          <c:showBubbleSize val="0"/>
        </c:dLbls>
        <c:gapWidth val="24"/>
        <c:overlap val="-10"/>
        <c:axId val="-1567748112"/>
        <c:axId val="-1567756816"/>
      </c:barChart>
      <c:lineChart>
        <c:grouping val="standard"/>
        <c:varyColors val="0"/>
        <c:ser>
          <c:idx val="0"/>
          <c:order val="1"/>
          <c:tx>
            <c:strRef>
              <c:f>'Raw Data'!$X$13</c:f>
              <c:strCache>
                <c:ptCount val="1"/>
                <c:pt idx="0">
                  <c:v>Ritmi i rritjes</c:v>
                </c:pt>
              </c:strCache>
            </c:strRef>
          </c:tx>
          <c:spPr>
            <a:ln w="41275" cmpd="sng">
              <a:solidFill>
                <a:srgbClr val="F79646"/>
              </a:solidFill>
              <a:headEnd type="none"/>
              <a:tailEnd type="triangle" w="sm" len="med"/>
            </a:ln>
          </c:spPr>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8495347046823735E-2"/>
                  <c:y val="-6.75746357754664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6296507691215875E-2"/>
                  <c:y val="-5.94552185347201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3501780570779176E-2"/>
                  <c:y val="-7.15701817508442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71134714E-2"/>
                  <c:y val="-5.83632352917288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'Raw Data'!$Y$4:$AL$4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Data'!$Y$13:$AL$13</c:f>
              <c:numCache>
                <c:formatCode>#,##0.0</c:formatCode>
                <c:ptCount val="14"/>
                <c:pt idx="1">
                  <c:v>-6.9957801156970696</c:v>
                </c:pt>
                <c:pt idx="2">
                  <c:v>10.783208971260306</c:v>
                </c:pt>
                <c:pt idx="3">
                  <c:v>13.972755143752158</c:v>
                </c:pt>
                <c:pt idx="4">
                  <c:v>11.359317757325254</c:v>
                </c:pt>
                <c:pt idx="5">
                  <c:v>7.0495575534267596</c:v>
                </c:pt>
                <c:pt idx="6">
                  <c:v>-3.855119762223906</c:v>
                </c:pt>
                <c:pt idx="7">
                  <c:v>-4.6219124109713592</c:v>
                </c:pt>
                <c:pt idx="8">
                  <c:v>3.0314585319351766</c:v>
                </c:pt>
                <c:pt idx="9">
                  <c:v>2.1588946459412779</c:v>
                </c:pt>
                <c:pt idx="10">
                  <c:v>28.031034899166769</c:v>
                </c:pt>
                <c:pt idx="11">
                  <c:v>4.5273408946214246</c:v>
                </c:pt>
                <c:pt idx="12">
                  <c:v>-2.002481445554829</c:v>
                </c:pt>
                <c:pt idx="13">
                  <c:v>4.7348238957748121</c:v>
                </c:pt>
              </c:numCache>
            </c:numRef>
          </c:val>
          <c:smooth val="1"/>
        </c:ser>
        <c:dLbls>
          <c:showLegendKey val="0"/>
          <c:showVal val="0"/>
          <c:showCatName val="0"/>
          <c:showSerName val="0"/>
          <c:showPercent val="0"/>
          <c:showBubbleSize val="0"/>
        </c:dLbls>
        <c:marker val="1"/>
        <c:smooth val="0"/>
        <c:axId val="-1567763344"/>
        <c:axId val="-1567756272"/>
      </c:lineChart>
      <c:catAx>
        <c:axId val="-1567748112"/>
        <c:scaling>
          <c:orientation val="minMax"/>
        </c:scaling>
        <c:delete val="0"/>
        <c:axPos val="b"/>
        <c:numFmt formatCode="General" sourceLinked="1"/>
        <c:majorTickMark val="cross"/>
        <c:minorTickMark val="none"/>
        <c:tickLblPos val="nextTo"/>
        <c:txPr>
          <a:bodyPr rot="0" vert="horz"/>
          <a:lstStyle/>
          <a:p>
            <a:pPr>
              <a:defRPr/>
            </a:pPr>
            <a:endParaRPr lang="en-US"/>
          </a:p>
        </c:txPr>
        <c:crossAx val="-1567756816"/>
        <c:crosses val="autoZero"/>
        <c:auto val="0"/>
        <c:lblAlgn val="ctr"/>
        <c:lblOffset val="100"/>
        <c:tickLblSkip val="1"/>
        <c:tickMarkSkip val="1"/>
        <c:noMultiLvlLbl val="0"/>
      </c:catAx>
      <c:valAx>
        <c:axId val="-1567756816"/>
        <c:scaling>
          <c:orientation val="minMax"/>
        </c:scaling>
        <c:delete val="0"/>
        <c:axPos val="l"/>
        <c:title>
          <c:tx>
            <c:rich>
              <a:bodyPr/>
              <a:lstStyle/>
              <a:p>
                <a:pPr algn="ctr" rtl="0">
                  <a:defRPr b="0"/>
                </a:pPr>
                <a:r>
                  <a:rPr lang="en-US" b="0"/>
                  <a:t>Në miliard</a:t>
                </a:r>
              </a:p>
            </c:rich>
          </c:tx>
          <c:layout>
            <c:manualLayout>
              <c:xMode val="edge"/>
              <c:yMode val="edge"/>
              <c:x val="8.1632653061224497E-3"/>
              <c:y val="0.32586786202286644"/>
            </c:manualLayout>
          </c:layout>
          <c:overlay val="0"/>
        </c:title>
        <c:numFmt formatCode="#,##0" sourceLinked="1"/>
        <c:majorTickMark val="cross"/>
        <c:minorTickMark val="none"/>
        <c:tickLblPos val="nextTo"/>
        <c:txPr>
          <a:bodyPr rot="0" vert="horz"/>
          <a:lstStyle/>
          <a:p>
            <a:pPr>
              <a:defRPr/>
            </a:pPr>
            <a:endParaRPr lang="en-US"/>
          </a:p>
        </c:txPr>
        <c:crossAx val="-1567748112"/>
        <c:crosses val="autoZero"/>
        <c:crossBetween val="between"/>
        <c:dispUnits>
          <c:builtInUnit val="thousands"/>
        </c:dispUnits>
      </c:valAx>
      <c:catAx>
        <c:axId val="-1567763344"/>
        <c:scaling>
          <c:orientation val="minMax"/>
        </c:scaling>
        <c:delete val="1"/>
        <c:axPos val="b"/>
        <c:numFmt formatCode="General" sourceLinked="1"/>
        <c:majorTickMark val="out"/>
        <c:minorTickMark val="none"/>
        <c:tickLblPos val="none"/>
        <c:crossAx val="-1567756272"/>
        <c:crosses val="autoZero"/>
        <c:auto val="0"/>
        <c:lblAlgn val="ctr"/>
        <c:lblOffset val="100"/>
        <c:noMultiLvlLbl val="0"/>
      </c:catAx>
      <c:valAx>
        <c:axId val="-1567756272"/>
        <c:scaling>
          <c:orientation val="minMax"/>
        </c:scaling>
        <c:delete val="0"/>
        <c:axPos val="r"/>
        <c:title>
          <c:tx>
            <c:rich>
              <a:bodyPr/>
              <a:lstStyle/>
              <a:p>
                <a:pPr algn="ctr" rtl="0">
                  <a:defRPr b="0"/>
                </a:pPr>
                <a:r>
                  <a:rPr lang="en-US" b="0"/>
                  <a:t>Në përqindje</a:t>
                </a:r>
              </a:p>
            </c:rich>
          </c:tx>
          <c:layout>
            <c:manualLayout>
              <c:xMode val="edge"/>
              <c:yMode val="edge"/>
              <c:x val="0.94693963254593283"/>
              <c:y val="0.28722168155946864"/>
            </c:manualLayout>
          </c:layout>
          <c:overlay val="0"/>
        </c:title>
        <c:numFmt formatCode="0" sourceLinked="0"/>
        <c:majorTickMark val="cross"/>
        <c:minorTickMark val="none"/>
        <c:tickLblPos val="nextTo"/>
        <c:txPr>
          <a:bodyPr rot="0" vert="horz"/>
          <a:lstStyle/>
          <a:p>
            <a:pPr>
              <a:defRPr/>
            </a:pPr>
            <a:endParaRPr lang="en-US"/>
          </a:p>
        </c:txPr>
        <c:crossAx val="-1567763344"/>
        <c:crosses val="max"/>
        <c:crossBetween val="between"/>
      </c:valAx>
      <c:spPr>
        <a:noFill/>
      </c:spPr>
    </c:plotArea>
    <c:legend>
      <c:legendPos val="b"/>
      <c:layout>
        <c:manualLayout>
          <c:xMode val="edge"/>
          <c:yMode val="edge"/>
          <c:x val="0.17672526648454656"/>
          <c:y val="0.90470455238039171"/>
          <c:w val="0.64654946703090765"/>
          <c:h val="9.0301689816862818E-2"/>
        </c:manualLayout>
      </c:layout>
      <c:overlay val="0"/>
    </c:legend>
    <c:plotVisOnly val="1"/>
    <c:dispBlanksAs val="gap"/>
    <c:showDLblsOverMax val="0"/>
  </c:chart>
  <c:txPr>
    <a:bodyPr/>
    <a:lstStyle/>
    <a:p>
      <a:pPr>
        <a:defRPr sz="800"/>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381598133566621E-2"/>
          <c:y val="9.1291445154467618E-2"/>
          <c:w val="0.83450550452026828"/>
          <c:h val="0.69789725659617896"/>
        </c:manualLayout>
      </c:layout>
      <c:barChart>
        <c:barDir val="col"/>
        <c:grouping val="clustered"/>
        <c:varyColors val="0"/>
        <c:ser>
          <c:idx val="1"/>
          <c:order val="0"/>
          <c:tx>
            <c:strRef>
              <c:f>'Raw Data'!$B$14</c:f>
              <c:strCache>
                <c:ptCount val="1"/>
                <c:pt idx="0">
                  <c:v>Subvencionet</c:v>
                </c:pt>
              </c:strCache>
            </c:strRef>
          </c:tx>
          <c:spPr>
            <a:solidFill>
              <a:srgbClr val="4F81BD">
                <a:lumMod val="60000"/>
                <a:lumOff val="40000"/>
                <a:alpha val="52000"/>
              </a:srgbClr>
            </a:solidFill>
            <a:ln w="19050" cap="rnd" cmpd="thinThick">
              <a:noFill/>
              <a:bevel/>
            </a:ln>
            <a:scene3d>
              <a:camera prst="orthographicFront"/>
              <a:lightRig rig="balanced" dir="t"/>
            </a:scene3d>
            <a:sp3d prstMaterial="plastic"/>
          </c:spPr>
          <c:invertIfNegative val="0"/>
          <c:dLbls>
            <c:numFmt formatCode="#,##0.0" sourceLinked="0"/>
            <c:spPr>
              <a:noFill/>
              <a:ln>
                <a:noFill/>
              </a:ln>
              <a:effectLst/>
            </c:spPr>
            <c:txPr>
              <a:bodyPr rot="0" vert="horz"/>
              <a:lstStyle/>
              <a:p>
                <a:pPr algn="ctr">
                  <a:defRPr lang="en-US"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Data'!$D$14:$Q$14</c:f>
              <c:numCache>
                <c:formatCode>#,##0</c:formatCode>
                <c:ptCount val="14"/>
                <c:pt idx="0">
                  <c:v>3652.6959499999989</c:v>
                </c:pt>
                <c:pt idx="1">
                  <c:v>3828.9840599999998</c:v>
                </c:pt>
                <c:pt idx="2">
                  <c:v>3536.0684999999994</c:v>
                </c:pt>
                <c:pt idx="3">
                  <c:v>2555.1840099999999</c:v>
                </c:pt>
                <c:pt idx="4">
                  <c:v>2004.2528699999996</c:v>
                </c:pt>
                <c:pt idx="5">
                  <c:v>3535</c:v>
                </c:pt>
                <c:pt idx="6">
                  <c:v>3301</c:v>
                </c:pt>
                <c:pt idx="7">
                  <c:v>1884</c:v>
                </c:pt>
                <c:pt idx="8">
                  <c:v>1574</c:v>
                </c:pt>
                <c:pt idx="9">
                  <c:v>1599</c:v>
                </c:pt>
                <c:pt idx="10">
                  <c:v>1735</c:v>
                </c:pt>
                <c:pt idx="11">
                  <c:v>1725</c:v>
                </c:pt>
                <c:pt idx="12">
                  <c:v>2310.46</c:v>
                </c:pt>
                <c:pt idx="13">
                  <c:v>1883</c:v>
                </c:pt>
              </c:numCache>
            </c:numRef>
          </c:val>
          <c:extLst xmlns:c16r2="http://schemas.microsoft.com/office/drawing/2015/06/chart">
            <c:ext xmlns:c16="http://schemas.microsoft.com/office/drawing/2014/chart" uri="{C3380CC4-5D6E-409C-BE32-E72D297353CC}">
              <c16:uniqueId val="{00000000-FE39-1D4D-A220-BE8F28163B8D}"/>
            </c:ext>
          </c:extLst>
        </c:ser>
        <c:dLbls>
          <c:showLegendKey val="0"/>
          <c:showVal val="0"/>
          <c:showCatName val="0"/>
          <c:showSerName val="0"/>
          <c:showPercent val="0"/>
          <c:showBubbleSize val="0"/>
        </c:dLbls>
        <c:gapWidth val="24"/>
        <c:overlap val="-10"/>
        <c:axId val="-1567742672"/>
        <c:axId val="-1567751920"/>
      </c:barChart>
      <c:lineChart>
        <c:grouping val="standard"/>
        <c:varyColors val="0"/>
        <c:ser>
          <c:idx val="0"/>
          <c:order val="1"/>
          <c:tx>
            <c:strRef>
              <c:f>'Raw Data'!$X$9</c:f>
              <c:strCache>
                <c:ptCount val="1"/>
                <c:pt idx="0">
                  <c:v>Ritmi i rritjes</c:v>
                </c:pt>
              </c:strCache>
            </c:strRef>
          </c:tx>
          <c:spPr>
            <a:ln w="41275" cmpd="sng">
              <a:solidFill>
                <a:srgbClr val="F79646"/>
              </a:solidFill>
              <a:headEnd type="none"/>
              <a:tailEnd type="triangle" w="sm" len="med"/>
            </a:ln>
          </c:spPr>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39-1D4D-A220-BE8F28163B8D}"/>
                </c:ext>
                <c:ext xmlns:c15="http://schemas.microsoft.com/office/drawing/2012/chart" uri="{CE6537A1-D6FC-4f65-9D91-7224C49458BB}"/>
              </c:extLst>
            </c:dLbl>
            <c:dLbl>
              <c:idx val="4"/>
              <c:layout>
                <c:manualLayout>
                  <c:x val="-4.1775563768814611E-2"/>
                  <c:y val="-9.03995989265386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39-1D4D-A220-BE8F28163B8D}"/>
                </c:ext>
                <c:ext xmlns:c15="http://schemas.microsoft.com/office/drawing/2012/chart" uri="{CE6537A1-D6FC-4f65-9D91-7224C49458BB}"/>
              </c:extLst>
            </c:dLbl>
            <c:dLbl>
              <c:idx val="5"/>
              <c:layout>
                <c:manualLayout>
                  <c:x val="-4.9938829074937074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39-1D4D-A220-BE8F28163B8D}"/>
                </c:ext>
                <c:ext xmlns:c15="http://schemas.microsoft.com/office/drawing/2012/chart" uri="{CE6537A1-D6FC-4f65-9D91-7224C49458BB}"/>
              </c:extLst>
            </c:dLbl>
            <c:dLbl>
              <c:idx val="9"/>
              <c:layout>
                <c:manualLayout>
                  <c:x val="-5.078487668708289E-2"/>
                  <c:y val="-0.1177693528156641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39-1D4D-A220-BE8F28163B8D}"/>
                </c:ext>
                <c:ext xmlns:c15="http://schemas.microsoft.com/office/drawing/2012/chart" uri="{CE6537A1-D6FC-4f65-9D91-7224C49458BB}"/>
              </c:extLst>
            </c:dLbl>
            <c:dLbl>
              <c:idx val="10"/>
              <c:layout>
                <c:manualLayout>
                  <c:x val="-3.5786759061487455E-2"/>
                  <c:y val="-7.3856297884325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E39-1D4D-A220-BE8F28163B8D}"/>
                </c:ext>
                <c:ext xmlns:c15="http://schemas.microsoft.com/office/drawing/2012/chart" uri="{CE6537A1-D6FC-4f65-9D91-7224C49458BB}"/>
              </c:extLst>
            </c:dLbl>
            <c:dLbl>
              <c:idx val="12"/>
              <c:layout>
                <c:manualLayout>
                  <c:x val="-3.2772834129187405E-2"/>
                  <c:y val="-4.68491834968906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E39-1D4D-A220-BE8F28163B8D}"/>
                </c:ext>
                <c:ext xmlns:c15="http://schemas.microsoft.com/office/drawing/2012/chart" uri="{CE6537A1-D6FC-4f65-9D91-7224C49458BB}"/>
              </c:extLst>
            </c:dLbl>
            <c:numFmt formatCode="#,##0.0" sourceLinked="0"/>
            <c:spPr>
              <a:noFill/>
              <a:ln>
                <a:noFill/>
              </a:ln>
              <a:effectLst/>
            </c:spPr>
            <c:txPr>
              <a:bodyPr rot="0" vert="horz"/>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Data'!$Y$14:$AL$14</c:f>
              <c:numCache>
                <c:formatCode>#\ #,#00</c:formatCode>
                <c:ptCount val="14"/>
                <c:pt idx="1">
                  <c:v>4.8262464878852267</c:v>
                </c:pt>
                <c:pt idx="2">
                  <c:v>-7.6499550640594824</c:v>
                </c:pt>
                <c:pt idx="3">
                  <c:v>-27.739408611569587</c:v>
                </c:pt>
                <c:pt idx="4">
                  <c:v>-21.561309786061177</c:v>
                </c:pt>
                <c:pt idx="5">
                  <c:v>76.374950132914151</c:v>
                </c:pt>
                <c:pt idx="6">
                  <c:v>-6.6195190947666198</c:v>
                </c:pt>
                <c:pt idx="7">
                  <c:v>-42.926385943653436</c:v>
                </c:pt>
                <c:pt idx="8">
                  <c:v>-16.454352441613587</c:v>
                </c:pt>
                <c:pt idx="9">
                  <c:v>1.588310038119441</c:v>
                </c:pt>
                <c:pt idx="10">
                  <c:v>8.5053158223889938</c:v>
                </c:pt>
                <c:pt idx="11">
                  <c:v>-0.57636887608069165</c:v>
                </c:pt>
                <c:pt idx="12">
                  <c:v>33.939710144927538</c:v>
                </c:pt>
                <c:pt idx="13">
                  <c:v>-18.501077707469509</c:v>
                </c:pt>
              </c:numCache>
            </c:numRef>
          </c:val>
          <c:smooth val="1"/>
          <c:extLst xmlns:c16r2="http://schemas.microsoft.com/office/drawing/2015/06/chart">
            <c:ext xmlns:c16="http://schemas.microsoft.com/office/drawing/2014/chart" uri="{C3380CC4-5D6E-409C-BE32-E72D297353CC}">
              <c16:uniqueId val="{00000007-FE39-1D4D-A220-BE8F28163B8D}"/>
            </c:ext>
          </c:extLst>
        </c:ser>
        <c:dLbls>
          <c:showLegendKey val="0"/>
          <c:showVal val="0"/>
          <c:showCatName val="0"/>
          <c:showSerName val="0"/>
          <c:showPercent val="0"/>
          <c:showBubbleSize val="0"/>
        </c:dLbls>
        <c:marker val="1"/>
        <c:smooth val="0"/>
        <c:axId val="-1567742128"/>
        <c:axId val="-1567740496"/>
      </c:lineChart>
      <c:catAx>
        <c:axId val="-1567742672"/>
        <c:scaling>
          <c:orientation val="minMax"/>
        </c:scaling>
        <c:delete val="0"/>
        <c:axPos val="b"/>
        <c:numFmt formatCode="General" sourceLinked="1"/>
        <c:majorTickMark val="cross"/>
        <c:minorTickMark val="none"/>
        <c:tickLblPos val="nextTo"/>
        <c:txPr>
          <a:bodyPr rot="0" vert="horz"/>
          <a:lstStyle/>
          <a:p>
            <a:pPr>
              <a:defRPr sz="800"/>
            </a:pPr>
            <a:endParaRPr lang="en-US"/>
          </a:p>
        </c:txPr>
        <c:crossAx val="-1567751920"/>
        <c:crosses val="autoZero"/>
        <c:auto val="0"/>
        <c:lblAlgn val="ctr"/>
        <c:lblOffset val="100"/>
        <c:tickLblSkip val="1"/>
        <c:tickMarkSkip val="1"/>
        <c:noMultiLvlLbl val="0"/>
      </c:catAx>
      <c:valAx>
        <c:axId val="-1567751920"/>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n-lt"/>
                    <a:ea typeface="+mn-ea"/>
                    <a:cs typeface="+mn-cs"/>
                  </a:rPr>
                  <a:t>Në miliard</a:t>
                </a:r>
              </a:p>
              <a:p>
                <a:pPr marL="0" marR="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solidFill>
                    <a:latin typeface="+mn-lt"/>
                    <a:ea typeface="+mn-ea"/>
                    <a:cs typeface="+mn-cs"/>
                  </a:defRPr>
                </a:pPr>
                <a:endParaRPr lang="en-US" sz="1000" b="0" i="0" u="none" strike="noStrike" kern="1200" baseline="0">
                  <a:solidFill>
                    <a:sysClr val="windowText" lastClr="000000"/>
                  </a:solidFill>
                  <a:latin typeface="+mn-lt"/>
                  <a:ea typeface="+mn-ea"/>
                  <a:cs typeface="+mn-cs"/>
                </a:endParaRPr>
              </a:p>
            </c:rich>
          </c:tx>
          <c:layout>
            <c:manualLayout>
              <c:xMode val="edge"/>
              <c:yMode val="edge"/>
              <c:x val="8.1632653061224497E-3"/>
              <c:y val="0.32586786202286644"/>
            </c:manualLayout>
          </c:layout>
          <c:overlay val="0"/>
        </c:title>
        <c:numFmt formatCode="#,##0" sourceLinked="1"/>
        <c:majorTickMark val="cross"/>
        <c:minorTickMark val="none"/>
        <c:tickLblPos val="nextTo"/>
        <c:txPr>
          <a:bodyPr rot="0" vert="horz"/>
          <a:lstStyle/>
          <a:p>
            <a:pPr>
              <a:defRPr sz="600"/>
            </a:pPr>
            <a:endParaRPr lang="en-US"/>
          </a:p>
        </c:txPr>
        <c:crossAx val="-1567742672"/>
        <c:crosses val="autoZero"/>
        <c:crossBetween val="between"/>
        <c:dispUnits>
          <c:builtInUnit val="thousands"/>
        </c:dispUnits>
      </c:valAx>
      <c:catAx>
        <c:axId val="-1567742128"/>
        <c:scaling>
          <c:orientation val="minMax"/>
        </c:scaling>
        <c:delete val="1"/>
        <c:axPos val="b"/>
        <c:numFmt formatCode="General" sourceLinked="1"/>
        <c:majorTickMark val="out"/>
        <c:minorTickMark val="none"/>
        <c:tickLblPos val="none"/>
        <c:crossAx val="-1567740496"/>
        <c:crosses val="autoZero"/>
        <c:auto val="0"/>
        <c:lblAlgn val="ctr"/>
        <c:lblOffset val="100"/>
        <c:noMultiLvlLbl val="0"/>
      </c:catAx>
      <c:valAx>
        <c:axId val="-1567740496"/>
        <c:scaling>
          <c:orientation val="minMax"/>
        </c:scaling>
        <c:delete val="0"/>
        <c:axPos val="r"/>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600" b="0" i="0" u="none" strike="noStrike" kern="1200" baseline="0">
                    <a:solidFill>
                      <a:sysClr val="windowText" lastClr="000000"/>
                    </a:solidFill>
                    <a:latin typeface="+mn-lt"/>
                    <a:ea typeface="+mn-ea"/>
                    <a:cs typeface="+mn-cs"/>
                  </a:defRPr>
                </a:pPr>
                <a:r>
                  <a:rPr lang="en-US" sz="600" b="0" i="0" u="none" strike="noStrike" kern="1200" baseline="0">
                    <a:solidFill>
                      <a:sysClr val="windowText" lastClr="000000"/>
                    </a:solidFill>
                    <a:latin typeface="+mn-lt"/>
                    <a:ea typeface="+mn-ea"/>
                    <a:cs typeface="+mn-cs"/>
                  </a:rPr>
                  <a:t>Në përqindje</a:t>
                </a:r>
              </a:p>
            </c:rich>
          </c:tx>
          <c:layout>
            <c:manualLayout>
              <c:xMode val="edge"/>
              <c:yMode val="edge"/>
              <c:x val="0.94693963254593283"/>
              <c:y val="0.28722168155946864"/>
            </c:manualLayout>
          </c:layout>
          <c:overlay val="0"/>
        </c:title>
        <c:numFmt formatCode="0" sourceLinked="0"/>
        <c:majorTickMark val="cross"/>
        <c:minorTickMark val="none"/>
        <c:tickLblPos val="nextTo"/>
        <c:txPr>
          <a:bodyPr rot="0" vert="horz"/>
          <a:lstStyle/>
          <a:p>
            <a:pPr>
              <a:defRPr sz="600"/>
            </a:pPr>
            <a:endParaRPr lang="en-US"/>
          </a:p>
        </c:txPr>
        <c:crossAx val="-1567742128"/>
        <c:crosses val="max"/>
        <c:crossBetween val="between"/>
      </c:valAx>
      <c:spPr>
        <a:noFill/>
      </c:spPr>
    </c:plotArea>
    <c:legend>
      <c:legendPos val="b"/>
      <c:layout>
        <c:manualLayout>
          <c:xMode val="edge"/>
          <c:yMode val="edge"/>
          <c:x val="0.17672526648454656"/>
          <c:y val="0.90470455238039171"/>
          <c:w val="0.64654946703090765"/>
          <c:h val="9.0301689816862818E-2"/>
        </c:manualLayout>
      </c:layout>
      <c:overlay val="0"/>
      <c:txPr>
        <a:bodyPr/>
        <a:lstStyle/>
        <a:p>
          <a:pPr>
            <a:defRPr sz="800" b="1"/>
          </a:pPr>
          <a:endParaRPr lang="en-US"/>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99389362044029"/>
          <c:y val="0.17228527433460006"/>
          <c:w val="0.79357887406931271"/>
          <c:h val="0.53183715120680886"/>
        </c:manualLayout>
      </c:layout>
      <c:barChart>
        <c:barDir val="col"/>
        <c:grouping val="stacked"/>
        <c:varyColors val="0"/>
        <c:ser>
          <c:idx val="0"/>
          <c:order val="0"/>
          <c:tx>
            <c:strRef>
              <c:f>'[Chart in Microsoft Word]Raw Data'!$B$17</c:f>
              <c:strCache>
                <c:ptCount val="1"/>
                <c:pt idx="0">
                  <c:v> Sigurime Shoqerore</c:v>
                </c:pt>
              </c:strCache>
            </c:strRef>
          </c:tx>
          <c:spPr>
            <a:solidFill>
              <a:srgbClr val="4F81BD">
                <a:lumMod val="40000"/>
                <a:lumOff val="60000"/>
              </a:srgbClr>
            </a:solidFill>
            <a:ln>
              <a:noFill/>
            </a:ln>
          </c:spPr>
          <c:invertIfNegative val="0"/>
          <c:dLbls>
            <c:numFmt formatCode="#,##0.0" sourceLinked="0"/>
            <c:spPr>
              <a:noFill/>
              <a:ln>
                <a:noFill/>
              </a:ln>
              <a:effectLst/>
            </c:spPr>
            <c:txPr>
              <a:bodyPr rot="0" vert="horz"/>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'[Chart in Microsoft Word]Raw Data'!$D$17:$Q$17</c:f>
              <c:numCache>
                <c:formatCode>#,##0</c:formatCode>
                <c:ptCount val="14"/>
                <c:pt idx="0">
                  <c:v>49005.740000000005</c:v>
                </c:pt>
                <c:pt idx="1">
                  <c:v>53783.044890030003</c:v>
                </c:pt>
                <c:pt idx="2">
                  <c:v>60823.798537949995</c:v>
                </c:pt>
                <c:pt idx="3">
                  <c:v>65823.019364070002</c:v>
                </c:pt>
                <c:pt idx="4">
                  <c:v>73744.468796561967</c:v>
                </c:pt>
                <c:pt idx="5">
                  <c:v>79316</c:v>
                </c:pt>
                <c:pt idx="6">
                  <c:v>85265</c:v>
                </c:pt>
                <c:pt idx="7">
                  <c:v>89860</c:v>
                </c:pt>
                <c:pt idx="8">
                  <c:v>95598</c:v>
                </c:pt>
                <c:pt idx="9">
                  <c:v>102794</c:v>
                </c:pt>
                <c:pt idx="10">
                  <c:v>107309</c:v>
                </c:pt>
                <c:pt idx="11">
                  <c:v>114276</c:v>
                </c:pt>
                <c:pt idx="12">
                  <c:v>119081.32</c:v>
                </c:pt>
                <c:pt idx="13">
                  <c:v>125363.56</c:v>
                </c:pt>
              </c:numCache>
            </c:numRef>
          </c:val>
        </c:ser>
        <c:ser>
          <c:idx val="1"/>
          <c:order val="1"/>
          <c:tx>
            <c:strRef>
              <c:f>'[Chart in Microsoft Word]Raw Data'!$B$18</c:f>
              <c:strCache>
                <c:ptCount val="1"/>
                <c:pt idx="0">
                  <c:v> Sigurime Shendetsore</c:v>
                </c:pt>
              </c:strCache>
            </c:strRef>
          </c:tx>
          <c:spPr>
            <a:solidFill>
              <a:srgbClr val="F79646">
                <a:alpha val="85000"/>
              </a:srgbClr>
            </a:solidFill>
            <a:ln>
              <a:noFill/>
            </a:ln>
          </c:spPr>
          <c:invertIfNegative val="0"/>
          <c:dLbls>
            <c:dLbl>
              <c:idx val="4"/>
              <c:layout>
                <c:manualLayout>
                  <c:x val="0"/>
                  <c:y val="-6.670834684990219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4.9886045027343644E-17"/>
                  <c:y val="-6.317732755315692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
                  <c:y val="-5.5455090585586911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
                  <c:y val="-9.78575992607665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
                  <c:y val="-9.49663314557590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0"/>
                  <c:y val="-8.926322411945697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2.7210884353741495E-3"/>
                  <c:y val="-8.188425884966626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8.034838341836483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2"/>
              <c:layout>
                <c:manualLayout>
                  <c:x val="-5.4423911296802184E-3"/>
                  <c:y val="-0.104448966351116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3"/>
              <c:layout>
                <c:manualLayout>
                  <c:x val="8.1632653061224497E-3"/>
                  <c:y val="-9.3223234736107399E-2"/>
                </c:manualLayout>
              </c:layout>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'[Chart in Microsoft Word]Raw Data'!$D$18:$Q$18</c:f>
              <c:numCache>
                <c:formatCode>#,##0</c:formatCode>
                <c:ptCount val="14"/>
                <c:pt idx="0">
                  <c:v>6870.3799999999992</c:v>
                </c:pt>
                <c:pt idx="1">
                  <c:v>6245.5408953099995</c:v>
                </c:pt>
                <c:pt idx="2">
                  <c:v>9068.4013558474981</c:v>
                </c:pt>
                <c:pt idx="3">
                  <c:v>10376.168930902491</c:v>
                </c:pt>
                <c:pt idx="4">
                  <c:v>22980.085900709997</c:v>
                </c:pt>
                <c:pt idx="5">
                  <c:v>25141</c:v>
                </c:pt>
                <c:pt idx="6">
                  <c:v>26974</c:v>
                </c:pt>
                <c:pt idx="7">
                  <c:v>28828</c:v>
                </c:pt>
                <c:pt idx="8">
                  <c:v>30147</c:v>
                </c:pt>
                <c:pt idx="9">
                  <c:v>32225</c:v>
                </c:pt>
                <c:pt idx="10">
                  <c:v>32695</c:v>
                </c:pt>
                <c:pt idx="11">
                  <c:v>34796</c:v>
                </c:pt>
                <c:pt idx="12">
                  <c:v>39090.06</c:v>
                </c:pt>
                <c:pt idx="13">
                  <c:v>40154.480000000003</c:v>
                </c:pt>
              </c:numCache>
            </c:numRef>
          </c:val>
        </c:ser>
        <c:dLbls>
          <c:showLegendKey val="0"/>
          <c:showVal val="0"/>
          <c:showCatName val="0"/>
          <c:showSerName val="0"/>
          <c:showPercent val="0"/>
          <c:showBubbleSize val="0"/>
        </c:dLbls>
        <c:gapWidth val="22"/>
        <c:overlap val="100"/>
        <c:axId val="-1567753552"/>
        <c:axId val="-1567761712"/>
      </c:barChart>
      <c:catAx>
        <c:axId val="-1567753552"/>
        <c:scaling>
          <c:orientation val="minMax"/>
        </c:scaling>
        <c:delete val="0"/>
        <c:axPos val="b"/>
        <c:numFmt formatCode="General" sourceLinked="1"/>
        <c:majorTickMark val="out"/>
        <c:minorTickMark val="none"/>
        <c:tickLblPos val="low"/>
        <c:txPr>
          <a:bodyPr rot="0" vert="horz"/>
          <a:lstStyle/>
          <a:p>
            <a:pPr>
              <a:defRPr sz="800"/>
            </a:pPr>
            <a:endParaRPr lang="en-US"/>
          </a:p>
        </c:txPr>
        <c:crossAx val="-1567761712"/>
        <c:crosses val="autoZero"/>
        <c:auto val="1"/>
        <c:lblAlgn val="ctr"/>
        <c:lblOffset val="100"/>
        <c:tickLblSkip val="1"/>
        <c:tickMarkSkip val="1"/>
        <c:noMultiLvlLbl val="0"/>
      </c:catAx>
      <c:valAx>
        <c:axId val="-1567761712"/>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latin typeface="+mn-lt"/>
                    <a:ea typeface="+mn-ea"/>
                    <a:cs typeface="+mn-cs"/>
                  </a:rPr>
                  <a:t>Në miliard</a:t>
                </a:r>
              </a:p>
              <a:p>
                <a:pPr marL="0" marR="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solidFill>
                    <a:latin typeface="+mn-lt"/>
                    <a:ea typeface="+mn-ea"/>
                    <a:cs typeface="+mn-cs"/>
                  </a:defRPr>
                </a:pPr>
                <a:endParaRPr lang="en-US" sz="1000" b="0" i="0" u="none" strike="noStrike" kern="1200" baseline="0">
                  <a:solidFill>
                    <a:sysClr val="windowText" lastClr="000000"/>
                  </a:solidFill>
                  <a:latin typeface="+mn-lt"/>
                  <a:ea typeface="+mn-ea"/>
                  <a:cs typeface="+mn-cs"/>
                </a:endParaRPr>
              </a:p>
            </c:rich>
          </c:tx>
          <c:layout>
            <c:manualLayout>
              <c:xMode val="edge"/>
              <c:yMode val="edge"/>
              <c:x val="1.7007231238952304E-2"/>
              <c:y val="0.32214731585518108"/>
            </c:manualLayout>
          </c:layout>
          <c:overlay val="0"/>
        </c:title>
        <c:numFmt formatCode="0.0" sourceLinked="0"/>
        <c:majorTickMark val="out"/>
        <c:minorTickMark val="none"/>
        <c:tickLblPos val="nextTo"/>
        <c:txPr>
          <a:bodyPr rot="0" vert="horz"/>
          <a:lstStyle/>
          <a:p>
            <a:pPr>
              <a:defRPr/>
            </a:pPr>
            <a:endParaRPr lang="en-US"/>
          </a:p>
        </c:txPr>
        <c:crossAx val="-1567753552"/>
        <c:crosses val="autoZero"/>
        <c:crossBetween val="between"/>
        <c:dispUnits>
          <c:builtInUnit val="thousands"/>
        </c:dispUnits>
      </c:valAx>
      <c:spPr>
        <a:noFill/>
      </c:spPr>
    </c:plotArea>
    <c:legend>
      <c:legendPos val="b"/>
      <c:layout>
        <c:manualLayout>
          <c:xMode val="edge"/>
          <c:yMode val="edge"/>
          <c:x val="0.23254858199545381"/>
          <c:y val="0.87640764005622895"/>
          <c:w val="0.64026182441480672"/>
          <c:h val="9.0301689816862818E-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33978565179353E-2"/>
          <c:y val="0.12923977723123595"/>
          <c:w val="0.85823308544765242"/>
          <c:h val="0.57488280066686592"/>
        </c:manualLayout>
      </c:layout>
      <c:barChart>
        <c:barDir val="col"/>
        <c:grouping val="stacked"/>
        <c:varyColors val="0"/>
        <c:ser>
          <c:idx val="0"/>
          <c:order val="0"/>
          <c:tx>
            <c:strRef>
              <c:f>'Raw Data'!$B$23</c:f>
              <c:strCache>
                <c:ptCount val="1"/>
                <c:pt idx="0">
                  <c:v>Ndihma Ekonomike</c:v>
                </c:pt>
              </c:strCache>
            </c:strRef>
          </c:tx>
          <c:spPr>
            <a:solidFill>
              <a:srgbClr val="4F81BD">
                <a:lumMod val="40000"/>
                <a:lumOff val="60000"/>
              </a:srgbClr>
            </a:solidFill>
            <a:ln>
              <a:noFill/>
            </a:ln>
          </c:spPr>
          <c:invertIfNegative val="0"/>
          <c:dLbls>
            <c:numFmt formatCode="#,##0.0" sourceLinked="0"/>
            <c:spPr>
              <a:noFill/>
              <a:ln>
                <a:noFill/>
              </a:ln>
              <a:effectLst/>
            </c:spPr>
            <c:txPr>
              <a:bodyPr rot="0" vert="horz"/>
              <a:lstStyle/>
              <a:p>
                <a:pPr>
                  <a:defRPr sz="700"/>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Data'!$D$23:$Q$23</c:f>
              <c:numCache>
                <c:formatCode>#,##0</c:formatCode>
                <c:ptCount val="14"/>
                <c:pt idx="0">
                  <c:v>9303.7799999999988</c:v>
                </c:pt>
                <c:pt idx="1">
                  <c:v>12837.648649999999</c:v>
                </c:pt>
                <c:pt idx="2">
                  <c:v>13491.407279999999</c:v>
                </c:pt>
                <c:pt idx="3">
                  <c:v>15925.05625</c:v>
                </c:pt>
                <c:pt idx="4">
                  <c:v>16061</c:v>
                </c:pt>
                <c:pt idx="5">
                  <c:v>16706</c:v>
                </c:pt>
                <c:pt idx="6">
                  <c:v>16369</c:v>
                </c:pt>
                <c:pt idx="7">
                  <c:v>18011</c:v>
                </c:pt>
                <c:pt idx="8">
                  <c:v>19370</c:v>
                </c:pt>
                <c:pt idx="9">
                  <c:v>22849</c:v>
                </c:pt>
                <c:pt idx="10">
                  <c:v>17662</c:v>
                </c:pt>
                <c:pt idx="11">
                  <c:v>20026</c:v>
                </c:pt>
                <c:pt idx="12">
                  <c:v>20713.79</c:v>
                </c:pt>
                <c:pt idx="13">
                  <c:v>20671</c:v>
                </c:pt>
              </c:numCache>
            </c:numRef>
          </c:val>
          <c:extLst xmlns:c16r2="http://schemas.microsoft.com/office/drawing/2015/06/chart">
            <c:ext xmlns:c16="http://schemas.microsoft.com/office/drawing/2014/chart" uri="{C3380CC4-5D6E-409C-BE32-E72D297353CC}">
              <c16:uniqueId val="{00000000-7C34-104A-A56E-0E33EA0F9D7F}"/>
            </c:ext>
          </c:extLst>
        </c:ser>
        <c:ser>
          <c:idx val="1"/>
          <c:order val="1"/>
          <c:tx>
            <c:strRef>
              <c:f>'Raw Data'!$B$22</c:f>
              <c:strCache>
                <c:ptCount val="1"/>
                <c:pt idx="0">
                  <c:v>Pagesa e Papunesise</c:v>
                </c:pt>
              </c:strCache>
            </c:strRef>
          </c:tx>
          <c:spPr>
            <a:solidFill>
              <a:srgbClr val="F79646">
                <a:alpha val="85000"/>
              </a:srgbClr>
            </a:solidFill>
            <a:ln>
              <a:noFill/>
            </a:ln>
          </c:spPr>
          <c:invertIfNegative val="0"/>
          <c:dLbls>
            <c:dLbl>
              <c:idx val="4"/>
              <c:layout>
                <c:manualLayout>
                  <c:x val="0"/>
                  <c:y val="-6.670834684990219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34-104A-A56E-0E33EA0F9D7F}"/>
                </c:ext>
                <c:ext xmlns:c15="http://schemas.microsoft.com/office/drawing/2012/chart" uri="{CE6537A1-D6FC-4f65-9D91-7224C49458BB}"/>
              </c:extLst>
            </c:dLbl>
            <c:dLbl>
              <c:idx val="5"/>
              <c:layout>
                <c:manualLayout>
                  <c:x val="-4.9886045027343644E-17"/>
                  <c:y val="-6.317732755315692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34-104A-A56E-0E33EA0F9D7F}"/>
                </c:ext>
                <c:ext xmlns:c15="http://schemas.microsoft.com/office/drawing/2012/chart" uri="{CE6537A1-D6FC-4f65-9D91-7224C49458BB}"/>
              </c:extLst>
            </c:dLbl>
            <c:dLbl>
              <c:idx val="6"/>
              <c:layout>
                <c:manualLayout>
                  <c:x val="0"/>
                  <c:y val="-5.545509058558691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34-104A-A56E-0E33EA0F9D7F}"/>
                </c:ext>
                <c:ext xmlns:c15="http://schemas.microsoft.com/office/drawing/2012/chart" uri="{CE6537A1-D6FC-4f65-9D91-7224C49458BB}"/>
              </c:extLst>
            </c:dLbl>
            <c:dLbl>
              <c:idx val="7"/>
              <c:layout>
                <c:manualLayout>
                  <c:x val="0"/>
                  <c:y val="-9.785759926076656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34-104A-A56E-0E33EA0F9D7F}"/>
                </c:ext>
                <c:ext xmlns:c15="http://schemas.microsoft.com/office/drawing/2012/chart" uri="{CE6537A1-D6FC-4f65-9D91-7224C49458BB}"/>
              </c:extLst>
            </c:dLbl>
            <c:dLbl>
              <c:idx val="8"/>
              <c:layout>
                <c:manualLayout>
                  <c:x val="0"/>
                  <c:y val="-9.496633145575904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34-104A-A56E-0E33EA0F9D7F}"/>
                </c:ext>
                <c:ext xmlns:c15="http://schemas.microsoft.com/office/drawing/2012/chart" uri="{CE6537A1-D6FC-4f65-9D91-7224C49458BB}"/>
              </c:extLst>
            </c:dLbl>
            <c:dLbl>
              <c:idx val="9"/>
              <c:layout>
                <c:manualLayout>
                  <c:x val="0"/>
                  <c:y val="-8.926322411945697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C34-104A-A56E-0E33EA0F9D7F}"/>
                </c:ext>
                <c:ext xmlns:c15="http://schemas.microsoft.com/office/drawing/2012/chart" uri="{CE6537A1-D6FC-4f65-9D91-7224C49458BB}"/>
              </c:extLst>
            </c:dLbl>
            <c:dLbl>
              <c:idx val="10"/>
              <c:layout>
                <c:manualLayout>
                  <c:x val="-2.7210884353741495E-3"/>
                  <c:y val="-8.188425884966626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C34-104A-A56E-0E33EA0F9D7F}"/>
                </c:ext>
                <c:ext xmlns:c15="http://schemas.microsoft.com/office/drawing/2012/chart" uri="{CE6537A1-D6FC-4f65-9D91-7224C49458BB}"/>
              </c:extLst>
            </c:dLbl>
            <c:dLbl>
              <c:idx val="11"/>
              <c:layout>
                <c:manualLayout>
                  <c:x val="0"/>
                  <c:y val="-8.034838341836483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C34-104A-A56E-0E33EA0F9D7F}"/>
                </c:ext>
                <c:ext xmlns:c15="http://schemas.microsoft.com/office/drawing/2012/chart" uri="{CE6537A1-D6FC-4f65-9D91-7224C49458BB}"/>
              </c:extLst>
            </c:dLbl>
            <c:dLbl>
              <c:idx val="12"/>
              <c:layout>
                <c:manualLayout>
                  <c:x val="-5.4423911296802184E-3"/>
                  <c:y val="-0.104448966351116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C34-104A-A56E-0E33EA0F9D7F}"/>
                </c:ext>
                <c:ext xmlns:c15="http://schemas.microsoft.com/office/drawing/2012/chart" uri="{CE6537A1-D6FC-4f65-9D91-7224C49458BB}"/>
              </c:extLst>
            </c:dLbl>
            <c:dLbl>
              <c:idx val="13"/>
              <c:layout>
                <c:manualLayout>
                  <c:x val="8.1632653061224497E-3"/>
                  <c:y val="-9.322323473610739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C34-104A-A56E-0E33EA0F9D7F}"/>
                </c:ext>
                <c:ext xmlns:c15="http://schemas.microsoft.com/office/drawing/2012/chart" uri="{CE6537A1-D6FC-4f65-9D91-7224C49458BB}"/>
              </c:extLst>
            </c:dLbl>
            <c:numFmt formatCode="#,##0.0" sourceLinked="0"/>
            <c:spPr>
              <a:noFill/>
              <a:ln>
                <a:noFill/>
              </a:ln>
              <a:effectLst/>
            </c:spPr>
            <c:txPr>
              <a:bodyPr rot="0" vert="horz"/>
              <a:lstStyle/>
              <a:p>
                <a:pPr>
                  <a:defRPr sz="7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'Raw Data'!$D$22:$Q$22</c:f>
              <c:numCache>
                <c:formatCode>#,##0</c:formatCode>
                <c:ptCount val="14"/>
                <c:pt idx="0">
                  <c:v>914.6</c:v>
                </c:pt>
                <c:pt idx="1">
                  <c:v>937.38715000000002</c:v>
                </c:pt>
                <c:pt idx="2">
                  <c:v>868.64877999999999</c:v>
                </c:pt>
                <c:pt idx="3">
                  <c:v>824.56371999999999</c:v>
                </c:pt>
                <c:pt idx="4">
                  <c:v>868.22937000000002</c:v>
                </c:pt>
                <c:pt idx="5">
                  <c:v>982</c:v>
                </c:pt>
                <c:pt idx="6">
                  <c:v>876</c:v>
                </c:pt>
                <c:pt idx="7">
                  <c:v>984</c:v>
                </c:pt>
                <c:pt idx="8">
                  <c:v>800</c:v>
                </c:pt>
                <c:pt idx="9">
                  <c:v>912</c:v>
                </c:pt>
                <c:pt idx="10">
                  <c:v>615</c:v>
                </c:pt>
                <c:pt idx="11">
                  <c:v>691</c:v>
                </c:pt>
                <c:pt idx="12">
                  <c:v>345.69</c:v>
                </c:pt>
                <c:pt idx="13">
                  <c:v>336</c:v>
                </c:pt>
              </c:numCache>
            </c:numRef>
          </c:val>
          <c:extLst xmlns:c16r2="http://schemas.microsoft.com/office/drawing/2015/06/chart">
            <c:ext xmlns:c16="http://schemas.microsoft.com/office/drawing/2014/chart" uri="{C3380CC4-5D6E-409C-BE32-E72D297353CC}">
              <c16:uniqueId val="{0000000B-7C34-104A-A56E-0E33EA0F9D7F}"/>
            </c:ext>
          </c:extLst>
        </c:ser>
        <c:dLbls>
          <c:showLegendKey val="0"/>
          <c:showVal val="0"/>
          <c:showCatName val="0"/>
          <c:showSerName val="0"/>
          <c:showPercent val="0"/>
          <c:showBubbleSize val="0"/>
        </c:dLbls>
        <c:gapWidth val="22"/>
        <c:overlap val="100"/>
        <c:axId val="-1567753008"/>
        <c:axId val="-1567751376"/>
      </c:barChart>
      <c:catAx>
        <c:axId val="-1567753008"/>
        <c:scaling>
          <c:orientation val="minMax"/>
        </c:scaling>
        <c:delete val="0"/>
        <c:axPos val="b"/>
        <c:numFmt formatCode="General" sourceLinked="1"/>
        <c:majorTickMark val="out"/>
        <c:minorTickMark val="none"/>
        <c:tickLblPos val="low"/>
        <c:txPr>
          <a:bodyPr rot="0" vert="horz"/>
          <a:lstStyle/>
          <a:p>
            <a:pPr>
              <a:defRPr sz="800"/>
            </a:pPr>
            <a:endParaRPr lang="en-US"/>
          </a:p>
        </c:txPr>
        <c:crossAx val="-1567751376"/>
        <c:crosses val="autoZero"/>
        <c:auto val="1"/>
        <c:lblAlgn val="ctr"/>
        <c:lblOffset val="100"/>
        <c:tickLblSkip val="1"/>
        <c:tickMarkSkip val="1"/>
        <c:noMultiLvlLbl val="0"/>
      </c:catAx>
      <c:valAx>
        <c:axId val="-1567751376"/>
        <c:scaling>
          <c:orientation val="minMax"/>
        </c:scaling>
        <c:delete val="0"/>
        <c:axPos val="l"/>
        <c:numFmt formatCode="0" sourceLinked="0"/>
        <c:majorTickMark val="out"/>
        <c:minorTickMark val="none"/>
        <c:tickLblPos val="nextTo"/>
        <c:txPr>
          <a:bodyPr rot="0" vert="horz"/>
          <a:lstStyle/>
          <a:p>
            <a:pPr>
              <a:defRPr sz="700"/>
            </a:pPr>
            <a:endParaRPr lang="en-US"/>
          </a:p>
        </c:txPr>
        <c:crossAx val="-1567753008"/>
        <c:crosses val="autoZero"/>
        <c:crossBetween val="between"/>
        <c:dispUnits>
          <c:builtInUnit val="thousands"/>
        </c:dispUnits>
      </c:valAx>
      <c:spPr>
        <a:noFill/>
      </c:spPr>
    </c:plotArea>
    <c:legend>
      <c:legendPos val="b"/>
      <c:layout>
        <c:manualLayout>
          <c:xMode val="edge"/>
          <c:yMode val="edge"/>
          <c:x val="0.18856718431029454"/>
          <c:y val="0.87640780684404984"/>
          <c:w val="0.64026182441480672"/>
          <c:h val="9.0301689816862818E-2"/>
        </c:manualLayout>
      </c:layout>
      <c:overlay val="0"/>
      <c:txPr>
        <a:bodyPr/>
        <a:lstStyle/>
        <a:p>
          <a:pPr>
            <a:defRPr sz="800" b="1"/>
          </a:pPr>
          <a:endParaRPr lang="en-US"/>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6196786377312"/>
          <c:y val="0.17228527433460006"/>
          <c:w val="0.82351087211659513"/>
          <c:h val="0.53183715120680886"/>
        </c:manualLayout>
      </c:layout>
      <c:barChart>
        <c:barDir val="col"/>
        <c:grouping val="stacked"/>
        <c:varyColors val="0"/>
        <c:ser>
          <c:idx val="0"/>
          <c:order val="0"/>
          <c:tx>
            <c:strRef>
              <c:f>'[Chart in Microsoft Word]Raw Data'!$B$29</c:f>
              <c:strCache>
                <c:ptCount val="1"/>
                <c:pt idx="0">
                  <c:v>Financimi Brendshem  </c:v>
                </c:pt>
              </c:strCache>
            </c:strRef>
          </c:tx>
          <c:spPr>
            <a:solidFill>
              <a:srgbClr val="4F81BD">
                <a:lumMod val="75000"/>
              </a:srgbClr>
            </a:solidFill>
          </c:spPr>
          <c:invertIfNegative val="0"/>
          <c:dLbls>
            <c:numFmt formatCode="#,##0.0" sourceLinked="0"/>
            <c:spPr>
              <a:noFill/>
              <a:ln>
                <a:noFill/>
              </a:ln>
              <a:effectLst/>
            </c:spPr>
            <c:txPr>
              <a:bodyPr rot="0" vert="horz"/>
              <a:lstStyle/>
              <a:p>
                <a:pPr>
                  <a:defRPr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'[Chart in Microsoft Word]Raw Data'!$D$29:$Q$29</c:f>
              <c:numCache>
                <c:formatCode>#,##0</c:formatCode>
                <c:ptCount val="14"/>
                <c:pt idx="0">
                  <c:v>24321.867000000002</c:v>
                </c:pt>
                <c:pt idx="1">
                  <c:v>35439.832919999993</c:v>
                </c:pt>
                <c:pt idx="2">
                  <c:v>48220.448079999995</c:v>
                </c:pt>
                <c:pt idx="3">
                  <c:v>50046.035100061999</c:v>
                </c:pt>
                <c:pt idx="4">
                  <c:v>75599.733300564185</c:v>
                </c:pt>
                <c:pt idx="5">
                  <c:v>46642</c:v>
                </c:pt>
                <c:pt idx="6">
                  <c:v>41097</c:v>
                </c:pt>
                <c:pt idx="7">
                  <c:v>27398.400000000001</c:v>
                </c:pt>
                <c:pt idx="8">
                  <c:v>36701</c:v>
                </c:pt>
                <c:pt idx="9">
                  <c:v>33964</c:v>
                </c:pt>
                <c:pt idx="10">
                  <c:v>38133</c:v>
                </c:pt>
                <c:pt idx="11">
                  <c:v>39118</c:v>
                </c:pt>
                <c:pt idx="12">
                  <c:v>46176.82</c:v>
                </c:pt>
                <c:pt idx="13">
                  <c:v>51552.13</c:v>
                </c:pt>
              </c:numCache>
            </c:numRef>
          </c:val>
        </c:ser>
        <c:ser>
          <c:idx val="1"/>
          <c:order val="1"/>
          <c:tx>
            <c:strRef>
              <c:f>'[Chart in Microsoft Word]Raw Data'!$B$31</c:f>
              <c:strCache>
                <c:ptCount val="1"/>
                <c:pt idx="0">
                  <c:v>Financimi Huaj    </c:v>
                </c:pt>
              </c:strCache>
            </c:strRef>
          </c:tx>
          <c:spPr>
            <a:solidFill>
              <a:srgbClr val="1F497D">
                <a:lumMod val="40000"/>
                <a:lumOff val="60000"/>
                <a:alpha val="85000"/>
              </a:srgbClr>
            </a:solidFill>
          </c:spPr>
          <c:invertIfNegative val="0"/>
          <c:dLbls>
            <c:numFmt formatCode="#,##0.0" sourceLinked="0"/>
            <c:spPr>
              <a:noFill/>
              <a:ln>
                <a:noFill/>
              </a:ln>
              <a:effectLst/>
            </c:spPr>
            <c:txPr>
              <a:bodyPr rot="0" vert="horz"/>
              <a:lstStyle/>
              <a:p>
                <a:pPr>
                  <a:defRPr b="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'[Chart in Microsoft Word]Raw Data'!$D$31:$Q$31</c:f>
              <c:numCache>
                <c:formatCode>#,##0</c:formatCode>
                <c:ptCount val="14"/>
                <c:pt idx="0">
                  <c:v>14054.159999999998</c:v>
                </c:pt>
                <c:pt idx="1">
                  <c:v>15668.244113920999</c:v>
                </c:pt>
                <c:pt idx="2">
                  <c:v>8819.1020360499988</c:v>
                </c:pt>
                <c:pt idx="3">
                  <c:v>43586.912813232993</c:v>
                </c:pt>
                <c:pt idx="4">
                  <c:v>20281.260632650159</c:v>
                </c:pt>
                <c:pt idx="5">
                  <c:v>20850</c:v>
                </c:pt>
                <c:pt idx="6">
                  <c:v>27982</c:v>
                </c:pt>
                <c:pt idx="7">
                  <c:v>34257.4</c:v>
                </c:pt>
                <c:pt idx="8">
                  <c:v>28776</c:v>
                </c:pt>
                <c:pt idx="9">
                  <c:v>26785</c:v>
                </c:pt>
                <c:pt idx="10">
                  <c:v>24926</c:v>
                </c:pt>
                <c:pt idx="11">
                  <c:v>20360</c:v>
                </c:pt>
                <c:pt idx="12">
                  <c:v>22278.46</c:v>
                </c:pt>
                <c:pt idx="13">
                  <c:v>26209.78</c:v>
                </c:pt>
              </c:numCache>
            </c:numRef>
          </c:val>
        </c:ser>
        <c:dLbls>
          <c:showLegendKey val="0"/>
          <c:showVal val="0"/>
          <c:showCatName val="0"/>
          <c:showSerName val="0"/>
          <c:showPercent val="0"/>
          <c:showBubbleSize val="0"/>
        </c:dLbls>
        <c:gapWidth val="22"/>
        <c:overlap val="100"/>
        <c:axId val="-1567746480"/>
        <c:axId val="-1567745936"/>
      </c:barChart>
      <c:lineChart>
        <c:grouping val="standard"/>
        <c:varyColors val="0"/>
        <c:ser>
          <c:idx val="2"/>
          <c:order val="2"/>
          <c:tx>
            <c:strRef>
              <c:f>'[Chart in Microsoft Word]Raw Data'!$B$28</c:f>
              <c:strCache>
                <c:ptCount val="1"/>
                <c:pt idx="0">
                  <c:v>Shpenzime Kapitale</c:v>
                </c:pt>
              </c:strCache>
            </c:strRef>
          </c:tx>
          <c:spPr>
            <a:ln w="38100">
              <a:solidFill>
                <a:srgbClr val="F79646">
                  <a:alpha val="62000"/>
                </a:srgbClr>
              </a:solidFill>
            </a:ln>
          </c:spPr>
          <c:marker>
            <c:symbol val="none"/>
          </c:marker>
          <c:dLbls>
            <c:numFmt formatCode="#,##0" sourceLinked="0"/>
            <c:spPr>
              <a:noFill/>
              <a:ln>
                <a:noFill/>
              </a:ln>
              <a:effectLst/>
            </c:spPr>
            <c:txPr>
              <a:bodyPr/>
              <a:lstStyle/>
              <a:p>
                <a:pPr>
                  <a:defRPr sz="800" b="1">
                    <a:solidFill>
                      <a:schemeClr val="accent2">
                        <a:lumMod val="50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Word]Raw Data'!$D$4:$Q$4</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'[Chart in Microsoft Word]Raw Data'!$D$28:$Q$28</c:f>
              <c:numCache>
                <c:formatCode>#,##0</c:formatCode>
                <c:ptCount val="14"/>
                <c:pt idx="0">
                  <c:v>38376.027000000002</c:v>
                </c:pt>
                <c:pt idx="1">
                  <c:v>51108.077033920992</c:v>
                </c:pt>
                <c:pt idx="2">
                  <c:v>57039.550116049992</c:v>
                </c:pt>
                <c:pt idx="3">
                  <c:v>93782.947913294993</c:v>
                </c:pt>
                <c:pt idx="4">
                  <c:v>95880.99393321434</c:v>
                </c:pt>
                <c:pt idx="5">
                  <c:v>67492</c:v>
                </c:pt>
                <c:pt idx="6">
                  <c:v>69079</c:v>
                </c:pt>
                <c:pt idx="7">
                  <c:v>61655.8</c:v>
                </c:pt>
                <c:pt idx="8">
                  <c:v>65477</c:v>
                </c:pt>
                <c:pt idx="9">
                  <c:v>60749</c:v>
                </c:pt>
                <c:pt idx="10">
                  <c:v>63059</c:v>
                </c:pt>
                <c:pt idx="11">
                  <c:v>59478</c:v>
                </c:pt>
                <c:pt idx="12">
                  <c:v>68455.28</c:v>
                </c:pt>
                <c:pt idx="13">
                  <c:v>78434.38</c:v>
                </c:pt>
              </c:numCache>
            </c:numRef>
          </c:val>
          <c:smooth val="0"/>
        </c:ser>
        <c:dLbls>
          <c:showLegendKey val="0"/>
          <c:showVal val="0"/>
          <c:showCatName val="0"/>
          <c:showSerName val="0"/>
          <c:showPercent val="0"/>
          <c:showBubbleSize val="0"/>
        </c:dLbls>
        <c:marker val="1"/>
        <c:smooth val="0"/>
        <c:axId val="-1567746480"/>
        <c:axId val="-1567745936"/>
      </c:lineChart>
      <c:catAx>
        <c:axId val="-1567746480"/>
        <c:scaling>
          <c:orientation val="minMax"/>
        </c:scaling>
        <c:delete val="0"/>
        <c:axPos val="b"/>
        <c:numFmt formatCode="General" sourceLinked="1"/>
        <c:majorTickMark val="out"/>
        <c:minorTickMark val="none"/>
        <c:tickLblPos val="low"/>
        <c:txPr>
          <a:bodyPr rot="0" vert="horz"/>
          <a:lstStyle/>
          <a:p>
            <a:pPr>
              <a:defRPr sz="800"/>
            </a:pPr>
            <a:endParaRPr lang="en-US"/>
          </a:p>
        </c:txPr>
        <c:crossAx val="-1567745936"/>
        <c:crosses val="autoZero"/>
        <c:auto val="1"/>
        <c:lblAlgn val="ctr"/>
        <c:lblOffset val="100"/>
        <c:tickLblSkip val="1"/>
        <c:tickMarkSkip val="1"/>
        <c:noMultiLvlLbl val="0"/>
      </c:catAx>
      <c:valAx>
        <c:axId val="-1567745936"/>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latin typeface="+mn-lt"/>
                    <a:ea typeface="+mn-ea"/>
                    <a:cs typeface="+mn-cs"/>
                  </a:rPr>
                  <a:t>Në miliard</a:t>
                </a:r>
              </a:p>
              <a:p>
                <a:pPr marL="0" marR="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solidFill>
                    <a:latin typeface="+mn-lt"/>
                    <a:ea typeface="+mn-ea"/>
                    <a:cs typeface="+mn-cs"/>
                  </a:defRPr>
                </a:pPr>
                <a:endParaRPr lang="en-US" sz="900" b="0" i="0" u="none" strike="noStrike" kern="1200" baseline="0">
                  <a:solidFill>
                    <a:sysClr val="windowText" lastClr="000000"/>
                  </a:solidFill>
                  <a:latin typeface="+mn-lt"/>
                  <a:ea typeface="+mn-ea"/>
                  <a:cs typeface="+mn-cs"/>
                </a:endParaRPr>
              </a:p>
            </c:rich>
          </c:tx>
          <c:layout>
            <c:manualLayout>
              <c:xMode val="edge"/>
              <c:yMode val="edge"/>
              <c:x val="1.7007231238952304E-2"/>
              <c:y val="0.32214731585518108"/>
            </c:manualLayout>
          </c:layout>
          <c:overlay val="0"/>
        </c:title>
        <c:numFmt formatCode="0" sourceLinked="0"/>
        <c:majorTickMark val="out"/>
        <c:minorTickMark val="none"/>
        <c:tickLblPos val="nextTo"/>
        <c:txPr>
          <a:bodyPr rot="0" vert="horz"/>
          <a:lstStyle/>
          <a:p>
            <a:pPr>
              <a:defRPr/>
            </a:pPr>
            <a:endParaRPr lang="en-US"/>
          </a:p>
        </c:txPr>
        <c:crossAx val="-1567746480"/>
        <c:crosses val="autoZero"/>
        <c:crossBetween val="between"/>
        <c:dispUnits>
          <c:builtInUnit val="thousands"/>
        </c:dispUnits>
      </c:valAx>
      <c:spPr>
        <a:solidFill>
          <a:srgbClr val="4F81BD">
            <a:lumMod val="20000"/>
            <a:lumOff val="80000"/>
          </a:srgbClr>
        </a:solidFill>
      </c:spPr>
    </c:plotArea>
    <c:legend>
      <c:legendPos val="b"/>
      <c:layout>
        <c:manualLayout>
          <c:xMode val="edge"/>
          <c:yMode val="edge"/>
          <c:x val="0.23254858199545381"/>
          <c:y val="0.87640764005622895"/>
          <c:w val="0.64506570234816607"/>
          <c:h val="8.2008677486742731E-2"/>
        </c:manualLayout>
      </c:layout>
      <c:overlay val="0"/>
      <c:txPr>
        <a:bodyPr/>
        <a:lstStyle/>
        <a:p>
          <a:pPr>
            <a:defRPr sz="800"/>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9595101226853"/>
          <c:y val="8.1702613260298984E-2"/>
          <c:w val="0.87290199775176203"/>
          <c:h val="0.67132146525162606"/>
        </c:manualLayout>
      </c:layout>
      <c:barChart>
        <c:barDir val="col"/>
        <c:grouping val="clustered"/>
        <c:varyColors val="0"/>
        <c:ser>
          <c:idx val="0"/>
          <c:order val="0"/>
          <c:tx>
            <c:strRef>
              <c:f>'Te dhenat e grupuara vjetore'!$C$23</c:f>
              <c:strCache>
                <c:ptCount val="1"/>
                <c:pt idx="0">
                  <c:v>2018</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e grupuara vjetore'!$D$22:$I$22</c:f>
              <c:strCache>
                <c:ptCount val="6"/>
                <c:pt idx="0">
                  <c:v>Paga</c:v>
                </c:pt>
                <c:pt idx="1">
                  <c:v>Sigurime</c:v>
                </c:pt>
                <c:pt idx="2">
                  <c:v>Operative</c:v>
                </c:pt>
                <c:pt idx="3">
                  <c:v>Subvencione</c:v>
                </c:pt>
                <c:pt idx="4">
                  <c:v>Te tjera</c:v>
                </c:pt>
                <c:pt idx="5">
                  <c:v>Investime</c:v>
                </c:pt>
              </c:strCache>
            </c:strRef>
          </c:cat>
          <c:val>
            <c:numRef>
              <c:f>'Te dhenat e grupuara vjetore'!$D$23:$I$23</c:f>
              <c:numCache>
                <c:formatCode>#,##0</c:formatCode>
                <c:ptCount val="6"/>
                <c:pt idx="0">
                  <c:v>17769.565960010001</c:v>
                </c:pt>
                <c:pt idx="1">
                  <c:v>2919.6977380000012</c:v>
                </c:pt>
                <c:pt idx="2">
                  <c:v>13475.485760920001</c:v>
                </c:pt>
                <c:pt idx="3">
                  <c:v>126.74631100000001</c:v>
                </c:pt>
                <c:pt idx="4">
                  <c:v>1091.9425366</c:v>
                </c:pt>
                <c:pt idx="5">
                  <c:v>14222.60965721</c:v>
                </c:pt>
              </c:numCache>
            </c:numRef>
          </c:val>
          <c:extLst xmlns:c16r2="http://schemas.microsoft.com/office/drawing/2015/06/chart">
            <c:ext xmlns:c16="http://schemas.microsoft.com/office/drawing/2014/chart" uri="{C3380CC4-5D6E-409C-BE32-E72D297353CC}">
              <c16:uniqueId val="{00000000-7959-0B49-B435-7E72AAE814EC}"/>
            </c:ext>
          </c:extLst>
        </c:ser>
        <c:ser>
          <c:idx val="1"/>
          <c:order val="1"/>
          <c:tx>
            <c:strRef>
              <c:f>'Te dhenat e grupuara vjetore'!$C$24</c:f>
              <c:strCache>
                <c:ptCount val="1"/>
                <c:pt idx="0">
                  <c:v>2017</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e grupuara vjetore'!$D$22:$I$22</c:f>
              <c:strCache>
                <c:ptCount val="6"/>
                <c:pt idx="0">
                  <c:v>Paga</c:v>
                </c:pt>
                <c:pt idx="1">
                  <c:v>Sigurime</c:v>
                </c:pt>
                <c:pt idx="2">
                  <c:v>Operative</c:v>
                </c:pt>
                <c:pt idx="3">
                  <c:v>Subvencione</c:v>
                </c:pt>
                <c:pt idx="4">
                  <c:v>Te tjera</c:v>
                </c:pt>
                <c:pt idx="5">
                  <c:v>Investime</c:v>
                </c:pt>
              </c:strCache>
            </c:strRef>
          </c:cat>
          <c:val>
            <c:numRef>
              <c:f>'Te dhenat e grupuara vjetore'!$D$24:$I$24</c:f>
              <c:numCache>
                <c:formatCode>#,##0</c:formatCode>
                <c:ptCount val="6"/>
                <c:pt idx="0">
                  <c:v>16387</c:v>
                </c:pt>
                <c:pt idx="1">
                  <c:v>2731</c:v>
                </c:pt>
                <c:pt idx="2">
                  <c:v>10132</c:v>
                </c:pt>
                <c:pt idx="3">
                  <c:v>142</c:v>
                </c:pt>
                <c:pt idx="4">
                  <c:v>812</c:v>
                </c:pt>
                <c:pt idx="5">
                  <c:v>16283</c:v>
                </c:pt>
              </c:numCache>
            </c:numRef>
          </c:val>
          <c:extLst xmlns:c16r2="http://schemas.microsoft.com/office/drawing/2015/06/chart">
            <c:ext xmlns:c16="http://schemas.microsoft.com/office/drawing/2014/chart" uri="{C3380CC4-5D6E-409C-BE32-E72D297353CC}">
              <c16:uniqueId val="{00000001-7959-0B49-B435-7E72AAE814EC}"/>
            </c:ext>
          </c:extLst>
        </c:ser>
        <c:dLbls>
          <c:showLegendKey val="0"/>
          <c:showVal val="0"/>
          <c:showCatName val="0"/>
          <c:showSerName val="0"/>
          <c:showPercent val="0"/>
          <c:showBubbleSize val="0"/>
        </c:dLbls>
        <c:gapWidth val="48"/>
        <c:overlap val="-3"/>
        <c:axId val="-1761928416"/>
        <c:axId val="-1761919712"/>
      </c:barChart>
      <c:catAx>
        <c:axId val="-176192841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61919712"/>
        <c:crosses val="autoZero"/>
        <c:auto val="1"/>
        <c:lblAlgn val="ctr"/>
        <c:lblOffset val="100"/>
        <c:noMultiLvlLbl val="0"/>
      </c:catAx>
      <c:valAx>
        <c:axId val="-1761919712"/>
        <c:scaling>
          <c:orientation val="minMax"/>
        </c:scaling>
        <c:delete val="0"/>
        <c:axPos val="l"/>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61928416"/>
        <c:crosses val="autoZero"/>
        <c:crossBetween val="between"/>
      </c:valAx>
      <c:spPr>
        <a:solidFill>
          <a:schemeClr val="bg1"/>
        </a:solidFill>
        <a:ln>
          <a:noFill/>
        </a:ln>
        <a:effectLst>
          <a:glow rad="127000">
            <a:schemeClr val="bg1"/>
          </a:glow>
          <a:outerShdw blurRad="50800" dist="50800" dir="5400000" algn="ctr" rotWithShape="0">
            <a:schemeClr val="bg1"/>
          </a:outerShdw>
        </a:effectLst>
      </c:spPr>
    </c:plotArea>
    <c:legend>
      <c:legendPos val="r"/>
      <c:layout>
        <c:manualLayout>
          <c:xMode val="edge"/>
          <c:yMode val="edge"/>
          <c:x val="0.115341250660499"/>
          <c:y val="0.90404264574030802"/>
          <c:w val="0.70713650892648305"/>
          <c:h val="9.59575622667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Stoku i detyrimeve te MIE dhe ministrive te tjera</a:t>
            </a:r>
          </a:p>
        </c:rich>
      </c:tx>
      <c:layout>
        <c:manualLayout>
          <c:xMode val="edge"/>
          <c:yMode val="edge"/>
          <c:x val="0.1022008547008547"/>
          <c:y val="0"/>
        </c:manualLayout>
      </c:layout>
      <c:overlay val="0"/>
    </c:title>
    <c:autoTitleDeleted val="0"/>
    <c:plotArea>
      <c:layout>
        <c:manualLayout>
          <c:layoutTarget val="inner"/>
          <c:xMode val="edge"/>
          <c:yMode val="edge"/>
          <c:x val="8.7797294568948109E-2"/>
          <c:y val="0.24617831337804355"/>
          <c:w val="0.68857241402516989"/>
          <c:h val="0.63361399132039187"/>
        </c:manualLayout>
      </c:layout>
      <c:barChart>
        <c:barDir val="col"/>
        <c:grouping val="stacked"/>
        <c:varyColors val="0"/>
        <c:ser>
          <c:idx val="1"/>
          <c:order val="1"/>
          <c:tx>
            <c:strRef>
              <c:f>'Stok Grafik cnt (2)'!$C$111</c:f>
              <c:strCache>
                <c:ptCount val="1"/>
                <c:pt idx="0">
                  <c:v>MEI</c:v>
                </c:pt>
              </c:strCache>
            </c:strRef>
          </c:tx>
          <c:spPr>
            <a:solidFill>
              <a:srgbClr val="4472C4">
                <a:lumMod val="75000"/>
              </a:srgbClr>
            </a:solidFill>
          </c:spPr>
          <c:invertIfNegative val="0"/>
          <c:dLbls>
            <c:numFmt formatCode="#,##0.0" sourceLinked="0"/>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'Stok Grafik cnt (2)'!$H$108:$K$108</c:f>
              <c:strCache>
                <c:ptCount val="4"/>
                <c:pt idx="0">
                  <c:v>Janar -Mars 2018</c:v>
                </c:pt>
                <c:pt idx="1">
                  <c:v>Prill - Qershor 2018</c:v>
                </c:pt>
                <c:pt idx="2">
                  <c:v>Korrik-Shtator 2018</c:v>
                </c:pt>
                <c:pt idx="3">
                  <c:v>Tetor-Dhjetor 2018</c:v>
                </c:pt>
              </c:strCache>
            </c:strRef>
          </c:cat>
          <c:val>
            <c:numRef>
              <c:f>'Stok Grafik cnt (2)'!$H$111:$K$111</c:f>
              <c:numCache>
                <c:formatCode>General</c:formatCode>
                <c:ptCount val="4"/>
                <c:pt idx="0">
                  <c:v>1461.4</c:v>
                </c:pt>
                <c:pt idx="1">
                  <c:v>2439</c:v>
                </c:pt>
                <c:pt idx="2" formatCode="0.0">
                  <c:v>3480.8</c:v>
                </c:pt>
                <c:pt idx="3" formatCode="0.0">
                  <c:v>3236.9259999999999</c:v>
                </c:pt>
              </c:numCache>
            </c:numRef>
          </c:val>
        </c:ser>
        <c:ser>
          <c:idx val="2"/>
          <c:order val="2"/>
          <c:tx>
            <c:strRef>
              <c:f>'Stok Grafik cnt (2)'!$C$112</c:f>
              <c:strCache>
                <c:ptCount val="1"/>
                <c:pt idx="0">
                  <c:v>ML te tjera</c:v>
                </c:pt>
              </c:strCache>
            </c:strRef>
          </c:tx>
          <c:spPr>
            <a:solidFill>
              <a:srgbClr val="4F81BD">
                <a:lumMod val="60000"/>
                <a:lumOff val="40000"/>
              </a:srgbClr>
            </a:solidFill>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'Stok Grafik cnt (2)'!$H$108:$K$108</c:f>
              <c:strCache>
                <c:ptCount val="4"/>
                <c:pt idx="0">
                  <c:v>Janar -Mars 2018</c:v>
                </c:pt>
                <c:pt idx="1">
                  <c:v>Prill - Qershor 2018</c:v>
                </c:pt>
                <c:pt idx="2">
                  <c:v>Korrik-Shtator 2018</c:v>
                </c:pt>
                <c:pt idx="3">
                  <c:v>Tetor-Dhjetor 2018</c:v>
                </c:pt>
              </c:strCache>
            </c:strRef>
          </c:cat>
          <c:val>
            <c:numRef>
              <c:f>'Stok Grafik cnt (2)'!$H$112:$K$112</c:f>
              <c:numCache>
                <c:formatCode>General</c:formatCode>
                <c:ptCount val="4"/>
                <c:pt idx="0">
                  <c:v>2727.2000000000003</c:v>
                </c:pt>
                <c:pt idx="1">
                  <c:v>3325.7</c:v>
                </c:pt>
                <c:pt idx="2" formatCode="0.0">
                  <c:v>3447.7</c:v>
                </c:pt>
                <c:pt idx="3" formatCode="0.0">
                  <c:v>2939.1620000000007</c:v>
                </c:pt>
              </c:numCache>
            </c:numRef>
          </c:val>
        </c:ser>
        <c:dLbls>
          <c:showLegendKey val="0"/>
          <c:showVal val="0"/>
          <c:showCatName val="0"/>
          <c:showSerName val="0"/>
          <c:showPercent val="0"/>
          <c:showBubbleSize val="0"/>
        </c:dLbls>
        <c:gapWidth val="55"/>
        <c:overlap val="100"/>
        <c:axId val="-1761923520"/>
        <c:axId val="-1761914272"/>
      </c:barChart>
      <c:lineChart>
        <c:grouping val="standard"/>
        <c:varyColors val="0"/>
        <c:ser>
          <c:idx val="0"/>
          <c:order val="0"/>
          <c:tx>
            <c:strRef>
              <c:f>'Stok Grafik cnt (2)'!$C$110</c:f>
              <c:strCache>
                <c:ptCount val="1"/>
                <c:pt idx="0">
                  <c:v>Total Detyrime te Prapambetura</c:v>
                </c:pt>
              </c:strCache>
            </c:strRef>
          </c:tx>
          <c:spPr>
            <a:ln>
              <a:solidFill>
                <a:srgbClr val="FF0000"/>
              </a:solidFill>
            </a:ln>
          </c:spPr>
          <c:marker>
            <c:spPr>
              <a:solidFill>
                <a:srgbClr val="C00000"/>
              </a:solidFill>
            </c:spPr>
          </c:marker>
          <c:dLbls>
            <c:dLbl>
              <c:idx val="0"/>
              <c:layout>
                <c:manualLayout>
                  <c:x val="-3.5417658382425221E-2"/>
                  <c:y val="-0.12924663098439509"/>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'Stok Grafik cnt (2)'!$H$107:$L$107</c:f>
              <c:strCache>
                <c:ptCount val="5"/>
                <c:pt idx="0">
                  <c:v>Mars 2018</c:v>
                </c:pt>
                <c:pt idx="1">
                  <c:v>Qershor 2018</c:v>
                </c:pt>
                <c:pt idx="2">
                  <c:v>Shtator 2018</c:v>
                </c:pt>
                <c:pt idx="3">
                  <c:v>Dhjetor 2018</c:v>
                </c:pt>
                <c:pt idx="4">
                  <c:v>Mars 2019</c:v>
                </c:pt>
              </c:strCache>
            </c:strRef>
          </c:cat>
          <c:val>
            <c:numRef>
              <c:f>'Stok Grafik cnt (2)'!$H$110:$K$110</c:f>
              <c:numCache>
                <c:formatCode>General</c:formatCode>
                <c:ptCount val="4"/>
                <c:pt idx="0">
                  <c:v>4188.6000000000004</c:v>
                </c:pt>
                <c:pt idx="1">
                  <c:v>5764.7</c:v>
                </c:pt>
                <c:pt idx="2" formatCode="0.0">
                  <c:v>6928.5</c:v>
                </c:pt>
                <c:pt idx="3" formatCode="0.0">
                  <c:v>6176.0880000000006</c:v>
                </c:pt>
              </c:numCache>
            </c:numRef>
          </c:val>
          <c:smooth val="0"/>
        </c:ser>
        <c:dLbls>
          <c:showLegendKey val="0"/>
          <c:showVal val="0"/>
          <c:showCatName val="0"/>
          <c:showSerName val="0"/>
          <c:showPercent val="0"/>
          <c:showBubbleSize val="0"/>
        </c:dLbls>
        <c:marker val="1"/>
        <c:smooth val="0"/>
        <c:axId val="-1761923520"/>
        <c:axId val="-1761914272"/>
      </c:lineChart>
      <c:catAx>
        <c:axId val="-1761923520"/>
        <c:scaling>
          <c:orientation val="minMax"/>
        </c:scaling>
        <c:delete val="0"/>
        <c:axPos val="b"/>
        <c:numFmt formatCode="General" sourceLinked="1"/>
        <c:majorTickMark val="none"/>
        <c:minorTickMark val="none"/>
        <c:tickLblPos val="nextTo"/>
        <c:crossAx val="-1761914272"/>
        <c:crosses val="autoZero"/>
        <c:auto val="1"/>
        <c:lblAlgn val="ctr"/>
        <c:lblOffset val="100"/>
        <c:noMultiLvlLbl val="0"/>
      </c:catAx>
      <c:valAx>
        <c:axId val="-1761914272"/>
        <c:scaling>
          <c:orientation val="minMax"/>
        </c:scaling>
        <c:delete val="0"/>
        <c:axPos val="l"/>
        <c:numFmt formatCode="General" sourceLinked="1"/>
        <c:majorTickMark val="none"/>
        <c:minorTickMark val="none"/>
        <c:tickLblPos val="nextTo"/>
        <c:crossAx val="-1761923520"/>
        <c:crosses val="autoZero"/>
        <c:crossBetween val="between"/>
      </c:valAx>
    </c:plotArea>
    <c:legend>
      <c:legendPos val="r"/>
      <c:layout>
        <c:manualLayout>
          <c:xMode val="edge"/>
          <c:yMode val="edge"/>
          <c:x val="0.79594454539336434"/>
          <c:y val="0.33446224493766946"/>
          <c:w val="0.17748452116562352"/>
          <c:h val="0.50003150853264766"/>
        </c:manualLayout>
      </c:layout>
      <c:overlay val="0"/>
      <c:txPr>
        <a:bodyPr/>
        <a:lstStyle/>
        <a:p>
          <a:pPr>
            <a:defRPr sz="800"/>
          </a:pPr>
          <a:endParaRPr lang="en-US"/>
        </a:p>
      </c:txPr>
    </c:legend>
    <c:plotVisOnly val="1"/>
    <c:dispBlanksAs val="gap"/>
    <c:showDLblsOverMax val="0"/>
  </c:chart>
  <c:txPr>
    <a:bodyPr/>
    <a:lstStyle/>
    <a:p>
      <a:pPr>
        <a:defRPr sz="900"/>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4494146290924198E-2"/>
          <c:y val="4.2786029146652103E-2"/>
          <c:w val="0.94776970724054199"/>
          <c:h val="0.67904243012277499"/>
        </c:manualLayout>
      </c:layout>
      <c:barChart>
        <c:barDir val="col"/>
        <c:grouping val="clustered"/>
        <c:varyColors val="0"/>
        <c:ser>
          <c:idx val="1"/>
          <c:order val="0"/>
          <c:tx>
            <c:strRef>
              <c:f>'Tabelat krahasuese'!$A$16</c:f>
              <c:strCache>
                <c:ptCount val="1"/>
                <c:pt idx="0">
                  <c:v>Të ardhura  jo Tatimore</c:v>
                </c:pt>
              </c:strCache>
            </c:strRef>
          </c:tx>
          <c:spPr>
            <a:solidFill>
              <a:schemeClr val="accent1"/>
            </a:solidFill>
            <a:ln>
              <a:noFill/>
            </a:ln>
            <a:effectLst>
              <a:glow rad="127000">
                <a:schemeClr val="bg1"/>
              </a:glow>
              <a:softEdge rad="0"/>
            </a:effectLst>
            <a:scene3d>
              <a:camera prst="orthographicFront"/>
              <a:lightRig rig="threePt" dir="t"/>
            </a:scene3d>
            <a:sp3d/>
          </c:spPr>
          <c:invertIfNegative val="0"/>
          <c:dLbls>
            <c:dLbl>
              <c:idx val="0"/>
              <c:layout>
                <c:manualLayout>
                  <c:x val="0"/>
                  <c:y val="2.45549464296140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54-8F4D-B12E-17780EFAD64A}"/>
                </c:ext>
                <c:ext xmlns:c15="http://schemas.microsoft.com/office/drawing/2012/chart" uri="{CE6537A1-D6FC-4f65-9D91-7224C49458BB}"/>
              </c:extLst>
            </c:dLbl>
            <c:dLbl>
              <c:idx val="1"/>
              <c:layout>
                <c:manualLayout>
                  <c:x val="0"/>
                  <c:y val="1.9643957143691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54-8F4D-B12E-17780EFAD64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('Tabelat krahasuese'!$B$1;'Tabelat krahasuese'!$C$1)</c:f>
              <c:strCache>
                <c:ptCount val="2"/>
                <c:pt idx="0">
                  <c:v>Të ardhurat 2017</c:v>
                </c:pt>
                <c:pt idx="1">
                  <c:v>Të ardhurat 2018</c:v>
                </c:pt>
              </c:strCache>
            </c:strRef>
          </c:cat>
          <c:val>
            <c:numRef>
              <c:f>('Tabelat krahasuese'!$B$16;'Tabelat krahasuese'!$C$16)</c:f>
              <c:numCache>
                <c:formatCode>#,##0</c:formatCode>
                <c:ptCount val="2"/>
                <c:pt idx="0">
                  <c:v>2100923.2000000002</c:v>
                </c:pt>
                <c:pt idx="1">
                  <c:v>2497023.2599999998</c:v>
                </c:pt>
              </c:numCache>
            </c:numRef>
          </c:val>
          <c:extLst xmlns:c16r2="http://schemas.microsoft.com/office/drawing/2015/06/chart">
            <c:ext xmlns:c16="http://schemas.microsoft.com/office/drawing/2014/chart" uri="{C3380CC4-5D6E-409C-BE32-E72D297353CC}">
              <c16:uniqueId val="{00000002-7F54-8F4D-B12E-17780EFAD64A}"/>
            </c:ext>
          </c:extLst>
        </c:ser>
        <c:ser>
          <c:idx val="2"/>
          <c:order val="1"/>
          <c:tx>
            <c:v>Të ardhurat tatimore</c:v>
          </c:tx>
          <c:spPr>
            <a:solidFill>
              <a:schemeClr val="accent1">
                <a:tint val="65000"/>
              </a:schemeClr>
            </a:solidFill>
            <a:ln>
              <a:noFill/>
            </a:ln>
            <a:effectLst/>
          </c:spPr>
          <c:invertIfNegative val="0"/>
          <c:dLbls>
            <c:dLbl>
              <c:idx val="0"/>
              <c:layout>
                <c:manualLayout>
                  <c:x val="2.57898130238551E-3"/>
                  <c:y val="1.9643957143691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54-8F4D-B12E-17780EFAD64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('Tabelat krahasuese'!$B$1;'Tabelat krahasuese'!$C$1)</c:f>
              <c:strCache>
                <c:ptCount val="2"/>
                <c:pt idx="0">
                  <c:v>Të ardhurat 2017</c:v>
                </c:pt>
                <c:pt idx="1">
                  <c:v>Të ardhurat 2018</c:v>
                </c:pt>
              </c:strCache>
            </c:strRef>
          </c:cat>
          <c:val>
            <c:numRef>
              <c:f>'Tabelat krahasuese'!$B$17:$C$17</c:f>
              <c:numCache>
                <c:formatCode>#,##0</c:formatCode>
                <c:ptCount val="2"/>
                <c:pt idx="0">
                  <c:v>18352161.219999999</c:v>
                </c:pt>
                <c:pt idx="1">
                  <c:v>21862291.190000001</c:v>
                </c:pt>
              </c:numCache>
            </c:numRef>
          </c:val>
          <c:extLst xmlns:c16r2="http://schemas.microsoft.com/office/drawing/2015/06/chart">
            <c:ext xmlns:c16="http://schemas.microsoft.com/office/drawing/2014/chart" uri="{C3380CC4-5D6E-409C-BE32-E72D297353CC}">
              <c16:uniqueId val="{00000004-7F54-8F4D-B12E-17780EFAD64A}"/>
            </c:ext>
          </c:extLst>
        </c:ser>
        <c:dLbls>
          <c:showLegendKey val="0"/>
          <c:showVal val="0"/>
          <c:showCatName val="0"/>
          <c:showSerName val="0"/>
          <c:showPercent val="0"/>
          <c:showBubbleSize val="0"/>
        </c:dLbls>
        <c:gapWidth val="219"/>
        <c:axId val="-1761916448"/>
        <c:axId val="-1761921888"/>
      </c:barChart>
      <c:catAx>
        <c:axId val="-17619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61921888"/>
        <c:crosses val="autoZero"/>
        <c:auto val="1"/>
        <c:lblAlgn val="ctr"/>
        <c:lblOffset val="100"/>
        <c:noMultiLvlLbl val="0"/>
      </c:catAx>
      <c:valAx>
        <c:axId val="-1761921888"/>
        <c:scaling>
          <c:orientation val="minMax"/>
        </c:scaling>
        <c:delete val="1"/>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Ne mije leke</a:t>
                </a:r>
              </a:p>
            </c:rich>
          </c:tx>
          <c:layout>
            <c:manualLayout>
              <c:xMode val="edge"/>
              <c:yMode val="edge"/>
              <c:x val="0"/>
              <c:y val="4.2149827283406403E-3"/>
            </c:manualLayout>
          </c:layout>
          <c:overlay val="0"/>
          <c:spPr>
            <a:noFill/>
            <a:ln>
              <a:noFill/>
            </a:ln>
            <a:effectLst/>
          </c:spPr>
        </c:title>
        <c:numFmt formatCode="#,##0" sourceLinked="1"/>
        <c:majorTickMark val="none"/>
        <c:minorTickMark val="none"/>
        <c:tickLblPos val="nextTo"/>
        <c:crossAx val="-1761916448"/>
        <c:crosses val="autoZero"/>
        <c:crossBetween val="between"/>
      </c:valAx>
      <c:spPr>
        <a:solidFill>
          <a:schemeClr val="bg1"/>
        </a:solidFill>
        <a:ln>
          <a:noFill/>
        </a:ln>
        <a:effectLst/>
      </c:spPr>
    </c:plotArea>
    <c:legend>
      <c:legendPos val="b"/>
      <c:layout>
        <c:manualLayout>
          <c:xMode val="edge"/>
          <c:yMode val="edge"/>
          <c:x val="0.21901107189187599"/>
          <c:y val="0.92091334506578404"/>
          <c:w val="0.57219496988163798"/>
          <c:h val="7.908665493421629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prstDash val="solid"/>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22903578455139E-2"/>
          <c:y val="2.94274552211122E-2"/>
          <c:w val="0.80608346746398096"/>
          <c:h val="0.88429780232694799"/>
        </c:manualLayout>
      </c:layout>
      <c:barChart>
        <c:barDir val="col"/>
        <c:grouping val="clustered"/>
        <c:varyColors val="0"/>
        <c:ser>
          <c:idx val="1"/>
          <c:order val="0"/>
          <c:tx>
            <c:strRef>
              <c:f>'Te dhenat e grupuara vjetore'!$C$50</c:f>
              <c:strCache>
                <c:ptCount val="1"/>
                <c:pt idx="0">
                  <c:v>Taksë mbi Pasurinë (ndërtesat)</c:v>
                </c:pt>
              </c:strCache>
            </c:strRef>
          </c:tx>
          <c:spPr>
            <a:solidFill>
              <a:schemeClr val="accent1">
                <a:shade val="86000"/>
              </a:schemeClr>
            </a:solidFill>
            <a:ln>
              <a:noFill/>
            </a:ln>
            <a:effectLst/>
          </c:spPr>
          <c:invertIfNegative val="0"/>
          <c:cat>
            <c:strRef>
              <c:f>'Te dhenat e grupuara vjetore'!$D$47:$O$47</c:f>
              <c:strCache>
                <c:ptCount val="12"/>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strCache>
            </c:strRef>
          </c:cat>
          <c:val>
            <c:numRef>
              <c:f>'Te dhenat e grupuara vjetore'!$D$50:$O$50</c:f>
              <c:numCache>
                <c:formatCode>#,##0</c:formatCode>
                <c:ptCount val="12"/>
                <c:pt idx="0">
                  <c:v>1335.5920000000001</c:v>
                </c:pt>
                <c:pt idx="1">
                  <c:v>1585.5956000000001</c:v>
                </c:pt>
                <c:pt idx="2">
                  <c:v>1509.2560000000001</c:v>
                </c:pt>
                <c:pt idx="3">
                  <c:v>1896</c:v>
                </c:pt>
                <c:pt idx="4">
                  <c:v>1942</c:v>
                </c:pt>
                <c:pt idx="5">
                  <c:v>2506</c:v>
                </c:pt>
                <c:pt idx="6">
                  <c:v>2453.6999999999998</c:v>
                </c:pt>
                <c:pt idx="7">
                  <c:v>3682</c:v>
                </c:pt>
                <c:pt idx="8">
                  <c:v>3921</c:v>
                </c:pt>
                <c:pt idx="9">
                  <c:v>4678</c:v>
                </c:pt>
                <c:pt idx="10">
                  <c:v>4878.55</c:v>
                </c:pt>
                <c:pt idx="11">
                  <c:v>5192.4000000000005</c:v>
                </c:pt>
              </c:numCache>
            </c:numRef>
          </c:val>
          <c:extLst xmlns:c16r2="http://schemas.microsoft.com/office/drawing/2015/06/chart">
            <c:ext xmlns:c16="http://schemas.microsoft.com/office/drawing/2014/chart" uri="{C3380CC4-5D6E-409C-BE32-E72D297353CC}">
              <c16:uniqueId val="{00000000-89C6-BA45-A9B0-2CFF09F3C301}"/>
            </c:ext>
          </c:extLst>
        </c:ser>
        <c:ser>
          <c:idx val="2"/>
          <c:order val="1"/>
          <c:tx>
            <c:strRef>
              <c:f>'Te dhenat e grupuara vjetore'!$C$52</c:f>
              <c:strCache>
                <c:ptCount val="1"/>
                <c:pt idx="0">
                  <c:v>Taksë mbi Biznesin e vogël</c:v>
                </c:pt>
              </c:strCache>
            </c:strRef>
          </c:tx>
          <c:spPr>
            <a:solidFill>
              <a:schemeClr val="accent1">
                <a:tint val="86000"/>
              </a:schemeClr>
            </a:solidFill>
            <a:ln>
              <a:noFill/>
            </a:ln>
            <a:effectLst/>
          </c:spPr>
          <c:invertIfNegative val="0"/>
          <c:cat>
            <c:strRef>
              <c:f>'Te dhenat e grupuara vjetore'!$D$47:$O$47</c:f>
              <c:strCache>
                <c:ptCount val="12"/>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strCache>
            </c:strRef>
          </c:cat>
          <c:val>
            <c:numRef>
              <c:f>'Te dhenat e grupuara vjetore'!$D$52:$O$52</c:f>
              <c:numCache>
                <c:formatCode>#,##0</c:formatCode>
                <c:ptCount val="12"/>
                <c:pt idx="0">
                  <c:v>2232.1606200000001</c:v>
                </c:pt>
                <c:pt idx="1">
                  <c:v>2584.4901300000001</c:v>
                </c:pt>
                <c:pt idx="2">
                  <c:v>2486.08088</c:v>
                </c:pt>
                <c:pt idx="3">
                  <c:v>2318</c:v>
                </c:pt>
                <c:pt idx="4">
                  <c:v>2570</c:v>
                </c:pt>
                <c:pt idx="5">
                  <c:v>2143</c:v>
                </c:pt>
                <c:pt idx="6">
                  <c:v>1975</c:v>
                </c:pt>
                <c:pt idx="7">
                  <c:v>1709</c:v>
                </c:pt>
                <c:pt idx="8">
                  <c:v>2033</c:v>
                </c:pt>
                <c:pt idx="9">
                  <c:v>598</c:v>
                </c:pt>
                <c:pt idx="10">
                  <c:v>295.89999999999992</c:v>
                </c:pt>
                <c:pt idx="11">
                  <c:v>316.2</c:v>
                </c:pt>
              </c:numCache>
            </c:numRef>
          </c:val>
          <c:extLst xmlns:c16r2="http://schemas.microsoft.com/office/drawing/2015/06/chart">
            <c:ext xmlns:c16="http://schemas.microsoft.com/office/drawing/2014/chart" uri="{C3380CC4-5D6E-409C-BE32-E72D297353CC}">
              <c16:uniqueId val="{00000001-89C6-BA45-A9B0-2CFF09F3C301}"/>
            </c:ext>
          </c:extLst>
        </c:ser>
        <c:ser>
          <c:idx val="3"/>
          <c:order val="2"/>
          <c:tx>
            <c:strRef>
              <c:f>'Te dhenat e grupuara vjetore'!$C$54</c:f>
              <c:strCache>
                <c:ptCount val="1"/>
                <c:pt idx="0">
                  <c:v>Taksa Lokale</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e grupuara vjetore'!$D$47:$O$47</c:f>
              <c:strCache>
                <c:ptCount val="12"/>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strCache>
            </c:strRef>
          </c:cat>
          <c:val>
            <c:numRef>
              <c:f>'Te dhenat e grupuara vjetore'!$D$54:$O$54</c:f>
              <c:numCache>
                <c:formatCode>#,##0</c:formatCode>
                <c:ptCount val="12"/>
                <c:pt idx="0">
                  <c:v>5798.7075699999996</c:v>
                </c:pt>
                <c:pt idx="1">
                  <c:v>7136.7437</c:v>
                </c:pt>
                <c:pt idx="2">
                  <c:v>8153.5653400000019</c:v>
                </c:pt>
                <c:pt idx="3">
                  <c:v>7684</c:v>
                </c:pt>
                <c:pt idx="4">
                  <c:v>7279</c:v>
                </c:pt>
                <c:pt idx="5">
                  <c:v>6210</c:v>
                </c:pt>
                <c:pt idx="6">
                  <c:v>6396</c:v>
                </c:pt>
                <c:pt idx="7">
                  <c:v>7056</c:v>
                </c:pt>
                <c:pt idx="8">
                  <c:v>5746</c:v>
                </c:pt>
                <c:pt idx="9">
                  <c:v>9675</c:v>
                </c:pt>
                <c:pt idx="10">
                  <c:v>13272.88</c:v>
                </c:pt>
                <c:pt idx="11">
                  <c:v>16354.4</c:v>
                </c:pt>
              </c:numCache>
            </c:numRef>
          </c:val>
          <c:extLst xmlns:c16r2="http://schemas.microsoft.com/office/drawing/2015/06/chart">
            <c:ext xmlns:c16="http://schemas.microsoft.com/office/drawing/2014/chart" uri="{C3380CC4-5D6E-409C-BE32-E72D297353CC}">
              <c16:uniqueId val="{00000002-89C6-BA45-A9B0-2CFF09F3C301}"/>
            </c:ext>
          </c:extLst>
        </c:ser>
        <c:dLbls>
          <c:showLegendKey val="0"/>
          <c:showVal val="0"/>
          <c:showCatName val="0"/>
          <c:showSerName val="0"/>
          <c:showPercent val="0"/>
          <c:showBubbleSize val="0"/>
        </c:dLbls>
        <c:gapWidth val="150"/>
        <c:axId val="-1607454176"/>
        <c:axId val="-1607452000"/>
      </c:barChart>
      <c:catAx>
        <c:axId val="-160745417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1607452000"/>
        <c:crosses val="autoZero"/>
        <c:auto val="0"/>
        <c:lblAlgn val="ctr"/>
        <c:lblOffset val="100"/>
        <c:noMultiLvlLbl val="0"/>
      </c:catAx>
      <c:valAx>
        <c:axId val="-160745200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t>Në milion leke</a:t>
                </a:r>
              </a:p>
            </c:rich>
          </c:tx>
          <c:layout>
            <c:manualLayout>
              <c:xMode val="edge"/>
              <c:yMode val="edge"/>
              <c:x val="1.5966162437681399E-3"/>
              <c:y val="4.7099617135014102E-3"/>
            </c:manualLayout>
          </c:layout>
          <c:overlay val="0"/>
          <c:spPr>
            <a:noFill/>
            <a:ln>
              <a:noFill/>
            </a:ln>
            <a:effectLst/>
          </c:spPr>
        </c:title>
        <c:numFmt formatCode="#,##0" sourceLinked="1"/>
        <c:majorTickMark val="out"/>
        <c:minorTickMark val="none"/>
        <c:tickLblPos val="nextTo"/>
        <c:crossAx val="-1607454176"/>
        <c:crosses val="autoZero"/>
        <c:crossBetween val="between"/>
      </c:valAx>
      <c:spPr>
        <a:solidFill>
          <a:schemeClr val="bg1"/>
        </a:solidFill>
        <a:ln>
          <a:noFill/>
        </a:ln>
        <a:effectLst/>
      </c:spPr>
    </c:plotArea>
    <c:legend>
      <c:legendPos val="r"/>
      <c:layout>
        <c:manualLayout>
          <c:xMode val="edge"/>
          <c:yMode val="edge"/>
          <c:x val="0.86749891573584703"/>
          <c:y val="8.39824775424199E-2"/>
          <c:w val="0.132501084264153"/>
          <c:h val="0.844426946631670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32349297921906E-2"/>
          <c:y val="2.7156011799801899E-2"/>
          <c:w val="0.84267595263463402"/>
          <c:h val="0.63099046212973375"/>
        </c:manualLayout>
      </c:layout>
      <c:barChart>
        <c:barDir val="col"/>
        <c:grouping val="clustered"/>
        <c:varyColors val="0"/>
        <c:ser>
          <c:idx val="1"/>
          <c:order val="0"/>
          <c:tx>
            <c:strRef>
              <c:f>'Te dhenat e grupuara vjetore'!$C$48</c:f>
              <c:strCache>
                <c:ptCount val="1"/>
                <c:pt idx="0">
                  <c:v>Të ardhura nga Pushteti Vendor</c:v>
                </c:pt>
              </c:strCache>
            </c:strRef>
          </c:tx>
          <c:spPr>
            <a:solidFill>
              <a:schemeClr val="accent1">
                <a:tint val="77000"/>
              </a:schemeClr>
            </a:solidFill>
            <a:ln w="9525" cap="flat" cmpd="sng" algn="ctr">
              <a:solidFill>
                <a:schemeClr val="accent1">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e grupuara vjetore'!$D$47:$O$47</c:f>
              <c:strCache>
                <c:ptCount val="12"/>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strCache>
            </c:strRef>
          </c:cat>
          <c:val>
            <c:numRef>
              <c:f>'Te dhenat e grupuara vjetore'!$D$48:$O$48</c:f>
              <c:numCache>
                <c:formatCode>#,##0</c:formatCode>
                <c:ptCount val="12"/>
                <c:pt idx="0">
                  <c:v>9366.460189999998</c:v>
                </c:pt>
                <c:pt idx="1">
                  <c:v>11306.82943</c:v>
                </c:pt>
                <c:pt idx="2">
                  <c:v>12148.90222</c:v>
                </c:pt>
                <c:pt idx="3">
                  <c:v>11898</c:v>
                </c:pt>
                <c:pt idx="4">
                  <c:v>11791</c:v>
                </c:pt>
                <c:pt idx="5">
                  <c:v>10859</c:v>
                </c:pt>
                <c:pt idx="6">
                  <c:v>10824.7</c:v>
                </c:pt>
                <c:pt idx="7">
                  <c:v>12447</c:v>
                </c:pt>
                <c:pt idx="8">
                  <c:v>11700</c:v>
                </c:pt>
                <c:pt idx="9">
                  <c:v>14951</c:v>
                </c:pt>
                <c:pt idx="10">
                  <c:v>18447.329999999991</c:v>
                </c:pt>
                <c:pt idx="11">
                  <c:v>21863</c:v>
                </c:pt>
              </c:numCache>
            </c:numRef>
          </c:val>
          <c:extLst xmlns:c16r2="http://schemas.microsoft.com/office/drawing/2015/06/chart">
            <c:ext xmlns:c16="http://schemas.microsoft.com/office/drawing/2014/chart" uri="{C3380CC4-5D6E-409C-BE32-E72D297353CC}">
              <c16:uniqueId val="{00000000-A02B-0944-8BA7-0CFC3780531F}"/>
            </c:ext>
          </c:extLst>
        </c:ser>
        <c:dLbls>
          <c:showLegendKey val="0"/>
          <c:showVal val="0"/>
          <c:showCatName val="0"/>
          <c:showSerName val="0"/>
          <c:showPercent val="0"/>
          <c:showBubbleSize val="0"/>
        </c:dLbls>
        <c:gapWidth val="40"/>
        <c:axId val="-1607455808"/>
        <c:axId val="-1607454720"/>
      </c:barChart>
      <c:lineChart>
        <c:grouping val="standard"/>
        <c:varyColors val="0"/>
        <c:ser>
          <c:idx val="0"/>
          <c:order val="1"/>
          <c:tx>
            <c:strRef>
              <c:f>'Te dhenat e grupuara vjetore'!$C$49</c:f>
              <c:strCache>
                <c:ptCount val="1"/>
                <c:pt idx="0">
                  <c:v>Ritmi i ndryshimit te te ardhurave vendore</c:v>
                </c:pt>
              </c:strCache>
            </c:strRef>
          </c:tx>
          <c:spPr>
            <a:ln w="47625" cap="rnd" cmpd="sng" algn="ctr">
              <a:solidFill>
                <a:schemeClr val="accent6"/>
              </a:solidFill>
              <a:prstDash val="solid"/>
              <a:round/>
            </a:ln>
            <a:effectLst/>
          </c:spPr>
          <c:marker>
            <c:symbol val="none"/>
          </c:marker>
          <c:dLbls>
            <c:dLbl>
              <c:idx val="1"/>
              <c:layout>
                <c:manualLayout>
                  <c:x val="-7.7943553664383394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02B-0944-8BA7-0CFC3780531F}"/>
                </c:ext>
                <c:ext xmlns:c15="http://schemas.microsoft.com/office/drawing/2012/chart" uri="{CE6537A1-D6FC-4f65-9D91-7224C49458BB}"/>
              </c:extLst>
            </c:dLbl>
            <c:dLbl>
              <c:idx val="5"/>
              <c:layout>
                <c:manualLayout>
                  <c:x val="-4.5654017805932402E-2"/>
                  <c:y val="-7.94047652407477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2B-0944-8BA7-0CFC3780531F}"/>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02B-0944-8BA7-0CFC3780531F}"/>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02B-0944-8BA7-0CFC3780531F}"/>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'\Users\Mariel.Frroku\Desktop\Analiza Vjetore e buxhetit vendor 2017\Analiza e buxhetit faktik vendor 2017\[Formatet e tabelave te shpenzimeve te nevojshme per analizen TE PERFUNDURA.xlsx]Te dhenat e grupuara vjetore'!$M$6:$Y$6</c:f>
              <c:strCache>
                <c:ptCount val="13"/>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strCache>
            </c:strRef>
          </c:cat>
          <c:val>
            <c:numRef>
              <c:f>'Te dhenat e grupuara vjetore'!$D$49:$O$49</c:f>
              <c:numCache>
                <c:formatCode>0%</c:formatCode>
                <c:ptCount val="12"/>
                <c:pt idx="1">
                  <c:v>0.20716142498225901</c:v>
                </c:pt>
                <c:pt idx="2">
                  <c:v>7.4474705328600996E-2</c:v>
                </c:pt>
                <c:pt idx="3">
                  <c:v>-2.0652254455300199E-2</c:v>
                </c:pt>
                <c:pt idx="4">
                  <c:v>-8.9931080853925E-3</c:v>
                </c:pt>
                <c:pt idx="5">
                  <c:v>-7.9043338139258804E-2</c:v>
                </c:pt>
                <c:pt idx="6">
                  <c:v>-3.1586702274610202E-3</c:v>
                </c:pt>
                <c:pt idx="7">
                  <c:v>0.14987020425508299</c:v>
                </c:pt>
                <c:pt idx="8">
                  <c:v>-6.0014461315979803E-2</c:v>
                </c:pt>
                <c:pt idx="9">
                  <c:v>0.27786324786324801</c:v>
                </c:pt>
                <c:pt idx="10">
                  <c:v>0.233852585111364</c:v>
                </c:pt>
                <c:pt idx="11">
                  <c:v>0.18515796052870501</c:v>
                </c:pt>
              </c:numCache>
            </c:numRef>
          </c:val>
          <c:smooth val="1"/>
          <c:extLst xmlns:c16r2="http://schemas.microsoft.com/office/drawing/2015/06/chart">
            <c:ext xmlns:c16="http://schemas.microsoft.com/office/drawing/2014/chart" uri="{C3380CC4-5D6E-409C-BE32-E72D297353CC}">
              <c16:uniqueId val="{00000005-A02B-0944-8BA7-0CFC3780531F}"/>
            </c:ext>
          </c:extLst>
        </c:ser>
        <c:dLbls>
          <c:showLegendKey val="0"/>
          <c:showVal val="0"/>
          <c:showCatName val="0"/>
          <c:showSerName val="0"/>
          <c:showPercent val="0"/>
          <c:showBubbleSize val="0"/>
        </c:dLbls>
        <c:marker val="1"/>
        <c:smooth val="0"/>
        <c:axId val="-1607444384"/>
        <c:axId val="-1607459072"/>
      </c:lineChart>
      <c:catAx>
        <c:axId val="-1607455808"/>
        <c:scaling>
          <c:orientation val="minMax"/>
        </c:scaling>
        <c:delete val="0"/>
        <c:axPos val="b"/>
        <c:numFmt formatCode="General" sourceLinked="1"/>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2700000" spcFirstLastPara="1" vertOverflow="ellipsis" wrap="square" anchor="ctr" anchorCtr="1"/>
          <a:lstStyle/>
          <a:p>
            <a:pPr>
              <a:defRPr sz="600" b="0" i="0" u="none" strike="noStrike" kern="1200" baseline="0">
                <a:solidFill>
                  <a:srgbClr val="000000"/>
                </a:solidFill>
                <a:latin typeface="Calibri"/>
                <a:ea typeface="Calibri"/>
                <a:cs typeface="Calibri"/>
              </a:defRPr>
            </a:pPr>
            <a:endParaRPr lang="en-US"/>
          </a:p>
        </c:txPr>
        <c:crossAx val="-1607454720"/>
        <c:crosses val="autoZero"/>
        <c:auto val="0"/>
        <c:lblAlgn val="ctr"/>
        <c:lblOffset val="100"/>
        <c:tickLblSkip val="1"/>
        <c:tickMarkSkip val="1"/>
        <c:noMultiLvlLbl val="0"/>
      </c:catAx>
      <c:valAx>
        <c:axId val="-1607454720"/>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sq-AL"/>
                  <a:t>Në miliardë</a:t>
                </a:r>
              </a:p>
            </c:rich>
          </c:tx>
          <c:layout>
            <c:manualLayout>
              <c:xMode val="edge"/>
              <c:yMode val="edge"/>
              <c:x val="2.1100178275251001E-3"/>
              <c:y val="2.0867950363891801E-3"/>
            </c:manualLayout>
          </c:layout>
          <c:overlay val="0"/>
          <c:spPr>
            <a:noFill/>
            <a:ln>
              <a:noFill/>
            </a:ln>
            <a:effectLst/>
          </c:spPr>
        </c:title>
        <c:numFmt formatCode="##,#00" sourceLinked="0"/>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607455808"/>
        <c:crosses val="autoZero"/>
        <c:crossBetween val="between"/>
        <c:dispUnits>
          <c:builtInUnit val="thousands"/>
        </c:dispUnits>
      </c:valAx>
      <c:catAx>
        <c:axId val="-1607444384"/>
        <c:scaling>
          <c:orientation val="minMax"/>
        </c:scaling>
        <c:delete val="1"/>
        <c:axPos val="b"/>
        <c:numFmt formatCode="General" sourceLinked="1"/>
        <c:majorTickMark val="out"/>
        <c:minorTickMark val="none"/>
        <c:tickLblPos val="nextTo"/>
        <c:crossAx val="-1607459072"/>
        <c:crosses val="autoZero"/>
        <c:auto val="0"/>
        <c:lblAlgn val="ctr"/>
        <c:lblOffset val="100"/>
        <c:noMultiLvlLbl val="0"/>
      </c:catAx>
      <c:valAx>
        <c:axId val="-1607459072"/>
        <c:scaling>
          <c:orientation val="minMax"/>
        </c:scaling>
        <c:delete val="0"/>
        <c:axPos val="r"/>
        <c:numFmt formatCode="0%" sourceLinked="0"/>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607444384"/>
        <c:crosses val="max"/>
        <c:crossBetween val="between"/>
      </c:valAx>
      <c:spPr>
        <a:solidFill>
          <a:schemeClr val="accent1">
            <a:tint val="20000"/>
          </a:schemeClr>
        </a:solidFill>
        <a:ln>
          <a:noFill/>
        </a:ln>
        <a:effectLst/>
      </c:spPr>
    </c:plotArea>
    <c:legend>
      <c:legendPos val="b"/>
      <c:layout>
        <c:manualLayout>
          <c:xMode val="edge"/>
          <c:yMode val="edge"/>
          <c:x val="8.5155955655689897E-2"/>
          <c:y val="0.90908136482939605"/>
          <c:w val="0.86516280943441803"/>
          <c:h val="9.030168981686280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3 in Microsoft Word]Total te ardhura'!$B$13</c:f>
              <c:strCache>
                <c:ptCount val="1"/>
                <c:pt idx="0">
                  <c:v>Të ardhura nga Pushteti Lokal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3 in Microsoft Word]Total te ardhura'!$C$2:$K$2</c:f>
              <c:numCache>
                <c:formatCode>0_);\(0\)</c:formatCode>
                <c:ptCount val="9"/>
                <c:pt idx="0">
                  <c:v>2010</c:v>
                </c:pt>
                <c:pt idx="1">
                  <c:v>2011</c:v>
                </c:pt>
                <c:pt idx="2">
                  <c:v>2012</c:v>
                </c:pt>
                <c:pt idx="3">
                  <c:v>2013</c:v>
                </c:pt>
                <c:pt idx="4">
                  <c:v>2014</c:v>
                </c:pt>
                <c:pt idx="5">
                  <c:v>2015</c:v>
                </c:pt>
                <c:pt idx="6">
                  <c:v>2016</c:v>
                </c:pt>
                <c:pt idx="7">
                  <c:v>2017</c:v>
                </c:pt>
                <c:pt idx="8">
                  <c:v>2018</c:v>
                </c:pt>
              </c:numCache>
            </c:numRef>
          </c:cat>
          <c:val>
            <c:numRef>
              <c:f>'[Chart 3 in Microsoft Word]Total te ardhura'!$C$13:$K$13</c:f>
              <c:numCache>
                <c:formatCode>##,#00</c:formatCode>
                <c:ptCount val="9"/>
                <c:pt idx="0">
                  <c:v>11.898</c:v>
                </c:pt>
                <c:pt idx="1">
                  <c:v>11.791</c:v>
                </c:pt>
                <c:pt idx="2">
                  <c:v>10.859299999999999</c:v>
                </c:pt>
                <c:pt idx="3">
                  <c:v>10.8247</c:v>
                </c:pt>
                <c:pt idx="4">
                  <c:v>12.446999999999999</c:v>
                </c:pt>
                <c:pt idx="5">
                  <c:v>11.7</c:v>
                </c:pt>
                <c:pt idx="6">
                  <c:v>14.951000000000001</c:v>
                </c:pt>
                <c:pt idx="7">
                  <c:v>18.44732999999998</c:v>
                </c:pt>
                <c:pt idx="8">
                  <c:v>21.8628</c:v>
                </c:pt>
              </c:numCache>
            </c:numRef>
          </c:val>
          <c:extLst xmlns:c16r2="http://schemas.microsoft.com/office/drawing/2015/06/chart">
            <c:ext xmlns:c16="http://schemas.microsoft.com/office/drawing/2014/chart" uri="{C3380CC4-5D6E-409C-BE32-E72D297353CC}">
              <c16:uniqueId val="{00000000-BF75-CE46-BF43-610A54E3E0E4}"/>
            </c:ext>
          </c:extLst>
        </c:ser>
        <c:dLbls>
          <c:dLblPos val="outEnd"/>
          <c:showLegendKey val="0"/>
          <c:showVal val="1"/>
          <c:showCatName val="0"/>
          <c:showSerName val="0"/>
          <c:showPercent val="0"/>
          <c:showBubbleSize val="0"/>
        </c:dLbls>
        <c:gapWidth val="81"/>
        <c:overlap val="-27"/>
        <c:axId val="-1423669760"/>
        <c:axId val="-1423692608"/>
      </c:barChart>
      <c:catAx>
        <c:axId val="-1423669760"/>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692608"/>
        <c:crosses val="autoZero"/>
        <c:auto val="1"/>
        <c:lblAlgn val="ctr"/>
        <c:lblOffset val="100"/>
        <c:noMultiLvlLbl val="0"/>
      </c:catAx>
      <c:valAx>
        <c:axId val="-1423692608"/>
        <c:scaling>
          <c:orientation val="minMax"/>
        </c:scaling>
        <c:delete val="1"/>
        <c:axPos val="l"/>
        <c:numFmt formatCode="##,#00" sourceLinked="1"/>
        <c:majorTickMark val="none"/>
        <c:minorTickMark val="none"/>
        <c:tickLblPos val="nextTo"/>
        <c:crossAx val="-142366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4426600140329003E-2"/>
          <c:y val="2.7156011799801899E-2"/>
          <c:w val="0.846781701792226"/>
          <c:h val="0.64852785293730197"/>
        </c:manualLayout>
      </c:layout>
      <c:barChart>
        <c:barDir val="col"/>
        <c:grouping val="clustered"/>
        <c:varyColors val="0"/>
        <c:ser>
          <c:idx val="1"/>
          <c:order val="0"/>
          <c:tx>
            <c:strRef>
              <c:f>'Te dhenat e grupuara vjetore'!$C$50</c:f>
              <c:strCache>
                <c:ptCount val="1"/>
                <c:pt idx="0">
                  <c:v>Taksë mbi Pasurinë (ndërtesat)</c:v>
                </c:pt>
              </c:strCache>
            </c:strRef>
          </c:tx>
          <c:spPr>
            <a:solidFill>
              <a:schemeClr val="accent1">
                <a:tint val="77000"/>
              </a:schemeClr>
            </a:solidFill>
            <a:ln w="9525" cap="flat" cmpd="sng" algn="ctr">
              <a:solidFill>
                <a:schemeClr val="accent1">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e grupuara vjetore'!$D$47:$O$47</c:f>
              <c:strCache>
                <c:ptCount val="12"/>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strCache>
            </c:strRef>
          </c:cat>
          <c:val>
            <c:numRef>
              <c:f>'Te dhenat e grupuara vjetore'!$D$50:$O$50</c:f>
              <c:numCache>
                <c:formatCode>#,##0</c:formatCode>
                <c:ptCount val="12"/>
                <c:pt idx="0">
                  <c:v>1335.5920000000001</c:v>
                </c:pt>
                <c:pt idx="1">
                  <c:v>1585.5956000000001</c:v>
                </c:pt>
                <c:pt idx="2">
                  <c:v>1509.2560000000001</c:v>
                </c:pt>
                <c:pt idx="3">
                  <c:v>1896</c:v>
                </c:pt>
                <c:pt idx="4">
                  <c:v>1942</c:v>
                </c:pt>
                <c:pt idx="5">
                  <c:v>2506</c:v>
                </c:pt>
                <c:pt idx="6">
                  <c:v>2453.6999999999998</c:v>
                </c:pt>
                <c:pt idx="7">
                  <c:v>3682</c:v>
                </c:pt>
                <c:pt idx="8">
                  <c:v>3921</c:v>
                </c:pt>
                <c:pt idx="9">
                  <c:v>4678</c:v>
                </c:pt>
                <c:pt idx="10">
                  <c:v>4878.55</c:v>
                </c:pt>
                <c:pt idx="11">
                  <c:v>5192.4000000000005</c:v>
                </c:pt>
              </c:numCache>
            </c:numRef>
          </c:val>
          <c:extLst xmlns:c16r2="http://schemas.microsoft.com/office/drawing/2015/06/chart">
            <c:ext xmlns:c16="http://schemas.microsoft.com/office/drawing/2014/chart" uri="{C3380CC4-5D6E-409C-BE32-E72D297353CC}">
              <c16:uniqueId val="{00000000-296C-A24C-831A-7476B6C34416}"/>
            </c:ext>
          </c:extLst>
        </c:ser>
        <c:dLbls>
          <c:showLegendKey val="0"/>
          <c:showVal val="0"/>
          <c:showCatName val="0"/>
          <c:showSerName val="0"/>
          <c:showPercent val="0"/>
          <c:showBubbleSize val="0"/>
        </c:dLbls>
        <c:gapWidth val="40"/>
        <c:axId val="-1414310112"/>
        <c:axId val="-1414316096"/>
      </c:barChart>
      <c:lineChart>
        <c:grouping val="standard"/>
        <c:varyColors val="0"/>
        <c:ser>
          <c:idx val="0"/>
          <c:order val="1"/>
          <c:tx>
            <c:strRef>
              <c:f>'Te dhenat e grupuara vjetore'!$C$51</c:f>
              <c:strCache>
                <c:ptCount val="1"/>
                <c:pt idx="0">
                  <c:v>Ritmi i ndryshimit te takses mbi pasurine</c:v>
                </c:pt>
              </c:strCache>
            </c:strRef>
          </c:tx>
          <c:spPr>
            <a:ln w="47625" cap="rnd" cmpd="sng" algn="ctr">
              <a:solidFill>
                <a:schemeClr val="accent6"/>
              </a:solidFill>
              <a:prstDash val="solid"/>
              <a:round/>
            </a:ln>
            <a:effectLst/>
          </c:spPr>
          <c:marker>
            <c:symbol val="none"/>
          </c:marker>
          <c:dLbls>
            <c:dLbl>
              <c:idx val="1"/>
              <c:layout>
                <c:manualLayout>
                  <c:x val="-7.7943553664383394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6C-A24C-831A-7476B6C34416}"/>
                </c:ext>
                <c:ext xmlns:c15="http://schemas.microsoft.com/office/drawing/2012/chart" uri="{CE6537A1-D6FC-4f65-9D91-7224C49458BB}"/>
              </c:extLst>
            </c:dLbl>
            <c:dLbl>
              <c:idx val="5"/>
              <c:layout>
                <c:manualLayout>
                  <c:x val="-4.9938829074937102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6C-A24C-831A-7476B6C34416}"/>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6C-A24C-831A-7476B6C34416}"/>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6C-A24C-831A-7476B6C344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'\Users\Mariel.Frroku\Desktop\Analiza Vjetore e buxhetit vendor 2017\Analiza e buxhetit faktik vendor 2017\[Formatet e tabelave te shpenzimeve te nevojshme per analizen TE PERFUNDURA.xlsx]Te dhenat e grupuara vjetore'!$M$6:$Y$6</c:f>
              <c:strCache>
                <c:ptCount val="13"/>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strCache>
            </c:strRef>
          </c:cat>
          <c:val>
            <c:numRef>
              <c:f>'Te dhenat e grupuara vjetore'!$D$51:$O$51</c:f>
              <c:numCache>
                <c:formatCode>0%</c:formatCode>
                <c:ptCount val="12"/>
                <c:pt idx="1">
                  <c:v>0.187185607580758</c:v>
                </c:pt>
                <c:pt idx="2">
                  <c:v>-4.81456936434487E-2</c:v>
                </c:pt>
                <c:pt idx="3">
                  <c:v>0.256248111652364</c:v>
                </c:pt>
                <c:pt idx="4">
                  <c:v>2.42616033755274E-2</c:v>
                </c:pt>
                <c:pt idx="5">
                  <c:v>0.29042224510813602</c:v>
                </c:pt>
                <c:pt idx="6">
                  <c:v>-2.08699122106944E-2</c:v>
                </c:pt>
                <c:pt idx="7">
                  <c:v>0.50059094428821804</c:v>
                </c:pt>
                <c:pt idx="8">
                  <c:v>6.4910374796306403E-2</c:v>
                </c:pt>
                <c:pt idx="9">
                  <c:v>0.19306299413414901</c:v>
                </c:pt>
                <c:pt idx="10">
                  <c:v>4.2870884993587002E-2</c:v>
                </c:pt>
                <c:pt idx="11">
                  <c:v>6.4332639821258294E-2</c:v>
                </c:pt>
              </c:numCache>
            </c:numRef>
          </c:val>
          <c:smooth val="1"/>
          <c:extLst xmlns:c16r2="http://schemas.microsoft.com/office/drawing/2015/06/chart">
            <c:ext xmlns:c16="http://schemas.microsoft.com/office/drawing/2014/chart" uri="{C3380CC4-5D6E-409C-BE32-E72D297353CC}">
              <c16:uniqueId val="{00000005-296C-A24C-831A-7476B6C34416}"/>
            </c:ext>
          </c:extLst>
        </c:ser>
        <c:dLbls>
          <c:showLegendKey val="0"/>
          <c:showVal val="0"/>
          <c:showCatName val="0"/>
          <c:showSerName val="0"/>
          <c:showPercent val="0"/>
          <c:showBubbleSize val="0"/>
        </c:dLbls>
        <c:marker val="1"/>
        <c:smooth val="0"/>
        <c:axId val="-1414312288"/>
        <c:axId val="-1414288896"/>
      </c:lineChart>
      <c:catAx>
        <c:axId val="-1414310112"/>
        <c:scaling>
          <c:orientation val="minMax"/>
        </c:scaling>
        <c:delete val="0"/>
        <c:axPos val="b"/>
        <c:numFmt formatCode="General" sourceLinked="1"/>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270000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414316096"/>
        <c:crosses val="autoZero"/>
        <c:auto val="0"/>
        <c:lblAlgn val="ctr"/>
        <c:lblOffset val="100"/>
        <c:tickLblSkip val="1"/>
        <c:tickMarkSkip val="1"/>
        <c:noMultiLvlLbl val="0"/>
      </c:catAx>
      <c:valAx>
        <c:axId val="-1414316096"/>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sq-AL"/>
                  <a:t>Në miliardë</a:t>
                </a:r>
              </a:p>
            </c:rich>
          </c:tx>
          <c:layout>
            <c:manualLayout>
              <c:xMode val="edge"/>
              <c:yMode val="edge"/>
              <c:x val="2.1100178275251001E-3"/>
              <c:y val="2.0867950363891801E-3"/>
            </c:manualLayout>
          </c:layout>
          <c:overlay val="0"/>
          <c:spPr>
            <a:noFill/>
            <a:ln>
              <a:noFill/>
            </a:ln>
            <a:effectLst/>
          </c:spPr>
        </c:title>
        <c:numFmt formatCode="##,#00" sourceLinked="0"/>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414310112"/>
        <c:crosses val="autoZero"/>
        <c:crossBetween val="between"/>
        <c:dispUnits>
          <c:builtInUnit val="thousands"/>
        </c:dispUnits>
      </c:valAx>
      <c:catAx>
        <c:axId val="-1414312288"/>
        <c:scaling>
          <c:orientation val="minMax"/>
        </c:scaling>
        <c:delete val="1"/>
        <c:axPos val="b"/>
        <c:numFmt formatCode="General" sourceLinked="1"/>
        <c:majorTickMark val="out"/>
        <c:minorTickMark val="none"/>
        <c:tickLblPos val="nextTo"/>
        <c:crossAx val="-1414288896"/>
        <c:crosses val="autoZero"/>
        <c:auto val="0"/>
        <c:lblAlgn val="ctr"/>
        <c:lblOffset val="100"/>
        <c:noMultiLvlLbl val="0"/>
      </c:catAx>
      <c:valAx>
        <c:axId val="-1414288896"/>
        <c:scaling>
          <c:orientation val="minMax"/>
        </c:scaling>
        <c:delete val="0"/>
        <c:axPos val="r"/>
        <c:numFmt formatCode="0%" sourceLinked="0"/>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414312288"/>
        <c:crosses val="max"/>
        <c:crossBetween val="between"/>
      </c:valAx>
      <c:spPr>
        <a:solidFill>
          <a:schemeClr val="accent1">
            <a:tint val="20000"/>
          </a:schemeClr>
        </a:solidFill>
        <a:ln>
          <a:noFill/>
        </a:ln>
        <a:effectLst/>
      </c:spPr>
    </c:plotArea>
    <c:legend>
      <c:legendPos val="b"/>
      <c:layout>
        <c:manualLayout>
          <c:xMode val="edge"/>
          <c:yMode val="edge"/>
          <c:x val="3.1996569735713701E-2"/>
          <c:y val="0.90908119092617801"/>
          <c:w val="0.94297653387386005"/>
          <c:h val="9.030168981686280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0056093613778398E-2"/>
          <c:y val="2.7156011799801899E-2"/>
          <c:w val="0.85146010155951002"/>
          <c:h val="0.70990455738487301"/>
        </c:manualLayout>
      </c:layout>
      <c:barChart>
        <c:barDir val="col"/>
        <c:grouping val="clustered"/>
        <c:varyColors val="0"/>
        <c:ser>
          <c:idx val="1"/>
          <c:order val="0"/>
          <c:tx>
            <c:strRef>
              <c:f>'Te dhenat e grupuara vjetore'!$C$52</c:f>
              <c:strCache>
                <c:ptCount val="1"/>
                <c:pt idx="0">
                  <c:v>Taksë mbi Biznesin e vogël</c:v>
                </c:pt>
              </c:strCache>
            </c:strRef>
          </c:tx>
          <c:spPr>
            <a:solidFill>
              <a:schemeClr val="accent1">
                <a:tint val="77000"/>
              </a:schemeClr>
            </a:solidFill>
            <a:ln w="9525" cap="flat" cmpd="sng" algn="ctr">
              <a:solidFill>
                <a:schemeClr val="accent1">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e grupuara vjetore'!$D$47:$O$47</c:f>
              <c:strCache>
                <c:ptCount val="12"/>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strCache>
            </c:strRef>
          </c:cat>
          <c:val>
            <c:numRef>
              <c:f>'Te dhenat e grupuara vjetore'!$D$52:$O$52</c:f>
              <c:numCache>
                <c:formatCode>#,##0</c:formatCode>
                <c:ptCount val="12"/>
                <c:pt idx="0">
                  <c:v>2232.1606200000001</c:v>
                </c:pt>
                <c:pt idx="1">
                  <c:v>2584.4901300000001</c:v>
                </c:pt>
                <c:pt idx="2">
                  <c:v>2486.08088</c:v>
                </c:pt>
                <c:pt idx="3">
                  <c:v>2318</c:v>
                </c:pt>
                <c:pt idx="4">
                  <c:v>2570</c:v>
                </c:pt>
                <c:pt idx="5">
                  <c:v>2143</c:v>
                </c:pt>
                <c:pt idx="6">
                  <c:v>1975</c:v>
                </c:pt>
                <c:pt idx="7">
                  <c:v>1709</c:v>
                </c:pt>
                <c:pt idx="8">
                  <c:v>2033</c:v>
                </c:pt>
                <c:pt idx="9">
                  <c:v>598</c:v>
                </c:pt>
                <c:pt idx="10">
                  <c:v>295.89999999999992</c:v>
                </c:pt>
                <c:pt idx="11">
                  <c:v>316.2</c:v>
                </c:pt>
              </c:numCache>
            </c:numRef>
          </c:val>
          <c:extLst xmlns:c16r2="http://schemas.microsoft.com/office/drawing/2015/06/chart">
            <c:ext xmlns:c16="http://schemas.microsoft.com/office/drawing/2014/chart" uri="{C3380CC4-5D6E-409C-BE32-E72D297353CC}">
              <c16:uniqueId val="{00000000-E481-0F4F-BE68-F6BB6D0C5835}"/>
            </c:ext>
          </c:extLst>
        </c:ser>
        <c:dLbls>
          <c:showLegendKey val="0"/>
          <c:showVal val="0"/>
          <c:showCatName val="0"/>
          <c:showSerName val="0"/>
          <c:showPercent val="0"/>
          <c:showBubbleSize val="0"/>
        </c:dLbls>
        <c:gapWidth val="40"/>
        <c:axId val="-1414311200"/>
        <c:axId val="-1414298688"/>
      </c:barChart>
      <c:lineChart>
        <c:grouping val="standard"/>
        <c:varyColors val="0"/>
        <c:ser>
          <c:idx val="0"/>
          <c:order val="1"/>
          <c:tx>
            <c:strRef>
              <c:f>'Te dhenat e grupuara vjetore'!$C$53</c:f>
              <c:strCache>
                <c:ptCount val="1"/>
                <c:pt idx="0">
                  <c:v>Ritmi i ndryshimit te takses BV</c:v>
                </c:pt>
              </c:strCache>
            </c:strRef>
          </c:tx>
          <c:spPr>
            <a:ln w="47625" cap="rnd" cmpd="sng" algn="ctr">
              <a:solidFill>
                <a:schemeClr val="accent1">
                  <a:shade val="76000"/>
                  <a:shade val="95000"/>
                  <a:satMod val="105000"/>
                </a:schemeClr>
              </a:solidFill>
              <a:prstDash val="solid"/>
              <a:round/>
            </a:ln>
            <a:effectLst/>
          </c:spPr>
          <c:marker>
            <c:symbol val="none"/>
          </c:marker>
          <c:dLbls>
            <c:dLbl>
              <c:idx val="1"/>
              <c:layout>
                <c:manualLayout>
                  <c:x val="-7.7943553664383394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481-0F4F-BE68-F6BB6D0C5835}"/>
                </c:ext>
                <c:ext xmlns:c15="http://schemas.microsoft.com/office/drawing/2012/chart" uri="{CE6537A1-D6FC-4f65-9D91-7224C49458BB}"/>
              </c:extLst>
            </c:dLbl>
            <c:dLbl>
              <c:idx val="5"/>
              <c:layout>
                <c:manualLayout>
                  <c:x val="-4.9938829074937102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81-0F4F-BE68-F6BB6D0C5835}"/>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481-0F4F-BE68-F6BB6D0C5835}"/>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481-0F4F-BE68-F6BB6D0C58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'\Users\Mariel.Frroku\Desktop\Analiza Vjetore e buxhetit vendor 2017\Analiza e buxhetit faktik vendor 2017\[Formatet e tabelave te shpenzimeve te nevojshme per analizen TE PERFUNDURA.xlsx]Te dhenat e grupuara vjetore'!$M$6:$Y$6</c:f>
              <c:strCache>
                <c:ptCount val="13"/>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strCache>
            </c:strRef>
          </c:cat>
          <c:val>
            <c:numRef>
              <c:f>'Te dhenat e grupuara vjetore'!$D$53:$O$53</c:f>
              <c:numCache>
                <c:formatCode>0%</c:formatCode>
                <c:ptCount val="12"/>
                <c:pt idx="1">
                  <c:v>0.15784236440834601</c:v>
                </c:pt>
                <c:pt idx="2">
                  <c:v>-3.80768527059532E-2</c:v>
                </c:pt>
                <c:pt idx="3">
                  <c:v>-6.7608773854533594E-2</c:v>
                </c:pt>
                <c:pt idx="4">
                  <c:v>0.108714408973253</c:v>
                </c:pt>
                <c:pt idx="5">
                  <c:v>-0.16614785992217901</c:v>
                </c:pt>
                <c:pt idx="6">
                  <c:v>-7.8394773681754598E-2</c:v>
                </c:pt>
                <c:pt idx="7">
                  <c:v>-0.134683544303797</c:v>
                </c:pt>
                <c:pt idx="8">
                  <c:v>0.18958455236980701</c:v>
                </c:pt>
                <c:pt idx="9">
                  <c:v>-0.70585341859321205</c:v>
                </c:pt>
                <c:pt idx="10">
                  <c:v>-0.50518394648829401</c:v>
                </c:pt>
                <c:pt idx="11">
                  <c:v>6.8604258195336304E-2</c:v>
                </c:pt>
              </c:numCache>
            </c:numRef>
          </c:val>
          <c:smooth val="1"/>
          <c:extLst xmlns:c16r2="http://schemas.microsoft.com/office/drawing/2015/06/chart">
            <c:ext xmlns:c16="http://schemas.microsoft.com/office/drawing/2014/chart" uri="{C3380CC4-5D6E-409C-BE32-E72D297353CC}">
              <c16:uniqueId val="{00000005-E481-0F4F-BE68-F6BB6D0C5835}"/>
            </c:ext>
          </c:extLst>
        </c:ser>
        <c:dLbls>
          <c:showLegendKey val="0"/>
          <c:showVal val="0"/>
          <c:showCatName val="0"/>
          <c:showSerName val="0"/>
          <c:showPercent val="0"/>
          <c:showBubbleSize val="0"/>
        </c:dLbls>
        <c:marker val="1"/>
        <c:smooth val="0"/>
        <c:axId val="-1423489424"/>
        <c:axId val="-1423485616"/>
      </c:lineChart>
      <c:catAx>
        <c:axId val="-1414311200"/>
        <c:scaling>
          <c:orientation val="minMax"/>
        </c:scaling>
        <c:delete val="0"/>
        <c:axPos val="b"/>
        <c:numFmt formatCode="General" sourceLinked="1"/>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2700000" spcFirstLastPara="1" vertOverflow="ellipsis" wrap="square" anchor="ctr" anchorCtr="1"/>
          <a:lstStyle/>
          <a:p>
            <a:pPr>
              <a:defRPr sz="600" b="0" i="0" u="none" strike="noStrike" kern="1200" baseline="0">
                <a:solidFill>
                  <a:srgbClr val="000000"/>
                </a:solidFill>
                <a:latin typeface="Calibri"/>
                <a:ea typeface="Calibri"/>
                <a:cs typeface="Calibri"/>
              </a:defRPr>
            </a:pPr>
            <a:endParaRPr lang="en-US"/>
          </a:p>
        </c:txPr>
        <c:crossAx val="-1414298688"/>
        <c:crosses val="autoZero"/>
        <c:auto val="0"/>
        <c:lblAlgn val="ctr"/>
        <c:lblOffset val="100"/>
        <c:tickLblSkip val="1"/>
        <c:tickMarkSkip val="1"/>
        <c:noMultiLvlLbl val="0"/>
      </c:catAx>
      <c:valAx>
        <c:axId val="-1414298688"/>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sq-AL"/>
                  <a:t>Në miliardë</a:t>
                </a:r>
              </a:p>
            </c:rich>
          </c:tx>
          <c:layout>
            <c:manualLayout>
              <c:xMode val="edge"/>
              <c:yMode val="edge"/>
              <c:x val="2.1100178275251001E-3"/>
              <c:y val="2.0867950363891801E-3"/>
            </c:manualLayout>
          </c:layout>
          <c:overlay val="0"/>
          <c:spPr>
            <a:noFill/>
            <a:ln>
              <a:noFill/>
            </a:ln>
            <a:effectLst/>
          </c:spPr>
        </c:title>
        <c:numFmt formatCode="##,#00" sourceLinked="0"/>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414311200"/>
        <c:crosses val="autoZero"/>
        <c:crossBetween val="between"/>
        <c:dispUnits>
          <c:builtInUnit val="thousands"/>
        </c:dispUnits>
      </c:valAx>
      <c:catAx>
        <c:axId val="-1423489424"/>
        <c:scaling>
          <c:orientation val="minMax"/>
        </c:scaling>
        <c:delete val="1"/>
        <c:axPos val="b"/>
        <c:numFmt formatCode="General" sourceLinked="1"/>
        <c:majorTickMark val="out"/>
        <c:minorTickMark val="none"/>
        <c:tickLblPos val="nextTo"/>
        <c:crossAx val="-1423485616"/>
        <c:crosses val="autoZero"/>
        <c:auto val="0"/>
        <c:lblAlgn val="ctr"/>
        <c:lblOffset val="100"/>
        <c:noMultiLvlLbl val="0"/>
      </c:catAx>
      <c:valAx>
        <c:axId val="-1423485616"/>
        <c:scaling>
          <c:orientation val="minMax"/>
        </c:scaling>
        <c:delete val="0"/>
        <c:axPos val="r"/>
        <c:numFmt formatCode="0%" sourceLinked="0"/>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423489424"/>
        <c:crosses val="max"/>
        <c:crossBetween val="between"/>
      </c:valAx>
      <c:spPr>
        <a:solidFill>
          <a:schemeClr val="accent1">
            <a:tint val="20000"/>
          </a:schemeClr>
        </a:solidFill>
        <a:ln>
          <a:noFill/>
        </a:ln>
        <a:effectLst/>
      </c:spPr>
    </c:plotArea>
    <c:legend>
      <c:legendPos val="b"/>
      <c:layout>
        <c:manualLayout>
          <c:xMode val="edge"/>
          <c:yMode val="edge"/>
          <c:x val="8.2832876061587998E-2"/>
          <c:y val="0.90908119092617801"/>
          <c:w val="0.805175414209928"/>
          <c:h val="9.030168981686280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2725241028039904E-2"/>
          <c:y val="2.8057561770295999E-2"/>
          <c:w val="0.83575634728827197"/>
          <c:h val="0.73190551181102403"/>
        </c:manualLayout>
      </c:layout>
      <c:barChart>
        <c:barDir val="col"/>
        <c:grouping val="clustered"/>
        <c:varyColors val="0"/>
        <c:ser>
          <c:idx val="1"/>
          <c:order val="0"/>
          <c:tx>
            <c:strRef>
              <c:f>'Te dhenat e grupuara vjetore'!$C$54</c:f>
              <c:strCache>
                <c:ptCount val="1"/>
                <c:pt idx="0">
                  <c:v>Taksa Lokale</c:v>
                </c:pt>
              </c:strCache>
            </c:strRef>
          </c:tx>
          <c:spPr>
            <a:solidFill>
              <a:schemeClr val="accent1">
                <a:tint val="77000"/>
              </a:schemeClr>
            </a:solidFill>
            <a:ln w="9525" cap="flat" cmpd="sng" algn="ctr">
              <a:solidFill>
                <a:schemeClr val="accent1">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 dhenat e grupuara vjetore'!$D$47:$O$47</c:f>
              <c:strCache>
                <c:ptCount val="12"/>
                <c:pt idx="0">
                  <c:v>12M-2007</c:v>
                </c:pt>
                <c:pt idx="1">
                  <c:v>12M-2008</c:v>
                </c:pt>
                <c:pt idx="2">
                  <c:v>12M-2009</c:v>
                </c:pt>
                <c:pt idx="3">
                  <c:v>12M-2010</c:v>
                </c:pt>
                <c:pt idx="4">
                  <c:v>12M-2011</c:v>
                </c:pt>
                <c:pt idx="5">
                  <c:v>12M-2012</c:v>
                </c:pt>
                <c:pt idx="6">
                  <c:v>12M-2013</c:v>
                </c:pt>
                <c:pt idx="7">
                  <c:v>12M-2014</c:v>
                </c:pt>
                <c:pt idx="8">
                  <c:v>12M-2015</c:v>
                </c:pt>
                <c:pt idx="9">
                  <c:v>12M-2016</c:v>
                </c:pt>
                <c:pt idx="10">
                  <c:v>12M-2017</c:v>
                </c:pt>
                <c:pt idx="11">
                  <c:v>12M-2018</c:v>
                </c:pt>
              </c:strCache>
            </c:strRef>
          </c:cat>
          <c:val>
            <c:numRef>
              <c:f>'Te dhenat e grupuara vjetore'!$D$54:$O$54</c:f>
              <c:numCache>
                <c:formatCode>#,##0</c:formatCode>
                <c:ptCount val="12"/>
                <c:pt idx="0">
                  <c:v>5798.7075699999996</c:v>
                </c:pt>
                <c:pt idx="1">
                  <c:v>7136.7437</c:v>
                </c:pt>
                <c:pt idx="2">
                  <c:v>8153.5653400000019</c:v>
                </c:pt>
                <c:pt idx="3">
                  <c:v>7684</c:v>
                </c:pt>
                <c:pt idx="4">
                  <c:v>7279</c:v>
                </c:pt>
                <c:pt idx="5">
                  <c:v>6210</c:v>
                </c:pt>
                <c:pt idx="6">
                  <c:v>6396</c:v>
                </c:pt>
                <c:pt idx="7">
                  <c:v>7056</c:v>
                </c:pt>
                <c:pt idx="8">
                  <c:v>5746</c:v>
                </c:pt>
                <c:pt idx="9">
                  <c:v>9675</c:v>
                </c:pt>
                <c:pt idx="10">
                  <c:v>13272.88</c:v>
                </c:pt>
                <c:pt idx="11">
                  <c:v>16354.4</c:v>
                </c:pt>
              </c:numCache>
            </c:numRef>
          </c:val>
          <c:extLst xmlns:c16r2="http://schemas.microsoft.com/office/drawing/2015/06/chart">
            <c:ext xmlns:c16="http://schemas.microsoft.com/office/drawing/2014/chart" uri="{C3380CC4-5D6E-409C-BE32-E72D297353CC}">
              <c16:uniqueId val="{00000000-99CC-8A4A-B1B4-07933DC78D9F}"/>
            </c:ext>
          </c:extLst>
        </c:ser>
        <c:dLbls>
          <c:showLegendKey val="0"/>
          <c:showVal val="0"/>
          <c:showCatName val="0"/>
          <c:showSerName val="0"/>
          <c:showPercent val="0"/>
          <c:showBubbleSize val="0"/>
        </c:dLbls>
        <c:gapWidth val="40"/>
        <c:axId val="-1423503024"/>
        <c:axId val="-1423500304"/>
      </c:barChart>
      <c:lineChart>
        <c:grouping val="standard"/>
        <c:varyColors val="0"/>
        <c:ser>
          <c:idx val="0"/>
          <c:order val="1"/>
          <c:tx>
            <c:strRef>
              <c:f>'Te dhenat e grupuara vjetore'!$C$55</c:f>
              <c:strCache>
                <c:ptCount val="1"/>
                <c:pt idx="0">
                  <c:v>Ritmi i ndryshimit te taskave lokale</c:v>
                </c:pt>
              </c:strCache>
            </c:strRef>
          </c:tx>
          <c:spPr>
            <a:ln w="47625" cap="rnd" cmpd="sng" algn="ctr">
              <a:solidFill>
                <a:schemeClr val="accent6"/>
              </a:solidFill>
              <a:prstDash val="solid"/>
              <a:round/>
            </a:ln>
            <a:effectLst/>
          </c:spPr>
          <c:marker>
            <c:symbol val="none"/>
          </c:marker>
          <c:dLbls>
            <c:dLbl>
              <c:idx val="1"/>
              <c:layout>
                <c:manualLayout>
                  <c:x val="-7.7943553664383394E-2"/>
                  <c:y val="-7.24989416645499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CC-8A4A-B1B4-07933DC78D9F}"/>
                </c:ext>
                <c:ext xmlns:c15="http://schemas.microsoft.com/office/drawing/2012/chart" uri="{CE6537A1-D6FC-4f65-9D91-7224C49458BB}"/>
              </c:extLst>
            </c:dLbl>
            <c:dLbl>
              <c:idx val="5"/>
              <c:layout>
                <c:manualLayout>
                  <c:x val="-4.9938829074937102E-2"/>
                  <c:y val="-3.54686563056021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9CC-8A4A-B1B4-07933DC78D9F}"/>
                </c:ext>
                <c:ext xmlns:c15="http://schemas.microsoft.com/office/drawing/2012/chart" uri="{CE6537A1-D6FC-4f65-9D91-7224C49458BB}"/>
              </c:extLst>
            </c:dLbl>
            <c:dLbl>
              <c:idx val="9"/>
              <c:layout>
                <c:manualLayout>
                  <c:x val="-5.0784935703700802E-2"/>
                  <c:y val="-8.6888493776987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CC-8A4A-B1B4-07933DC78D9F}"/>
                </c:ext>
                <c:ext xmlns:c15="http://schemas.microsoft.com/office/drawing/2012/chart" uri="{CE6537A1-D6FC-4f65-9D91-7224C49458BB}"/>
              </c:extLst>
            </c:dLbl>
            <c:dLbl>
              <c:idx val="10"/>
              <c:layout>
                <c:manualLayout>
                  <c:x val="-4.5604526305281098E-2"/>
                  <c:y val="-8.414994496655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9CC-8A4A-B1B4-07933DC78D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'\Users\Mariel.Frroku\Desktop\Analiza Vjetore e buxhetit vendor 2017\Analiza e buxhetit faktik vendor 2017\[Formatet e tabelave te shpenzimeve te nevojshme per analizen TE PERFUNDURA.xlsx]Te dhenat e grupuara vjetore'!$M$6:$Y$6</c:f>
              <c:strCache>
                <c:ptCount val="13"/>
                <c:pt idx="0">
                  <c:v>12M-2005</c:v>
                </c:pt>
                <c:pt idx="1">
                  <c:v>12M-2006</c:v>
                </c:pt>
                <c:pt idx="2">
                  <c:v>12M-2007</c:v>
                </c:pt>
                <c:pt idx="3">
                  <c:v>12M-2008</c:v>
                </c:pt>
                <c:pt idx="4">
                  <c:v>12M-2009</c:v>
                </c:pt>
                <c:pt idx="5">
                  <c:v>12M-2010</c:v>
                </c:pt>
                <c:pt idx="6">
                  <c:v>12M-2011</c:v>
                </c:pt>
                <c:pt idx="7">
                  <c:v>12M-2012</c:v>
                </c:pt>
                <c:pt idx="8">
                  <c:v>12M-2013</c:v>
                </c:pt>
                <c:pt idx="9">
                  <c:v>12M-2014</c:v>
                </c:pt>
                <c:pt idx="10">
                  <c:v>12M-2015</c:v>
                </c:pt>
                <c:pt idx="11">
                  <c:v>12M-2016</c:v>
                </c:pt>
                <c:pt idx="12">
                  <c:v>12M-2017</c:v>
                </c:pt>
              </c:strCache>
            </c:strRef>
          </c:cat>
          <c:val>
            <c:numRef>
              <c:f>'Te dhenat e grupuara vjetore'!$D$55:$O$55</c:f>
              <c:numCache>
                <c:formatCode>0%</c:formatCode>
                <c:ptCount val="12"/>
                <c:pt idx="1">
                  <c:v>0.23074730254072801</c:v>
                </c:pt>
                <c:pt idx="2">
                  <c:v>0.14247697307667101</c:v>
                </c:pt>
                <c:pt idx="3">
                  <c:v>-5.7590185448860597E-2</c:v>
                </c:pt>
                <c:pt idx="4">
                  <c:v>-5.2706923477355602E-2</c:v>
                </c:pt>
                <c:pt idx="5">
                  <c:v>-0.14686083253194099</c:v>
                </c:pt>
                <c:pt idx="6">
                  <c:v>2.9951690821256E-2</c:v>
                </c:pt>
                <c:pt idx="7">
                  <c:v>0.10318949343339601</c:v>
                </c:pt>
                <c:pt idx="8">
                  <c:v>-0.18565759637188201</c:v>
                </c:pt>
                <c:pt idx="9">
                  <c:v>0.68378002088409295</c:v>
                </c:pt>
                <c:pt idx="10">
                  <c:v>0.37187390180878499</c:v>
                </c:pt>
                <c:pt idx="11">
                  <c:v>0.23216664356191</c:v>
                </c:pt>
              </c:numCache>
            </c:numRef>
          </c:val>
          <c:smooth val="1"/>
          <c:extLst xmlns:c16r2="http://schemas.microsoft.com/office/drawing/2015/06/chart">
            <c:ext xmlns:c16="http://schemas.microsoft.com/office/drawing/2014/chart" uri="{C3380CC4-5D6E-409C-BE32-E72D297353CC}">
              <c16:uniqueId val="{00000005-99CC-8A4A-B1B4-07933DC78D9F}"/>
            </c:ext>
          </c:extLst>
        </c:ser>
        <c:dLbls>
          <c:showLegendKey val="0"/>
          <c:showVal val="0"/>
          <c:showCatName val="0"/>
          <c:showSerName val="0"/>
          <c:showPercent val="0"/>
          <c:showBubbleSize val="0"/>
        </c:dLbls>
        <c:marker val="1"/>
        <c:smooth val="0"/>
        <c:axId val="-1423497040"/>
        <c:axId val="-1126770720"/>
      </c:lineChart>
      <c:catAx>
        <c:axId val="-1423503024"/>
        <c:scaling>
          <c:orientation val="minMax"/>
        </c:scaling>
        <c:delete val="0"/>
        <c:axPos val="b"/>
        <c:numFmt formatCode="General" sourceLinked="1"/>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270000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423500304"/>
        <c:crosses val="autoZero"/>
        <c:auto val="0"/>
        <c:lblAlgn val="ctr"/>
        <c:lblOffset val="100"/>
        <c:tickLblSkip val="1"/>
        <c:tickMarkSkip val="1"/>
        <c:noMultiLvlLbl val="0"/>
      </c:catAx>
      <c:valAx>
        <c:axId val="-1423500304"/>
        <c:scaling>
          <c:orientation val="minMax"/>
        </c:scaling>
        <c:delete val="0"/>
        <c:axPos val="l"/>
        <c:title>
          <c:tx>
            <c:rich>
              <a:bodyPr rot="-540000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sq-AL"/>
                  <a:t>Në miliardë</a:t>
                </a:r>
              </a:p>
            </c:rich>
          </c:tx>
          <c:layout>
            <c:manualLayout>
              <c:xMode val="edge"/>
              <c:yMode val="edge"/>
              <c:x val="2.1099908325132098E-3"/>
              <c:y val="2.0867046791564802E-3"/>
            </c:manualLayout>
          </c:layout>
          <c:overlay val="0"/>
          <c:spPr>
            <a:noFill/>
            <a:ln>
              <a:noFill/>
            </a:ln>
            <a:effectLst/>
          </c:spPr>
        </c:title>
        <c:numFmt formatCode="##,#00" sourceLinked="0"/>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423503024"/>
        <c:crosses val="autoZero"/>
        <c:crossBetween val="between"/>
        <c:dispUnits>
          <c:builtInUnit val="thousands"/>
        </c:dispUnits>
      </c:valAx>
      <c:catAx>
        <c:axId val="-1423497040"/>
        <c:scaling>
          <c:orientation val="minMax"/>
        </c:scaling>
        <c:delete val="1"/>
        <c:axPos val="b"/>
        <c:numFmt formatCode="General" sourceLinked="1"/>
        <c:majorTickMark val="out"/>
        <c:minorTickMark val="none"/>
        <c:tickLblPos val="nextTo"/>
        <c:crossAx val="-1126770720"/>
        <c:crosses val="autoZero"/>
        <c:auto val="0"/>
        <c:lblAlgn val="ctr"/>
        <c:lblOffset val="100"/>
        <c:noMultiLvlLbl val="0"/>
      </c:catAx>
      <c:valAx>
        <c:axId val="-1126770720"/>
        <c:scaling>
          <c:orientation val="minMax"/>
        </c:scaling>
        <c:delete val="0"/>
        <c:axPos val="r"/>
        <c:numFmt formatCode="0%" sourceLinked="0"/>
        <c:majorTickMark val="cross"/>
        <c:minorTickMark val="none"/>
        <c:tickLblPos val="nextTo"/>
        <c:spPr>
          <a:noFill/>
          <a:ln w="9525" cap="flat" cmpd="sng" algn="ctr">
            <a:solidFill>
              <a:schemeClr val="dk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Calibri"/>
                <a:ea typeface="Calibri"/>
                <a:cs typeface="Calibri"/>
              </a:defRPr>
            </a:pPr>
            <a:endParaRPr lang="en-US"/>
          </a:p>
        </c:txPr>
        <c:crossAx val="-1423497040"/>
        <c:crosses val="max"/>
        <c:crossBetween val="between"/>
      </c:valAx>
      <c:spPr>
        <a:solidFill>
          <a:schemeClr val="accent1">
            <a:tint val="20000"/>
          </a:schemeClr>
        </a:solidFill>
        <a:ln>
          <a:noFill/>
        </a:ln>
        <a:effectLst/>
      </c:spPr>
    </c:plotArea>
    <c:legend>
      <c:legendPos val="b"/>
      <c:layout>
        <c:manualLayout>
          <c:xMode val="edge"/>
          <c:yMode val="edge"/>
          <c:x val="5.3998830086983099E-2"/>
          <c:y val="0.90908136482939605"/>
          <c:w val="0.85716795301577398"/>
          <c:h val="9.030168981686280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B2ED-8E45-AF2D-104B5BA60367}"/>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B2ED-8E45-AF2D-104B5BA60367}"/>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B2ED-8E45-AF2D-104B5BA60367}"/>
              </c:ext>
            </c:extLst>
          </c:dPt>
          <c:dLbls>
            <c:dLbl>
              <c:idx val="0"/>
              <c:layout>
                <c:manualLayout>
                  <c:x val="8.9053787915177804E-2"/>
                  <c:y val="4.7842150229754993E-2"/>
                </c:manualLayout>
              </c:layout>
              <c:tx>
                <c:rich>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r>
                      <a:rPr lang="en-US" sz="1600" b="1" baseline="0">
                        <a:solidFill>
                          <a:sysClr val="windowText" lastClr="000000"/>
                        </a:solidFill>
                      </a:rPr>
                      <a:t>
</a:t>
                    </a: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2ED-8E45-AF2D-104B5BA60367}"/>
                </c:ext>
                <c:ext xmlns:c15="http://schemas.microsoft.com/office/drawing/2012/chart" uri="{CE6537A1-D6FC-4f65-9D91-7224C49458BB}">
                  <c15:layout>
                    <c:manualLayout>
                      <c:w val="9.1518159010039263E-2"/>
                      <c:h val="0.11779081133919844"/>
                    </c:manualLayout>
                  </c15:layout>
                </c:ext>
              </c:extLst>
            </c:dLbl>
            <c:dLbl>
              <c:idx val="1"/>
              <c:layout>
                <c:manualLayout>
                  <c:x val="1.80500079442204E-2"/>
                  <c:y val="-1.5466321841734593E-2"/>
                </c:manualLayout>
              </c:layout>
              <c:tx>
                <c:rich>
                  <a:bodyPr/>
                  <a:lstStyle/>
                  <a:p>
                    <a:r>
                      <a:rPr lang="en-US" b="1" baseline="0"/>
                      <a:t>
</a:t>
                    </a:r>
                    <a:fld id="{CE99913A-6C30-45E9-9555-B6CE924A9994}" type="PERCENTAGE">
                      <a:rPr lang="en-US" b="1" baseline="0"/>
                      <a:pPr/>
                      <a:t>[PERCENTAGE]</a:t>
                    </a:fld>
                    <a:endParaRPr lang="en-US" b="1"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2ED-8E45-AF2D-104B5BA60367}"/>
                </c:ext>
                <c:ext xmlns:c15="http://schemas.microsoft.com/office/drawing/2012/chart" uri="{CE6537A1-D6FC-4f65-9D91-7224C49458BB}">
                  <c15:dlblFieldTable/>
                  <c15:showDataLabelsRange val="0"/>
                </c:ext>
              </c:extLst>
            </c:dLbl>
            <c:dLbl>
              <c:idx val="2"/>
              <c:layout>
                <c:manualLayout>
                  <c:x val="-9.8566530075340789E-2"/>
                  <c:y val="-0.15933913686009191"/>
                </c:manualLayout>
              </c:layout>
              <c:tx>
                <c:rich>
                  <a:bodyPr/>
                  <a:lstStyle/>
                  <a:p>
                    <a:r>
                      <a:rPr lang="en-US" b="1"/>
                      <a:t>
</a:t>
                    </a:r>
                    <a:fld id="{1DB71EA1-E7F9-498A-89A3-64D093850364}" type="PERCENTAGE">
                      <a:rPr lang="en-US" b="1"/>
                      <a:pPr/>
                      <a:t>[PERCENTAGE]</a:t>
                    </a:fld>
                    <a:endParaRPr lang="en-US" b="1"/>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2ED-8E45-AF2D-104B5BA6036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3 in Microsoft Word]Total te ardhura'!$J$36:$J$38</c:f>
              <c:strCache>
                <c:ptCount val="3"/>
                <c:pt idx="0">
                  <c:v>Tatimi mbi Pasurinë (ndërtesat)</c:v>
                </c:pt>
                <c:pt idx="1">
                  <c:v>Tatimi mbi Biznesin e vogël</c:v>
                </c:pt>
                <c:pt idx="2">
                  <c:v>Taksa Lokale</c:v>
                </c:pt>
              </c:strCache>
            </c:strRef>
          </c:cat>
          <c:val>
            <c:numRef>
              <c:f>'[Chart 3 in Microsoft Word]Total te ardhura'!$K$36:$K$38</c:f>
              <c:numCache>
                <c:formatCode>0%</c:formatCode>
                <c:ptCount val="3"/>
                <c:pt idx="0">
                  <c:v>0.237492567351233</c:v>
                </c:pt>
                <c:pt idx="1">
                  <c:v>1.44618762292458E-2</c:v>
                </c:pt>
                <c:pt idx="2">
                  <c:v>0.74803640854411602</c:v>
                </c:pt>
              </c:numCache>
            </c:numRef>
          </c:val>
          <c:extLst xmlns:c16r2="http://schemas.microsoft.com/office/drawing/2015/06/chart">
            <c:ext xmlns:c16="http://schemas.microsoft.com/office/drawing/2014/chart" uri="{C3380CC4-5D6E-409C-BE32-E72D297353CC}">
              <c16:uniqueId val="{00000006-B2ED-8E45-AF2D-104B5BA60367}"/>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3 in Microsoft Word]Sheet1'!$A$6</c:f>
              <c:strCache>
                <c:ptCount val="1"/>
                <c:pt idx="0">
                  <c:v>Të ardhura nga fondet speciale</c:v>
                </c:pt>
              </c:strCache>
            </c:strRef>
          </c:tx>
          <c:spPr>
            <a:solidFill>
              <a:schemeClr val="accent1"/>
            </a:solidFill>
            <a:ln>
              <a:noFill/>
            </a:ln>
            <a:effectLst/>
          </c:spPr>
          <c:invertIfNegative val="0"/>
          <c:dLbls>
            <c:dLbl>
              <c:idx val="0"/>
              <c:layout>
                <c:manualLayout>
                  <c:x val="0"/>
                  <c:y val="-9.32852143482073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FC-2942-8E53-A091FC22694F}"/>
                </c:ext>
                <c:ext xmlns:c15="http://schemas.microsoft.com/office/drawing/2012/chart" uri="{CE6537A1-D6FC-4f65-9D91-7224C49458BB}"/>
              </c:extLst>
            </c:dLbl>
            <c:dLbl>
              <c:idx val="1"/>
              <c:layout>
                <c:manualLayout>
                  <c:x val="0"/>
                  <c:y val="-4.698891805191099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FC-2942-8E53-A091FC22694F}"/>
                </c:ext>
                <c:ext xmlns:c15="http://schemas.microsoft.com/office/drawing/2012/chart" uri="{CE6537A1-D6FC-4f65-9D91-7224C49458BB}"/>
              </c:extLst>
            </c:dLbl>
            <c:dLbl>
              <c:idx val="2"/>
              <c:layout>
                <c:manualLayout>
                  <c:x val="0"/>
                  <c:y val="-4.69889180519101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FC-2942-8E53-A091FC22694F}"/>
                </c:ext>
                <c:ext xmlns:c15="http://schemas.microsoft.com/office/drawing/2012/chart" uri="{CE6537A1-D6FC-4f65-9D91-7224C49458BB}"/>
              </c:extLst>
            </c:dLbl>
            <c:dLbl>
              <c:idx val="3"/>
              <c:layout>
                <c:manualLayout>
                  <c:x val="0"/>
                  <c:y val="-4.69889180519101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FC-2942-8E53-A091FC22694F}"/>
                </c:ext>
                <c:ext xmlns:c15="http://schemas.microsoft.com/office/drawing/2012/chart" uri="{CE6537A1-D6FC-4f65-9D91-7224C49458BB}"/>
              </c:extLst>
            </c:dLbl>
            <c:dLbl>
              <c:idx val="4"/>
              <c:layout>
                <c:manualLayout>
                  <c:x val="-1.0185067526416E-16"/>
                  <c:y val="-9.328521434820689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FC-2942-8E53-A091FC22694F}"/>
                </c:ext>
                <c:ext xmlns:c15="http://schemas.microsoft.com/office/drawing/2012/chart" uri="{CE6537A1-D6FC-4f65-9D91-7224C49458BB}"/>
              </c:extLst>
            </c:dLbl>
            <c:dLbl>
              <c:idx val="5"/>
              <c:layout>
                <c:manualLayout>
                  <c:x val="-2.7777777777777801E-3"/>
                  <c:y val="-1.395815106445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FC-2942-8E53-A091FC22694F}"/>
                </c:ext>
                <c:ext xmlns:c15="http://schemas.microsoft.com/office/drawing/2012/chart" uri="{CE6537A1-D6FC-4f65-9D91-7224C49458BB}"/>
              </c:extLst>
            </c:dLbl>
            <c:dLbl>
              <c:idx val="6"/>
              <c:layout>
                <c:manualLayout>
                  <c:x val="0"/>
                  <c:y val="-4.69889180519101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FC-2942-8E53-A091FC22694F}"/>
                </c:ext>
                <c:ext xmlns:c15="http://schemas.microsoft.com/office/drawing/2012/chart" uri="{CE6537A1-D6FC-4f65-9D91-7224C49458BB}"/>
              </c:extLst>
            </c:dLbl>
            <c:dLbl>
              <c:idx val="7"/>
              <c:layout>
                <c:manualLayout>
                  <c:x val="-1.0185067526416E-16"/>
                  <c:y val="-4.69889180519101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FC-2942-8E53-A091FC22694F}"/>
                </c:ext>
                <c:ext xmlns:c15="http://schemas.microsoft.com/office/drawing/2012/chart" uri="{CE6537A1-D6FC-4f65-9D91-7224C49458BB}"/>
              </c:extLst>
            </c:dLbl>
            <c:dLbl>
              <c:idx val="8"/>
              <c:layout>
                <c:manualLayout>
                  <c:x val="1.0185067526416E-16"/>
                  <c:y val="-4.69889180519101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FC-2942-8E53-A091FC2269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'[Chart 3 in Microsoft Word]Sheet1'!$B$5:$J$5</c:f>
              <c:numCache>
                <c:formatCode>0_);\(0\)</c:formatCode>
                <c:ptCount val="9"/>
                <c:pt idx="0">
                  <c:v>2010</c:v>
                </c:pt>
                <c:pt idx="1">
                  <c:v>2011</c:v>
                </c:pt>
                <c:pt idx="2">
                  <c:v>2012</c:v>
                </c:pt>
                <c:pt idx="3">
                  <c:v>2013</c:v>
                </c:pt>
                <c:pt idx="4">
                  <c:v>2014</c:v>
                </c:pt>
                <c:pt idx="5">
                  <c:v>2015</c:v>
                </c:pt>
                <c:pt idx="6">
                  <c:v>2016</c:v>
                </c:pt>
                <c:pt idx="7">
                  <c:v>2017</c:v>
                </c:pt>
                <c:pt idx="8">
                  <c:v>2018</c:v>
                </c:pt>
              </c:numCache>
            </c:numRef>
          </c:cat>
          <c:val>
            <c:numRef>
              <c:f>'[Chart 3 in Microsoft Word]Sheet1'!$B$6:$J$6</c:f>
              <c:numCache>
                <c:formatCode>##,#00</c:formatCode>
                <c:ptCount val="9"/>
                <c:pt idx="0">
                  <c:v>53.647000000000013</c:v>
                </c:pt>
                <c:pt idx="1">
                  <c:v>56.627000000000002</c:v>
                </c:pt>
                <c:pt idx="2">
                  <c:v>57.411299999999997</c:v>
                </c:pt>
                <c:pt idx="3">
                  <c:v>60.032699999999998</c:v>
                </c:pt>
                <c:pt idx="4">
                  <c:v>70.007999999999996</c:v>
                </c:pt>
                <c:pt idx="5">
                  <c:v>71.725999999999999</c:v>
                </c:pt>
                <c:pt idx="6">
                  <c:v>79.152999999999977</c:v>
                </c:pt>
                <c:pt idx="7">
                  <c:v>86.795370000000005</c:v>
                </c:pt>
                <c:pt idx="8">
                  <c:v>93.153630000000007</c:v>
                </c:pt>
              </c:numCache>
            </c:numRef>
          </c:val>
          <c:extLst xmlns:c16r2="http://schemas.microsoft.com/office/drawing/2015/06/chart">
            <c:ext xmlns:c16="http://schemas.microsoft.com/office/drawing/2014/chart" uri="{C3380CC4-5D6E-409C-BE32-E72D297353CC}">
              <c16:uniqueId val="{00000009-B4FC-2942-8E53-A091FC22694F}"/>
            </c:ext>
          </c:extLst>
        </c:ser>
        <c:dLbls>
          <c:dLblPos val="inEnd"/>
          <c:showLegendKey val="0"/>
          <c:showVal val="1"/>
          <c:showCatName val="0"/>
          <c:showSerName val="0"/>
          <c:showPercent val="0"/>
          <c:showBubbleSize val="0"/>
        </c:dLbls>
        <c:gapWidth val="50"/>
        <c:overlap val="-27"/>
        <c:axId val="-1423695328"/>
        <c:axId val="-1423694784"/>
      </c:barChart>
      <c:catAx>
        <c:axId val="-1423695328"/>
        <c:scaling>
          <c:orientation val="minMax"/>
        </c:scaling>
        <c:delete val="0"/>
        <c:axPos val="b"/>
        <c:numFmt formatCode="0_);\(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694784"/>
        <c:crosses val="autoZero"/>
        <c:auto val="1"/>
        <c:lblAlgn val="ctr"/>
        <c:lblOffset val="100"/>
        <c:noMultiLvlLbl val="0"/>
      </c:catAx>
      <c:valAx>
        <c:axId val="-1423694784"/>
        <c:scaling>
          <c:orientation val="minMax"/>
        </c:scaling>
        <c:delete val="1"/>
        <c:axPos val="l"/>
        <c:numFmt formatCode="##,#00" sourceLinked="1"/>
        <c:majorTickMark val="none"/>
        <c:minorTickMark val="none"/>
        <c:tickLblPos val="nextTo"/>
        <c:crossAx val="-142369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151782014090296E-3"/>
          <c:y val="7.8483710178429505E-2"/>
          <c:w val="0.99198482179859104"/>
          <c:h val="0.88789339979291604"/>
        </c:manualLayout>
      </c:layout>
      <c:pie3DChart>
        <c:varyColors val="1"/>
        <c:ser>
          <c:idx val="0"/>
          <c:order val="0"/>
          <c:tx>
            <c:strRef>
              <c:f>'Te ardhura Fonde Speciale'!$D$4</c:f>
              <c:strCache>
                <c:ptCount val="1"/>
                <c:pt idx="0">
                  <c:v>Përqindja</c:v>
                </c:pt>
              </c:strCache>
            </c:strRef>
          </c:tx>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B459-224D-A37A-746F3EA8E045}"/>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B459-224D-A37A-746F3EA8E045}"/>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B459-224D-A37A-746F3EA8E0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'Te ardhura Fonde Speciale'!$B$5:$B$7</c:f>
              <c:strCache>
                <c:ptCount val="3"/>
                <c:pt idx="0">
                  <c:v>Sigurimi shoqëror</c:v>
                </c:pt>
                <c:pt idx="1">
                  <c:v>Sigurimi shëndetësor</c:v>
                </c:pt>
                <c:pt idx="2">
                  <c:v>Të ardhura për kompensim në vlerë të pronarëve</c:v>
                </c:pt>
              </c:strCache>
            </c:strRef>
          </c:cat>
          <c:val>
            <c:numRef>
              <c:f>'Te ardhura Fonde Speciale'!$D$5:$D$7</c:f>
              <c:numCache>
                <c:formatCode>#.#00%</c:formatCode>
                <c:ptCount val="3"/>
                <c:pt idx="0">
                  <c:v>0.85284640171858195</c:v>
                </c:pt>
                <c:pt idx="1">
                  <c:v>0.13319011815252399</c:v>
                </c:pt>
                <c:pt idx="2">
                  <c:v>1.39634801288937E-2</c:v>
                </c:pt>
              </c:numCache>
            </c:numRef>
          </c:val>
          <c:extLst xmlns:c16r2="http://schemas.microsoft.com/office/drawing/2015/06/chart">
            <c:ext xmlns:c16="http://schemas.microsoft.com/office/drawing/2014/chart" uri="{C3380CC4-5D6E-409C-BE32-E72D297353CC}">
              <c16:uniqueId val="{00000006-B459-224D-A37A-746F3EA8E045}"/>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9833193275269965"/>
          <c:y val="0.19164198511883301"/>
          <c:w val="0.18757037310496583"/>
          <c:h val="0.761975968600254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54192184310299"/>
          <c:y val="0"/>
          <c:w val="0.37547936716243802"/>
          <c:h val="0.99118293073127495"/>
        </c:manualLayout>
      </c:layout>
      <c:doughnutChart>
        <c:varyColors val="1"/>
        <c:ser>
          <c:idx val="1"/>
          <c:order val="0"/>
          <c:tx>
            <c:strRef>
              <c:f>graphs!$AF$178</c:f>
              <c:strCache>
                <c:ptCount val="1"/>
                <c:pt idx="0">
                  <c:v>Te ardhura Jotatimore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7-ADCF-734D-8C28-DAFDC0B7FF2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1-ADCF-734D-8C28-DAFDC0B7FF2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0-ADCF-734D-8C28-DAFDC0B7FF29}"/>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6-ADCF-734D-8C28-DAFDC0B7FF29}"/>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4-ADCF-734D-8C28-DAFDC0B7FF29}"/>
              </c:ext>
            </c:extLst>
          </c:dPt>
          <c:dLbls>
            <c:dLbl>
              <c:idx val="0"/>
              <c:layout>
                <c:manualLayout>
                  <c:x val="0.27304499781564001"/>
                  <c:y val="5.2287581699346407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23809523809523794"/>
                  <c:y val="2.6143790849673203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048492791612058"/>
                  <c:y val="0.18954248366013071"/>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18567059851463522"/>
                  <c:y val="2.6143790849673203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6164263870685888"/>
                  <c:y val="-4.5751633986928122E-2"/>
                </c:manualLayout>
              </c:layou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graphs!$AF$179:$AF$183</c:f>
              <c:strCache>
                <c:ptCount val="5"/>
                <c:pt idx="0">
                  <c:v>Transferim fitimi nga Banka e Shqipërisë</c:v>
                </c:pt>
                <c:pt idx="1">
                  <c:v>Të ardhura nga institucione buxhetore </c:v>
                </c:pt>
                <c:pt idx="2">
                  <c:v>Dividendi</c:v>
                </c:pt>
                <c:pt idx="3">
                  <c:v>Tarifat e shërbimeve</c:v>
                </c:pt>
                <c:pt idx="4">
                  <c:v>Të tjera </c:v>
                </c:pt>
              </c:strCache>
            </c:strRef>
          </c:cat>
          <c:val>
            <c:numRef>
              <c:f>graphs!$AG$179:$AG$183</c:f>
              <c:numCache>
                <c:formatCode>#.##0</c:formatCode>
                <c:ptCount val="5"/>
                <c:pt idx="0">
                  <c:v>900.49</c:v>
                </c:pt>
                <c:pt idx="1">
                  <c:v>13933.51</c:v>
                </c:pt>
                <c:pt idx="2">
                  <c:v>38.1</c:v>
                </c:pt>
                <c:pt idx="3">
                  <c:v>2213.5100000000002</c:v>
                </c:pt>
                <c:pt idx="4">
                  <c:v>4912.07</c:v>
                </c:pt>
              </c:numCache>
            </c:numRef>
          </c:val>
          <c:extLst xmlns:c16r2="http://schemas.microsoft.com/office/drawing/2015/06/chart">
            <c:ext xmlns:c16="http://schemas.microsoft.com/office/drawing/2014/chart" uri="{C3380CC4-5D6E-409C-BE32-E72D297353CC}">
              <c16:uniqueId val="{00000001-ADCF-734D-8C28-DAFDC0B7FF29}"/>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897932151004495E-2"/>
          <c:y val="0.10119757680777999"/>
          <c:w val="0.83775774523511704"/>
          <c:h val="0.74944412202855504"/>
        </c:manualLayout>
      </c:layout>
      <c:barChart>
        <c:barDir val="col"/>
        <c:grouping val="clustered"/>
        <c:varyColors val="0"/>
        <c:ser>
          <c:idx val="0"/>
          <c:order val="0"/>
          <c:tx>
            <c:strRef>
              <c:f>'Akciza dhe TF ne vite'!$B$40</c:f>
              <c:strCache>
                <c:ptCount val="1"/>
                <c:pt idx="0">
                  <c:v>Te ardhurat nga Tatimet dhe Doganat</c:v>
                </c:pt>
              </c:strCache>
            </c:strRef>
          </c:tx>
          <c:spPr>
            <a:solidFill>
              <a:schemeClr val="accent1"/>
            </a:solidFill>
            <a:ln>
              <a:noFill/>
            </a:ln>
            <a:effectLst/>
          </c:spPr>
          <c:invertIfNegative val="0"/>
          <c:cat>
            <c:numRef>
              <c:f>'Akciza dhe TF ne vite'!$A$41:$A$49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'Akciza dhe TF ne vite'!$B$41:$B$49</c:f>
              <c:numCache>
                <c:formatCode>_(* ##,#00_);_(* \(##,#00\);_(* "-"??_);_(@_)</c:formatCode>
                <c:ptCount val="9"/>
                <c:pt idx="0">
                  <c:v>223</c:v>
                </c:pt>
                <c:pt idx="1">
                  <c:v>235.5</c:v>
                </c:pt>
                <c:pt idx="2">
                  <c:v>232.6</c:v>
                </c:pt>
                <c:pt idx="3">
                  <c:v>229</c:v>
                </c:pt>
                <c:pt idx="4">
                  <c:v>253.4</c:v>
                </c:pt>
                <c:pt idx="5">
                  <c:v>258.89999999999992</c:v>
                </c:pt>
                <c:pt idx="6">
                  <c:v>275.8</c:v>
                </c:pt>
                <c:pt idx="7">
                  <c:v>293.39999999999992</c:v>
                </c:pt>
                <c:pt idx="8">
                  <c:v>304.3</c:v>
                </c:pt>
              </c:numCache>
            </c:numRef>
          </c:val>
          <c:extLst xmlns:c16r2="http://schemas.microsoft.com/office/drawing/2015/06/chart">
            <c:ext xmlns:c16="http://schemas.microsoft.com/office/drawing/2014/chart" uri="{C3380CC4-5D6E-409C-BE32-E72D297353CC}">
              <c16:uniqueId val="{00000000-5DD7-1046-AE41-3536B4509FD3}"/>
            </c:ext>
          </c:extLst>
        </c:ser>
        <c:dLbls>
          <c:showLegendKey val="0"/>
          <c:showVal val="0"/>
          <c:showCatName val="0"/>
          <c:showSerName val="0"/>
          <c:showPercent val="0"/>
          <c:showBubbleSize val="0"/>
        </c:dLbls>
        <c:gapWidth val="219"/>
        <c:axId val="-1423684448"/>
        <c:axId val="-1423683904"/>
      </c:barChart>
      <c:lineChart>
        <c:grouping val="standard"/>
        <c:varyColors val="0"/>
        <c:ser>
          <c:idx val="1"/>
          <c:order val="1"/>
          <c:tx>
            <c:strRef>
              <c:f>'Akciza dhe TF ne vite'!$C$40</c:f>
              <c:strCache>
                <c:ptCount val="1"/>
                <c:pt idx="0">
                  <c:v>% PBB</c:v>
                </c:pt>
              </c:strCache>
            </c:strRef>
          </c:tx>
          <c:spPr>
            <a:ln w="28575" cap="rnd">
              <a:solidFill>
                <a:schemeClr val="accent2"/>
              </a:solidFill>
              <a:round/>
            </a:ln>
            <a:effectLst/>
          </c:spPr>
          <c:marker>
            <c:symbol val="none"/>
          </c:marker>
          <c:dLbls>
            <c:dLbl>
              <c:idx val="0"/>
              <c:layout>
                <c:manualLayout>
                  <c:x val="-3.8784744667097602E-2"/>
                  <c:y val="-3.06435137895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D7-1046-AE41-3536B4509FD3}"/>
                </c:ext>
                <c:ext xmlns:c15="http://schemas.microsoft.com/office/drawing/2012/chart" uri="{CE6537A1-D6FC-4f65-9D91-7224C49458BB}"/>
              </c:extLst>
            </c:dLbl>
            <c:dLbl>
              <c:idx val="1"/>
              <c:layout>
                <c:manualLayout>
                  <c:x val="-5.6022408963585499E-2"/>
                  <c:y val="-2.5536261491317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D7-1046-AE41-3536B4509FD3}"/>
                </c:ext>
                <c:ext xmlns:c15="http://schemas.microsoft.com/office/drawing/2012/chart" uri="{CE6537A1-D6FC-4f65-9D91-7224C49458BB}"/>
              </c:extLst>
            </c:dLbl>
            <c:dLbl>
              <c:idx val="2"/>
              <c:layout>
                <c:manualLayout>
                  <c:x val="-5.6022408963585499E-2"/>
                  <c:y val="-4.5965270684371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D7-1046-AE41-3536B4509FD3}"/>
                </c:ext>
                <c:ext xmlns:c15="http://schemas.microsoft.com/office/drawing/2012/chart" uri="{CE6537A1-D6FC-4f65-9D91-7224C49458BB}"/>
              </c:extLst>
            </c:dLbl>
            <c:dLbl>
              <c:idx val="3"/>
              <c:layout>
                <c:manualLayout>
                  <c:x val="-6.0331825037707398E-2"/>
                  <c:y val="-6.63942798774258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D7-1046-AE41-3536B4509FD3}"/>
                </c:ext>
                <c:ext xmlns:c15="http://schemas.microsoft.com/office/drawing/2012/chart" uri="{CE6537A1-D6FC-4f65-9D91-7224C49458BB}"/>
              </c:extLst>
            </c:dLbl>
            <c:dLbl>
              <c:idx val="4"/>
              <c:layout>
                <c:manualLayout>
                  <c:x val="-5.1712992889463502E-2"/>
                  <c:y val="-2.5536261491317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DD7-1046-AE41-3536B4509FD3}"/>
                </c:ext>
                <c:ext xmlns:c15="http://schemas.microsoft.com/office/drawing/2012/chart" uri="{CE6537A1-D6FC-4f65-9D91-7224C49458BB}"/>
              </c:extLst>
            </c:dLbl>
            <c:dLbl>
              <c:idx val="5"/>
              <c:layout>
                <c:manualLayout>
                  <c:x val="-6.0331825037707398E-2"/>
                  <c:y val="4.0858018386108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DD7-1046-AE41-3536B4509FD3}"/>
                </c:ext>
                <c:ext xmlns:c15="http://schemas.microsoft.com/office/drawing/2012/chart" uri="{CE6537A1-D6FC-4f65-9D91-7224C49458BB}"/>
              </c:extLst>
            </c:dLbl>
            <c:dLbl>
              <c:idx val="6"/>
              <c:layout>
                <c:manualLayout>
                  <c:x val="-5.6022408963585402E-2"/>
                  <c:y val="-2.0429009193054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DD7-1046-AE41-3536B4509FD3}"/>
                </c:ext>
                <c:ext xmlns:c15="http://schemas.microsoft.com/office/drawing/2012/chart" uri="{CE6537A1-D6FC-4f65-9D91-7224C49458BB}"/>
              </c:extLst>
            </c:dLbl>
            <c:dLbl>
              <c:idx val="7"/>
              <c:layout>
                <c:manualLayout>
                  <c:x val="-5.6022408963585402E-2"/>
                  <c:y val="-1.021450459652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DD7-1046-AE41-3536B4509FD3}"/>
                </c:ext>
                <c:ext xmlns:c15="http://schemas.microsoft.com/office/drawing/2012/chart" uri="{CE6537A1-D6FC-4f65-9D91-7224C49458BB}"/>
              </c:extLst>
            </c:dLbl>
            <c:dLbl>
              <c:idx val="8"/>
              <c:layout>
                <c:manualLayout>
                  <c:x val="-2.5856496444731699E-2"/>
                  <c:y val="-3.5750766087844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DD7-1046-AE41-3536B4509F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'Akciza dhe TF ne vite'!$C$41:$C$49</c:f>
              <c:numCache>
                <c:formatCode>General</c:formatCode>
                <c:ptCount val="9"/>
                <c:pt idx="0">
                  <c:v>18</c:v>
                </c:pt>
                <c:pt idx="1">
                  <c:v>18.100000000000001</c:v>
                </c:pt>
                <c:pt idx="2">
                  <c:v>17.5</c:v>
                </c:pt>
                <c:pt idx="3">
                  <c:v>17</c:v>
                </c:pt>
                <c:pt idx="4">
                  <c:v>18.2</c:v>
                </c:pt>
                <c:pt idx="5">
                  <c:v>18</c:v>
                </c:pt>
                <c:pt idx="6">
                  <c:v>18.7</c:v>
                </c:pt>
                <c:pt idx="7">
                  <c:v>18.899999999999999</c:v>
                </c:pt>
                <c:pt idx="8">
                  <c:v>18.7</c:v>
                </c:pt>
              </c:numCache>
            </c:numRef>
          </c:val>
          <c:smooth val="0"/>
          <c:extLst xmlns:c16r2="http://schemas.microsoft.com/office/drawing/2015/06/chart">
            <c:ext xmlns:c16="http://schemas.microsoft.com/office/drawing/2014/chart" uri="{C3380CC4-5D6E-409C-BE32-E72D297353CC}">
              <c16:uniqueId val="{0000000A-5DD7-1046-AE41-3536B4509FD3}"/>
            </c:ext>
          </c:extLst>
        </c:ser>
        <c:dLbls>
          <c:showLegendKey val="0"/>
          <c:showVal val="0"/>
          <c:showCatName val="0"/>
          <c:showSerName val="0"/>
          <c:showPercent val="0"/>
          <c:showBubbleSize val="0"/>
        </c:dLbls>
        <c:marker val="1"/>
        <c:smooth val="0"/>
        <c:axId val="-1423680640"/>
        <c:axId val="-1423682272"/>
      </c:lineChart>
      <c:catAx>
        <c:axId val="-14236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683904"/>
        <c:crosses val="autoZero"/>
        <c:auto val="1"/>
        <c:lblAlgn val="ctr"/>
        <c:lblOffset val="100"/>
        <c:noMultiLvlLbl val="0"/>
      </c:catAx>
      <c:valAx>
        <c:axId val="-1423683904"/>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684448"/>
        <c:crosses val="autoZero"/>
        <c:crossBetween val="between"/>
      </c:valAx>
      <c:valAx>
        <c:axId val="-14236822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680640"/>
        <c:crosses val="max"/>
        <c:crossBetween val="between"/>
      </c:valAx>
      <c:catAx>
        <c:axId val="-1423680640"/>
        <c:scaling>
          <c:orientation val="minMax"/>
        </c:scaling>
        <c:delete val="1"/>
        <c:axPos val="b"/>
        <c:majorTickMark val="out"/>
        <c:minorTickMark val="none"/>
        <c:tickLblPos val="nextTo"/>
        <c:crossAx val="-14236822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0.02984</cdr:x>
      <cdr:y>0.15236</cdr:y>
    </cdr:from>
    <cdr:to>
      <cdr:x>0.18691</cdr:x>
      <cdr:y>0.37476</cdr:y>
    </cdr:to>
    <cdr:sp macro="" textlink="">
      <cdr:nvSpPr>
        <cdr:cNvPr id="2" name="TextBox 1"/>
        <cdr:cNvSpPr txBox="1"/>
      </cdr:nvSpPr>
      <cdr:spPr>
        <a:xfrm xmlns:a="http://schemas.openxmlformats.org/drawingml/2006/main">
          <a:off x="173692" y="62641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BBAB4-4145-45B4-905D-D215ED0E3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83</Pages>
  <Words>31308</Words>
  <Characters>178461</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Besjon Tanuzi</dc:creator>
  <cp:lastModifiedBy>Xhoana Agolli</cp:lastModifiedBy>
  <cp:revision>67</cp:revision>
  <cp:lastPrinted>2019-06-10T15:18:00Z</cp:lastPrinted>
  <dcterms:created xsi:type="dcterms:W3CDTF">2019-06-10T14:10:00Z</dcterms:created>
  <dcterms:modified xsi:type="dcterms:W3CDTF">2019-06-11T11:18:00Z</dcterms:modified>
</cp:coreProperties>
</file>